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1D1F">
      <w:pPr>
        <w:pStyle w:val="12"/>
        <w:rPr>
          <w:rFonts w:hint="eastAsia"/>
          <w:color w:val="auto"/>
          <w:highlight w:val="none"/>
        </w:rPr>
      </w:pPr>
    </w:p>
    <w:p w14:paraId="0D2D2537">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福海某某单位2026年度大宗生活物资采购</w:t>
      </w:r>
    </w:p>
    <w:p w14:paraId="00A91A0D">
      <w:pPr>
        <w:jc w:val="center"/>
        <w:rPr>
          <w:rFonts w:hint="eastAsia" w:ascii="宋体" w:hAnsi="宋体" w:eastAsia="宋体" w:cs="宋体"/>
          <w:b/>
          <w:bCs/>
          <w:color w:val="auto"/>
          <w:sz w:val="52"/>
          <w:szCs w:val="52"/>
          <w:highlight w:val="none"/>
        </w:rPr>
      </w:pPr>
    </w:p>
    <w:p w14:paraId="2FA7C571">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招标文件</w:t>
      </w:r>
    </w:p>
    <w:p w14:paraId="1574E802">
      <w:pPr>
        <w:pStyle w:val="14"/>
        <w:ind w:left="0" w:leftChars="0" w:firstLine="0" w:firstLineChars="0"/>
        <w:rPr>
          <w:rFonts w:hint="eastAsia" w:ascii="宋体" w:hAnsi="宋体" w:eastAsia="宋体" w:cs="宋体"/>
          <w:color w:val="auto"/>
          <w:highlight w:val="none"/>
        </w:rPr>
      </w:pPr>
    </w:p>
    <w:p w14:paraId="463D6BDD">
      <w:pPr>
        <w:jc w:val="center"/>
        <w:rPr>
          <w:rFonts w:hint="eastAsia" w:ascii="宋体" w:hAnsi="宋体" w:eastAsia="宋体" w:cs="宋体"/>
          <w:b/>
          <w:bCs/>
          <w:color w:val="auto"/>
          <w:sz w:val="44"/>
          <w:szCs w:val="44"/>
          <w:highlight w:val="none"/>
          <w:lang w:eastAsia="zh-CN"/>
        </w:rPr>
      </w:pPr>
    </w:p>
    <w:p w14:paraId="33E99ECA">
      <w:pPr>
        <w:pStyle w:val="21"/>
        <w:rPr>
          <w:rFonts w:hint="default"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项目编号：XJL-ZB-2026-31</w:t>
      </w:r>
    </w:p>
    <w:p w14:paraId="2FD6076C">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盖章</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新疆维吾尔自治区福海某某单位</w:t>
      </w:r>
    </w:p>
    <w:p w14:paraId="459AA0EB">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采购人地址：</w:t>
      </w:r>
      <w:r>
        <w:rPr>
          <w:rFonts w:hint="eastAsia" w:ascii="宋体" w:hAnsi="宋体" w:eastAsia="宋体" w:cs="宋体"/>
          <w:b/>
          <w:bCs/>
          <w:color w:val="auto"/>
          <w:sz w:val="30"/>
          <w:szCs w:val="30"/>
          <w:highlight w:val="none"/>
          <w:lang w:eastAsia="zh-CN"/>
        </w:rPr>
        <w:t>新疆福海县</w:t>
      </w:r>
    </w:p>
    <w:p w14:paraId="01B24D87">
      <w:pPr>
        <w:tabs>
          <w:tab w:val="left" w:pos="7542"/>
        </w:tabs>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采购联系人：田小云</w:t>
      </w:r>
    </w:p>
    <w:p w14:paraId="7B044583">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采购联系电话：</w:t>
      </w:r>
      <w:r>
        <w:rPr>
          <w:rFonts w:hint="eastAsia" w:ascii="宋体" w:hAnsi="宋体" w:eastAsia="宋体" w:cs="宋体"/>
          <w:b/>
          <w:bCs/>
          <w:color w:val="auto"/>
          <w:sz w:val="30"/>
          <w:szCs w:val="30"/>
          <w:highlight w:val="none"/>
          <w:lang w:eastAsia="zh-CN"/>
        </w:rPr>
        <w:t>19300715077</w:t>
      </w:r>
    </w:p>
    <w:p w14:paraId="31FD9177">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w:t>
      </w:r>
    </w:p>
    <w:p w14:paraId="3591BABE">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代理机构名称</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盖章</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新疆</w:t>
      </w:r>
      <w:r>
        <w:rPr>
          <w:rFonts w:hint="eastAsia" w:ascii="宋体" w:hAnsi="宋体" w:eastAsia="宋体" w:cs="宋体"/>
          <w:b/>
          <w:bCs/>
          <w:color w:val="auto"/>
          <w:sz w:val="30"/>
          <w:szCs w:val="30"/>
          <w:highlight w:val="none"/>
          <w:lang w:eastAsia="zh-CN"/>
        </w:rPr>
        <w:t>新建联项</w:t>
      </w:r>
      <w:r>
        <w:rPr>
          <w:rFonts w:hint="eastAsia" w:ascii="宋体" w:hAnsi="宋体" w:eastAsia="宋体" w:cs="宋体"/>
          <w:b/>
          <w:bCs/>
          <w:color w:val="auto"/>
          <w:sz w:val="30"/>
          <w:szCs w:val="30"/>
          <w:highlight w:val="none"/>
          <w:lang w:eastAsia="zh-CN"/>
        </w:rPr>
        <w:t>目管理咨询有限公司</w:t>
      </w:r>
    </w:p>
    <w:p w14:paraId="7D495F84">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法定代表人（盖章）：王利民</w:t>
      </w:r>
    </w:p>
    <w:p w14:paraId="5B46B021">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代理机构地址：</w:t>
      </w:r>
      <w:r>
        <w:rPr>
          <w:rFonts w:hint="eastAsia" w:ascii="宋体" w:hAnsi="宋体" w:eastAsia="宋体" w:cs="宋体"/>
          <w:b/>
          <w:bCs/>
          <w:color w:val="auto"/>
          <w:sz w:val="30"/>
          <w:szCs w:val="30"/>
          <w:highlight w:val="none"/>
          <w:lang w:eastAsia="zh-CN"/>
        </w:rPr>
        <w:t>乌鲁木齐市水磨沟区龙盛街898号中央公园</w:t>
      </w:r>
      <w:r>
        <w:rPr>
          <w:rFonts w:hint="eastAsia" w:ascii="宋体" w:hAnsi="宋体" w:eastAsia="宋体" w:cs="宋体"/>
          <w:b/>
          <w:bCs/>
          <w:color w:val="auto"/>
          <w:sz w:val="30"/>
          <w:szCs w:val="30"/>
          <w:highlight w:val="none"/>
          <w:lang w:val="en-US" w:eastAsia="zh-CN"/>
        </w:rPr>
        <w:t>商住小区</w:t>
      </w:r>
      <w:r>
        <w:rPr>
          <w:rFonts w:hint="eastAsia" w:ascii="宋体" w:hAnsi="宋体" w:eastAsia="宋体" w:cs="宋体"/>
          <w:b/>
          <w:bCs/>
          <w:color w:val="auto"/>
          <w:sz w:val="30"/>
          <w:szCs w:val="30"/>
          <w:highlight w:val="none"/>
          <w:lang w:eastAsia="zh-CN"/>
        </w:rPr>
        <w:t>S6栋14层</w:t>
      </w:r>
    </w:p>
    <w:p w14:paraId="4C9E5696">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代理机构联系人：</w:t>
      </w:r>
      <w:r>
        <w:rPr>
          <w:rFonts w:hint="eastAsia" w:ascii="宋体" w:hAnsi="宋体" w:eastAsia="宋体" w:cs="宋体"/>
          <w:b/>
          <w:bCs/>
          <w:color w:val="auto"/>
          <w:sz w:val="30"/>
          <w:szCs w:val="30"/>
          <w:highlight w:val="none"/>
          <w:lang w:val="en-US" w:eastAsia="zh-CN"/>
        </w:rPr>
        <w:t>李玉玮、邓学文、柯大龙、乔思雅</w:t>
      </w:r>
      <w:r>
        <w:rPr>
          <w:rFonts w:hint="eastAsia" w:ascii="宋体" w:hAnsi="宋体" w:eastAsia="宋体" w:cs="宋体"/>
          <w:b/>
          <w:bCs/>
          <w:color w:val="auto"/>
          <w:sz w:val="30"/>
          <w:szCs w:val="30"/>
          <w:highlight w:val="none"/>
        </w:rPr>
        <w:t xml:space="preserve"> </w:t>
      </w:r>
    </w:p>
    <w:p w14:paraId="08B332F1">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代理机构联系电话：</w:t>
      </w:r>
      <w:r>
        <w:rPr>
          <w:rFonts w:hint="eastAsia" w:ascii="宋体" w:hAnsi="宋体" w:eastAsia="宋体" w:cs="宋体"/>
          <w:b/>
          <w:bCs/>
          <w:color w:val="auto"/>
          <w:sz w:val="30"/>
          <w:szCs w:val="30"/>
          <w:highlight w:val="none"/>
          <w:lang w:val="en-US" w:eastAsia="zh-CN"/>
        </w:rPr>
        <w:t>18999179993</w:t>
      </w:r>
      <w:r>
        <w:rPr>
          <w:rFonts w:hint="eastAsia" w:ascii="宋体" w:hAnsi="宋体" w:eastAsia="宋体" w:cs="宋体"/>
          <w:b/>
          <w:bCs/>
          <w:color w:val="auto"/>
          <w:sz w:val="30"/>
          <w:szCs w:val="30"/>
          <w:highlight w:val="none"/>
          <w:lang w:eastAsia="zh-CN"/>
        </w:rPr>
        <w:t>、0991-8875119</w:t>
      </w:r>
    </w:p>
    <w:p w14:paraId="04652207">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二〇二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eastAsia="zh-CN"/>
        </w:rPr>
        <w:t>年</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eastAsia="zh-CN"/>
        </w:rPr>
        <w:t>月</w:t>
      </w:r>
    </w:p>
    <w:p w14:paraId="2C3B41DA">
      <w:pPr>
        <w:adjustRightInd w:val="0"/>
        <w:snapToGrid w:val="0"/>
        <w:spacing w:line="360" w:lineRule="auto"/>
        <w:jc w:val="center"/>
        <w:rPr>
          <w:rFonts w:hint="eastAsia" w:ascii="宋体" w:hAnsi="宋体" w:eastAsia="宋体" w:cs="宋体"/>
          <w:color w:val="auto"/>
          <w:highlight w:val="none"/>
        </w:rPr>
        <w:sectPr>
          <w:head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FE43E9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sdt>
      <w:sdtPr>
        <w:rPr>
          <w:rFonts w:hint="eastAsia" w:ascii="宋体" w:hAnsi="宋体" w:eastAsia="宋体" w:cs="宋体"/>
          <w:bCs/>
          <w:color w:val="auto"/>
          <w:spacing w:val="10"/>
          <w:kern w:val="0"/>
          <w:sz w:val="28"/>
          <w:szCs w:val="28"/>
          <w:highlight w:val="none"/>
        </w:rPr>
        <w:id w:val="147451175"/>
        <w15:color w:val="DBDBDB"/>
      </w:sdtPr>
      <w:sdtEndPr>
        <w:rPr>
          <w:rFonts w:hint="eastAsia" w:ascii="宋体" w:hAnsi="宋体" w:eastAsia="宋体" w:cs="宋体"/>
          <w:bCs/>
          <w:color w:val="auto"/>
          <w:spacing w:val="10"/>
          <w:kern w:val="0"/>
          <w:sz w:val="24"/>
          <w:szCs w:val="21"/>
          <w:highlight w:val="none"/>
        </w:rPr>
      </w:sdtEndPr>
      <w:sdtContent>
        <w:p w14:paraId="7B7C338B">
          <w:pPr>
            <w:pStyle w:val="44"/>
            <w:spacing w:line="360" w:lineRule="auto"/>
            <w:rPr>
              <w:rFonts w:hint="eastAsia" w:ascii="宋体" w:hAnsi="宋体" w:eastAsia="宋体" w:cs="宋体"/>
              <w:bCs/>
              <w:color w:val="auto"/>
              <w:spacing w:val="10"/>
              <w:kern w:val="0"/>
              <w:sz w:val="28"/>
              <w:szCs w:val="28"/>
              <w:highlight w:val="none"/>
              <w:lang w:val="en-US" w:eastAsia="zh-CN" w:bidi="ar-SA"/>
            </w:rPr>
          </w:pPr>
          <w:r>
            <w:rPr>
              <w:rFonts w:hint="eastAsia" w:ascii="宋体" w:hAnsi="宋体" w:eastAsia="宋体" w:cs="宋体"/>
              <w:bCs/>
              <w:color w:val="auto"/>
              <w:spacing w:val="10"/>
              <w:kern w:val="0"/>
              <w:sz w:val="28"/>
              <w:szCs w:val="28"/>
              <w:highlight w:val="none"/>
            </w:rPr>
            <w:fldChar w:fldCharType="begin"/>
          </w:r>
          <w:r>
            <w:rPr>
              <w:rFonts w:hint="eastAsia" w:ascii="宋体" w:hAnsi="宋体" w:eastAsia="宋体" w:cs="宋体"/>
              <w:bCs/>
              <w:color w:val="auto"/>
              <w:spacing w:val="10"/>
              <w:kern w:val="0"/>
              <w:sz w:val="28"/>
              <w:szCs w:val="28"/>
              <w:highlight w:val="none"/>
            </w:rPr>
            <w:instrText xml:space="preserve">TOC \o "1-2" \h \u </w:instrText>
          </w:r>
          <w:r>
            <w:rPr>
              <w:rFonts w:hint="eastAsia" w:ascii="宋体" w:hAnsi="宋体" w:eastAsia="宋体" w:cs="宋体"/>
              <w:bCs/>
              <w:color w:val="auto"/>
              <w:spacing w:val="10"/>
              <w:kern w:val="0"/>
              <w:sz w:val="28"/>
              <w:szCs w:val="28"/>
              <w:highlight w:val="none"/>
            </w:rPr>
            <w:fldChar w:fldCharType="separate"/>
          </w:r>
        </w:p>
        <w:p w14:paraId="7DE181C8">
          <w:pPr>
            <w:pStyle w:val="21"/>
            <w:tabs>
              <w:tab w:val="right" w:leader="dot" w:pos="9072"/>
            </w:tabs>
            <w:rPr>
              <w:rFonts w:hint="eastAsia" w:ascii="宋体" w:hAnsi="宋体" w:eastAsia="宋体" w:cs="宋体"/>
              <w:color w:val="auto"/>
              <w:sz w:val="28"/>
              <w:szCs w:val="36"/>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_Toc15331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color w:val="auto"/>
              <w:sz w:val="28"/>
              <w:szCs w:val="36"/>
              <w:highlight w:val="none"/>
            </w:rPr>
            <w:t>第一章 招标公告</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_Toc15331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1F38CC86">
          <w:pPr>
            <w:pStyle w:val="21"/>
            <w:tabs>
              <w:tab w:val="right" w:leader="dot" w:pos="9072"/>
            </w:tabs>
            <w:rPr>
              <w:rFonts w:hint="eastAsia" w:ascii="宋体" w:hAnsi="宋体" w:eastAsia="宋体" w:cs="宋体"/>
              <w:color w:val="auto"/>
              <w:sz w:val="28"/>
              <w:szCs w:val="36"/>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_Toc11834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bCs/>
              <w:color w:val="auto"/>
              <w:sz w:val="28"/>
              <w:szCs w:val="44"/>
              <w:highlight w:val="none"/>
            </w:rPr>
            <w:t>第二章 投标须知前附表</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_Toc11834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5</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5008BBA9">
          <w:pPr>
            <w:pStyle w:val="21"/>
            <w:tabs>
              <w:tab w:val="right" w:leader="dot" w:pos="9072"/>
            </w:tabs>
            <w:rPr>
              <w:rFonts w:hint="eastAsia" w:ascii="宋体" w:hAnsi="宋体" w:eastAsia="宋体" w:cs="宋体"/>
              <w:color w:val="auto"/>
              <w:sz w:val="28"/>
              <w:szCs w:val="36"/>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_Toc236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color w:val="auto"/>
              <w:sz w:val="28"/>
              <w:szCs w:val="36"/>
              <w:highlight w:val="none"/>
            </w:rPr>
            <w:t>第三章 投标人须知</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_Toc236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11</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5D854299">
          <w:pPr>
            <w:pStyle w:val="21"/>
            <w:tabs>
              <w:tab w:val="right" w:leader="dot" w:pos="9072"/>
            </w:tabs>
            <w:rPr>
              <w:rFonts w:hint="eastAsia" w:ascii="宋体" w:hAnsi="宋体" w:eastAsia="宋体" w:cs="宋体"/>
              <w:color w:val="auto"/>
              <w:sz w:val="28"/>
              <w:szCs w:val="36"/>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_Toc21891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color w:val="auto"/>
              <w:sz w:val="28"/>
              <w:szCs w:val="36"/>
              <w:highlight w:val="none"/>
            </w:rPr>
            <w:t>第四章 政府采购合同</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_Toc21891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25</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198208EA">
          <w:pPr>
            <w:pStyle w:val="21"/>
            <w:tabs>
              <w:tab w:val="right" w:leader="dot" w:pos="9072"/>
            </w:tabs>
            <w:rPr>
              <w:rFonts w:hint="eastAsia" w:ascii="宋体" w:hAnsi="宋体" w:eastAsia="宋体" w:cs="宋体"/>
              <w:color w:val="auto"/>
              <w:sz w:val="28"/>
              <w:szCs w:val="36"/>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_Toc29221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color w:val="auto"/>
              <w:sz w:val="28"/>
              <w:szCs w:val="36"/>
              <w:highlight w:val="none"/>
            </w:rPr>
            <w:t>第五章 采购需求</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_Toc29221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34</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0F2E5374">
          <w:pPr>
            <w:pStyle w:val="21"/>
            <w:tabs>
              <w:tab w:val="right" w:leader="dot" w:pos="9072"/>
            </w:tabs>
            <w:rPr>
              <w:rFonts w:hint="eastAsia" w:ascii="宋体" w:hAnsi="宋体" w:eastAsia="宋体" w:cs="宋体"/>
              <w:color w:val="auto"/>
              <w:sz w:val="28"/>
              <w:szCs w:val="36"/>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_Toc26175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color w:val="auto"/>
              <w:sz w:val="28"/>
              <w:szCs w:val="36"/>
              <w:highlight w:val="none"/>
            </w:rPr>
            <w:t>第六章 评标方法和标准</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_Toc26175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35</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084D0F1C">
          <w:pPr>
            <w:pStyle w:val="21"/>
            <w:tabs>
              <w:tab w:val="right" w:leader="dot" w:pos="9072"/>
            </w:tabs>
            <w:rPr>
              <w:rFonts w:hint="eastAsia" w:ascii="宋体" w:hAnsi="宋体" w:eastAsia="宋体" w:cs="宋体"/>
              <w:color w:val="auto"/>
              <w:highlight w:val="none"/>
            </w:rPr>
          </w:pPr>
          <w:r>
            <w:rPr>
              <w:rFonts w:hint="eastAsia" w:ascii="宋体" w:hAnsi="宋体" w:eastAsia="宋体" w:cs="宋体"/>
              <w:bCs/>
              <w:color w:val="auto"/>
              <w:spacing w:val="10"/>
              <w:kern w:val="0"/>
              <w:sz w:val="28"/>
              <w:szCs w:val="40"/>
              <w:highlight w:val="none"/>
            </w:rPr>
            <w:fldChar w:fldCharType="begin"/>
          </w:r>
          <w:r>
            <w:rPr>
              <w:rFonts w:hint="eastAsia" w:ascii="宋体" w:hAnsi="宋体" w:eastAsia="宋体" w:cs="宋体"/>
              <w:bCs/>
              <w:color w:val="auto"/>
              <w:spacing w:val="10"/>
              <w:kern w:val="0"/>
              <w:sz w:val="28"/>
              <w:szCs w:val="40"/>
              <w:highlight w:val="none"/>
            </w:rPr>
            <w:instrText xml:space="preserve"> HYPERLINK \l _Toc32159 </w:instrText>
          </w:r>
          <w:r>
            <w:rPr>
              <w:rFonts w:hint="eastAsia" w:ascii="宋体" w:hAnsi="宋体" w:eastAsia="宋体" w:cs="宋体"/>
              <w:bCs/>
              <w:color w:val="auto"/>
              <w:spacing w:val="10"/>
              <w:kern w:val="0"/>
              <w:sz w:val="28"/>
              <w:szCs w:val="40"/>
              <w:highlight w:val="none"/>
            </w:rPr>
            <w:fldChar w:fldCharType="separate"/>
          </w:r>
          <w:r>
            <w:rPr>
              <w:rFonts w:hint="eastAsia" w:ascii="宋体" w:hAnsi="宋体" w:eastAsia="宋体" w:cs="宋体"/>
              <w:color w:val="auto"/>
              <w:sz w:val="28"/>
              <w:szCs w:val="36"/>
              <w:highlight w:val="none"/>
            </w:rPr>
            <w:t>第七章 投标文件格式</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_Toc32159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53</w:t>
          </w:r>
          <w:r>
            <w:rPr>
              <w:rFonts w:hint="eastAsia" w:ascii="宋体" w:hAnsi="宋体" w:eastAsia="宋体" w:cs="宋体"/>
              <w:color w:val="auto"/>
              <w:sz w:val="28"/>
              <w:szCs w:val="36"/>
              <w:highlight w:val="none"/>
            </w:rPr>
            <w:fldChar w:fldCharType="end"/>
          </w:r>
          <w:r>
            <w:rPr>
              <w:rFonts w:hint="eastAsia" w:ascii="宋体" w:hAnsi="宋体" w:eastAsia="宋体" w:cs="宋体"/>
              <w:bCs/>
              <w:color w:val="auto"/>
              <w:spacing w:val="10"/>
              <w:kern w:val="0"/>
              <w:sz w:val="28"/>
              <w:szCs w:val="40"/>
              <w:highlight w:val="none"/>
            </w:rPr>
            <w:fldChar w:fldCharType="end"/>
          </w:r>
        </w:p>
        <w:p w14:paraId="2014E8B1">
          <w:pPr>
            <w:pStyle w:val="21"/>
            <w:tabs>
              <w:tab w:val="right" w:leader="dot" w:pos="9072"/>
            </w:tabs>
            <w:spacing w:line="360" w:lineRule="auto"/>
            <w:rPr>
              <w:rFonts w:hint="eastAsia" w:ascii="宋体" w:hAnsi="宋体" w:eastAsia="宋体" w:cs="宋体"/>
              <w:color w:val="auto"/>
              <w:sz w:val="24"/>
              <w:szCs w:val="24"/>
              <w:highlight w:val="none"/>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bCs/>
              <w:color w:val="auto"/>
              <w:spacing w:val="10"/>
              <w:kern w:val="0"/>
              <w:sz w:val="28"/>
              <w:szCs w:val="28"/>
              <w:highlight w:val="none"/>
            </w:rPr>
            <w:fldChar w:fldCharType="end"/>
          </w:r>
        </w:p>
      </w:sdtContent>
    </w:sdt>
    <w:p w14:paraId="5022B5BB">
      <w:pPr>
        <w:pStyle w:val="3"/>
        <w:bidi w:val="0"/>
        <w:rPr>
          <w:rFonts w:hint="eastAsia" w:ascii="宋体" w:hAnsi="宋体" w:eastAsia="宋体" w:cs="宋体"/>
          <w:color w:val="auto"/>
          <w:highlight w:val="none"/>
        </w:rPr>
      </w:pPr>
      <w:bookmarkStart w:id="0" w:name="_Toc29620"/>
      <w:bookmarkStart w:id="1" w:name="_Toc15331"/>
      <w:r>
        <w:rPr>
          <w:rFonts w:hint="eastAsia" w:ascii="宋体" w:hAnsi="宋体" w:eastAsia="宋体" w:cs="宋体"/>
          <w:color w:val="auto"/>
          <w:highlight w:val="none"/>
        </w:rPr>
        <w:t>第一章 招标公告</w:t>
      </w:r>
      <w:bookmarkEnd w:id="0"/>
      <w:bookmarkEnd w:id="1"/>
    </w:p>
    <w:p w14:paraId="3965A01A">
      <w:pPr>
        <w:adjustRightInd w:val="0"/>
        <w:snapToGrid w:val="0"/>
        <w:spacing w:line="440" w:lineRule="exact"/>
        <w:ind w:firstLine="480" w:firstLineChars="200"/>
        <w:rPr>
          <w:rFonts w:hint="eastAsia" w:ascii="宋体" w:hAnsi="宋体" w:eastAsia="宋体" w:cs="宋体"/>
          <w:color w:val="auto"/>
          <w:sz w:val="24"/>
          <w:highlight w:val="none"/>
        </w:rPr>
      </w:pPr>
    </w:p>
    <w:p w14:paraId="0ECD68DD">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bookmarkStart w:id="2" w:name="_Hlk24379207"/>
      <w:bookmarkStart w:id="3" w:name="_Toc35393621"/>
      <w:bookmarkStart w:id="4" w:name="_Toc28359002"/>
      <w:bookmarkStart w:id="5" w:name="_Toc28359079"/>
      <w:bookmarkStart w:id="6" w:name="_Toc35393790"/>
      <w:r>
        <w:rPr>
          <w:rFonts w:hint="eastAsia" w:ascii="宋体" w:hAnsi="宋体" w:eastAsia="宋体" w:cs="宋体"/>
          <w:color w:val="auto"/>
          <w:sz w:val="24"/>
          <w:szCs w:val="24"/>
          <w:highlight w:val="none"/>
        </w:rPr>
        <w:t>项目概况</w:t>
      </w:r>
    </w:p>
    <w:p w14:paraId="29E579EC">
      <w:pPr>
        <w:pBdr>
          <w:top w:val="single" w:color="auto" w:sz="4" w:space="1"/>
          <w:left w:val="single" w:color="auto" w:sz="4" w:space="4"/>
          <w:bottom w:val="single" w:color="auto" w:sz="4" w:space="1"/>
          <w:right w:val="single" w:color="auto" w:sz="4" w:space="4"/>
        </w:pBd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福海某某单位2026年度大宗生活物资采购</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线上获取采购文件，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日11时00</w:t>
      </w:r>
      <w:r>
        <w:rPr>
          <w:rFonts w:hint="eastAsia" w:ascii="宋体" w:hAnsi="宋体" w:eastAsia="宋体" w:cs="宋体"/>
          <w:bCs/>
          <w:color w:val="auto"/>
          <w:sz w:val="24"/>
          <w:szCs w:val="24"/>
          <w:highlight w:val="none"/>
        </w:rPr>
        <w:t>分前递交响应文件</w:t>
      </w:r>
      <w:r>
        <w:rPr>
          <w:rFonts w:hint="eastAsia" w:ascii="宋体" w:hAnsi="宋体" w:eastAsia="宋体" w:cs="宋体"/>
          <w:color w:val="auto"/>
          <w:sz w:val="24"/>
          <w:szCs w:val="24"/>
          <w:highlight w:val="none"/>
        </w:rPr>
        <w:t>。</w:t>
      </w:r>
    </w:p>
    <w:bookmarkEnd w:id="2"/>
    <w:bookmarkEnd w:id="3"/>
    <w:bookmarkEnd w:id="4"/>
    <w:bookmarkEnd w:id="5"/>
    <w:bookmarkEnd w:id="6"/>
    <w:p w14:paraId="6D91ADC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720D33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XJL-ZB-2026-31</w:t>
      </w:r>
    </w:p>
    <w:p w14:paraId="49250B5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福海某某单位2026年度大宗生活物资采购</w:t>
      </w:r>
    </w:p>
    <w:p w14:paraId="6FE313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196BBF5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11520000.00</w:t>
      </w:r>
    </w:p>
    <w:p w14:paraId="48A90FF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p w14:paraId="2FE8E28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标项1：1200000.00</w:t>
      </w:r>
    </w:p>
    <w:p w14:paraId="4BDE844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标项2：1940000.00</w:t>
      </w:r>
    </w:p>
    <w:p w14:paraId="233B880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标项3：2780000.00</w:t>
      </w:r>
    </w:p>
    <w:p w14:paraId="1635F76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标项4：2500000.00</w:t>
      </w:r>
    </w:p>
    <w:p w14:paraId="4E026C6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标项5：1200000.00</w:t>
      </w:r>
    </w:p>
    <w:p w14:paraId="143262D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标项6：1500000.00</w:t>
      </w:r>
    </w:p>
    <w:p w14:paraId="4AADF8F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标项7：400000.00</w:t>
      </w:r>
    </w:p>
    <w:p w14:paraId="3CBB1AEE">
      <w:pPr>
        <w:spacing w:line="360" w:lineRule="auto"/>
        <w:ind w:firstLine="480" w:firstLineChars="200"/>
        <w:rPr>
          <w:rFonts w:hint="default" w:ascii="宋体" w:hAnsi="宋体" w:eastAsia="宋体" w:cs="宋体"/>
          <w:color w:val="auto"/>
          <w:sz w:val="24"/>
          <w:szCs w:val="24"/>
          <w:highlight w:val="none"/>
          <w:lang w:val="en-US" w:eastAsia="zh-CN"/>
        </w:rPr>
      </w:pPr>
    </w:p>
    <w:p w14:paraId="11AC191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p w14:paraId="0208476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C98A1F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标项名称：福海某某单位2026年度大宗生活物资采购（标项1）</w:t>
      </w:r>
    </w:p>
    <w:p w14:paraId="1C9C7C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1C3BA9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预算金额（元）：1200000.00</w:t>
      </w:r>
    </w:p>
    <w:p w14:paraId="5D96E7B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简要规格描述或项目基本概况介绍、用途：包含白条鸡、鸡蛋等采购，具体详见采购需求。</w:t>
      </w:r>
    </w:p>
    <w:p w14:paraId="51396D1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标项2</w:t>
      </w:r>
    </w:p>
    <w:p w14:paraId="5956E7C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标项名称：福海某某单位2026年度大宗生活物资采购（标项2）</w:t>
      </w:r>
    </w:p>
    <w:p w14:paraId="0D58278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3AD19FB1">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预算金额（元）：1940000.00</w:t>
      </w:r>
    </w:p>
    <w:p w14:paraId="1368F191">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简要规格描述或项目基本概况介绍、用途：包含牛肉、羊肝等采购，具体详见采购需求。</w:t>
      </w:r>
    </w:p>
    <w:p w14:paraId="1C54DE5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标项3</w:t>
      </w:r>
    </w:p>
    <w:p w14:paraId="1B06E93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标项名称：福海某某单位2026年度大宗生活物资采购（标项3）</w:t>
      </w:r>
    </w:p>
    <w:p w14:paraId="70534D5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1621671">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预算金额（元）：2780000.00</w:t>
      </w:r>
    </w:p>
    <w:p w14:paraId="7FAA297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简要规格描述或项目基本概况介绍、用途：包含时令、新鲜的蔬菜水果采购，具体详见采购需求。</w:t>
      </w:r>
    </w:p>
    <w:p w14:paraId="0A57402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标项4</w:t>
      </w:r>
    </w:p>
    <w:p w14:paraId="093726D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标项名称：福海某某单位2026年度大宗生活物资采购（标项4）</w:t>
      </w:r>
    </w:p>
    <w:p w14:paraId="2470C5E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CC35B0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预算金额（元）：2500000.00</w:t>
      </w:r>
    </w:p>
    <w:p w14:paraId="50661B9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简要规格描述或项目基本概况介绍、用途：包含米、面、油采购，具体详见采购需求。</w:t>
      </w:r>
    </w:p>
    <w:p w14:paraId="5F4347E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标项5</w:t>
      </w:r>
    </w:p>
    <w:p w14:paraId="7F06DCA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标项名称：福海某某单位2026年度大宗生活物资采购（标项5）</w:t>
      </w:r>
    </w:p>
    <w:p w14:paraId="1847EE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7E94F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预算金额（元）：1200000.00</w:t>
      </w:r>
    </w:p>
    <w:p w14:paraId="22900B8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简要规格描述或项目基本概况介绍、用途：包含各调料、配料、速食品和糖果等采购，具体详见采购需求。</w:t>
      </w:r>
    </w:p>
    <w:p w14:paraId="45A6A1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标项6</w:t>
      </w:r>
    </w:p>
    <w:p w14:paraId="03087B7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标项名称：福海某某单位2026年度大宗生活物资采购（标项6）</w:t>
      </w:r>
    </w:p>
    <w:p w14:paraId="6AE9AE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7CD59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预算金额（元）：1500000.00</w:t>
      </w:r>
    </w:p>
    <w:p w14:paraId="2E5884BF">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简要规格描述或项目基本概况介绍、用途：包含牛奶及奶制品采购，具体详见采购需求。</w:t>
      </w:r>
    </w:p>
    <w:p w14:paraId="2E71EAC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标项7</w:t>
      </w:r>
    </w:p>
    <w:p w14:paraId="5B420C5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标项名称：福海某某单位2026年度大宗生活物资采购（标项7）</w:t>
      </w:r>
    </w:p>
    <w:p w14:paraId="653B2B4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307EB1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预算金额（元）：400000.00</w:t>
      </w:r>
    </w:p>
    <w:p w14:paraId="6B73E5E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简要规格描述或项目基本概况介绍、用途：包含鲜白鲢鱼采购，具体详见采购需求。</w:t>
      </w:r>
    </w:p>
    <w:p w14:paraId="0DA67A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标项1、标项2、标项3、标项4、标项5、标项6、标项7，合同签订之日起一年</w:t>
      </w:r>
      <w:r>
        <w:rPr>
          <w:rFonts w:hint="eastAsia" w:ascii="宋体" w:hAnsi="宋体" w:cs="宋体"/>
          <w:color w:val="auto"/>
          <w:sz w:val="24"/>
          <w:szCs w:val="24"/>
          <w:highlight w:val="none"/>
          <w:lang w:val="en-US" w:eastAsia="zh-CN"/>
        </w:rPr>
        <w:t>。</w:t>
      </w:r>
    </w:p>
    <w:p w14:paraId="4D5D3B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接受联合体投标。</w:t>
      </w:r>
    </w:p>
    <w:p w14:paraId="4DBF85A2">
      <w:pPr>
        <w:spacing w:line="360" w:lineRule="auto"/>
        <w:rPr>
          <w:rFonts w:hint="eastAsia" w:ascii="宋体" w:hAnsi="宋体" w:eastAsia="宋体" w:cs="宋体"/>
          <w:b/>
          <w:bCs/>
          <w:color w:val="auto"/>
          <w:sz w:val="24"/>
          <w:szCs w:val="24"/>
          <w:highlight w:val="none"/>
        </w:rPr>
      </w:pPr>
      <w:bookmarkStart w:id="7" w:name="_Toc35393622"/>
      <w:bookmarkStart w:id="8" w:name="_Toc28359003"/>
      <w:bookmarkStart w:id="9" w:name="_Toc28359080"/>
      <w:bookmarkStart w:id="10" w:name="_Toc35393791"/>
      <w:r>
        <w:rPr>
          <w:rFonts w:hint="eastAsia" w:ascii="宋体" w:hAnsi="宋体" w:eastAsia="宋体" w:cs="宋体"/>
          <w:b/>
          <w:bCs/>
          <w:color w:val="auto"/>
          <w:sz w:val="24"/>
          <w:szCs w:val="24"/>
          <w:highlight w:val="none"/>
        </w:rPr>
        <w:t>二、申请人的资格要求</w:t>
      </w:r>
      <w:bookmarkEnd w:id="7"/>
      <w:bookmarkEnd w:id="8"/>
      <w:bookmarkEnd w:id="9"/>
      <w:bookmarkEnd w:id="10"/>
    </w:p>
    <w:p w14:paraId="1309F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1" w:name="_Toc28359004"/>
      <w:bookmarkStart w:id="12" w:name="_Toc28359081"/>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5C2A6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bookmarkStart w:id="13" w:name="_Toc35393792"/>
      <w:bookmarkStart w:id="14" w:name="_Toc35393623"/>
      <w:r>
        <w:rPr>
          <w:rFonts w:hint="eastAsia" w:ascii="宋体" w:hAnsi="宋体" w:cs="宋体"/>
          <w:color w:val="auto"/>
          <w:sz w:val="24"/>
          <w:szCs w:val="24"/>
          <w:highlight w:val="none"/>
          <w:lang w:val="en-US" w:eastAsia="zh-CN"/>
        </w:rPr>
        <w:t>标项1、2、5、6、7</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标项3、4非</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预留采购</w:t>
      </w:r>
      <w:r>
        <w:rPr>
          <w:rFonts w:hint="eastAsia" w:ascii="宋体" w:hAnsi="宋体" w:eastAsia="宋体" w:cs="宋体"/>
          <w:color w:val="auto"/>
          <w:sz w:val="24"/>
          <w:szCs w:val="24"/>
          <w:highlight w:val="none"/>
          <w:lang w:val="en-US" w:eastAsia="zh-CN"/>
        </w:rPr>
        <w:t>标项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预算总额的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%专门面向中小企业采购，其中预留给小微企业的比例为100%</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szCs w:val="24"/>
          <w:highlight w:val="none"/>
          <w:lang w:val="en-US" w:eastAsia="zh-CN"/>
        </w:rPr>
        <w:t>预留份额通过以下措施进行：</w:t>
      </w:r>
    </w:p>
    <w:p w14:paraId="507AE3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供应商所提供的货物制造商属于大中型企业的，必须将本项目合同按上述比例分包给一家或者多家小微企业，接受分包合同的小微企业与分包企业之间不得存在直接控股、管理关系。投标时须按格式提供《分包意向协议书》（见投标格式）以及接受分包的供应商的《中小企业声明函》。</w:t>
      </w:r>
    </w:p>
    <w:p w14:paraId="6A345B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（2）供应商所提供的货物制造商属于小微企业的，不得将合同分包给大中型企业；是否合同分包给小微企业不作强制要求，投标时须提交《中小企业声明函》（见投标格式）。</w:t>
      </w:r>
    </w:p>
    <w:p w14:paraId="694F7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上述小微企业指采购标的的制造商。</w:t>
      </w:r>
    </w:p>
    <w:p w14:paraId="56E9F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2B7F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位负责人为同一人或者存在直接控股、管理关系的不同投标人，不得参加同一合同项目的政府采购活动。除单一来源采购项目外，为采购项目提供整体设计、规范编制或者项目管理、监理、检测等服务的投标人，不得再参加该采购项目的其他采购活动。</w:t>
      </w:r>
    </w:p>
    <w:p w14:paraId="05BE4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未被中国政府采购网（www.ccgp.gov.cn）列入政府采购严重违法失信行为记录名单，未被“信用中国”（www.creditchina.gov.cn）列入失信被执行人和重大税收违法失信主体，未被国家企业信用信息公示系统（www.gsxt.gov.cn）列入严重违法失信名单。</w:t>
      </w:r>
    </w:p>
    <w:p w14:paraId="465EB9BD">
      <w:pPr>
        <w:pStyle w:val="2"/>
        <w:rPr>
          <w:rFonts w:hint="eastAsia"/>
          <w:color w:val="auto"/>
          <w:highlight w:val="none"/>
          <w:lang w:val="en-US" w:eastAsia="zh-CN"/>
        </w:rPr>
      </w:pPr>
      <w:r>
        <w:rPr>
          <w:rFonts w:hint="eastAsia" w:ascii="宋体" w:hAnsi="宋体" w:eastAsia="宋体" w:cs="宋体"/>
          <w:color w:val="auto"/>
          <w:kern w:val="0"/>
          <w:sz w:val="24"/>
          <w:highlight w:val="none"/>
          <w:lang w:val="en-US" w:eastAsia="zh-CN" w:bidi="ar"/>
        </w:rPr>
        <w:t>（3）</w:t>
      </w:r>
      <w:r>
        <w:rPr>
          <w:rFonts w:hint="eastAsia" w:ascii="宋体" w:hAnsi="宋体" w:cs="宋体"/>
          <w:color w:val="auto"/>
          <w:sz w:val="24"/>
          <w:szCs w:val="24"/>
          <w:highlight w:val="none"/>
          <w:lang w:val="en-US" w:eastAsia="zh-CN"/>
        </w:rPr>
        <w:t>标项4、标项5、标项6</w:t>
      </w:r>
      <w:r>
        <w:rPr>
          <w:rFonts w:hint="eastAsia" w:ascii="宋体" w:hAnsi="宋体" w:eastAsia="宋体" w:cs="宋体"/>
          <w:color w:val="auto"/>
          <w:sz w:val="24"/>
          <w:szCs w:val="24"/>
          <w:highlight w:val="none"/>
          <w:lang w:val="en-US" w:eastAsia="zh-CN"/>
        </w:rPr>
        <w:t>供应商须具备有效的《食品经营许可证》或《食品生产许可证》</w:t>
      </w:r>
      <w:r>
        <w:rPr>
          <w:rFonts w:hint="eastAsia" w:ascii="宋体" w:hAnsi="宋体" w:cs="宋体"/>
          <w:color w:val="auto"/>
          <w:sz w:val="24"/>
          <w:szCs w:val="24"/>
          <w:highlight w:val="none"/>
          <w:lang w:val="en-US" w:eastAsia="zh-CN"/>
        </w:rPr>
        <w:t>或食品安全监督管理部门备案证明。</w:t>
      </w:r>
    </w:p>
    <w:p w14:paraId="4F328D0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bookmarkEnd w:id="11"/>
      <w:bookmarkEnd w:id="12"/>
      <w:bookmarkEnd w:id="13"/>
      <w:bookmarkEnd w:id="14"/>
    </w:p>
    <w:p w14:paraId="752EE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2026年5月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日至2026年5月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0，下午1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4EA3E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地点：政采云平台线上获取</w:t>
      </w:r>
    </w:p>
    <w:p w14:paraId="115AE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eastAsia="宋体" w:cs="宋体"/>
          <w:color w:val="auto"/>
          <w:sz w:val="24"/>
          <w:szCs w:val="24"/>
          <w:highlight w:val="none"/>
          <w:lang w:eastAsia="zh-CN"/>
        </w:rPr>
        <w:t>政采云平台https://www.zcygov.com/</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26189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p>
    <w:p w14:paraId="08D2098C">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w:t>
      </w:r>
      <w:bookmarkEnd w:id="15"/>
      <w:bookmarkEnd w:id="16"/>
      <w:bookmarkEnd w:id="17"/>
      <w:bookmarkEnd w:id="18"/>
      <w:r>
        <w:rPr>
          <w:rFonts w:hint="eastAsia" w:ascii="宋体" w:hAnsi="宋体" w:eastAsia="宋体" w:cs="宋体"/>
          <w:b/>
          <w:bCs/>
          <w:color w:val="auto"/>
          <w:sz w:val="24"/>
          <w:szCs w:val="24"/>
          <w:highlight w:val="none"/>
        </w:rPr>
        <w:t>提交投标文件截止时间、开标时间和地点</w:t>
      </w:r>
    </w:p>
    <w:p w14:paraId="1DC04AE5">
      <w:pPr>
        <w:spacing w:line="360" w:lineRule="auto"/>
        <w:ind w:firstLine="480" w:firstLineChars="200"/>
        <w:rPr>
          <w:rFonts w:hint="eastAsia" w:ascii="宋体" w:hAnsi="宋体" w:eastAsia="宋体" w:cs="宋体"/>
          <w:color w:val="auto"/>
          <w:sz w:val="24"/>
          <w:szCs w:val="24"/>
          <w:highlight w:val="none"/>
        </w:rPr>
      </w:pPr>
      <w:bookmarkStart w:id="19" w:name="_Toc35393794"/>
      <w:bookmarkStart w:id="20" w:name="_Toc28359084"/>
      <w:bookmarkStart w:id="21" w:name="_Toc28359007"/>
      <w:bookmarkStart w:id="22" w:name="_Toc35393625"/>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lang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日11时00分</w:t>
      </w:r>
      <w:r>
        <w:rPr>
          <w:rFonts w:hint="eastAsia" w:ascii="宋体" w:hAnsi="宋体" w:eastAsia="宋体" w:cs="宋体"/>
          <w:color w:val="auto"/>
          <w:sz w:val="24"/>
          <w:szCs w:val="24"/>
          <w:highlight w:val="none"/>
        </w:rPr>
        <w:t>（北京时间）</w:t>
      </w:r>
    </w:p>
    <w:p w14:paraId="33FAB1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投标地点：请登录政采云投标客户端投标</w:t>
      </w:r>
    </w:p>
    <w:p w14:paraId="7A9E85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日11时00分</w:t>
      </w:r>
      <w:r>
        <w:rPr>
          <w:rFonts w:hint="eastAsia" w:ascii="宋体" w:hAnsi="宋体" w:eastAsia="宋体" w:cs="宋体"/>
          <w:color w:val="auto"/>
          <w:sz w:val="24"/>
          <w:szCs w:val="24"/>
          <w:highlight w:val="none"/>
        </w:rPr>
        <w:t>（北京时间）</w:t>
      </w:r>
    </w:p>
    <w:p w14:paraId="51A9EE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https://login.zcygov.cn/</w:t>
      </w:r>
    </w:p>
    <w:p w14:paraId="36C5C8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19"/>
      <w:bookmarkEnd w:id="20"/>
      <w:bookmarkEnd w:id="21"/>
      <w:bookmarkEnd w:id="22"/>
    </w:p>
    <w:p w14:paraId="730BF5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1E156E1">
      <w:pPr>
        <w:spacing w:line="360" w:lineRule="auto"/>
        <w:rPr>
          <w:rFonts w:hint="eastAsia" w:ascii="宋体" w:hAnsi="宋体" w:eastAsia="宋体" w:cs="宋体"/>
          <w:b/>
          <w:bCs/>
          <w:color w:val="auto"/>
          <w:sz w:val="24"/>
          <w:szCs w:val="24"/>
          <w:highlight w:val="none"/>
        </w:rPr>
      </w:pPr>
      <w:bookmarkStart w:id="23" w:name="_Toc35393795"/>
      <w:bookmarkStart w:id="24" w:name="_Toc35393626"/>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rPr>
        <w:t>其他补充事宜</w:t>
      </w:r>
      <w:bookmarkEnd w:id="23"/>
      <w:bookmarkEnd w:id="24"/>
    </w:p>
    <w:p w14:paraId="655AB7F7">
      <w:pPr>
        <w:spacing w:line="360" w:lineRule="auto"/>
        <w:ind w:firstLine="480" w:firstLineChars="200"/>
        <w:rPr>
          <w:rFonts w:hint="eastAsia" w:ascii="宋体" w:hAnsi="宋体" w:eastAsia="宋体" w:cs="宋体"/>
          <w:color w:val="auto"/>
          <w:sz w:val="24"/>
          <w:szCs w:val="24"/>
          <w:highlight w:val="none"/>
        </w:rPr>
      </w:pPr>
      <w:bookmarkStart w:id="25" w:name="_Toc35393796"/>
      <w:bookmarkStart w:id="26" w:name="_Toc35393627"/>
      <w:bookmarkStart w:id="27" w:name="_Toc28359008"/>
      <w:bookmarkStart w:id="28" w:name="_Toc28359085"/>
      <w:r>
        <w:rPr>
          <w:rFonts w:hint="eastAsia" w:ascii="宋体" w:hAnsi="宋体" w:eastAsia="宋体" w:cs="宋体"/>
          <w:color w:val="auto"/>
          <w:sz w:val="24"/>
          <w:szCs w:val="24"/>
          <w:highlight w:val="none"/>
        </w:rPr>
        <w:t>1.本次采购采用电子交易方式，电子交易平台为“</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https://www.zcygov.cn/</w:t>
      </w:r>
      <w:r>
        <w:rPr>
          <w:rFonts w:hint="eastAsia" w:ascii="宋体" w:hAnsi="宋体" w:eastAsia="宋体" w:cs="宋体"/>
          <w:color w:val="auto"/>
          <w:sz w:val="24"/>
          <w:szCs w:val="24"/>
          <w:highlight w:val="none"/>
        </w:rPr>
        <w:t>）”。供应商参与本项目电子交易活动前，应注册成为</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供应商。编制电子响应文件前还需申领CA证书并绑定</w:t>
      </w:r>
      <w:r>
        <w:rPr>
          <w:rFonts w:hint="eastAsia" w:ascii="宋体" w:hAnsi="宋体" w:cs="宋体"/>
          <w:color w:val="auto"/>
          <w:sz w:val="24"/>
          <w:szCs w:val="24"/>
          <w:highlight w:val="none"/>
          <w:lang w:eastAsia="zh-CN"/>
        </w:rPr>
        <w:t>账号</w:t>
      </w:r>
      <w:r>
        <w:rPr>
          <w:rFonts w:hint="eastAsia" w:ascii="宋体" w:hAnsi="宋体" w:eastAsia="宋体" w:cs="宋体"/>
          <w:color w:val="auto"/>
          <w:sz w:val="24"/>
          <w:szCs w:val="24"/>
          <w:highlight w:val="none"/>
        </w:rPr>
        <w:t>。供应商应充分考虑完成平台注册、申领CA证书等所需的时间。因未注册入库、未办理CA数字证书等原因造成无法投标或投标失败等后果由供应商自行承担。</w:t>
      </w:r>
    </w:p>
    <w:p w14:paraId="342729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电子交易客户端下载、安装完成后，可通过账号密码或CA登录客户端进行响应文件的制作及上传。在使用</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投标客户端时，建议使用WIN7及以上操作系统。客户端请至新疆政府采购网（http://www.ccgp-xinjiang.gov.cn/）下载专区查看，如有问题可拨打政采云客户服务热线957</w:t>
      </w: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进行咨询。</w:t>
      </w:r>
    </w:p>
    <w:p w14:paraId="45CC13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3.加密的电子响应文件应在递交截止时间前通过</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上传完成。投标人在开标时须使用制作加密电子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2EF03B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4.参与电子投标的投标人，进入“不见面开标”大厅操作提示：“项目采购-开标评标”功能在规定的时间内进行签到、解密等，完成“开标一览表”在线签章。注意：如未在规定时</w:t>
      </w:r>
      <w:r>
        <w:rPr>
          <w:rFonts w:hint="eastAsia" w:ascii="宋体" w:hAnsi="宋体" w:cs="宋体"/>
          <w:color w:val="auto"/>
          <w:sz w:val="24"/>
          <w:szCs w:val="24"/>
          <w:highlight w:val="none"/>
          <w:lang w:eastAsia="zh-CN"/>
        </w:rPr>
        <w:t>间内</w:t>
      </w:r>
      <w:r>
        <w:rPr>
          <w:rFonts w:hint="eastAsia" w:ascii="宋体" w:hAnsi="宋体" w:eastAsia="宋体" w:cs="宋体"/>
          <w:color w:val="auto"/>
          <w:sz w:val="24"/>
          <w:szCs w:val="24"/>
          <w:highlight w:val="none"/>
        </w:rPr>
        <w:t>进行以上操作，将导致投标（响应）无效。</w:t>
      </w:r>
    </w:p>
    <w:p w14:paraId="1850389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14:paraId="3A9464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采购限额标准以上，200万元以下的货物和服务采购项目、400万元以下的工程采购项目，适宜由中小企业提供的，采购人应当专门面向中小企业采购。</w:t>
      </w:r>
    </w:p>
    <w:p w14:paraId="407217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超过200万元的货物和服务采购项目、超过400万元的工程采购项目中适宜由中小企业提供的，预留该部分采购项目预算总额的30%以上专门面向中小企业采购，其中预留给小微企业的比例不低于60%。</w:t>
      </w:r>
    </w:p>
    <w:p w14:paraId="05E327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CDC1446">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F456EDC">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072789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提出询问，请按以下方式联系</w:t>
      </w:r>
      <w:bookmarkEnd w:id="25"/>
      <w:bookmarkEnd w:id="26"/>
      <w:bookmarkEnd w:id="27"/>
      <w:bookmarkEnd w:id="28"/>
    </w:p>
    <w:p w14:paraId="35A465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2652B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新疆维吾尔自治区福海某某单位</w:t>
      </w:r>
    </w:p>
    <w:p w14:paraId="7018F82C">
      <w:pPr>
        <w:spacing w:line="360" w:lineRule="auto"/>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bCs/>
          <w:color w:val="auto"/>
          <w:kern w:val="0"/>
          <w:sz w:val="24"/>
          <w:szCs w:val="24"/>
          <w:highlight w:val="none"/>
          <w:lang w:eastAsia="zh-CN"/>
        </w:rPr>
        <w:t>新疆福海县</w:t>
      </w:r>
    </w:p>
    <w:p w14:paraId="50B3C432">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bCs/>
          <w:color w:val="auto"/>
          <w:kern w:val="0"/>
          <w:sz w:val="24"/>
          <w:szCs w:val="24"/>
          <w:highlight w:val="none"/>
          <w:lang w:eastAsia="zh-CN"/>
        </w:rPr>
        <w:t>田小云</w:t>
      </w:r>
    </w:p>
    <w:p w14:paraId="6FE4F96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bCs/>
          <w:color w:val="auto"/>
          <w:kern w:val="0"/>
          <w:sz w:val="24"/>
          <w:szCs w:val="24"/>
          <w:highlight w:val="none"/>
          <w:lang w:eastAsia="zh-CN"/>
        </w:rPr>
        <w:t>19300715077</w:t>
      </w:r>
    </w:p>
    <w:p w14:paraId="31561D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4307B06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新疆新建联项目管理咨询有限公司</w:t>
      </w:r>
    </w:p>
    <w:p w14:paraId="7439D6F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乌鲁木齐市水磨沟区龙盛街898号中央公园商住小区S6栋14层</w:t>
      </w:r>
    </w:p>
    <w:p w14:paraId="1667701F">
      <w:pPr>
        <w:spacing w:line="360" w:lineRule="auto"/>
        <w:ind w:firstLine="480" w:firstLineChars="200"/>
        <w:rPr>
          <w:rStyle w:val="37"/>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rPr>
        <w:t>：</w:t>
      </w:r>
      <w:r>
        <w:rPr>
          <w:rStyle w:val="37"/>
          <w:rFonts w:hint="eastAsia" w:ascii="宋体" w:hAnsi="宋体" w:eastAsia="宋体" w:cs="宋体"/>
          <w:color w:val="auto"/>
          <w:sz w:val="24"/>
          <w:szCs w:val="24"/>
          <w:highlight w:val="none"/>
          <w:lang w:eastAsia="zh-CN"/>
        </w:rPr>
        <w:t>18999179993、0991-8875119</w:t>
      </w:r>
    </w:p>
    <w:p w14:paraId="568342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7E63BA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李玉玮、邓学文、柯大龙、</w:t>
      </w:r>
      <w:r>
        <w:rPr>
          <w:rFonts w:hint="eastAsia" w:ascii="宋体" w:hAnsi="宋体" w:cs="宋体"/>
          <w:color w:val="auto"/>
          <w:sz w:val="24"/>
          <w:szCs w:val="24"/>
          <w:highlight w:val="none"/>
          <w:lang w:val="en-US" w:eastAsia="zh-CN"/>
        </w:rPr>
        <w:t>任冉棋</w:t>
      </w:r>
    </w:p>
    <w:p w14:paraId="0F8739C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18999179993</w:t>
      </w:r>
      <w:r>
        <w:rPr>
          <w:rFonts w:hint="eastAsia" w:ascii="宋体" w:hAnsi="宋体" w:eastAsia="宋体" w:cs="宋体"/>
          <w:color w:val="auto"/>
          <w:sz w:val="24"/>
          <w:szCs w:val="24"/>
          <w:highlight w:val="none"/>
          <w:lang w:eastAsia="zh-CN"/>
        </w:rPr>
        <w:t>、0991-8875119</w:t>
      </w:r>
    </w:p>
    <w:p w14:paraId="0ECEF1D2">
      <w:pPr>
        <w:jc w:val="righ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br w:type="page"/>
      </w:r>
    </w:p>
    <w:p w14:paraId="345E9529">
      <w:pPr>
        <w:adjustRightInd w:val="0"/>
        <w:snapToGrid w:val="0"/>
        <w:spacing w:line="360" w:lineRule="auto"/>
        <w:jc w:val="center"/>
        <w:outlineLvl w:val="0"/>
        <w:rPr>
          <w:rFonts w:hint="eastAsia" w:ascii="宋体" w:hAnsi="宋体" w:eastAsia="宋体" w:cs="宋体"/>
          <w:b/>
          <w:bCs/>
          <w:color w:val="auto"/>
          <w:sz w:val="32"/>
          <w:szCs w:val="32"/>
          <w:highlight w:val="none"/>
        </w:rPr>
      </w:pPr>
      <w:bookmarkStart w:id="29" w:name="_Toc19959"/>
      <w:bookmarkStart w:id="30" w:name="_Toc11834"/>
      <w:bookmarkStart w:id="31" w:name="_Toc1805"/>
      <w:r>
        <w:rPr>
          <w:rFonts w:hint="eastAsia" w:ascii="宋体" w:hAnsi="宋体" w:eastAsia="宋体" w:cs="宋体"/>
          <w:b/>
          <w:bCs/>
          <w:color w:val="auto"/>
          <w:sz w:val="32"/>
          <w:szCs w:val="32"/>
          <w:highlight w:val="none"/>
        </w:rPr>
        <w:t>第二章 投标须知前附表</w:t>
      </w:r>
      <w:bookmarkEnd w:id="29"/>
      <w:bookmarkEnd w:id="30"/>
      <w:bookmarkEnd w:id="31"/>
    </w:p>
    <w:p w14:paraId="553243DB">
      <w:pPr>
        <w:adjustRightInd w:val="0"/>
        <w:snapToGrid w:val="0"/>
        <w:spacing w:line="360" w:lineRule="auto"/>
        <w:ind w:right="-358" w:rightChars="-149"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本表是本招标项目的具体资料，是对投标人须知的具体补充和修改，如有矛盾，应以本前附表为准。</w:t>
      </w:r>
    </w:p>
    <w:tbl>
      <w:tblPr>
        <w:tblStyle w:val="31"/>
        <w:tblW w:w="960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5"/>
        <w:gridCol w:w="8644"/>
      </w:tblGrid>
      <w:tr w14:paraId="0E07D8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965" w:type="dxa"/>
            <w:tcBorders>
              <w:tl2br w:val="nil"/>
              <w:tr2bl w:val="nil"/>
            </w:tcBorders>
          </w:tcPr>
          <w:p w14:paraId="5081EF65">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条款号</w:t>
            </w:r>
          </w:p>
        </w:tc>
        <w:tc>
          <w:tcPr>
            <w:tcW w:w="8644" w:type="dxa"/>
            <w:tcBorders>
              <w:tl2br w:val="nil"/>
              <w:tr2bl w:val="nil"/>
            </w:tcBorders>
          </w:tcPr>
          <w:p w14:paraId="0409844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内容</w:t>
            </w:r>
          </w:p>
        </w:tc>
      </w:tr>
      <w:tr w14:paraId="170354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65" w:type="dxa"/>
            <w:tcBorders>
              <w:tl2br w:val="nil"/>
              <w:tr2bl w:val="nil"/>
            </w:tcBorders>
            <w:vAlign w:val="center"/>
          </w:tcPr>
          <w:p w14:paraId="36DD7B98">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8644" w:type="dxa"/>
            <w:tcBorders>
              <w:tl2br w:val="nil"/>
              <w:tr2bl w:val="nil"/>
            </w:tcBorders>
            <w:vAlign w:val="center"/>
          </w:tcPr>
          <w:p w14:paraId="636E5BA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采购人：</w:t>
            </w:r>
            <w:r>
              <w:rPr>
                <w:rFonts w:hint="eastAsia" w:ascii="宋体" w:hAnsi="宋体" w:eastAsia="宋体" w:cs="宋体"/>
                <w:color w:val="auto"/>
                <w:sz w:val="24"/>
                <w:szCs w:val="24"/>
                <w:highlight w:val="none"/>
                <w:lang w:eastAsia="zh-CN"/>
              </w:rPr>
              <w:t>新疆维吾尔自治区福海某某单位</w:t>
            </w:r>
          </w:p>
          <w:p w14:paraId="3B6BFDD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地  址：</w:t>
            </w:r>
            <w:r>
              <w:rPr>
                <w:rFonts w:hint="eastAsia" w:ascii="宋体" w:hAnsi="宋体" w:eastAsia="宋体" w:cs="宋体"/>
                <w:bCs/>
                <w:color w:val="auto"/>
                <w:kern w:val="0"/>
                <w:sz w:val="24"/>
                <w:szCs w:val="24"/>
                <w:highlight w:val="none"/>
                <w:lang w:eastAsia="zh-CN"/>
              </w:rPr>
              <w:t>新疆福海县</w:t>
            </w:r>
          </w:p>
          <w:p w14:paraId="1D70203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联系人：</w:t>
            </w:r>
            <w:r>
              <w:rPr>
                <w:rFonts w:hint="eastAsia" w:ascii="宋体" w:hAnsi="宋体" w:eastAsia="宋体" w:cs="宋体"/>
                <w:bCs/>
                <w:color w:val="auto"/>
                <w:kern w:val="0"/>
                <w:sz w:val="24"/>
                <w:szCs w:val="24"/>
                <w:highlight w:val="none"/>
                <w:lang w:eastAsia="zh-CN"/>
              </w:rPr>
              <w:t>田小云</w:t>
            </w:r>
          </w:p>
          <w:p w14:paraId="7D22EBFF">
            <w:pPr>
              <w:adjustRightInd w:val="0"/>
              <w:snapToGrid w:val="0"/>
              <w:spacing w:line="360" w:lineRule="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联系方式：</w:t>
            </w:r>
            <w:r>
              <w:rPr>
                <w:rFonts w:hint="eastAsia" w:ascii="宋体" w:hAnsi="宋体" w:eastAsia="宋体" w:cs="宋体"/>
                <w:bCs/>
                <w:color w:val="auto"/>
                <w:kern w:val="0"/>
                <w:sz w:val="24"/>
                <w:szCs w:val="24"/>
                <w:highlight w:val="none"/>
                <w:lang w:eastAsia="zh-CN"/>
              </w:rPr>
              <w:t>19300715077</w:t>
            </w:r>
          </w:p>
        </w:tc>
      </w:tr>
      <w:tr w14:paraId="31131C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trPr>
        <w:tc>
          <w:tcPr>
            <w:tcW w:w="965" w:type="dxa"/>
            <w:tcBorders>
              <w:tl2br w:val="nil"/>
              <w:tr2bl w:val="nil"/>
            </w:tcBorders>
            <w:vAlign w:val="center"/>
          </w:tcPr>
          <w:p w14:paraId="1EC5782E">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8644" w:type="dxa"/>
            <w:tcBorders>
              <w:tl2br w:val="nil"/>
              <w:tr2bl w:val="nil"/>
            </w:tcBorders>
            <w:vAlign w:val="center"/>
          </w:tcPr>
          <w:p w14:paraId="7F3262C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采购代理机构：</w:t>
            </w:r>
            <w:r>
              <w:rPr>
                <w:rFonts w:hint="eastAsia" w:ascii="宋体" w:hAnsi="宋体" w:eastAsia="宋体" w:cs="宋体"/>
                <w:color w:val="auto"/>
                <w:kern w:val="0"/>
                <w:sz w:val="24"/>
                <w:highlight w:val="none"/>
                <w:lang w:eastAsia="zh-CN" w:bidi="ar"/>
              </w:rPr>
              <w:t>新疆新建联项目管理咨询有限公司</w:t>
            </w:r>
          </w:p>
          <w:p w14:paraId="69CEFC8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地</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址：</w:t>
            </w:r>
            <w:r>
              <w:rPr>
                <w:rFonts w:hint="eastAsia" w:ascii="宋体" w:hAnsi="宋体" w:eastAsia="宋体" w:cs="宋体"/>
                <w:color w:val="auto"/>
                <w:kern w:val="0"/>
                <w:sz w:val="24"/>
                <w:highlight w:val="none"/>
                <w:lang w:eastAsia="zh-CN" w:bidi="ar"/>
              </w:rPr>
              <w:t>乌鲁木齐市水磨沟区龙盛街898号中央公园商住小区S6栋14层</w:t>
            </w:r>
          </w:p>
          <w:p w14:paraId="46E9AF7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sz w:val="24"/>
                <w:szCs w:val="24"/>
                <w:highlight w:val="none"/>
                <w:lang w:val="en-US" w:eastAsia="zh-CN"/>
              </w:rPr>
              <w:t>李玉玮、邓学文、柯大龙、乔思雅</w:t>
            </w:r>
          </w:p>
          <w:p w14:paraId="02BD36B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联系方式</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szCs w:val="24"/>
                <w:highlight w:val="none"/>
                <w:lang w:val="en-US" w:eastAsia="zh-CN"/>
              </w:rPr>
              <w:t>18999179993</w:t>
            </w:r>
            <w:r>
              <w:rPr>
                <w:rFonts w:hint="eastAsia" w:ascii="宋体" w:hAnsi="宋体" w:eastAsia="宋体" w:cs="宋体"/>
                <w:color w:val="auto"/>
                <w:sz w:val="24"/>
                <w:szCs w:val="24"/>
                <w:highlight w:val="none"/>
                <w:lang w:eastAsia="zh-CN"/>
              </w:rPr>
              <w:t>、0991-8875119</w:t>
            </w:r>
          </w:p>
        </w:tc>
      </w:tr>
      <w:tr w14:paraId="23D36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965" w:type="dxa"/>
            <w:tcBorders>
              <w:bottom w:val="single" w:color="auto" w:sz="4" w:space="0"/>
              <w:tl2br w:val="nil"/>
              <w:tr2bl w:val="nil"/>
            </w:tcBorders>
            <w:vAlign w:val="center"/>
          </w:tcPr>
          <w:p w14:paraId="067CFD17">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1.3.4 </w:t>
            </w:r>
          </w:p>
        </w:tc>
        <w:tc>
          <w:tcPr>
            <w:tcW w:w="8644" w:type="dxa"/>
            <w:tcBorders>
              <w:bottom w:val="single" w:color="auto" w:sz="4" w:space="0"/>
              <w:tl2br w:val="nil"/>
              <w:tr2bl w:val="nil"/>
            </w:tcBorders>
            <w:vAlign w:val="center"/>
          </w:tcPr>
          <w:p w14:paraId="4ECC28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1.满足《中华人民共和国政府采购法》第二十二条规定</w:t>
            </w:r>
            <w:r>
              <w:rPr>
                <w:rFonts w:hint="eastAsia" w:ascii="宋体" w:hAnsi="宋体" w:eastAsia="宋体" w:cs="宋体"/>
                <w:color w:val="auto"/>
                <w:kern w:val="0"/>
                <w:sz w:val="24"/>
                <w:highlight w:val="none"/>
                <w:lang w:eastAsia="zh-CN" w:bidi="ar"/>
              </w:rPr>
              <w:t>。</w:t>
            </w:r>
          </w:p>
          <w:p w14:paraId="3C21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highlight w:val="none"/>
                <w:lang w:bidi="ar"/>
              </w:rPr>
              <w:t>2.落实政府采购政策需满足的资格要求：</w:t>
            </w:r>
            <w:r>
              <w:rPr>
                <w:rFonts w:hint="eastAsia" w:ascii="宋体" w:hAnsi="宋体" w:cs="宋体"/>
                <w:color w:val="auto"/>
                <w:sz w:val="24"/>
                <w:szCs w:val="24"/>
                <w:highlight w:val="none"/>
                <w:lang w:val="en-US" w:eastAsia="zh-CN"/>
              </w:rPr>
              <w:t>标项1、2、5、6、7</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标项3、4非</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预留采购</w:t>
            </w:r>
            <w:r>
              <w:rPr>
                <w:rFonts w:hint="eastAsia" w:ascii="宋体" w:hAnsi="宋体" w:eastAsia="宋体" w:cs="宋体"/>
                <w:color w:val="auto"/>
                <w:sz w:val="24"/>
                <w:szCs w:val="24"/>
                <w:highlight w:val="none"/>
                <w:lang w:val="en-US" w:eastAsia="zh-CN"/>
              </w:rPr>
              <w:t>标项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预算总额的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%专门面向中小企业采购，其中预留给小微企业的比例为100%</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szCs w:val="24"/>
                <w:highlight w:val="none"/>
                <w:lang w:val="en-US" w:eastAsia="zh-CN"/>
              </w:rPr>
              <w:t>预留份额通过以下措施进行：</w:t>
            </w:r>
          </w:p>
          <w:p w14:paraId="53E9A92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供应商所提供的货物制造商属于大中型企业的，必须将本项目合同按上述比例分包给一家或者多家小微企业，接受分包合同的小微企业与分包企业之间不得存在直接控股、管理关系。投标时须按格式提供《分包意向协议书》（见投标格式）以及接受分包的供应商的《中小企业声明函》。</w:t>
            </w:r>
          </w:p>
          <w:p w14:paraId="2106C8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（2）供应商所提供的货物制造商属于小微企业的，不得将合同分包给大中型企业；是否合同分包给小微企业不作强制要求，投标时须提交《中小企业声明函》（见投标格式）。</w:t>
            </w:r>
          </w:p>
          <w:p w14:paraId="251374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szCs w:val="24"/>
                <w:highlight w:val="none"/>
                <w:lang w:val="en-US" w:eastAsia="zh-CN"/>
              </w:rPr>
              <w:t>上述小微企业指采购标的的制造商。</w:t>
            </w:r>
          </w:p>
          <w:p w14:paraId="18C23C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3.本项目的特定资格要求：</w:t>
            </w:r>
          </w:p>
          <w:p w14:paraId="28D39F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单位负责人为同一人或者存在直接控股、管理关系的不同投标人，不得参加同一合同项目的政府采购活动。除单一来源采购项目外，为采购项目提供整体设计、规范编制或者项目管理、监理、检测等服务的投标人，不得再参加该采购项目的其他采购活动。</w:t>
            </w:r>
          </w:p>
          <w:p w14:paraId="4EE6AB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供应商未被中国政府采购网（www.ccgp.gov.cn）列入政府采购严重违法失信行为记录名单，未被“信用中国”（www.creditchina.gov.cn）列入失信被执行人和重大税收违法失信主体，未被国家企业信用信息公示系统（www.gsxt.gov.cn）列入严重违法失信名单。</w:t>
            </w:r>
          </w:p>
          <w:p w14:paraId="2DDD13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（3）</w:t>
            </w:r>
            <w:r>
              <w:rPr>
                <w:rFonts w:hint="eastAsia" w:ascii="宋体" w:hAnsi="宋体" w:cs="宋体"/>
                <w:color w:val="auto"/>
                <w:sz w:val="24"/>
                <w:szCs w:val="24"/>
                <w:highlight w:val="none"/>
                <w:lang w:val="en-US" w:eastAsia="zh-CN"/>
              </w:rPr>
              <w:t>标项4、标项5、标项6</w:t>
            </w:r>
            <w:r>
              <w:rPr>
                <w:rFonts w:hint="eastAsia" w:ascii="宋体" w:hAnsi="宋体" w:eastAsia="宋体" w:cs="宋体"/>
                <w:color w:val="auto"/>
                <w:sz w:val="24"/>
                <w:szCs w:val="24"/>
                <w:highlight w:val="none"/>
                <w:lang w:val="en-US" w:eastAsia="zh-CN"/>
              </w:rPr>
              <w:t>供应商须具备有效的《食品经营许可证》或《食品生产许可证》</w:t>
            </w:r>
            <w:r>
              <w:rPr>
                <w:rFonts w:hint="eastAsia" w:ascii="宋体" w:hAnsi="宋体" w:cs="宋体"/>
                <w:color w:val="auto"/>
                <w:sz w:val="24"/>
                <w:szCs w:val="24"/>
                <w:highlight w:val="none"/>
                <w:lang w:val="en-US" w:eastAsia="zh-CN"/>
              </w:rPr>
              <w:t>或食品安全监督管理部门备案证明。</w:t>
            </w:r>
          </w:p>
        </w:tc>
      </w:tr>
      <w:tr w14:paraId="750A4F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965" w:type="dxa"/>
            <w:tcBorders>
              <w:top w:val="single" w:color="auto" w:sz="4" w:space="0"/>
              <w:tl2br w:val="nil"/>
              <w:tr2bl w:val="nil"/>
            </w:tcBorders>
            <w:vAlign w:val="center"/>
          </w:tcPr>
          <w:p w14:paraId="63D07FB6">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1.4 </w:t>
            </w:r>
          </w:p>
        </w:tc>
        <w:tc>
          <w:tcPr>
            <w:tcW w:w="8644" w:type="dxa"/>
            <w:tcBorders>
              <w:top w:val="single" w:color="auto" w:sz="4" w:space="0"/>
              <w:tl2br w:val="nil"/>
              <w:tr2bl w:val="nil"/>
            </w:tcBorders>
            <w:vAlign w:val="center"/>
          </w:tcPr>
          <w:p w14:paraId="180ED78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是否允许采购进口产品：</w:t>
            </w:r>
          </w:p>
          <w:p w14:paraId="7CF6012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□是。 应满足要求： </w:t>
            </w:r>
          </w:p>
          <w:p w14:paraId="74D429F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val="en-US" w:eastAsia="zh-CN" w:bidi="ar"/>
              </w:rPr>
              <w:t>☑否。</w:t>
            </w:r>
          </w:p>
        </w:tc>
      </w:tr>
      <w:tr w14:paraId="0D5D53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65" w:type="dxa"/>
            <w:tcBorders>
              <w:tl2br w:val="nil"/>
              <w:tr2bl w:val="nil"/>
            </w:tcBorders>
            <w:vAlign w:val="center"/>
          </w:tcPr>
          <w:p w14:paraId="23814378">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1.5.1</w:t>
            </w:r>
          </w:p>
        </w:tc>
        <w:tc>
          <w:tcPr>
            <w:tcW w:w="8644" w:type="dxa"/>
            <w:tcBorders>
              <w:tl2br w:val="nil"/>
              <w:tr2bl w:val="nil"/>
            </w:tcBorders>
            <w:vAlign w:val="center"/>
          </w:tcPr>
          <w:p w14:paraId="494A8F1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所属行业：批发业</w:t>
            </w:r>
          </w:p>
        </w:tc>
      </w:tr>
      <w:tr w14:paraId="434B63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965" w:type="dxa"/>
            <w:tcBorders>
              <w:tl2br w:val="nil"/>
              <w:tr2bl w:val="nil"/>
            </w:tcBorders>
            <w:vAlign w:val="center"/>
          </w:tcPr>
          <w:p w14:paraId="193FA41A">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1.5.2 </w:t>
            </w:r>
          </w:p>
        </w:tc>
        <w:tc>
          <w:tcPr>
            <w:tcW w:w="8644" w:type="dxa"/>
            <w:tcBorders>
              <w:tl2br w:val="nil"/>
              <w:tr2bl w:val="nil"/>
            </w:tcBorders>
            <w:vAlign w:val="center"/>
          </w:tcPr>
          <w:p w14:paraId="52383D4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val="en-US" w:eastAsia="zh-CN" w:bidi="ar"/>
              </w:rPr>
              <w:t>本项目：</w:t>
            </w:r>
            <w:r>
              <w:rPr>
                <w:rFonts w:hint="eastAsia" w:ascii="宋体" w:hAnsi="宋体" w:cs="宋体"/>
                <w:color w:val="auto"/>
                <w:sz w:val="24"/>
                <w:szCs w:val="24"/>
                <w:highlight w:val="none"/>
                <w:lang w:val="en-US" w:eastAsia="zh-CN"/>
              </w:rPr>
              <w:t>标项1、2、5、6、7</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标项3、4非</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p>
        </w:tc>
      </w:tr>
      <w:tr w14:paraId="1BBE12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58" w:hRule="atLeast"/>
        </w:trPr>
        <w:tc>
          <w:tcPr>
            <w:tcW w:w="965" w:type="dxa"/>
            <w:tcBorders>
              <w:tl2br w:val="nil"/>
              <w:tr2bl w:val="nil"/>
            </w:tcBorders>
            <w:vAlign w:val="center"/>
          </w:tcPr>
          <w:p w14:paraId="37FDF314">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1.5.3 </w:t>
            </w:r>
          </w:p>
        </w:tc>
        <w:tc>
          <w:tcPr>
            <w:tcW w:w="8644" w:type="dxa"/>
            <w:tcBorders>
              <w:tl2br w:val="nil"/>
              <w:tr2bl w:val="nil"/>
            </w:tcBorders>
            <w:vAlign w:val="center"/>
          </w:tcPr>
          <w:p w14:paraId="08110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b/>
                <w:bCs/>
                <w:color w:val="auto"/>
                <w:kern w:val="0"/>
                <w:sz w:val="24"/>
                <w:highlight w:val="none"/>
                <w:lang w:val="en-US" w:eastAsia="zh-CN" w:bidi="ar"/>
              </w:rPr>
              <w:t>本项目</w:t>
            </w:r>
            <w:r>
              <w:rPr>
                <w:rFonts w:hint="eastAsia" w:ascii="宋体" w:hAnsi="宋体" w:cs="宋体"/>
                <w:b/>
                <w:bCs/>
                <w:color w:val="auto"/>
                <w:kern w:val="0"/>
                <w:sz w:val="24"/>
                <w:highlight w:val="none"/>
                <w:lang w:val="en-US" w:eastAsia="zh-CN" w:bidi="ar"/>
              </w:rPr>
              <w:t>：</w:t>
            </w:r>
            <w:r>
              <w:rPr>
                <w:rFonts w:hint="eastAsia" w:ascii="宋体" w:hAnsi="宋体" w:cs="宋体"/>
                <w:color w:val="auto"/>
                <w:sz w:val="24"/>
                <w:szCs w:val="24"/>
                <w:highlight w:val="none"/>
                <w:lang w:val="en-US" w:eastAsia="zh-CN"/>
              </w:rPr>
              <w:t>标项1、2、5、6、7</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标项3、4非</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预留采购</w:t>
            </w:r>
            <w:r>
              <w:rPr>
                <w:rFonts w:hint="eastAsia" w:ascii="宋体" w:hAnsi="宋体" w:eastAsia="宋体" w:cs="宋体"/>
                <w:color w:val="auto"/>
                <w:sz w:val="24"/>
                <w:szCs w:val="24"/>
                <w:highlight w:val="none"/>
                <w:lang w:val="en-US" w:eastAsia="zh-CN"/>
              </w:rPr>
              <w:t>标项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预算总额的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%专门面向中小企业采购，其中预留给小微企业的比例为100%</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szCs w:val="24"/>
                <w:highlight w:val="none"/>
                <w:lang w:val="en-US" w:eastAsia="zh-CN"/>
              </w:rPr>
              <w:t>预留份额通过以下措施进行：</w:t>
            </w:r>
          </w:p>
          <w:p w14:paraId="25AB9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供应商所提供的货物制造商属于大中型企业的，必须将本项目合同按上述比例分包给一家或者多家小微企业，接受分包合同的小微企业与分包企业之间不得存在直接控股、管理关系。投标时须按格式提供《分包意向协议书》（见投标格式）以及接受分包的供应商的《中小企业声明函》。</w:t>
            </w:r>
          </w:p>
          <w:p w14:paraId="5474E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（2）供应商所提供的货物制造商属于小微企业的，不得将合同分包给大中型企业；是否合同分包给小微企业不作强制要求，投标时须提交《中小企业声明函》（见投标格式）。</w:t>
            </w:r>
          </w:p>
          <w:p w14:paraId="3683868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highlight w:val="none"/>
                <w:lang w:val="en-US" w:eastAsia="zh-CN" w:bidi="ar"/>
              </w:rPr>
            </w:pPr>
            <w:r>
              <w:rPr>
                <w:rFonts w:hint="eastAsia" w:ascii="宋体" w:hAnsi="宋体" w:cs="宋体"/>
                <w:color w:val="auto"/>
                <w:kern w:val="0"/>
                <w:sz w:val="24"/>
                <w:szCs w:val="24"/>
                <w:highlight w:val="none"/>
                <w:lang w:val="en-US" w:eastAsia="zh-CN"/>
              </w:rPr>
              <w:t>上述小微企业指采购标的的制造商。</w:t>
            </w:r>
          </w:p>
          <w:p w14:paraId="5333D8E9">
            <w:pPr>
              <w:pStyle w:val="114"/>
              <w:adjustRightInd w:val="0"/>
              <w:snapToGrid w:val="0"/>
              <w:spacing w:line="360" w:lineRule="auto"/>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符合以下条件的中小微型企业应按照本采购文件第</w:t>
            </w:r>
            <w:r>
              <w:rPr>
                <w:rFonts w:hint="eastAsia" w:ascii="宋体" w:hAnsi="宋体" w:cs="宋体"/>
                <w:snapToGrid w:val="0"/>
                <w:color w:val="auto"/>
                <w:kern w:val="0"/>
                <w:sz w:val="24"/>
                <w:szCs w:val="22"/>
                <w:highlight w:val="none"/>
                <w:lang w:val="en-US" w:eastAsia="zh-CN"/>
              </w:rPr>
              <w:t>七章</w:t>
            </w:r>
            <w:r>
              <w:rPr>
                <w:rFonts w:hint="eastAsia" w:ascii="宋体" w:hAnsi="宋体" w:eastAsia="宋体" w:cs="宋体"/>
                <w:snapToGrid w:val="0"/>
                <w:color w:val="auto"/>
                <w:kern w:val="0"/>
                <w:sz w:val="24"/>
                <w:szCs w:val="22"/>
                <w:highlight w:val="none"/>
                <w:lang w:eastAsia="zh-CN"/>
              </w:rPr>
              <w:t>响应文件</w:t>
            </w:r>
            <w:r>
              <w:rPr>
                <w:rFonts w:hint="eastAsia" w:ascii="宋体" w:hAnsi="宋体" w:eastAsia="宋体" w:cs="宋体"/>
                <w:snapToGrid w:val="0"/>
                <w:color w:val="auto"/>
                <w:kern w:val="0"/>
                <w:sz w:val="24"/>
                <w:szCs w:val="22"/>
                <w:highlight w:val="none"/>
              </w:rPr>
              <w:t>格式规定的格式提供《中小企业声明函》（须内容填写完整）。</w:t>
            </w:r>
          </w:p>
          <w:p w14:paraId="53C7A97A">
            <w:pPr>
              <w:pStyle w:val="114"/>
              <w:adjustRightInd w:val="0"/>
              <w:snapToGrid w:val="0"/>
              <w:spacing w:line="360" w:lineRule="auto"/>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5503C4">
            <w:pPr>
              <w:pStyle w:val="114"/>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snapToGrid w:val="0"/>
                <w:color w:val="auto"/>
                <w:kern w:val="0"/>
                <w:sz w:val="24"/>
                <w:szCs w:val="22"/>
                <w:highlight w:val="none"/>
              </w:rPr>
              <w:t>（2）本次投标</w:t>
            </w:r>
            <w:r>
              <w:rPr>
                <w:rFonts w:hint="eastAsia" w:ascii="宋体" w:hAnsi="宋体" w:eastAsia="宋体" w:cs="宋体"/>
                <w:snapToGrid w:val="0"/>
                <w:color w:val="auto"/>
                <w:kern w:val="0"/>
                <w:sz w:val="24"/>
                <w:szCs w:val="22"/>
                <w:highlight w:val="none"/>
                <w:lang w:eastAsia="zh-CN"/>
              </w:rPr>
              <w:t>供应商</w:t>
            </w:r>
            <w:r>
              <w:rPr>
                <w:rFonts w:hint="eastAsia" w:ascii="宋体" w:hAnsi="宋体" w:eastAsia="宋体" w:cs="宋体"/>
                <w:snapToGrid w:val="0"/>
                <w:color w:val="auto"/>
                <w:kern w:val="0"/>
                <w:sz w:val="24"/>
                <w:szCs w:val="22"/>
                <w:highlight w:val="none"/>
              </w:rPr>
              <w:t>提供的货物由中小企业制造，即货物由中小企业生产且使用该中小企业商号或者注册商标；</w:t>
            </w:r>
            <w:r>
              <w:rPr>
                <w:rFonts w:hint="eastAsia" w:ascii="宋体" w:hAnsi="宋体" w:eastAsia="宋体" w:cs="宋体"/>
                <w:snapToGrid w:val="0"/>
                <w:color w:val="auto"/>
                <w:kern w:val="0"/>
                <w:sz w:val="24"/>
                <w:szCs w:val="22"/>
                <w:highlight w:val="none"/>
                <w:lang w:eastAsia="zh-CN"/>
              </w:rPr>
              <w:t>供应商</w:t>
            </w:r>
            <w:r>
              <w:rPr>
                <w:rFonts w:hint="eastAsia" w:ascii="宋体" w:hAnsi="宋体" w:eastAsia="宋体" w:cs="宋体"/>
                <w:snapToGrid w:val="0"/>
                <w:color w:val="auto"/>
                <w:kern w:val="0"/>
                <w:sz w:val="24"/>
                <w:szCs w:val="22"/>
                <w:highlight w:val="none"/>
              </w:rPr>
              <w:t>提供的货物既有中小企业制造货物，也有大型企业制造货物的，不享受本办法规定的中小企业扶持政策。</w:t>
            </w:r>
          </w:p>
          <w:p w14:paraId="6C898C1C">
            <w:pPr>
              <w:pStyle w:val="114"/>
              <w:adjustRightInd w:val="0"/>
              <w:snapToGrid w:val="0"/>
              <w:spacing w:line="360" w:lineRule="auto"/>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（3）依据本办法规定享受扶持政策获得政府采购合同的，小微企业不得将合同分包给大中型企业，中型企业不得将合同分包给大型企业。</w:t>
            </w:r>
          </w:p>
          <w:p w14:paraId="09EE77F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snapToGrid w:val="0"/>
                <w:color w:val="auto"/>
                <w:kern w:val="0"/>
                <w:sz w:val="24"/>
                <w:szCs w:val="22"/>
                <w:highlight w:val="none"/>
              </w:rPr>
              <w:t>（4）若发现</w:t>
            </w:r>
            <w:r>
              <w:rPr>
                <w:rFonts w:hint="eastAsia" w:ascii="宋体" w:hAnsi="宋体" w:eastAsia="宋体" w:cs="宋体"/>
                <w:snapToGrid w:val="0"/>
                <w:color w:val="auto"/>
                <w:kern w:val="0"/>
                <w:sz w:val="24"/>
                <w:szCs w:val="22"/>
                <w:highlight w:val="none"/>
                <w:lang w:eastAsia="zh-CN"/>
              </w:rPr>
              <w:t>供应商</w:t>
            </w:r>
            <w:r>
              <w:rPr>
                <w:rFonts w:hint="eastAsia" w:ascii="宋体" w:hAnsi="宋体" w:eastAsia="宋体" w:cs="宋体"/>
                <w:snapToGrid w:val="0"/>
                <w:color w:val="auto"/>
                <w:kern w:val="0"/>
                <w:sz w:val="24"/>
                <w:szCs w:val="22"/>
                <w:highlight w:val="none"/>
              </w:rPr>
              <w:t>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196FAA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965" w:type="dxa"/>
            <w:tcBorders>
              <w:tl2br w:val="nil"/>
              <w:tr2bl w:val="nil"/>
            </w:tcBorders>
            <w:vAlign w:val="center"/>
          </w:tcPr>
          <w:p w14:paraId="6A64F051">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1.6 </w:t>
            </w:r>
          </w:p>
        </w:tc>
        <w:tc>
          <w:tcPr>
            <w:tcW w:w="8644" w:type="dxa"/>
            <w:tcBorders>
              <w:tl2br w:val="nil"/>
              <w:tr2bl w:val="nil"/>
            </w:tcBorders>
            <w:vAlign w:val="center"/>
          </w:tcPr>
          <w:p w14:paraId="5D3A835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是否允许联合体投标：否</w:t>
            </w:r>
          </w:p>
        </w:tc>
      </w:tr>
      <w:tr w14:paraId="3EFC52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965" w:type="dxa"/>
            <w:tcBorders>
              <w:tl2br w:val="nil"/>
              <w:tr2bl w:val="nil"/>
            </w:tcBorders>
            <w:vAlign w:val="center"/>
          </w:tcPr>
          <w:p w14:paraId="68C1859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1.6.8 </w:t>
            </w:r>
          </w:p>
        </w:tc>
        <w:tc>
          <w:tcPr>
            <w:tcW w:w="8644" w:type="dxa"/>
            <w:tcBorders>
              <w:tl2br w:val="nil"/>
              <w:tr2bl w:val="nil"/>
            </w:tcBorders>
            <w:vAlign w:val="center"/>
          </w:tcPr>
          <w:p w14:paraId="2C00BEF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联合体的其他资格要求：无</w:t>
            </w:r>
          </w:p>
        </w:tc>
      </w:tr>
      <w:tr w14:paraId="2D47A1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4" w:hRule="atLeast"/>
        </w:trPr>
        <w:tc>
          <w:tcPr>
            <w:tcW w:w="965" w:type="dxa"/>
            <w:tcBorders>
              <w:tl2br w:val="nil"/>
              <w:tr2bl w:val="nil"/>
            </w:tcBorders>
            <w:vAlign w:val="center"/>
          </w:tcPr>
          <w:p w14:paraId="1BE82A8C">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2.2 </w:t>
            </w:r>
          </w:p>
        </w:tc>
        <w:tc>
          <w:tcPr>
            <w:tcW w:w="8644" w:type="dxa"/>
            <w:tcBorders>
              <w:tl2br w:val="nil"/>
              <w:tr2bl w:val="nil"/>
            </w:tcBorders>
            <w:vAlign w:val="center"/>
          </w:tcPr>
          <w:p w14:paraId="01B640F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项目预算金额：</w:t>
            </w:r>
            <w:r>
              <w:rPr>
                <w:rFonts w:hint="eastAsia" w:ascii="宋体" w:hAnsi="宋体" w:eastAsia="宋体" w:cs="宋体"/>
                <w:color w:val="auto"/>
                <w:sz w:val="24"/>
                <w:szCs w:val="24"/>
                <w:highlight w:val="none"/>
                <w:lang w:val="en-US" w:eastAsia="zh-CN"/>
              </w:rPr>
              <w:t>11520000.00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标项1：1200000.00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标项2：1940000.00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标项3：2780000.00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标项4：2500000.00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标项5：1200000.00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标项6：1500000.00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标项7：400000.00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0B5BD21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lang w:val="en-US" w:eastAsia="zh-CN"/>
              </w:rPr>
              <w:t>注：本项目进行下浮率报价，（1）根据实际需求物资参照《北园春集团网站》当日公示价的中间价为基数，在此基础上，0≤下浮率≤100%（下浮率填写保留两位小数，例如10.00%）；（2）根据采购人已给定价格，在此基础上，0≤下浮率≤100%（下浮率填写保留两位小数，例如10.00%）；按中标下浮比例折算后据实结算（例：当日限价表中某菜/某肉销售价格为5元，某中标供应商下浮率为10.00%，则结算价=5元×（1-10.00%）=4.5元，以此类推）。如在实际供货中有增加品种，应按北园春市场当日中间价确定供货价格。</w:t>
            </w:r>
          </w:p>
        </w:tc>
      </w:tr>
      <w:tr w14:paraId="58034C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65" w:type="dxa"/>
            <w:tcBorders>
              <w:tl2br w:val="nil"/>
              <w:tr2bl w:val="nil"/>
            </w:tcBorders>
            <w:vAlign w:val="center"/>
          </w:tcPr>
          <w:p w14:paraId="1F375E20">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5.4 </w:t>
            </w:r>
          </w:p>
        </w:tc>
        <w:tc>
          <w:tcPr>
            <w:tcW w:w="8644" w:type="dxa"/>
            <w:tcBorders>
              <w:tl2br w:val="nil"/>
              <w:tr2bl w:val="nil"/>
            </w:tcBorders>
            <w:vAlign w:val="center"/>
          </w:tcPr>
          <w:p w14:paraId="7B3FED6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是否组织现场考察或者召开答疑会：</w:t>
            </w:r>
            <w:r>
              <w:rPr>
                <w:rFonts w:hint="eastAsia" w:ascii="宋体" w:hAnsi="宋体" w:eastAsia="宋体" w:cs="宋体"/>
                <w:b/>
                <w:bCs/>
                <w:color w:val="auto"/>
                <w:kern w:val="0"/>
                <w:sz w:val="24"/>
                <w:highlight w:val="none"/>
                <w:lang w:bidi="ar"/>
              </w:rPr>
              <w:t>否</w:t>
            </w:r>
            <w:r>
              <w:rPr>
                <w:rFonts w:hint="eastAsia" w:ascii="宋体" w:hAnsi="宋体" w:eastAsia="宋体" w:cs="宋体"/>
                <w:color w:val="auto"/>
                <w:kern w:val="0"/>
                <w:sz w:val="24"/>
                <w:highlight w:val="none"/>
                <w:lang w:bidi="ar"/>
              </w:rPr>
              <w:t xml:space="preserve"> </w:t>
            </w:r>
          </w:p>
          <w:p w14:paraId="25F6CD2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组织现场考察或者召开答疑会相关要求：</w:t>
            </w:r>
          </w:p>
          <w:p w14:paraId="21C34A3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0AA0A0E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□将在招标文件提供期限截止后以书面形式通知所有获取招标文件的潜在投标人</w:t>
            </w:r>
          </w:p>
        </w:tc>
      </w:tr>
      <w:tr w14:paraId="73F366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trPr>
        <w:tc>
          <w:tcPr>
            <w:tcW w:w="965" w:type="dxa"/>
            <w:tcBorders>
              <w:tl2br w:val="nil"/>
              <w:tr2bl w:val="nil"/>
            </w:tcBorders>
            <w:vAlign w:val="center"/>
          </w:tcPr>
          <w:p w14:paraId="2521DB4E">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5.5 </w:t>
            </w:r>
          </w:p>
        </w:tc>
        <w:tc>
          <w:tcPr>
            <w:tcW w:w="8644" w:type="dxa"/>
            <w:tcBorders>
              <w:tl2br w:val="nil"/>
              <w:tr2bl w:val="nil"/>
            </w:tcBorders>
            <w:vAlign w:val="center"/>
          </w:tcPr>
          <w:p w14:paraId="2F7858F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是否需要提供样品：</w:t>
            </w:r>
            <w:r>
              <w:rPr>
                <w:rFonts w:hint="eastAsia" w:ascii="宋体" w:hAnsi="宋体" w:eastAsia="宋体" w:cs="宋体"/>
                <w:b/>
                <w:bCs/>
                <w:color w:val="auto"/>
                <w:kern w:val="0"/>
                <w:sz w:val="24"/>
                <w:highlight w:val="none"/>
                <w:lang w:bidi="ar"/>
              </w:rPr>
              <w:t>否</w:t>
            </w:r>
            <w:r>
              <w:rPr>
                <w:rFonts w:hint="eastAsia" w:ascii="宋体" w:hAnsi="宋体" w:eastAsia="宋体" w:cs="宋体"/>
                <w:color w:val="auto"/>
                <w:kern w:val="0"/>
                <w:sz w:val="24"/>
                <w:highlight w:val="none"/>
                <w:lang w:bidi="ar"/>
              </w:rPr>
              <w:t xml:space="preserve"> </w:t>
            </w:r>
          </w:p>
          <w:p w14:paraId="6270245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提供样品要求包括：（样品的制作标准和要求、接收及退还，样品检测报告，检测机构、检测内容等内容）</w:t>
            </w:r>
          </w:p>
        </w:tc>
      </w:tr>
      <w:tr w14:paraId="2B1BC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965" w:type="dxa"/>
            <w:tcBorders>
              <w:tl2br w:val="nil"/>
              <w:tr2bl w:val="nil"/>
            </w:tcBorders>
            <w:vAlign w:val="center"/>
          </w:tcPr>
          <w:p w14:paraId="5DA4A5E3">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8.1 </w:t>
            </w:r>
          </w:p>
        </w:tc>
        <w:tc>
          <w:tcPr>
            <w:tcW w:w="8644" w:type="dxa"/>
            <w:tcBorders>
              <w:tl2br w:val="nil"/>
              <w:tr2bl w:val="nil"/>
            </w:tcBorders>
            <w:vAlign w:val="center"/>
          </w:tcPr>
          <w:p w14:paraId="2400A4B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如投标人对多个</w:t>
            </w:r>
            <w:r>
              <w:rPr>
                <w:rFonts w:hint="eastAsia" w:ascii="宋体" w:hAnsi="宋体" w:eastAsia="宋体" w:cs="宋体"/>
                <w:color w:val="auto"/>
                <w:kern w:val="0"/>
                <w:sz w:val="24"/>
                <w:highlight w:val="none"/>
                <w:lang w:val="en-US" w:eastAsia="zh-CN" w:bidi="ar"/>
              </w:rPr>
              <w:t>标项</w:t>
            </w:r>
            <w:r>
              <w:rPr>
                <w:rFonts w:hint="eastAsia" w:ascii="宋体" w:hAnsi="宋体" w:eastAsia="宋体" w:cs="宋体"/>
                <w:color w:val="auto"/>
                <w:kern w:val="0"/>
                <w:sz w:val="24"/>
                <w:highlight w:val="none"/>
                <w:lang w:bidi="ar"/>
              </w:rPr>
              <w:t>进行投标，可以中标</w:t>
            </w:r>
            <w:r>
              <w:rPr>
                <w:rFonts w:hint="eastAsia" w:ascii="宋体" w:hAnsi="宋体" w:eastAsia="宋体" w:cs="宋体"/>
                <w:b/>
                <w:bCs/>
                <w:color w:val="auto"/>
                <w:kern w:val="0"/>
                <w:sz w:val="24"/>
                <w:highlight w:val="none"/>
                <w:u w:val="single"/>
                <w:lang w:bidi="ar"/>
              </w:rPr>
              <w:t>多</w:t>
            </w:r>
            <w:r>
              <w:rPr>
                <w:rFonts w:hint="eastAsia" w:ascii="宋体" w:hAnsi="宋体" w:eastAsia="宋体" w:cs="宋体"/>
                <w:color w:val="auto"/>
                <w:kern w:val="0"/>
                <w:sz w:val="24"/>
                <w:highlight w:val="none"/>
                <w:lang w:val="en-US" w:eastAsia="zh-CN" w:bidi="ar"/>
              </w:rPr>
              <w:t>标项</w:t>
            </w:r>
          </w:p>
        </w:tc>
      </w:tr>
      <w:tr w14:paraId="5067EA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965" w:type="dxa"/>
            <w:tcBorders>
              <w:tl2br w:val="nil"/>
              <w:tr2bl w:val="nil"/>
            </w:tcBorders>
            <w:vAlign w:val="center"/>
          </w:tcPr>
          <w:p w14:paraId="754BF3BE">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12 </w:t>
            </w:r>
          </w:p>
        </w:tc>
        <w:tc>
          <w:tcPr>
            <w:tcW w:w="8644" w:type="dxa"/>
            <w:tcBorders>
              <w:tl2br w:val="nil"/>
              <w:tr2bl w:val="nil"/>
            </w:tcBorders>
            <w:vAlign w:val="center"/>
          </w:tcPr>
          <w:p w14:paraId="6A0C421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保证金形式：网上银行或电子保函等非现金形式</w:t>
            </w:r>
          </w:p>
          <w:p w14:paraId="4B39755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保证金数额：</w:t>
            </w:r>
            <w:r>
              <w:rPr>
                <w:rFonts w:hint="eastAsia" w:ascii="宋体" w:hAnsi="宋体" w:eastAsia="宋体" w:cs="宋体"/>
                <w:color w:val="auto"/>
                <w:sz w:val="24"/>
                <w:highlight w:val="none"/>
                <w:lang w:val="en-US" w:eastAsia="zh-CN"/>
              </w:rPr>
              <w:t>标项1：12000.00 元（壹万贰仟元整）；标项2：19400.00元（壹万玖仟肆佰元整）；标项3:27800.00元（贰万柒仟捌佰元整）；标项4：25000.00 元（贰万伍仟</w:t>
            </w:r>
            <w:r>
              <w:rPr>
                <w:rFonts w:hint="eastAsia" w:ascii="宋体" w:hAnsi="宋体" w:cs="宋体"/>
                <w:color w:val="auto"/>
                <w:sz w:val="24"/>
                <w:highlight w:val="none"/>
                <w:lang w:val="en-US" w:eastAsia="zh-CN"/>
              </w:rPr>
              <w:t>元</w:t>
            </w:r>
            <w:r>
              <w:rPr>
                <w:rFonts w:hint="eastAsia" w:ascii="宋体" w:hAnsi="宋体" w:eastAsia="宋体" w:cs="宋体"/>
                <w:color w:val="auto"/>
                <w:sz w:val="24"/>
                <w:highlight w:val="none"/>
                <w:lang w:val="en-US" w:eastAsia="zh-CN"/>
              </w:rPr>
              <w:t>整）；标项5：12000.00 元（壹万贰仟元整）；标项6：15000.00 元（贰万伍仟元整）；标项7：4000.00 元（肆仟元整）。</w:t>
            </w:r>
          </w:p>
          <w:p w14:paraId="7989FAA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开户单位名称：新疆新建联项目管理咨询有限公司</w:t>
            </w:r>
          </w:p>
          <w:p w14:paraId="7BC570A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 户 行：中国工商银行</w:t>
            </w:r>
            <w:r>
              <w:rPr>
                <w:rFonts w:hint="eastAsia" w:ascii="宋体" w:hAnsi="宋体" w:eastAsia="宋体" w:cs="宋体"/>
                <w:color w:val="auto"/>
                <w:kern w:val="0"/>
                <w:sz w:val="24"/>
                <w:highlight w:val="none"/>
                <w:lang w:val="en-US" w:eastAsia="zh-CN" w:bidi="ar"/>
              </w:rPr>
              <w:t>有限公司</w:t>
            </w:r>
            <w:r>
              <w:rPr>
                <w:rFonts w:hint="eastAsia" w:ascii="宋体" w:hAnsi="宋体" w:eastAsia="宋体" w:cs="宋体"/>
                <w:color w:val="auto"/>
                <w:kern w:val="0"/>
                <w:sz w:val="24"/>
                <w:highlight w:val="none"/>
                <w:lang w:bidi="ar"/>
              </w:rPr>
              <w:t>乌鲁木齐市中山路支行</w:t>
            </w:r>
          </w:p>
          <w:p w14:paraId="79AB24A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eastAsia="zh-CN" w:bidi="ar"/>
              </w:rPr>
              <w:t>银行账号</w:t>
            </w:r>
            <w:r>
              <w:rPr>
                <w:rFonts w:hint="eastAsia" w:ascii="宋体" w:hAnsi="宋体" w:eastAsia="宋体" w:cs="宋体"/>
                <w:color w:val="auto"/>
                <w:kern w:val="0"/>
                <w:sz w:val="24"/>
                <w:highlight w:val="none"/>
                <w:lang w:bidi="ar"/>
              </w:rPr>
              <w:t>：3002010609024801713</w:t>
            </w:r>
          </w:p>
          <w:p w14:paraId="6C766AD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行号：102881001021</w:t>
            </w:r>
          </w:p>
          <w:p w14:paraId="2418974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注：1）从投标人基本账户以银行电汇或网银形式汇至投标保证金专用账户，投标人提交投标保证金应充分考虑资金在途时间,保证金须在投标截止时间前到账</w:t>
            </w:r>
            <w:r>
              <w:rPr>
                <w:rFonts w:hint="eastAsia" w:ascii="宋体" w:hAnsi="宋体" w:eastAsia="宋体" w:cs="宋体"/>
                <w:color w:val="auto"/>
                <w:kern w:val="0"/>
                <w:sz w:val="24"/>
                <w:highlight w:val="none"/>
                <w:lang w:eastAsia="zh-CN" w:bidi="ar"/>
              </w:rPr>
              <w:t>，</w:t>
            </w:r>
            <w:r>
              <w:rPr>
                <w:rFonts w:hint="eastAsia" w:ascii="宋体" w:hAnsi="宋体" w:eastAsia="宋体" w:cs="宋体"/>
                <w:b/>
                <w:bCs/>
                <w:color w:val="auto"/>
                <w:kern w:val="0"/>
                <w:sz w:val="24"/>
                <w:highlight w:val="none"/>
                <w:lang w:val="en-US" w:eastAsia="zh-CN" w:bidi="ar"/>
              </w:rPr>
              <w:t>转账</w:t>
            </w:r>
            <w:r>
              <w:rPr>
                <w:rFonts w:hint="eastAsia" w:ascii="宋体" w:hAnsi="宋体" w:cs="宋体"/>
                <w:b/>
                <w:bCs/>
                <w:color w:val="auto"/>
                <w:kern w:val="0"/>
                <w:sz w:val="24"/>
                <w:highlight w:val="none"/>
                <w:lang w:val="en-US" w:eastAsia="zh-CN" w:bidi="ar"/>
              </w:rPr>
              <w:t>时</w:t>
            </w:r>
            <w:r>
              <w:rPr>
                <w:rFonts w:hint="eastAsia" w:ascii="宋体" w:hAnsi="宋体" w:eastAsia="宋体" w:cs="宋体"/>
                <w:b/>
                <w:bCs/>
                <w:color w:val="auto"/>
                <w:kern w:val="0"/>
                <w:sz w:val="24"/>
                <w:highlight w:val="none"/>
                <w:lang w:val="en-US" w:eastAsia="zh-CN" w:bidi="ar"/>
              </w:rPr>
              <w:t>需备注项目简称+标项号+项目编号保证金</w:t>
            </w:r>
            <w:r>
              <w:rPr>
                <w:rFonts w:hint="eastAsia" w:ascii="宋体" w:hAnsi="宋体" w:eastAsia="宋体" w:cs="宋体"/>
                <w:color w:val="auto"/>
                <w:kern w:val="0"/>
                <w:sz w:val="24"/>
                <w:highlight w:val="none"/>
                <w:lang w:bidi="ar"/>
              </w:rPr>
              <w:t>。</w:t>
            </w:r>
          </w:p>
          <w:p w14:paraId="3EE85AC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）投标保证金有效期与投标有效期一致，投标文件中须提供加盖投标人公章的转账凭证或保证金收据证明材料复印件；</w:t>
            </w:r>
          </w:p>
          <w:p w14:paraId="512F05D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）开标前投标人不能按照招标文件要求缴纳投标保证金的，投标文件将被拒绝；</w:t>
            </w:r>
          </w:p>
          <w:p w14:paraId="7572BC9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）退保金流程：</w:t>
            </w:r>
            <w:r>
              <w:rPr>
                <w:rFonts w:hint="eastAsia" w:ascii="宋体" w:hAnsi="宋体" w:eastAsia="宋体" w:cs="宋体"/>
                <w:b w:val="0"/>
                <w:bCs w:val="0"/>
                <w:color w:val="auto"/>
                <w:sz w:val="24"/>
                <w:szCs w:val="24"/>
                <w:highlight w:val="none"/>
              </w:rPr>
              <w:t>投标单位</w:t>
            </w:r>
            <w:r>
              <w:rPr>
                <w:rFonts w:hint="eastAsia" w:ascii="宋体" w:hAnsi="宋体" w:eastAsia="宋体" w:cs="宋体"/>
                <w:b w:val="0"/>
                <w:bCs w:val="0"/>
                <w:color w:val="auto"/>
                <w:sz w:val="24"/>
                <w:szCs w:val="24"/>
                <w:highlight w:val="none"/>
                <w:lang w:val="en-US" w:eastAsia="zh-CN"/>
              </w:rPr>
              <w:t>提供账户信息</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每周四周五进行保证金退还</w:t>
            </w:r>
            <w:r>
              <w:rPr>
                <w:rFonts w:hint="eastAsia" w:ascii="宋体" w:hAnsi="宋体" w:eastAsia="宋体" w:cs="宋体"/>
                <w:b w:val="0"/>
                <w:bCs w:val="0"/>
                <w:color w:val="auto"/>
                <w:sz w:val="24"/>
                <w:szCs w:val="24"/>
                <w:highlight w:val="none"/>
              </w:rPr>
              <w:t>。</w:t>
            </w:r>
          </w:p>
          <w:p w14:paraId="61ECAE6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）财务电话：0991-4181876</w:t>
            </w:r>
          </w:p>
        </w:tc>
      </w:tr>
      <w:tr w14:paraId="5DE04A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2DE64DB0">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13.1</w:t>
            </w:r>
          </w:p>
        </w:tc>
        <w:tc>
          <w:tcPr>
            <w:tcW w:w="8644" w:type="dxa"/>
            <w:tcBorders>
              <w:tl2br w:val="nil"/>
              <w:tr2bl w:val="nil"/>
            </w:tcBorders>
            <w:vAlign w:val="center"/>
          </w:tcPr>
          <w:p w14:paraId="201BE98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投标有效期：</w:t>
            </w:r>
            <w:r>
              <w:rPr>
                <w:rFonts w:hint="eastAsia" w:ascii="宋体" w:hAnsi="宋体" w:eastAsia="宋体" w:cs="宋体"/>
                <w:color w:val="auto"/>
                <w:kern w:val="0"/>
                <w:sz w:val="24"/>
                <w:highlight w:val="none"/>
                <w:lang w:val="en-US" w:eastAsia="zh-CN" w:bidi="ar"/>
              </w:rPr>
              <w:t>自投标截止之日起 90日历天。</w:t>
            </w:r>
            <w:r>
              <w:rPr>
                <w:rFonts w:hint="eastAsia" w:ascii="宋体" w:hAnsi="宋体" w:eastAsia="宋体" w:cs="宋体"/>
                <w:color w:val="auto"/>
                <w:kern w:val="0"/>
                <w:sz w:val="24"/>
                <w:highlight w:val="none"/>
                <w:lang w:bidi="ar"/>
              </w:rPr>
              <w:t xml:space="preserve"> </w:t>
            </w:r>
          </w:p>
        </w:tc>
      </w:tr>
      <w:tr w14:paraId="141A0E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7574072C">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14.1 </w:t>
            </w:r>
          </w:p>
        </w:tc>
        <w:tc>
          <w:tcPr>
            <w:tcW w:w="8644" w:type="dxa"/>
            <w:tcBorders>
              <w:tl2br w:val="nil"/>
              <w:tr2bl w:val="nil"/>
            </w:tcBorders>
            <w:vAlign w:val="center"/>
          </w:tcPr>
          <w:p w14:paraId="7E76F40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1．本项目采用不见面开标、供应商需要递交电子投标文件，加密的电子投标文件，在投标截止时间前上传至新疆政府采购网</w:t>
            </w:r>
            <w:r>
              <w:rPr>
                <w:rFonts w:hint="eastAsia" w:ascii="宋体" w:hAnsi="宋体" w:eastAsia="宋体" w:cs="宋体"/>
                <w:color w:val="auto"/>
                <w:sz w:val="24"/>
                <w:highlight w:val="none"/>
                <w:lang w:eastAsia="zh-CN"/>
              </w:rPr>
              <w:t>政采云平台</w:t>
            </w:r>
            <w:r>
              <w:rPr>
                <w:rFonts w:hint="eastAsia" w:ascii="宋体" w:hAnsi="宋体" w:eastAsia="宋体" w:cs="宋体"/>
                <w:color w:val="auto"/>
                <w:sz w:val="24"/>
                <w:highlight w:val="none"/>
              </w:rPr>
              <w:t>指定位置。无需在开标时递交纸质文件。</w:t>
            </w:r>
          </w:p>
          <w:p w14:paraId="509D89A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2.本项目采用远程不见面交易的模式。开标当日，供应商无需到达开标现场，仅需在任意地点通过新疆政府采购网</w:t>
            </w:r>
            <w:r>
              <w:rPr>
                <w:rFonts w:hint="eastAsia" w:ascii="宋体" w:hAnsi="宋体" w:eastAsia="宋体" w:cs="宋体"/>
                <w:color w:val="auto"/>
                <w:sz w:val="24"/>
                <w:highlight w:val="none"/>
                <w:lang w:eastAsia="zh-CN"/>
              </w:rPr>
              <w:t>政采云平台</w:t>
            </w:r>
            <w:r>
              <w:rPr>
                <w:rFonts w:hint="eastAsia" w:ascii="宋体" w:hAnsi="宋体" w:eastAsia="宋体" w:cs="宋体"/>
                <w:color w:val="auto"/>
                <w:sz w:val="24"/>
                <w:highlight w:val="none"/>
              </w:rPr>
              <w:t>完成远程解密、开标唱标、结果公布等交互环节。供应商必须使用能正确解密投标文件的“CA 锁”在规定的时间内完成远程解密，因供应商原因未能解密、解密失败或解密超时，视为供应商撤销其投标文件，系统内投标文件将被退回</w:t>
            </w:r>
            <w:r>
              <w:rPr>
                <w:rFonts w:hint="eastAsia" w:ascii="宋体" w:hAnsi="宋体" w:eastAsia="宋体" w:cs="宋体"/>
                <w:color w:val="auto"/>
                <w:sz w:val="24"/>
                <w:highlight w:val="none"/>
                <w:lang w:eastAsia="zh-CN"/>
              </w:rPr>
              <w:t>。</w:t>
            </w:r>
          </w:p>
          <w:p w14:paraId="59F14FB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3.开标结束后投标供应商需提交投标文件数量：</w:t>
            </w:r>
          </w:p>
          <w:p w14:paraId="27050A7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开标时在线提交电子响应文件；</w:t>
            </w:r>
          </w:p>
          <w:p w14:paraId="14055A7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由各单位承诺，若中标后提供纸质版文件：正本一份，副本</w:t>
            </w:r>
            <w:r>
              <w:rPr>
                <w:rFonts w:hint="eastAsia" w:ascii="宋体" w:hAnsi="宋体" w:cs="宋体"/>
                <w:color w:val="auto"/>
                <w:kern w:val="0"/>
                <w:sz w:val="24"/>
                <w:highlight w:val="none"/>
                <w:lang w:val="en-US" w:eastAsia="zh-CN" w:bidi="ar"/>
              </w:rPr>
              <w:t>一</w:t>
            </w:r>
            <w:r>
              <w:rPr>
                <w:rFonts w:hint="eastAsia" w:ascii="宋体" w:hAnsi="宋体" w:eastAsia="宋体" w:cs="宋体"/>
                <w:color w:val="auto"/>
                <w:kern w:val="0"/>
                <w:sz w:val="24"/>
                <w:highlight w:val="none"/>
                <w:lang w:bidi="ar"/>
              </w:rPr>
              <w:t>份，为了节能减排、保护环境，倡议投标文件双面打印！</w:t>
            </w:r>
          </w:p>
          <w:p w14:paraId="3FE50BF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提交方式：可邮寄或提交到招标代理公司。</w:t>
            </w:r>
          </w:p>
          <w:p w14:paraId="645D799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纸质版投标文件提供时间：中标公示发出后5个工作日内。</w:t>
            </w:r>
          </w:p>
        </w:tc>
      </w:tr>
      <w:tr w14:paraId="4F502E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37B44342">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16.1</w:t>
            </w:r>
          </w:p>
        </w:tc>
        <w:tc>
          <w:tcPr>
            <w:tcW w:w="8644" w:type="dxa"/>
            <w:tcBorders>
              <w:tl2br w:val="nil"/>
              <w:tr2bl w:val="nil"/>
            </w:tcBorders>
            <w:vAlign w:val="center"/>
          </w:tcPr>
          <w:p w14:paraId="4736CEC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b w:val="0"/>
                <w:bCs w:val="0"/>
                <w:i w:val="0"/>
                <w:caps w:val="0"/>
                <w:color w:val="auto"/>
                <w:spacing w:val="0"/>
                <w:w w:val="100"/>
                <w:sz w:val="24"/>
                <w:highlight w:val="none"/>
                <w:lang w:val="en-US" w:eastAsia="zh-CN"/>
              </w:rPr>
              <w:t>2026年</w:t>
            </w:r>
            <w:r>
              <w:rPr>
                <w:rFonts w:hint="eastAsia" w:ascii="宋体" w:hAnsi="宋体" w:cs="宋体"/>
                <w:b w:val="0"/>
                <w:bCs w:val="0"/>
                <w:i w:val="0"/>
                <w:caps w:val="0"/>
                <w:color w:val="auto"/>
                <w:spacing w:val="0"/>
                <w:w w:val="100"/>
                <w:sz w:val="24"/>
                <w:highlight w:val="none"/>
                <w:lang w:val="en-US" w:eastAsia="zh-CN"/>
              </w:rPr>
              <w:t>6</w:t>
            </w:r>
            <w:r>
              <w:rPr>
                <w:rFonts w:hint="eastAsia" w:ascii="宋体" w:hAnsi="宋体" w:eastAsia="宋体" w:cs="宋体"/>
                <w:b w:val="0"/>
                <w:bCs w:val="0"/>
                <w:i w:val="0"/>
                <w:caps w:val="0"/>
                <w:color w:val="auto"/>
                <w:spacing w:val="0"/>
                <w:w w:val="100"/>
                <w:sz w:val="24"/>
                <w:highlight w:val="none"/>
                <w:lang w:val="en-US" w:eastAsia="zh-CN"/>
              </w:rPr>
              <w:t>月</w:t>
            </w:r>
            <w:r>
              <w:rPr>
                <w:rFonts w:hint="eastAsia" w:ascii="宋体" w:hAnsi="宋体" w:cs="宋体"/>
                <w:b w:val="0"/>
                <w:bCs w:val="0"/>
                <w:i w:val="0"/>
                <w:caps w:val="0"/>
                <w:color w:val="auto"/>
                <w:spacing w:val="0"/>
                <w:w w:val="100"/>
                <w:sz w:val="24"/>
                <w:highlight w:val="none"/>
                <w:lang w:val="en-US" w:eastAsia="zh-CN"/>
              </w:rPr>
              <w:t>10</w:t>
            </w:r>
            <w:r>
              <w:rPr>
                <w:rFonts w:hint="eastAsia" w:ascii="宋体" w:hAnsi="宋体" w:eastAsia="宋体" w:cs="宋体"/>
                <w:b w:val="0"/>
                <w:bCs w:val="0"/>
                <w:i w:val="0"/>
                <w:caps w:val="0"/>
                <w:color w:val="auto"/>
                <w:spacing w:val="0"/>
                <w:w w:val="100"/>
                <w:sz w:val="24"/>
                <w:highlight w:val="none"/>
                <w:lang w:val="en-US" w:eastAsia="zh-CN"/>
              </w:rPr>
              <w:t>日1</w:t>
            </w:r>
            <w:r>
              <w:rPr>
                <w:rFonts w:hint="eastAsia" w:ascii="宋体" w:hAnsi="宋体" w:eastAsia="宋体" w:cs="宋体"/>
                <w:color w:val="auto"/>
                <w:sz w:val="24"/>
                <w:szCs w:val="24"/>
                <w:highlight w:val="none"/>
                <w:lang w:eastAsia="zh-CN"/>
              </w:rPr>
              <w:t>1时00分</w:t>
            </w:r>
            <w:r>
              <w:rPr>
                <w:rFonts w:hint="eastAsia" w:ascii="宋体" w:hAnsi="宋体" w:eastAsia="宋体" w:cs="宋体"/>
                <w:b w:val="0"/>
                <w:bCs w:val="0"/>
                <w:i w:val="0"/>
                <w:caps w:val="0"/>
                <w:color w:val="auto"/>
                <w:spacing w:val="0"/>
                <w:w w:val="100"/>
                <w:sz w:val="24"/>
                <w:highlight w:val="none"/>
                <w:lang w:val="en-US" w:eastAsia="zh-CN"/>
              </w:rPr>
              <w:t>（北京时间）</w:t>
            </w:r>
          </w:p>
        </w:tc>
      </w:tr>
      <w:tr w14:paraId="146960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3D29B0C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18.1 </w:t>
            </w:r>
          </w:p>
        </w:tc>
        <w:tc>
          <w:tcPr>
            <w:tcW w:w="8644" w:type="dxa"/>
            <w:tcBorders>
              <w:tl2br w:val="nil"/>
              <w:tr2bl w:val="nil"/>
            </w:tcBorders>
            <w:vAlign w:val="center"/>
          </w:tcPr>
          <w:p w14:paraId="34D42F7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开标时间：同投标截止时间 </w:t>
            </w:r>
          </w:p>
          <w:p w14:paraId="2BB2960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开标地点：</w:t>
            </w:r>
            <w:r>
              <w:rPr>
                <w:rFonts w:hint="eastAsia" w:ascii="宋体" w:hAnsi="宋体" w:eastAsia="宋体" w:cs="宋体"/>
                <w:color w:val="auto"/>
                <w:kern w:val="0"/>
                <w:sz w:val="24"/>
                <w:highlight w:val="none"/>
                <w:lang w:val="en-US" w:eastAsia="zh-CN" w:bidi="ar"/>
              </w:rPr>
              <w:t>开标当日，投标人无需到达开标现场，仅需在任 意地点登录政采云平台（https://www.zcygov.cn）不见面 开标系统（进入“项目采购”应用，在开标评标菜单中选择 进入开标大厅）完成远程解密、提疑澄清、开标唱标、结果 公布等交互环节。</w:t>
            </w:r>
          </w:p>
        </w:tc>
      </w:tr>
      <w:tr w14:paraId="7C46AE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3D4C9096">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19.1</w:t>
            </w:r>
          </w:p>
        </w:tc>
        <w:tc>
          <w:tcPr>
            <w:tcW w:w="8644" w:type="dxa"/>
            <w:tcBorders>
              <w:tl2br w:val="nil"/>
              <w:tr2bl w:val="nil"/>
            </w:tcBorders>
            <w:vAlign w:val="center"/>
          </w:tcPr>
          <w:p w14:paraId="376BD172">
            <w:pPr>
              <w:pStyle w:val="111"/>
              <w:snapToGrid w:val="0"/>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按照《中华人民共和国政府采购法》、《中华人民共和国政府采购法实施条例》及本项目本级和上级财政部门的有关规定依法组建的评审小组，负责评标工作（评审小组由采购人代表及专家组成）。</w:t>
            </w:r>
          </w:p>
          <w:p w14:paraId="5E1DC0E3">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bCs/>
                <w:color w:val="auto"/>
                <w:sz w:val="24"/>
                <w:szCs w:val="24"/>
                <w:highlight w:val="none"/>
              </w:rPr>
              <w:t>评标委员会构成：</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rPr>
              <w:t>其中采购人代表</w:t>
            </w:r>
            <w:r>
              <w:rPr>
                <w:rFonts w:hint="eastAsia" w:ascii="宋体" w:hAnsi="宋体" w:eastAsia="宋体" w:cs="宋体"/>
                <w:bCs/>
                <w:color w:val="auto"/>
                <w:sz w:val="24"/>
                <w:szCs w:val="24"/>
                <w:highlight w:val="none"/>
                <w:u w:val="single"/>
              </w:rPr>
              <w:t xml:space="preserve"> 1 </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rPr>
              <w:t>专家</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rPr>
              <w:t>人</w:t>
            </w:r>
            <w:r>
              <w:rPr>
                <w:rFonts w:hint="eastAsia" w:ascii="宋体" w:hAnsi="宋体" w:cs="宋体"/>
                <w:color w:val="auto"/>
                <w:sz w:val="24"/>
                <w:highlight w:val="none"/>
              </w:rPr>
              <w:t>评标委员会构成：5人</w:t>
            </w:r>
            <w:r>
              <w:rPr>
                <w:rFonts w:hint="eastAsia" w:ascii="宋体" w:hAnsi="宋体" w:cs="宋体"/>
                <w:color w:val="auto"/>
                <w:sz w:val="24"/>
                <w:highlight w:val="none"/>
                <w:lang w:eastAsia="zh-CN"/>
              </w:rPr>
              <w:t>；</w:t>
            </w:r>
          </w:p>
          <w:p w14:paraId="6DB74B4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cs="宋体"/>
                <w:color w:val="auto"/>
                <w:sz w:val="24"/>
                <w:highlight w:val="none"/>
              </w:rPr>
              <w:t>评标专家确定方式：技由新疆政府采购网政采云评标专家库随机抽取。</w:t>
            </w:r>
          </w:p>
        </w:tc>
      </w:tr>
      <w:tr w14:paraId="1B8EDE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41614A75">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23.2 </w:t>
            </w:r>
          </w:p>
        </w:tc>
        <w:tc>
          <w:tcPr>
            <w:tcW w:w="8644" w:type="dxa"/>
            <w:tcBorders>
              <w:tl2br w:val="nil"/>
              <w:tr2bl w:val="nil"/>
            </w:tcBorders>
            <w:vAlign w:val="center"/>
          </w:tcPr>
          <w:p w14:paraId="23522F8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评标方法：综合评分法</w:t>
            </w:r>
          </w:p>
        </w:tc>
      </w:tr>
      <w:tr w14:paraId="7A274D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3C0F605E">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27.1 </w:t>
            </w:r>
          </w:p>
        </w:tc>
        <w:tc>
          <w:tcPr>
            <w:tcW w:w="8644" w:type="dxa"/>
            <w:tcBorders>
              <w:tl2br w:val="nil"/>
              <w:tr2bl w:val="nil"/>
            </w:tcBorders>
            <w:vAlign w:val="center"/>
          </w:tcPr>
          <w:p w14:paraId="22548C1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推荐中标候选投标人的数量：</w:t>
            </w:r>
            <w:r>
              <w:rPr>
                <w:rFonts w:hint="eastAsia" w:ascii="宋体" w:hAnsi="宋体" w:cs="宋体"/>
                <w:color w:val="auto"/>
                <w:kern w:val="0"/>
                <w:sz w:val="24"/>
                <w:highlight w:val="none"/>
                <w:lang w:val="en-US" w:eastAsia="zh-CN" w:bidi="ar"/>
              </w:rPr>
              <w:t>每个标项</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名</w:t>
            </w:r>
          </w:p>
        </w:tc>
      </w:tr>
      <w:tr w14:paraId="78D95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2B9A95FC">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27.2 </w:t>
            </w:r>
          </w:p>
        </w:tc>
        <w:tc>
          <w:tcPr>
            <w:tcW w:w="8644" w:type="dxa"/>
            <w:tcBorders>
              <w:tl2br w:val="nil"/>
              <w:tr2bl w:val="nil"/>
            </w:tcBorders>
            <w:vAlign w:val="center"/>
          </w:tcPr>
          <w:p w14:paraId="5BDD02D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招标人是否委托评标委员会直接确定中标人：</w:t>
            </w:r>
            <w:r>
              <w:rPr>
                <w:rFonts w:hint="eastAsia" w:ascii="宋体" w:hAnsi="宋体" w:eastAsia="宋体" w:cs="宋体"/>
                <w:color w:val="auto"/>
                <w:kern w:val="0"/>
                <w:sz w:val="24"/>
                <w:highlight w:val="none"/>
                <w:lang w:val="en-US" w:eastAsia="zh-CN" w:bidi="ar"/>
              </w:rPr>
              <w:t>是</w:t>
            </w:r>
            <w:r>
              <w:rPr>
                <w:rFonts w:hint="eastAsia" w:ascii="宋体" w:hAnsi="宋体" w:eastAsia="宋体" w:cs="宋体"/>
                <w:color w:val="auto"/>
                <w:kern w:val="0"/>
                <w:sz w:val="24"/>
                <w:highlight w:val="none"/>
                <w:lang w:bidi="ar"/>
              </w:rPr>
              <w:t xml:space="preserve"> </w:t>
            </w:r>
          </w:p>
          <w:p w14:paraId="4CD154B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 w:val="24"/>
                <w:highlight w:val="none"/>
                <w:lang w:bidi="ar"/>
              </w:rPr>
            </w:pPr>
            <w:r>
              <w:rPr>
                <w:rFonts w:hint="eastAsia" w:ascii="宋体" w:hAnsi="宋体" w:cs="宋体"/>
                <w:color w:val="auto"/>
                <w:sz w:val="24"/>
                <w:highlight w:val="none"/>
              </w:rPr>
              <w:t>如发现供应商所提供的资格类文件不合法或不真实，或存在虚假资料的，仍可废除其</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资格并追究中标人的法律责任。</w:t>
            </w:r>
          </w:p>
        </w:tc>
      </w:tr>
      <w:tr w14:paraId="4F3C8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72CEEF39">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32.1 </w:t>
            </w:r>
          </w:p>
        </w:tc>
        <w:tc>
          <w:tcPr>
            <w:tcW w:w="8644" w:type="dxa"/>
            <w:tcBorders>
              <w:tl2br w:val="nil"/>
              <w:tr2bl w:val="nil"/>
            </w:tcBorders>
          </w:tcPr>
          <w:p w14:paraId="018795C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是否由中标人缴纳招标代理费：</w:t>
            </w:r>
            <w:r>
              <w:rPr>
                <w:rFonts w:hint="eastAsia" w:ascii="宋体" w:hAnsi="宋体" w:eastAsia="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u w:val="single"/>
                <w:lang w:bidi="ar"/>
              </w:rPr>
              <w:t>是</w:t>
            </w:r>
            <w:r>
              <w:rPr>
                <w:rFonts w:hint="eastAsia" w:ascii="宋体" w:hAnsi="宋体" w:eastAsia="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lang w:bidi="ar"/>
              </w:rPr>
              <w:t xml:space="preserve"> </w:t>
            </w:r>
          </w:p>
          <w:p w14:paraId="547365F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招标代理费：</w:t>
            </w: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参照发改价格[2011]534号及计价格[2002]1980号文件</w:t>
            </w:r>
            <w:r>
              <w:rPr>
                <w:rFonts w:hint="eastAsia" w:ascii="宋体" w:hAnsi="宋体" w:eastAsia="宋体" w:cs="宋体"/>
                <w:color w:val="auto"/>
                <w:kern w:val="0"/>
                <w:sz w:val="24"/>
                <w:highlight w:val="none"/>
                <w:lang w:val="en-US" w:eastAsia="zh-CN" w:bidi="ar"/>
              </w:rPr>
              <w:t>计取</w:t>
            </w:r>
            <w:r>
              <w:rPr>
                <w:rFonts w:hint="eastAsia" w:ascii="宋体" w:hAnsi="宋体" w:eastAsia="宋体" w:cs="宋体"/>
                <w:color w:val="auto"/>
                <w:kern w:val="0"/>
                <w:sz w:val="24"/>
                <w:highlight w:val="none"/>
                <w:lang w:bidi="ar"/>
              </w:rPr>
              <w:t>的招标代理服务收费</w:t>
            </w:r>
            <w:r>
              <w:rPr>
                <w:rFonts w:hint="eastAsia" w:ascii="宋体" w:hAnsi="宋体" w:eastAsia="宋体" w:cs="宋体"/>
                <w:color w:val="auto"/>
                <w:kern w:val="0"/>
                <w:sz w:val="24"/>
                <w:highlight w:val="none"/>
                <w:lang w:val="en-US" w:eastAsia="zh-CN" w:bidi="ar"/>
              </w:rPr>
              <w:t>计取，</w:t>
            </w:r>
            <w:r>
              <w:rPr>
                <w:rFonts w:hint="eastAsia" w:ascii="宋体" w:hAnsi="宋体" w:eastAsia="宋体" w:cs="宋体"/>
                <w:color w:val="auto"/>
                <w:kern w:val="0"/>
                <w:sz w:val="24"/>
                <w:highlight w:val="none"/>
                <w:lang w:bidi="ar"/>
              </w:rPr>
              <w:t>代理服务费由中标人支付。</w:t>
            </w:r>
          </w:p>
          <w:p w14:paraId="5351EBE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支付形式：转账、电汇等形式</w:t>
            </w:r>
          </w:p>
          <w:p w14:paraId="6EAA52D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val="en-US" w:eastAsia="zh-CN" w:bidi="ar"/>
              </w:rPr>
              <w:t>支付时间：《中标通知书》核发前</w:t>
            </w:r>
          </w:p>
        </w:tc>
      </w:tr>
      <w:tr w14:paraId="696CF4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3D1126B7">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35.2</w:t>
            </w:r>
          </w:p>
        </w:tc>
        <w:tc>
          <w:tcPr>
            <w:tcW w:w="8644" w:type="dxa"/>
            <w:tcBorders>
              <w:tl2br w:val="nil"/>
              <w:tr2bl w:val="nil"/>
            </w:tcBorders>
          </w:tcPr>
          <w:p w14:paraId="1F96F3C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针对同一采购程序环节的质疑次数： </w:t>
            </w:r>
          </w:p>
          <w:p w14:paraId="3158F2D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 xml:space="preserve">一次性提出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多次提出</w:t>
            </w:r>
          </w:p>
          <w:p w14:paraId="6AE0903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注：供应商在法定质疑期内一次性提出针对同一采购程序环节的质疑，本项目不接受供应商多次/反复质疑。</w:t>
            </w:r>
          </w:p>
          <w:p w14:paraId="148E39F6">
            <w:pPr>
              <w:pStyle w:val="2"/>
              <w:ind w:left="0" w:leftChars="0" w:firstLine="0" w:firstLineChars="0"/>
              <w:rPr>
                <w:rFonts w:hint="eastAsia"/>
                <w:color w:val="auto"/>
                <w:highlight w:val="none"/>
              </w:rPr>
            </w:pPr>
            <w:r>
              <w:rPr>
                <w:rFonts w:hint="eastAsia"/>
                <w:color w:val="auto"/>
                <w:highlight w:val="none"/>
              </w:rPr>
              <w:t>递交方式:只接收以纸质原件形式当面递交的质疑(不接收传真邮寄、电子邮件等非纸质原件方式)接收部门:采购人及采购代理机构</w:t>
            </w:r>
          </w:p>
        </w:tc>
      </w:tr>
      <w:tr w14:paraId="119975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72C808E9">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p>
        </w:tc>
        <w:tc>
          <w:tcPr>
            <w:tcW w:w="8644" w:type="dxa"/>
            <w:tcBorders>
              <w:tl2br w:val="nil"/>
              <w:tr2bl w:val="nil"/>
            </w:tcBorders>
            <w:vAlign w:val="center"/>
          </w:tcPr>
          <w:p w14:paraId="5A51DA1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供货地点：</w:t>
            </w:r>
            <w:r>
              <w:rPr>
                <w:rFonts w:hint="eastAsia" w:ascii="宋体" w:hAnsi="宋体" w:eastAsia="宋体" w:cs="宋体"/>
                <w:bCs/>
                <w:color w:val="auto"/>
                <w:kern w:val="0"/>
                <w:sz w:val="24"/>
                <w:szCs w:val="24"/>
                <w:highlight w:val="none"/>
                <w:lang w:eastAsia="zh-CN"/>
              </w:rPr>
              <w:t>新疆福海县</w:t>
            </w:r>
          </w:p>
        </w:tc>
      </w:tr>
      <w:tr w14:paraId="6A40A9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492F2A46">
            <w:pPr>
              <w:widowControl/>
              <w:adjustRightInd w:val="0"/>
              <w:snapToGrid w:val="0"/>
              <w:spacing w:line="440" w:lineRule="exact"/>
              <w:jc w:val="center"/>
              <w:rPr>
                <w:rFonts w:hint="eastAsia" w:ascii="宋体" w:hAnsi="宋体" w:eastAsia="宋体" w:cs="宋体"/>
                <w:color w:val="auto"/>
                <w:kern w:val="0"/>
                <w:sz w:val="24"/>
                <w:szCs w:val="24"/>
                <w:highlight w:val="none"/>
                <w:lang w:val="en-US" w:eastAsia="zh-CN" w:bidi="ar"/>
              </w:rPr>
            </w:pPr>
          </w:p>
        </w:tc>
        <w:tc>
          <w:tcPr>
            <w:tcW w:w="8644" w:type="dxa"/>
            <w:tcBorders>
              <w:tl2br w:val="nil"/>
              <w:tr2bl w:val="nil"/>
            </w:tcBorders>
            <w:vAlign w:val="center"/>
          </w:tcPr>
          <w:p w14:paraId="5B5A0736">
            <w:pPr>
              <w:spacing w:line="240" w:lineRule="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合同签订之日起一年</w:t>
            </w:r>
          </w:p>
        </w:tc>
      </w:tr>
      <w:tr w14:paraId="43BFE8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2F40F099">
            <w:pPr>
              <w:widowControl/>
              <w:adjustRightInd w:val="0"/>
              <w:snapToGrid w:val="0"/>
              <w:spacing w:line="440" w:lineRule="exact"/>
              <w:jc w:val="center"/>
              <w:rPr>
                <w:rFonts w:hint="eastAsia" w:ascii="宋体" w:hAnsi="宋体" w:eastAsia="宋体" w:cs="宋体"/>
                <w:color w:val="auto"/>
                <w:kern w:val="0"/>
                <w:sz w:val="24"/>
                <w:szCs w:val="24"/>
                <w:highlight w:val="none"/>
                <w:lang w:val="en-US" w:eastAsia="zh-CN" w:bidi="ar"/>
              </w:rPr>
            </w:pPr>
          </w:p>
        </w:tc>
        <w:tc>
          <w:tcPr>
            <w:tcW w:w="8644" w:type="dxa"/>
            <w:tcBorders>
              <w:tl2br w:val="nil"/>
              <w:tr2bl w:val="nil"/>
            </w:tcBorders>
            <w:vAlign w:val="center"/>
          </w:tcPr>
          <w:p w14:paraId="4BF756D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乙方保证所供货物质量新鲜，由保质期约定的货品，乙方配送的货品质保期应在80%以上，否则甲方有权按照不符合合同约定要求退换货物。（例：如保质期为10个月的，供货时剩余的质保期应当大于或等于8个月）。</w:t>
            </w:r>
          </w:p>
        </w:tc>
      </w:tr>
      <w:tr w14:paraId="77845F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4931C807">
            <w:pPr>
              <w:widowControl/>
              <w:adjustRightInd w:val="0"/>
              <w:snapToGrid w:val="0"/>
              <w:spacing w:line="440" w:lineRule="exact"/>
              <w:jc w:val="center"/>
              <w:rPr>
                <w:rFonts w:hint="eastAsia" w:ascii="宋体" w:hAnsi="宋体" w:eastAsia="宋体" w:cs="宋体"/>
                <w:color w:val="auto"/>
                <w:kern w:val="0"/>
                <w:sz w:val="24"/>
                <w:szCs w:val="24"/>
                <w:highlight w:val="none"/>
                <w:lang w:val="en-US" w:eastAsia="zh-CN" w:bidi="ar"/>
              </w:rPr>
            </w:pPr>
          </w:p>
        </w:tc>
        <w:tc>
          <w:tcPr>
            <w:tcW w:w="8644" w:type="dxa"/>
            <w:tcBorders>
              <w:tl2br w:val="nil"/>
              <w:tr2bl w:val="nil"/>
            </w:tcBorders>
            <w:vAlign w:val="center"/>
          </w:tcPr>
          <w:p w14:paraId="3637842F">
            <w:pPr>
              <w:keepNext w:val="0"/>
              <w:keepLines w:val="0"/>
              <w:pageBreakBefore w:val="0"/>
              <w:kinsoku/>
              <w:wordWrap/>
              <w:overflowPunct w:val="0"/>
              <w:topLinePunct w:val="0"/>
              <w:autoSpaceDE/>
              <w:autoSpaceDN/>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付款方式及币种</w:t>
            </w:r>
            <w:r>
              <w:rPr>
                <w:rFonts w:hint="eastAsia" w:ascii="宋体" w:hAnsi="宋体" w:eastAsia="宋体" w:cs="宋体"/>
                <w:color w:val="auto"/>
                <w:sz w:val="24"/>
                <w:szCs w:val="24"/>
                <w:highlight w:val="none"/>
                <w:lang w:eastAsia="zh-CN"/>
              </w:rPr>
              <w:t>：</w:t>
            </w:r>
          </w:p>
          <w:p w14:paraId="5991DC17">
            <w:pPr>
              <w:keepNext w:val="0"/>
              <w:keepLines w:val="0"/>
              <w:pageBreakBefore w:val="0"/>
              <w:kinsoku/>
              <w:wordWrap/>
              <w:overflowPunct w:val="0"/>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付款币种</w:t>
            </w:r>
          </w:p>
          <w:p w14:paraId="7C8B8728">
            <w:pPr>
              <w:keepNext w:val="0"/>
              <w:keepLines w:val="0"/>
              <w:pageBreakBefore w:val="0"/>
              <w:kinsoku/>
              <w:wordWrap/>
              <w:overflowPunct w:val="0"/>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本次招标所述的项目资金均以人民币支付。</w:t>
            </w:r>
          </w:p>
          <w:p w14:paraId="07EAB468">
            <w:pPr>
              <w:keepNext w:val="0"/>
              <w:keepLines w:val="0"/>
              <w:pageBreakBefore w:val="0"/>
              <w:kinsoku/>
              <w:wordWrap/>
              <w:topLinePunct w:val="0"/>
              <w:autoSpaceDE/>
              <w:autoSpaceDN/>
              <w:bidi w:val="0"/>
              <w:spacing w:line="360" w:lineRule="auto"/>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付款方式：最终付款方式以和甲方单位签订合同为准。</w:t>
            </w:r>
          </w:p>
        </w:tc>
      </w:tr>
      <w:tr w14:paraId="30D882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6852066D">
            <w:pPr>
              <w:widowControl/>
              <w:adjustRightInd w:val="0"/>
              <w:snapToGrid w:val="0"/>
              <w:spacing w:line="440" w:lineRule="exact"/>
              <w:jc w:val="center"/>
              <w:rPr>
                <w:rFonts w:hint="eastAsia" w:ascii="宋体" w:hAnsi="宋体" w:eastAsia="宋体" w:cs="宋体"/>
                <w:color w:val="auto"/>
                <w:kern w:val="0"/>
                <w:sz w:val="24"/>
                <w:szCs w:val="24"/>
                <w:highlight w:val="none"/>
                <w:lang w:val="en-US" w:eastAsia="zh-CN" w:bidi="ar"/>
              </w:rPr>
            </w:pPr>
          </w:p>
        </w:tc>
        <w:tc>
          <w:tcPr>
            <w:tcW w:w="8644" w:type="dxa"/>
            <w:tcBorders>
              <w:tl2br w:val="nil"/>
              <w:tr2bl w:val="nil"/>
            </w:tcBorders>
            <w:vAlign w:val="center"/>
          </w:tcPr>
          <w:p w14:paraId="1E41BC3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履约保证金：供货商在中标后，向福海某某单位缴纳合同总金额10%的履约保证金，合同期满后，无欠货、无食品质量等问题，</w:t>
            </w:r>
            <w:r>
              <w:rPr>
                <w:rFonts w:hint="eastAsia" w:ascii="宋体" w:hAnsi="宋体" w:cs="宋体"/>
                <w:b w:val="0"/>
                <w:bCs w:val="0"/>
                <w:color w:val="auto"/>
                <w:kern w:val="0"/>
                <w:sz w:val="24"/>
                <w:highlight w:val="none"/>
                <w:lang w:val="en-US" w:eastAsia="zh-CN" w:bidi="ar"/>
              </w:rPr>
              <w:t>福海某</w:t>
            </w:r>
            <w:r>
              <w:rPr>
                <w:rFonts w:hint="eastAsia" w:ascii="宋体" w:hAnsi="宋体" w:eastAsia="宋体" w:cs="宋体"/>
                <w:b w:val="0"/>
                <w:bCs w:val="0"/>
                <w:color w:val="auto"/>
                <w:kern w:val="0"/>
                <w:sz w:val="24"/>
                <w:highlight w:val="none"/>
                <w:lang w:val="en-US" w:eastAsia="zh-CN" w:bidi="ar"/>
              </w:rPr>
              <w:t>某单位将无息退还其缴纳的履约保证金。</w:t>
            </w:r>
          </w:p>
          <w:p w14:paraId="20A7323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履约保证金</w:t>
            </w:r>
            <w:r>
              <w:rPr>
                <w:rFonts w:hint="eastAsia" w:ascii="宋体" w:hAnsi="宋体" w:eastAsia="宋体" w:cs="宋体"/>
                <w:color w:val="auto"/>
                <w:kern w:val="0"/>
                <w:sz w:val="24"/>
                <w:szCs w:val="24"/>
                <w:highlight w:val="none"/>
                <w:lang w:val="en-US" w:eastAsia="zh-CN" w:bidi="ar"/>
              </w:rPr>
              <w:t>支付形式：现金、转账、电汇等形式</w:t>
            </w:r>
          </w:p>
        </w:tc>
      </w:tr>
      <w:tr w14:paraId="15B094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5EC40CF1">
            <w:pPr>
              <w:widowControl/>
              <w:adjustRightInd w:val="0"/>
              <w:snapToGrid w:val="0"/>
              <w:spacing w:line="440" w:lineRule="exact"/>
              <w:jc w:val="center"/>
              <w:rPr>
                <w:rFonts w:hint="eastAsia" w:ascii="宋体" w:hAnsi="宋体" w:eastAsia="宋体" w:cs="宋体"/>
                <w:color w:val="auto"/>
                <w:kern w:val="0"/>
                <w:sz w:val="24"/>
                <w:szCs w:val="24"/>
                <w:highlight w:val="none"/>
                <w:lang w:val="en-US" w:eastAsia="zh-CN" w:bidi="ar"/>
              </w:rPr>
            </w:pPr>
          </w:p>
        </w:tc>
        <w:tc>
          <w:tcPr>
            <w:tcW w:w="8644" w:type="dxa"/>
            <w:tcBorders>
              <w:tl2br w:val="nil"/>
              <w:tr2bl w:val="nil"/>
            </w:tcBorders>
            <w:vAlign w:val="center"/>
          </w:tcPr>
          <w:p w14:paraId="6740A15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公告发布媒介：政采云（https://www.zcygov.cn/）</w:t>
            </w:r>
          </w:p>
        </w:tc>
      </w:tr>
      <w:tr w14:paraId="01542A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9609" w:type="dxa"/>
            <w:gridSpan w:val="2"/>
            <w:tcBorders>
              <w:tl2br w:val="nil"/>
              <w:tr2bl w:val="nil"/>
            </w:tcBorders>
          </w:tcPr>
          <w:p w14:paraId="651FD83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备注：</w:t>
            </w:r>
          </w:p>
          <w:p w14:paraId="7E5E129D">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供应商参与本项目电子交易活动前，应注册成为政采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6E811858">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供应商将政采云平台电子交易客户端下载、安装完成后，可通过账号密码或CA登录客户端进行响应文件的制作及上传。在使用政采云平台投标客户端时，建议使用WIN7及以上操作系统。客户端请至新疆政府采购网（http://www.ccgp-xinjiang.gov.cn/）下载专区查看，如有问题可拨打政采云客户服务热线95763进行咨询。</w:t>
            </w:r>
          </w:p>
          <w:p w14:paraId="6C1C5A24">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3.当出现下列情形之一，投标文件将予以退回：</w:t>
            </w:r>
          </w:p>
          <w:p w14:paraId="5B044214">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（1）投标供应商在投标文件递交截止时间前未成功上传加 密电子投标文件； </w:t>
            </w:r>
          </w:p>
          <w:p w14:paraId="6C8D24FF">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（2）投标供应商使用解密的CA数字证书与上传加密投标文 件使用的CA数字证书不一致； </w:t>
            </w:r>
          </w:p>
          <w:p w14:paraId="5F73D914">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（3）投标供应商解密时CA数字证书已过期，导致无法正常解密；</w:t>
            </w:r>
          </w:p>
          <w:p w14:paraId="65BA5B05">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（4）加密投标文件时，CA数字证书未过期，解密时，显示CA数字证书已过期，导致无法正常解密； </w:t>
            </w:r>
          </w:p>
          <w:p w14:paraId="07B46B02">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（5）未在规定的投标文件解密时间内进行解密的； </w:t>
            </w:r>
          </w:p>
          <w:p w14:paraId="70008E4C">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（6）投标供应商个人原因导致无法解密的其他情形。 </w:t>
            </w:r>
          </w:p>
          <w:p w14:paraId="1B89C3D0">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4</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 xml:space="preserve">投标供应商应在投标截止时间前将投标时使用的计算机安装相关的浏览器（推荐使用谷歌浏览器）、CA驱动等软件，方便投标文件解密时能够正常解密。投标供应商需在投标截止时间前自行测试开标时使用的计算机，如因投标供应商自身原因导致投标文件解密失败的，由投标供应商自行承担相应后果。 </w:t>
            </w:r>
          </w:p>
          <w:p w14:paraId="5A34BA0F">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val="0"/>
                <w:color w:val="auto"/>
                <w:sz w:val="24"/>
                <w:szCs w:val="24"/>
                <w:highlight w:val="none"/>
                <w:lang w:val="en-US" w:eastAsia="zh-CN" w:bidi="ar"/>
              </w:rPr>
              <w:t>5.</w:t>
            </w:r>
            <w:r>
              <w:rPr>
                <w:rFonts w:hint="eastAsia" w:ascii="宋体" w:hAnsi="宋体" w:eastAsia="宋体" w:cs="宋体"/>
                <w:b/>
                <w:bCs w:val="0"/>
                <w:color w:val="auto"/>
                <w:sz w:val="24"/>
                <w:szCs w:val="24"/>
                <w:highlight w:val="none"/>
                <w:lang w:bidi="ar"/>
              </w:rPr>
              <w:t>不见面开标默认解密时长：30分钟</w:t>
            </w:r>
            <w:r>
              <w:rPr>
                <w:rFonts w:hint="eastAsia" w:ascii="宋体" w:hAnsi="宋体" w:eastAsia="宋体" w:cs="宋体"/>
                <w:b/>
                <w:bCs w:val="0"/>
                <w:color w:val="auto"/>
                <w:sz w:val="24"/>
                <w:szCs w:val="24"/>
                <w:highlight w:val="none"/>
                <w:lang w:eastAsia="zh-CN" w:bidi="ar"/>
              </w:rPr>
              <w:t>，</w:t>
            </w:r>
            <w:r>
              <w:rPr>
                <w:rFonts w:hint="eastAsia" w:ascii="宋体" w:hAnsi="宋体" w:eastAsia="宋体" w:cs="宋体"/>
                <w:b/>
                <w:bCs w:val="0"/>
                <w:color w:val="auto"/>
                <w:sz w:val="24"/>
                <w:szCs w:val="24"/>
                <w:highlight w:val="none"/>
              </w:rPr>
              <w:t>关于能否延长解密时间的约定：否</w:t>
            </w:r>
          </w:p>
          <w:p w14:paraId="6B4FE061">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为保证本项目产品质量，良好的售后服务；最低报价不作为中标的唯一依据。</w:t>
            </w:r>
          </w:p>
          <w:p w14:paraId="2A029100">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7.低于成本价不正当竞争预防措施：</w:t>
            </w:r>
          </w:p>
          <w:p w14:paraId="4E12F224">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（一）根据“财政部87 号令《政府采购货物服务招标投标管理办法》”第六十条之规定：1.在评审过程中，</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认为供应商投标价明显低于其他供应商投标价，有可能影响产品质量或者不能诚信履约的，</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应当要求其在现场合理的时间内提供书面说明，并提交相关证明材料，供应商不能证明其报价合理性的，</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应当将其作为无效处理。</w:t>
            </w:r>
          </w:p>
          <w:p w14:paraId="47007326">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2.供应商的书面说明材料应当按照国家财务会计制度的规定要求，逐项就供应商提供的货物、工程和服务的主营业务成本、税金及附加、销售费用、管理费用、财务费用等成本构成事项详细陈述）。</w:t>
            </w:r>
          </w:p>
          <w:p w14:paraId="633BE801">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3.供应商书面说明应当签字确认或者加盖公章，否则无效。书面说明的签字确认，由其法定代表人或者其授权代表签字确认。</w:t>
            </w:r>
          </w:p>
          <w:p w14:paraId="124B97EE">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4.供应商提供书面说明后，</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应当结合采购项目采购需求、专业实际情况、供应商财务状况报告、与其他供应商比较情况等就供应商书面说明进行审查评价。</w:t>
            </w:r>
          </w:p>
          <w:p w14:paraId="46C0DA01">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供应商拒绝或者变相拒绝提供有效书面说明或者书面说明不能证明其报价合理性的或未在规定时间内递交有效书面说明书的，评标委员会应当将其响应</w:t>
            </w:r>
          </w:p>
          <w:p w14:paraId="0FC034B7">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文件作为无效处理。</w:t>
            </w:r>
          </w:p>
          <w:p w14:paraId="566F0619">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（二）采购人应当在采购文件中明确，政府采购评审中出现下列情形之一的，</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应当启动异常低价投标（响应）审查程序：</w:t>
            </w:r>
          </w:p>
          <w:p w14:paraId="3D9AFAB6">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1.投标（响应）报价低于全部通过符合性审查供应商投标（响应）报价平均值50%的，即投标（响应）报价&lt;全部通过符合性审查供应商投标（响应）报价平均值×50%；</w:t>
            </w:r>
          </w:p>
          <w:p w14:paraId="30E63D2F">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2.投标（响应）报价低于通过符合性审查的次低报价供应商投标（响应）报价50%的，即投标（响应）报价&lt;通过符合性审查的次低报价供应商投标（响应）报价×50%；</w:t>
            </w:r>
          </w:p>
          <w:p w14:paraId="741CB28E">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3.投标（响应）报价低于采购项目最高限价45%的，即投标（响应）报价&lt;采购项目最高限价×45%；</w:t>
            </w:r>
          </w:p>
          <w:p w14:paraId="61CE0F72">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基于专业判断，认为供应商报价过低，有可能影响产品质量或者不能诚信履约的其他情形。</w:t>
            </w:r>
          </w:p>
          <w:p w14:paraId="57F2B1C4">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采购人可以结合具体项目实际情况，提高上述第1项至第3项中启动异常低价投标（响应）审查的数值标准，但是最高不得超过65%。</w:t>
            </w:r>
          </w:p>
          <w:p w14:paraId="519A02F3">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相关法律法规对供应商报价有规定的，从其规定。</w:t>
            </w:r>
          </w:p>
          <w:p w14:paraId="08BB97A1">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FD6C89">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依据专业经验，参考同类项目中标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应当将其作为无效投标（响应）处理。</w:t>
            </w:r>
          </w:p>
          <w:p w14:paraId="7EF06D4C">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采购人、采购代理机构应当为</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在评审现场及时获取同类项目中标价格、类似产品市场价格水平、行业人工费用标准、国家有关部门指导行业协会发布的行业平均成本等相关信息资料提供便利。</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借助互联网等渠道查询相关信息的，应当严格遵守评审工作纪律，不得实施影响评审公正的行为。</w:t>
            </w:r>
          </w:p>
          <w:p w14:paraId="55781E24">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异常低价投标（响应）审查的启动原因、审查意见和审查结果应当在评审报告中记录，并随供应商提供的相关书面说明及证明材料，以及</w:t>
            </w:r>
            <w:r>
              <w:rPr>
                <w:rFonts w:hint="eastAsia" w:ascii="宋体" w:hAnsi="宋体" w:cs="宋体"/>
                <w:b/>
                <w:bCs/>
                <w:color w:val="auto"/>
                <w:kern w:val="0"/>
                <w:sz w:val="24"/>
                <w:szCs w:val="24"/>
                <w:highlight w:val="none"/>
                <w:lang w:val="en-US" w:eastAsia="zh-CN" w:bidi="ar"/>
              </w:rPr>
              <w:t>评标委员会</w:t>
            </w:r>
            <w:r>
              <w:rPr>
                <w:rFonts w:hint="eastAsia" w:ascii="宋体" w:hAnsi="宋体" w:eastAsia="宋体" w:cs="宋体"/>
                <w:b/>
                <w:bCs/>
                <w:color w:val="auto"/>
                <w:kern w:val="0"/>
                <w:sz w:val="24"/>
                <w:szCs w:val="24"/>
                <w:highlight w:val="none"/>
                <w:lang w:val="en-US" w:eastAsia="zh-CN" w:bidi="ar"/>
              </w:rPr>
              <w:t>有关互联网浏览、查询历史一并归档。</w:t>
            </w:r>
          </w:p>
          <w:p w14:paraId="0AF35538">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投标人应认真阅读招标文件中的每一个条款及要求，因误读招标文件而造成的后果，招标人概不负责。</w:t>
            </w:r>
          </w:p>
        </w:tc>
      </w:tr>
    </w:tbl>
    <w:p w14:paraId="76853EF8">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1885EC1">
      <w:pPr>
        <w:pStyle w:val="3"/>
        <w:bidi w:val="0"/>
        <w:rPr>
          <w:rFonts w:hint="eastAsia" w:ascii="宋体" w:hAnsi="宋体" w:eastAsia="宋体" w:cs="宋体"/>
          <w:b/>
          <w:bCs/>
          <w:color w:val="auto"/>
          <w:sz w:val="28"/>
          <w:szCs w:val="28"/>
          <w:highlight w:val="none"/>
        </w:rPr>
      </w:pPr>
      <w:bookmarkStart w:id="32" w:name="_Toc25513"/>
      <w:bookmarkStart w:id="33" w:name="_Toc236"/>
      <w:r>
        <w:rPr>
          <w:rFonts w:hint="eastAsia" w:ascii="宋体" w:hAnsi="宋体" w:eastAsia="宋体" w:cs="宋体"/>
          <w:color w:val="auto"/>
          <w:highlight w:val="none"/>
        </w:rPr>
        <w:t>第三章 投标人须知</w:t>
      </w:r>
      <w:bookmarkEnd w:id="32"/>
      <w:bookmarkEnd w:id="33"/>
    </w:p>
    <w:p w14:paraId="0584E1B1">
      <w:pPr>
        <w:pStyle w:val="4"/>
        <w:bidi w:val="0"/>
        <w:rPr>
          <w:rFonts w:hint="eastAsia" w:ascii="宋体" w:hAnsi="宋体" w:eastAsia="宋体" w:cs="宋体"/>
          <w:b/>
          <w:bCs/>
          <w:color w:val="auto"/>
          <w:sz w:val="24"/>
          <w:highlight w:val="none"/>
        </w:rPr>
      </w:pPr>
      <w:bookmarkStart w:id="34" w:name="_Toc22142"/>
      <w:bookmarkStart w:id="35" w:name="_Toc11492"/>
      <w:r>
        <w:rPr>
          <w:rFonts w:hint="eastAsia" w:ascii="宋体" w:hAnsi="宋体" w:eastAsia="宋体" w:cs="宋体"/>
          <w:color w:val="auto"/>
          <w:highlight w:val="none"/>
        </w:rPr>
        <w:t>一、说 明</w:t>
      </w:r>
      <w:bookmarkEnd w:id="34"/>
      <w:bookmarkEnd w:id="35"/>
    </w:p>
    <w:p w14:paraId="6A52DD9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  采购人、采购代理机构及投标人 </w:t>
      </w:r>
    </w:p>
    <w:p w14:paraId="6EFAE94A">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采购人：是指依法进行政府采购的国家机构、事业单位、团体组织。</w:t>
      </w:r>
    </w:p>
    <w:p w14:paraId="3AFADA2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采购代理机构：</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指接受采购人委托，代理采购项目的采购代理机构。</w:t>
      </w:r>
    </w:p>
    <w:p w14:paraId="5C431DB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投标人：是指响应招标、参加投标竞争的法人、非法人组织或者自然人。潜在投标人：以招标文件规定的方式获取本项目招标文件的法人、非法人组织或者自然人。</w:t>
      </w:r>
    </w:p>
    <w:p w14:paraId="2884639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投标人须满足以下条件： </w:t>
      </w:r>
    </w:p>
    <w:p w14:paraId="2FF77C9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1.3.1在中华人民共和国境内注册，能够独立承担民事责任，有生产或供应能力的本国投标人，包括法人、非法人组织或者自然人。 </w:t>
      </w:r>
    </w:p>
    <w:p w14:paraId="572F91E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具备《中华人民共和国政府采购法》第二十二条关于投标人条件的规定，遵守国家、本项目采购人本级和上级财政部门政府采购的有关规定。 </w:t>
      </w:r>
    </w:p>
    <w:p w14:paraId="3B8F408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1.3.3 以招标文件规定的方式获得了本项目的招标文件。 </w:t>
      </w:r>
    </w:p>
    <w:p w14:paraId="7CF8D8E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中规定的其他资格要求。</w:t>
      </w:r>
    </w:p>
    <w:p w14:paraId="75B494A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pacing w:val="1"/>
          <w:w w:val="26"/>
          <w:kern w:val="0"/>
          <w:sz w:val="24"/>
          <w:highlight w:val="none"/>
        </w:rPr>
        <w:t xml:space="preserve">  </w:t>
      </w:r>
      <w:r>
        <w:rPr>
          <w:rFonts w:hint="eastAsia" w:ascii="宋体" w:hAnsi="宋体" w:eastAsia="宋体" w:cs="宋体"/>
          <w:color w:val="auto"/>
          <w:w w:val="26"/>
          <w:kern w:val="0"/>
          <w:sz w:val="24"/>
          <w:highlight w:val="none"/>
        </w:rPr>
        <w:t xml:space="preserve"> </w:t>
      </w:r>
      <w:r>
        <w:rPr>
          <w:rFonts w:hint="eastAsia" w:ascii="宋体" w:hAnsi="宋体" w:eastAsia="宋体" w:cs="宋体"/>
          <w:color w:val="auto"/>
          <w:sz w:val="24"/>
          <w:highlight w:val="none"/>
        </w:rPr>
        <w:t>如经财政主管部门批准可以采购进口产品，将在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中写明。但投标人应保证所投产品可履行合法报通关手续进入中国关境内。若</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中未写明允许采购进口产品，如投标人所投产品为进口产品，其投标将作为</w:t>
      </w:r>
      <w:r>
        <w:rPr>
          <w:rFonts w:hint="eastAsia" w:ascii="宋体" w:hAnsi="宋体" w:eastAsia="宋体" w:cs="宋体"/>
          <w:b/>
          <w:bCs/>
          <w:color w:val="auto"/>
          <w:sz w:val="24"/>
          <w:highlight w:val="none"/>
        </w:rPr>
        <w:t>无效投标</w:t>
      </w:r>
      <w:r>
        <w:rPr>
          <w:rFonts w:hint="eastAsia" w:ascii="宋体" w:hAnsi="宋体" w:eastAsia="宋体" w:cs="宋体"/>
          <w:color w:val="auto"/>
          <w:sz w:val="24"/>
          <w:highlight w:val="none"/>
        </w:rPr>
        <w:t>被拒绝。</w:t>
      </w:r>
    </w:p>
    <w:p w14:paraId="2A813A0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14:paraId="7AE21E8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 投标标的所属行业见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 xml:space="preserve">。 </w:t>
      </w:r>
    </w:p>
    <w:p w14:paraId="203BFA9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若</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中写明专门面向中小企业采购的，如投标人所提供的货物为非中小企业制造，其投标将被认定为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。承接企业如为监狱企业或残疾人福利性单位的，视同为小型、微型企业。</w:t>
      </w:r>
    </w:p>
    <w:p w14:paraId="5FD248E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 本项目是否面向中小企业采购预留份额、措施及比例见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，未达到上述比例的投标将被认定为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。承接企业如为监狱企业或残疾人福利性单位的，视同为小型、微型企业。</w:t>
      </w:r>
    </w:p>
    <w:p w14:paraId="2D5F219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1.5.4 享受中小企业扶持政策获得政府采购合同的，小微企业不得将合同分包给大中型企业，中型企业不得将合同分包给大型企业。</w:t>
      </w:r>
    </w:p>
    <w:p w14:paraId="180F652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如</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 xml:space="preserve">中允许联合体投标，对联合体规定如下： </w:t>
      </w:r>
    </w:p>
    <w:p w14:paraId="756747E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1.6.1 两个以上投标人可以组成一个投标联合体，以一个投标人的身份投标。 </w:t>
      </w:r>
    </w:p>
    <w:p w14:paraId="3079555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联合体各方均应符合《中华人民共和国政府采购法》第二十二条规定的条件，遵守国家、本项目采购人本级和上级财政部门政府采购的有关规定。</w:t>
      </w:r>
    </w:p>
    <w:p w14:paraId="31372E3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1.6.3 采购人根据采购项目对投标人的特殊要求，联合体中至少应当有一方符合相关规定。 </w:t>
      </w:r>
    </w:p>
    <w:p w14:paraId="6EF4158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1.6.4 联合体各方应签订共同投标协议，明确约定联合体各方承担的工作和相应的责任，并将共同投标协议连同投标文件一并提交采购人或采购代理机构。 </w:t>
      </w:r>
    </w:p>
    <w:p w14:paraId="18F2CEB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14:paraId="7B1E11F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1.6.6 联合体中有同类资质的投标人按照联合体分工承担相同工作的，按照资质等级较低的投标人确定资质等级。</w:t>
      </w:r>
      <w:r>
        <w:rPr>
          <w:rFonts w:hint="eastAsia" w:ascii="宋体" w:hAnsi="宋体" w:eastAsia="宋体" w:cs="宋体"/>
          <w:color w:val="auto"/>
          <w:sz w:val="24"/>
          <w:highlight w:val="none"/>
          <w:lang w:bidi="ar"/>
        </w:rPr>
        <w:t>（本项目不适用）</w:t>
      </w:r>
      <w:r>
        <w:rPr>
          <w:rFonts w:hint="eastAsia" w:ascii="宋体" w:hAnsi="宋体" w:eastAsia="宋体" w:cs="宋体"/>
          <w:color w:val="auto"/>
          <w:sz w:val="24"/>
          <w:highlight w:val="none"/>
        </w:rPr>
        <w:t xml:space="preserve"> </w:t>
      </w:r>
    </w:p>
    <w:p w14:paraId="719D7C1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1.6.7 以联合体形式参加政府采购活动的，联合体各方不得再单独参加或者与其他投标人另外组成联合体参加本项目投标，否则相关投标将被认定为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 xml:space="preserve">。 </w:t>
      </w:r>
    </w:p>
    <w:p w14:paraId="2B2261DA">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1.6.8 对联合体投标的其他资格要求见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 xml:space="preserve">。 </w:t>
      </w:r>
    </w:p>
    <w:p w14:paraId="6E0477C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1.7 单位负责人为同一人或者存在直接控股、管理关系的不同投标人，其投标将被认定为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532202A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1.8 为本项目提供整体设计、规范编制或者项目管理、监理、检测等服务的投标人，其投标将被认定为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w:t>
      </w:r>
    </w:p>
    <w:p w14:paraId="07FA2C0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2．资金来源 </w:t>
      </w:r>
    </w:p>
    <w:p w14:paraId="6425F5F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 本项目的采购人已获得足以支付本次招标后所签订的合同项下的资金（包括财政性资金和本项目采购中无法与财政性资金分割的非财政性资金）。 </w:t>
      </w:r>
    </w:p>
    <w:p w14:paraId="406DEC0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项目预算金额和最高限价见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 xml:space="preserve">。 </w:t>
      </w:r>
    </w:p>
    <w:p w14:paraId="0D8A935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投标人报价超过招标文件规定的预算金额或者最高限价的，其投标将被认定为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 xml:space="preserve"> </w:t>
      </w:r>
    </w:p>
    <w:p w14:paraId="3F8F93C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 投标费用 </w:t>
      </w:r>
    </w:p>
    <w:p w14:paraId="1DED721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不论投标的结果如何，投标人应承担所有与投标有关的费用。 </w:t>
      </w:r>
    </w:p>
    <w:p w14:paraId="67047C2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 适用法律 </w:t>
      </w:r>
    </w:p>
    <w:p w14:paraId="03BC7E4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14:paraId="301FC744">
      <w:pPr>
        <w:bidi w:val="0"/>
        <w:rPr>
          <w:rFonts w:hint="eastAsia" w:ascii="宋体" w:hAnsi="宋体" w:eastAsia="宋体" w:cs="宋体"/>
          <w:color w:val="auto"/>
          <w:highlight w:val="none"/>
        </w:rPr>
      </w:pPr>
    </w:p>
    <w:p w14:paraId="0FDB1D89">
      <w:pPr>
        <w:pStyle w:val="4"/>
        <w:bidi w:val="0"/>
        <w:rPr>
          <w:rFonts w:hint="eastAsia" w:ascii="宋体" w:hAnsi="宋体" w:eastAsia="宋体" w:cs="宋体"/>
          <w:color w:val="auto"/>
          <w:sz w:val="24"/>
          <w:highlight w:val="none"/>
        </w:rPr>
      </w:pPr>
      <w:bookmarkStart w:id="36" w:name="_Toc6471"/>
      <w:bookmarkStart w:id="37" w:name="_Toc16791"/>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招标文件</w:t>
      </w:r>
      <w:bookmarkEnd w:id="36"/>
      <w:bookmarkEnd w:id="37"/>
    </w:p>
    <w:p w14:paraId="48F26DB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  招标文件构成 </w:t>
      </w:r>
    </w:p>
    <w:p w14:paraId="6DF75E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pacing w:val="48"/>
          <w:kern w:val="0"/>
          <w:sz w:val="24"/>
          <w:highlight w:val="none"/>
          <w:fitText w:val="216" w:id="1"/>
        </w:rPr>
        <w:t xml:space="preserve"> </w:t>
      </w:r>
      <w:r>
        <w:rPr>
          <w:rFonts w:hint="eastAsia" w:ascii="宋体" w:hAnsi="宋体" w:eastAsia="宋体" w:cs="宋体"/>
          <w:color w:val="auto"/>
          <w:sz w:val="24"/>
          <w:highlight w:val="none"/>
        </w:rPr>
        <w:t xml:space="preserve">要求提供货物及伴随服务的内容及详细技术需求、投标须知和合同条件等在招标文件中均有说明。 </w:t>
      </w:r>
    </w:p>
    <w:p w14:paraId="041BCC5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招标文件共七章。各册的内容如下： </w:t>
      </w:r>
    </w:p>
    <w:p w14:paraId="67D349C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招标公告 </w:t>
      </w:r>
    </w:p>
    <w:p w14:paraId="085EE7E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第二章 投标须知前附表 </w:t>
      </w:r>
    </w:p>
    <w:p w14:paraId="294B5CE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投标人须知</w:t>
      </w:r>
    </w:p>
    <w:p w14:paraId="0285E34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第四章 政府采购合同 </w:t>
      </w:r>
    </w:p>
    <w:p w14:paraId="4D4605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采购需求 </w:t>
      </w:r>
    </w:p>
    <w:p w14:paraId="76B32C0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评标方法和标准</w:t>
      </w:r>
    </w:p>
    <w:p w14:paraId="15E2899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第七章 投标文件格式 </w:t>
      </w:r>
    </w:p>
    <w:p w14:paraId="271AF60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  招标文件中有不一致的，有澄清的部分以最终的澄清更正内容为准；未澄清的，以</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为准；</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 xml:space="preserve">不涉及的内容，以编排在后的最后描述为准。 </w:t>
      </w:r>
    </w:p>
    <w:p w14:paraId="45D85D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 投标人应认真阅读招标文件所有的事项、格式、条款和技术规范等。如投标人没有按照招标文件要求提交全部资料，或者投标文件没有对招标文件在各方面都做出实质性响应是投标人的风险，</w:t>
      </w:r>
      <w:r>
        <w:rPr>
          <w:rFonts w:hint="eastAsia" w:ascii="宋体" w:hAnsi="宋体" w:eastAsia="宋体" w:cs="宋体"/>
          <w:color w:val="auto"/>
          <w:sz w:val="24"/>
          <w:highlight w:val="none"/>
          <w:lang w:bidi="ar"/>
        </w:rPr>
        <w:t>其投标将被认定为</w:t>
      </w:r>
      <w:r>
        <w:rPr>
          <w:rFonts w:hint="eastAsia" w:ascii="宋体" w:hAnsi="宋体" w:eastAsia="宋体" w:cs="宋体"/>
          <w:b/>
          <w:color w:val="auto"/>
          <w:sz w:val="24"/>
          <w:highlight w:val="none"/>
          <w:lang w:bidi="ar"/>
        </w:rPr>
        <w:t>投标无效</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 xml:space="preserve"> </w:t>
      </w:r>
    </w:p>
    <w:p w14:paraId="3F4D806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5.4 现场考察或者答疑会及相关事项见</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 </w:t>
      </w:r>
    </w:p>
    <w:p w14:paraId="5E5E1B2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5.5 原则上采购人、采购代理机构不要求投标人提供样品。除仅凭书面方式不能准确描述采购需求，或者需要对样品进行主观判断以确认是否满足采购需求等特殊情况除外。 </w:t>
      </w:r>
    </w:p>
    <w:p w14:paraId="270EC36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如需提供样品，对样品相关要求见</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，对样品的评审方法及评审标准见招标文件第六章。 </w:t>
      </w:r>
    </w:p>
    <w:p w14:paraId="01E7E6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 招标文件的澄清与修改 </w:t>
      </w:r>
    </w:p>
    <w:p w14:paraId="2568DC4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 采购人可主动地或在解答投标人提出的澄清问题时对招标文件进行澄清或修改。采购代理机构将以发布澄清（更正）公告的方式，澄清或修改招标文件，澄清或修改内容作为招标文件的组成部分。 </w:t>
      </w:r>
    </w:p>
    <w:p w14:paraId="5CF81EA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 </w:t>
      </w:r>
    </w:p>
    <w:p w14:paraId="5EFC41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因潜在投标人原因或通讯线路故障导致通知逾期送达或无法送达，采购代理机构不因此承担任何责任，有关的招标采购活动可以继续有效进行。</w:t>
      </w:r>
    </w:p>
    <w:p w14:paraId="3D00F3E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spacing w:val="48"/>
          <w:w w:val="100"/>
          <w:kern w:val="0"/>
          <w:sz w:val="24"/>
          <w:highlight w:val="none"/>
          <w:fitText w:val="216" w:id="2"/>
        </w:rPr>
        <w:t xml:space="preserve"> </w:t>
      </w:r>
      <w:r>
        <w:rPr>
          <w:rFonts w:hint="eastAsia" w:ascii="宋体" w:hAnsi="宋体" w:eastAsia="宋体" w:cs="宋体"/>
          <w:color w:val="auto"/>
          <w:sz w:val="24"/>
          <w:highlight w:val="none"/>
        </w:rPr>
        <w:t xml:space="preserve">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 </w:t>
      </w:r>
    </w:p>
    <w:p w14:paraId="76135C7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 投标截止时间的顺延 </w:t>
      </w:r>
    </w:p>
    <w:p w14:paraId="0CEEEFA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为使投标人有足够的时间对招标文件的澄清或者修改部分进行研究而准备投标或因其他原因，采购人将依法决定是否顺延投标截止时间。</w:t>
      </w:r>
    </w:p>
    <w:p w14:paraId="491CB7D2">
      <w:pPr>
        <w:adjustRightInd w:val="0"/>
        <w:snapToGrid w:val="0"/>
        <w:spacing w:line="440" w:lineRule="exact"/>
        <w:ind w:left="636" w:hanging="636" w:hangingChars="265"/>
        <w:rPr>
          <w:rFonts w:hint="eastAsia" w:ascii="宋体" w:hAnsi="宋体" w:eastAsia="宋体" w:cs="宋体"/>
          <w:color w:val="auto"/>
          <w:sz w:val="24"/>
          <w:highlight w:val="none"/>
        </w:rPr>
      </w:pPr>
    </w:p>
    <w:p w14:paraId="5C60B567">
      <w:pPr>
        <w:pStyle w:val="4"/>
        <w:bidi w:val="0"/>
        <w:rPr>
          <w:rFonts w:hint="eastAsia" w:ascii="宋体" w:hAnsi="宋体" w:eastAsia="宋体" w:cs="宋体"/>
          <w:color w:val="auto"/>
          <w:highlight w:val="none"/>
        </w:rPr>
      </w:pPr>
      <w:bookmarkStart w:id="38" w:name="_Toc28509"/>
      <w:bookmarkStart w:id="39" w:name="_Toc11756"/>
      <w:r>
        <w:rPr>
          <w:rFonts w:hint="eastAsia" w:ascii="宋体" w:hAnsi="宋体" w:eastAsia="宋体" w:cs="宋体"/>
          <w:color w:val="auto"/>
          <w:highlight w:val="none"/>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投标文件的编制</w:t>
      </w:r>
      <w:bookmarkEnd w:id="38"/>
      <w:bookmarkEnd w:id="39"/>
    </w:p>
    <w:p w14:paraId="314F753F">
      <w:pPr>
        <w:adjustRightInd w:val="0"/>
        <w:snapToGrid w:val="0"/>
        <w:spacing w:line="440" w:lineRule="exact"/>
        <w:ind w:left="636" w:hanging="636" w:hangingChars="265"/>
        <w:rPr>
          <w:rFonts w:hint="eastAsia" w:ascii="宋体" w:hAnsi="宋体" w:eastAsia="宋体" w:cs="宋体"/>
          <w:color w:val="auto"/>
          <w:sz w:val="24"/>
          <w:highlight w:val="none"/>
        </w:rPr>
      </w:pPr>
    </w:p>
    <w:p w14:paraId="5B15111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8. 投标范围及投标文件中标准和计量单位的使用 </w:t>
      </w:r>
    </w:p>
    <w:p w14:paraId="27D928B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u w:val="single"/>
          <w:lang w:bidi="ar"/>
        </w:rPr>
      </w:pPr>
      <w:r>
        <w:rPr>
          <w:rFonts w:hint="eastAsia" w:ascii="宋体" w:hAnsi="宋体" w:eastAsia="宋体" w:cs="宋体"/>
          <w:bCs w:val="0"/>
          <w:color w:val="auto"/>
          <w:spacing w:val="0"/>
          <w:kern w:val="2"/>
          <w:sz w:val="24"/>
          <w:szCs w:val="24"/>
          <w:highlight w:val="none"/>
          <w:lang w:bidi="ar"/>
        </w:rPr>
        <w:t>8.1 投标人可对招标文件中一个或几个分包货物进行投标，除非在</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中另有规定。 </w:t>
      </w:r>
    </w:p>
    <w:p w14:paraId="6CE9FC8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8.2 投标人应当对所投分包招标文件采购需求中“采购需求一览表”所列的所有内容进行投标，如仅响应分包中的部分内容，其该包投标将被认定为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115F3D5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8.3 无论招标文件中是否要求，投标人所投货物及其伴随的服务和工程均应符合国家强制性标准。 </w:t>
      </w:r>
    </w:p>
    <w:p w14:paraId="67493BE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8.4 除招标文件中有特殊要求外，投标文件中所使用的计量单位，应采用中华人民共和国法定计量单位。 </w:t>
      </w:r>
    </w:p>
    <w:p w14:paraId="5A550C4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9.  投标文件组成 </w:t>
      </w:r>
    </w:p>
    <w:p w14:paraId="6AD3AFB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44F9977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9.2 上述文件应按照招标文件的规定签署</w:t>
      </w:r>
      <w:r>
        <w:rPr>
          <w:rFonts w:hint="eastAsia" w:ascii="宋体" w:hAnsi="宋体" w:cs="宋体"/>
          <w:bCs w:val="0"/>
          <w:color w:val="auto"/>
          <w:spacing w:val="0"/>
          <w:kern w:val="2"/>
          <w:sz w:val="24"/>
          <w:szCs w:val="24"/>
          <w:highlight w:val="none"/>
          <w:lang w:eastAsia="zh-CN" w:bidi="ar"/>
        </w:rPr>
        <w:t>和加</w:t>
      </w:r>
      <w:r>
        <w:rPr>
          <w:rFonts w:hint="eastAsia" w:ascii="宋体" w:hAnsi="宋体" w:eastAsia="宋体" w:cs="宋体"/>
          <w:bCs w:val="0"/>
          <w:color w:val="auto"/>
          <w:spacing w:val="0"/>
          <w:kern w:val="2"/>
          <w:sz w:val="24"/>
          <w:szCs w:val="24"/>
          <w:highlight w:val="none"/>
          <w:lang w:bidi="ar"/>
        </w:rPr>
        <w:t xml:space="preserve">盖公章。 </w:t>
      </w:r>
    </w:p>
    <w:p w14:paraId="0F0DEDF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10. 证明投标标的的合格性和符合招标文件规定的技术文件 </w:t>
      </w:r>
    </w:p>
    <w:p w14:paraId="6FD69DE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10.1 投标人应提交证明文件，证明其投标标的符合招标文件规定。该证明文件是投标文件的技术文件。 </w:t>
      </w:r>
    </w:p>
    <w:p w14:paraId="415C9DD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10.2 上款所述的证明文件，可以是文字资料、图纸和数据，它包括：</w:t>
      </w:r>
    </w:p>
    <w:p w14:paraId="5694002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（1）货物主要技术指标和性能的详细说明。 </w:t>
      </w:r>
    </w:p>
    <w:p w14:paraId="79C1C75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（2）货物从买方开始使用至招标文件规定的保质期内正常、连续地使用所必须的备件和专用工具清单，包括备件和专用工具的货源及现行价格。 </w:t>
      </w:r>
    </w:p>
    <w:p w14:paraId="06E9F7F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（3）对照招标文件技术规格，逐条说明所提供货物和服务已对招标文件的技术规格做出了实质性的响应，或申明与技术规格条文的偏差和例外。</w:t>
      </w:r>
    </w:p>
    <w:p w14:paraId="1581CD8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hint="eastAsia" w:ascii="宋体" w:hAnsi="宋体" w:eastAsia="宋体" w:cs="宋体"/>
          <w:b/>
          <w:color w:val="auto"/>
          <w:spacing w:val="0"/>
          <w:kern w:val="2"/>
          <w:sz w:val="24"/>
          <w:szCs w:val="24"/>
          <w:highlight w:val="none"/>
          <w:lang w:bidi="ar"/>
        </w:rPr>
        <w:t>采购人、采购代理机构承诺不以上述参考品牌、牌号或分类号作为评标时判定其投标是否有效的标准</w:t>
      </w:r>
      <w:r>
        <w:rPr>
          <w:rFonts w:hint="eastAsia" w:ascii="宋体" w:hAnsi="宋体" w:eastAsia="宋体" w:cs="宋体"/>
          <w:bCs w:val="0"/>
          <w:color w:val="auto"/>
          <w:spacing w:val="0"/>
          <w:kern w:val="2"/>
          <w:sz w:val="24"/>
          <w:szCs w:val="24"/>
          <w:highlight w:val="none"/>
          <w:lang w:bidi="ar"/>
        </w:rPr>
        <w:t xml:space="preserve">。 </w:t>
      </w:r>
    </w:p>
    <w:p w14:paraId="4349D51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10.4 本条所指证明文件不包括对招标文件相关部分的文字、图标的复制。</w:t>
      </w:r>
    </w:p>
    <w:p w14:paraId="50D1629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11. 投标报价 </w:t>
      </w:r>
    </w:p>
    <w:p w14:paraId="59577AD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w:t>
      </w:r>
      <w:r>
        <w:rPr>
          <w:rFonts w:hint="eastAsia" w:ascii="宋体" w:hAnsi="宋体" w:cs="宋体"/>
          <w:bCs w:val="0"/>
          <w:color w:val="auto"/>
          <w:spacing w:val="0"/>
          <w:kern w:val="2"/>
          <w:sz w:val="24"/>
          <w:szCs w:val="24"/>
          <w:highlight w:val="none"/>
          <w:lang w:eastAsia="zh-CN" w:bidi="ar"/>
        </w:rPr>
        <w:t>法律法规</w:t>
      </w:r>
      <w:r>
        <w:rPr>
          <w:rFonts w:hint="eastAsia" w:ascii="宋体" w:hAnsi="宋体" w:eastAsia="宋体" w:cs="宋体"/>
          <w:bCs w:val="0"/>
          <w:color w:val="auto"/>
          <w:spacing w:val="0"/>
          <w:kern w:val="2"/>
          <w:sz w:val="24"/>
          <w:szCs w:val="24"/>
          <w:highlight w:val="none"/>
          <w:lang w:bidi="ar"/>
        </w:rPr>
        <w:t>的规定，为保证公平竞争，如投标人有货物主体部分的赠与行为，将导致其</w:t>
      </w:r>
      <w:r>
        <w:rPr>
          <w:rFonts w:hint="eastAsia" w:ascii="宋体" w:hAnsi="宋体" w:eastAsia="宋体" w:cs="宋体"/>
          <w:b/>
          <w:color w:val="auto"/>
          <w:spacing w:val="0"/>
          <w:kern w:val="2"/>
          <w:sz w:val="24"/>
          <w:szCs w:val="24"/>
          <w:highlight w:val="none"/>
          <w:lang w:bidi="ar"/>
        </w:rPr>
        <w:t>投标被拒绝</w:t>
      </w:r>
      <w:r>
        <w:rPr>
          <w:rFonts w:hint="eastAsia" w:ascii="宋体" w:hAnsi="宋体" w:eastAsia="宋体" w:cs="宋体"/>
          <w:bCs w:val="0"/>
          <w:color w:val="auto"/>
          <w:spacing w:val="0"/>
          <w:kern w:val="2"/>
          <w:sz w:val="24"/>
          <w:szCs w:val="24"/>
          <w:highlight w:val="none"/>
          <w:lang w:bidi="ar"/>
        </w:rPr>
        <w:t xml:space="preserve">。 </w:t>
      </w:r>
    </w:p>
    <w:p w14:paraId="420BBF0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11.2 投标人应在投标分项报价表上标明货物及伴随的服务和工程的单价（如适用）和总价，并由法定代表人或委托代理人签字或盖章。 </w:t>
      </w:r>
    </w:p>
    <w:p w14:paraId="7445378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11.3 投标人所报的各分项投标单价在合同履行过程中是固定不变的，不得以任何理由予以变更。任何包含价格调整要求的投标，其投标将被认定为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0310067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11.4 每种货物及伴随的服务只能有一个投标报价，否则其投标将被认定为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，采购人不接受具有附加条件的报价。 </w:t>
      </w:r>
    </w:p>
    <w:p w14:paraId="1BF360C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11.5 投标分项报价表上的价格应按下列方式填写：</w:t>
      </w:r>
    </w:p>
    <w:p w14:paraId="4D5D5DB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14:paraId="1A8976A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12. 投标保证金 </w:t>
      </w:r>
    </w:p>
    <w:p w14:paraId="2905E9A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12.1 投标人应提交</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中规定的投标保证金，并作为其投标的一部分。 </w:t>
      </w:r>
    </w:p>
    <w:p w14:paraId="7BE91A0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12.2 投标保证金是为了保护采购人和采购代理机构免遭因投标人的行为蒙受损失而要求的。 </w:t>
      </w:r>
    </w:p>
    <w:p w14:paraId="0266C7E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下列任何情况发生，投标保证金不予退还： </w:t>
      </w:r>
    </w:p>
    <w:p w14:paraId="1960A9E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（1）在投标有效期内，投标人撤回投标的； </w:t>
      </w:r>
    </w:p>
    <w:p w14:paraId="79553AF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（2）中标人不按本招标文件的规定与采购人签订合同的； </w:t>
      </w:r>
    </w:p>
    <w:p w14:paraId="53CDDEC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（3）中标人不按本招标文件的规定提交履约保证金的； </w:t>
      </w:r>
    </w:p>
    <w:p w14:paraId="0F9BB25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w:t>
      </w:r>
      <w:r>
        <w:rPr>
          <w:rFonts w:hint="eastAsia" w:ascii="宋体" w:hAnsi="宋体" w:eastAsia="宋体" w:cs="宋体"/>
          <w:bCs w:val="0"/>
          <w:color w:val="auto"/>
          <w:spacing w:val="0"/>
          <w:kern w:val="2"/>
          <w:sz w:val="24"/>
          <w:szCs w:val="24"/>
          <w:highlight w:val="none"/>
          <w:lang w:val="en-US" w:eastAsia="zh-CN" w:bidi="ar"/>
        </w:rPr>
        <w:t>4</w:t>
      </w:r>
      <w:r>
        <w:rPr>
          <w:rFonts w:hint="eastAsia" w:ascii="宋体" w:hAnsi="宋体" w:eastAsia="宋体" w:cs="宋体"/>
          <w:bCs w:val="0"/>
          <w:color w:val="auto"/>
          <w:spacing w:val="0"/>
          <w:kern w:val="2"/>
          <w:sz w:val="24"/>
          <w:szCs w:val="24"/>
          <w:highlight w:val="none"/>
          <w:lang w:bidi="ar"/>
        </w:rPr>
        <w:t>）</w:t>
      </w:r>
      <w:r>
        <w:rPr>
          <w:rFonts w:hint="eastAsia" w:ascii="宋体" w:hAnsi="宋体" w:cs="宋体"/>
          <w:bCs w:val="0"/>
          <w:color w:val="auto"/>
          <w:spacing w:val="0"/>
          <w:kern w:val="2"/>
          <w:sz w:val="24"/>
          <w:szCs w:val="24"/>
          <w:highlight w:val="none"/>
          <w:lang w:eastAsia="zh-CN" w:bidi="ar"/>
        </w:rPr>
        <w:t>存在</w:t>
      </w:r>
      <w:r>
        <w:rPr>
          <w:rFonts w:hint="eastAsia" w:ascii="宋体" w:hAnsi="宋体" w:eastAsia="宋体" w:cs="宋体"/>
          <w:bCs w:val="0"/>
          <w:color w:val="auto"/>
          <w:spacing w:val="0"/>
          <w:kern w:val="2"/>
          <w:sz w:val="24"/>
          <w:szCs w:val="24"/>
          <w:highlight w:val="none"/>
          <w:lang w:bidi="ar"/>
        </w:rPr>
        <w:t xml:space="preserve">串通投标情形的； </w:t>
      </w:r>
    </w:p>
    <w:p w14:paraId="339A115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w:t>
      </w:r>
      <w:r>
        <w:rPr>
          <w:rFonts w:hint="eastAsia" w:ascii="宋体" w:hAnsi="宋体" w:eastAsia="宋体" w:cs="宋体"/>
          <w:bCs w:val="0"/>
          <w:color w:val="auto"/>
          <w:spacing w:val="0"/>
          <w:kern w:val="2"/>
          <w:sz w:val="24"/>
          <w:szCs w:val="24"/>
          <w:highlight w:val="none"/>
          <w:lang w:val="en-US" w:eastAsia="zh-CN" w:bidi="ar"/>
        </w:rPr>
        <w:t>5</w:t>
      </w:r>
      <w:r>
        <w:rPr>
          <w:rFonts w:hint="eastAsia" w:ascii="宋体" w:hAnsi="宋体" w:eastAsia="宋体" w:cs="宋体"/>
          <w:bCs w:val="0"/>
          <w:color w:val="auto"/>
          <w:spacing w:val="0"/>
          <w:kern w:val="2"/>
          <w:sz w:val="24"/>
          <w:szCs w:val="24"/>
          <w:highlight w:val="none"/>
          <w:lang w:bidi="ar"/>
        </w:rPr>
        <w:t xml:space="preserve">）存在向采购人、代理机构或评标专家行贿事实的； </w:t>
      </w:r>
    </w:p>
    <w:p w14:paraId="4292FAB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w:t>
      </w:r>
      <w:r>
        <w:rPr>
          <w:rFonts w:hint="eastAsia" w:ascii="宋体" w:hAnsi="宋体" w:eastAsia="宋体" w:cs="宋体"/>
          <w:bCs w:val="0"/>
          <w:color w:val="auto"/>
          <w:spacing w:val="0"/>
          <w:kern w:val="2"/>
          <w:sz w:val="24"/>
          <w:szCs w:val="24"/>
          <w:highlight w:val="none"/>
          <w:lang w:val="en-US" w:eastAsia="zh-CN" w:bidi="ar"/>
        </w:rPr>
        <w:t>6</w:t>
      </w:r>
      <w:r>
        <w:rPr>
          <w:rFonts w:hint="eastAsia" w:ascii="宋体" w:hAnsi="宋体" w:eastAsia="宋体" w:cs="宋体"/>
          <w:bCs w:val="0"/>
          <w:color w:val="auto"/>
          <w:spacing w:val="0"/>
          <w:kern w:val="2"/>
          <w:sz w:val="24"/>
          <w:szCs w:val="24"/>
          <w:highlight w:val="none"/>
          <w:lang w:bidi="ar"/>
        </w:rPr>
        <w:t>）</w:t>
      </w:r>
      <w:r>
        <w:rPr>
          <w:rFonts w:hint="eastAsia" w:ascii="宋体" w:hAnsi="宋体" w:cs="宋体"/>
          <w:bCs w:val="0"/>
          <w:color w:val="auto"/>
          <w:spacing w:val="0"/>
          <w:kern w:val="2"/>
          <w:sz w:val="24"/>
          <w:szCs w:val="24"/>
          <w:highlight w:val="none"/>
          <w:lang w:eastAsia="zh-CN" w:bidi="ar"/>
        </w:rPr>
        <w:t>法律法规规定的其它</w:t>
      </w:r>
      <w:r>
        <w:rPr>
          <w:rFonts w:hint="eastAsia" w:ascii="宋体" w:hAnsi="宋体" w:eastAsia="宋体" w:cs="宋体"/>
          <w:bCs w:val="0"/>
          <w:color w:val="auto"/>
          <w:spacing w:val="0"/>
          <w:kern w:val="2"/>
          <w:sz w:val="24"/>
          <w:szCs w:val="24"/>
          <w:highlight w:val="none"/>
          <w:lang w:bidi="ar"/>
        </w:rPr>
        <w:t>情况。</w:t>
      </w:r>
    </w:p>
    <w:p w14:paraId="4E47D22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12.3 投标保证金可采用下列形式之一： </w:t>
      </w:r>
    </w:p>
    <w:p w14:paraId="386627A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电汇、转账，以及</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中可接受的其他形式； </w:t>
      </w:r>
    </w:p>
    <w:p w14:paraId="3667EA7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12.4 投标人没有根据本须知 12.1 和第 12.3 条规定提交投标保证金的，其投标将被认定为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。采用电汇、转账等形式提交投标保证金的，投标人则应充分考虑入账时间，以确保投标保证金能按时进入指定账户。根据银行信息交换和付款时间，建议投标</w:t>
      </w:r>
      <w:r>
        <w:rPr>
          <w:rFonts w:hint="eastAsia" w:ascii="宋体" w:hAnsi="宋体" w:cs="宋体"/>
          <w:bCs w:val="0"/>
          <w:color w:val="auto"/>
          <w:spacing w:val="0"/>
          <w:kern w:val="2"/>
          <w:sz w:val="24"/>
          <w:szCs w:val="24"/>
          <w:highlight w:val="none"/>
          <w:lang w:eastAsia="zh-CN" w:bidi="ar"/>
        </w:rPr>
        <w:t>人在</w:t>
      </w:r>
      <w:r>
        <w:rPr>
          <w:rFonts w:hint="eastAsia" w:ascii="宋体" w:hAnsi="宋体" w:eastAsia="宋体" w:cs="宋体"/>
          <w:bCs w:val="0"/>
          <w:color w:val="auto"/>
          <w:spacing w:val="0"/>
          <w:kern w:val="2"/>
          <w:sz w:val="24"/>
          <w:szCs w:val="24"/>
          <w:highlight w:val="none"/>
          <w:lang w:bidi="ar"/>
        </w:rPr>
        <w:t>投标截止日前2-3个工作日提交投标保证金。如投标人未及时提交投标保</w:t>
      </w:r>
      <w:r>
        <w:rPr>
          <w:rFonts w:hint="eastAsia" w:ascii="宋体" w:hAnsi="宋体" w:cs="宋体"/>
          <w:bCs w:val="0"/>
          <w:color w:val="auto"/>
          <w:spacing w:val="0"/>
          <w:kern w:val="2"/>
          <w:sz w:val="24"/>
          <w:szCs w:val="24"/>
          <w:highlight w:val="none"/>
          <w:lang w:eastAsia="zh-CN" w:bidi="ar"/>
        </w:rPr>
        <w:t>证金</w:t>
      </w:r>
      <w:r>
        <w:rPr>
          <w:rFonts w:hint="eastAsia" w:ascii="宋体" w:hAnsi="宋体" w:eastAsia="宋体" w:cs="宋体"/>
          <w:bCs w:val="0"/>
          <w:color w:val="auto"/>
          <w:spacing w:val="0"/>
          <w:kern w:val="2"/>
          <w:sz w:val="24"/>
          <w:szCs w:val="24"/>
          <w:highlight w:val="none"/>
          <w:lang w:bidi="ar"/>
        </w:rPr>
        <w:t>，导致投标保证金不能按时进入指定账户的，将按照招标文件的第22.2条相关规定处理。</w:t>
      </w:r>
    </w:p>
    <w:p w14:paraId="0D9B17A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12.5 联合体投标的，可以由联合体中的一方或者共同提交投标保证金，以一方名义提交投标保证金的，对联合体各方均具有约束力。（本项目不适用） </w:t>
      </w:r>
    </w:p>
    <w:p w14:paraId="007986E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12.6 中标人应在与采购人签订合同之日起 5 个工作日内及时联系采购代理机构办理投标保证金无息退还手续。未中标投标人的投标保证金将在中标通知书发出之日即中标结果公告公布之日起 5 个工作日内，及时联系采购人或采购代理机构办理无息退还投标保证金手续，因投标人自身原因导致无法及时退还的，采购人或采购代理机构将不承担资金占用费。 </w:t>
      </w:r>
    </w:p>
    <w:p w14:paraId="17835E0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13. 投标有效期 </w:t>
      </w:r>
    </w:p>
    <w:p w14:paraId="39D985B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13.1 投标应在规定的提交投标文件截止之日起，按照</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中规定时间内保持有效。投标有效期不满足要求的投标，其投标将被认定为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416A3BA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14:paraId="542A350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14. 投标文件的制作</w:t>
      </w:r>
      <w:r>
        <w:rPr>
          <w:rFonts w:hint="eastAsia" w:ascii="宋体" w:hAnsi="宋体" w:eastAsia="宋体" w:cs="宋体"/>
          <w:bCs w:val="0"/>
          <w:color w:val="auto"/>
          <w:spacing w:val="0"/>
          <w:kern w:val="2"/>
          <w:sz w:val="24"/>
          <w:szCs w:val="24"/>
          <w:highlight w:val="none"/>
          <w:lang w:bidi="ar"/>
        </w:rPr>
        <w:t xml:space="preserve"> </w:t>
      </w:r>
    </w:p>
    <w:p w14:paraId="018A5C0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14.1 投标人应按</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中的规定，准备和递交投标文件正本、副本和电子文档，每份投标文件封皮须清楚地标明“正本”或“副本”。投标文件的副本可采用正本的复印件，若正本和副本不一致，以正本为准。若投标人所提交的投标文件份数与招标文件中要求的份数不一致时，视为投标人未响应招标文件，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w:t>
      </w:r>
    </w:p>
    <w:p w14:paraId="2532163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14.2</w:t>
      </w:r>
      <w:r>
        <w:rPr>
          <w:rFonts w:hint="eastAsia" w:ascii="宋体" w:hAnsi="宋体" w:eastAsia="宋体" w:cs="宋体"/>
          <w:bCs w:val="0"/>
          <w:color w:val="auto"/>
          <w:spacing w:val="0"/>
          <w:w w:val="40"/>
          <w:kern w:val="0"/>
          <w:sz w:val="24"/>
          <w:szCs w:val="24"/>
          <w:highlight w:val="none"/>
          <w:fitText w:val="96" w:id="3"/>
          <w:lang w:bidi="ar"/>
        </w:rPr>
        <w:t xml:space="preserve">  </w:t>
      </w:r>
      <w:r>
        <w:rPr>
          <w:rFonts w:hint="eastAsia" w:ascii="宋体" w:hAnsi="宋体" w:eastAsia="宋体" w:cs="宋体"/>
          <w:bCs w:val="0"/>
          <w:color w:val="auto"/>
          <w:spacing w:val="0"/>
          <w:kern w:val="2"/>
          <w:sz w:val="24"/>
          <w:szCs w:val="24"/>
          <w:highlight w:val="none"/>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0507FFB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14.3 所有投标文件采用不可拆装的胶订方式装订或其他不可拆装的方式装订成册，否则将被视为</w:t>
      </w:r>
      <w:r>
        <w:rPr>
          <w:rFonts w:hint="eastAsia" w:ascii="宋体" w:hAnsi="宋体" w:eastAsia="宋体" w:cs="宋体"/>
          <w:b/>
          <w:color w:val="auto"/>
          <w:spacing w:val="0"/>
          <w:kern w:val="2"/>
          <w:sz w:val="24"/>
          <w:szCs w:val="24"/>
          <w:highlight w:val="none"/>
          <w:lang w:bidi="ar"/>
        </w:rPr>
        <w:t>无效投标被拒绝</w:t>
      </w:r>
      <w:r>
        <w:rPr>
          <w:rFonts w:hint="eastAsia" w:ascii="宋体" w:hAnsi="宋体" w:eastAsia="宋体" w:cs="宋体"/>
          <w:bCs w:val="0"/>
          <w:color w:val="auto"/>
          <w:spacing w:val="0"/>
          <w:kern w:val="2"/>
          <w:sz w:val="24"/>
          <w:szCs w:val="24"/>
          <w:highlight w:val="none"/>
          <w:lang w:bidi="ar"/>
        </w:rPr>
        <w:t xml:space="preserve">。 </w:t>
      </w:r>
    </w:p>
    <w:p w14:paraId="101C8BB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14.4 投标文件因字迹潦草、表达不清或装订不当所引起的后果由投标人负责。 </w:t>
      </w:r>
    </w:p>
    <w:p w14:paraId="2898BD32">
      <w:pPr>
        <w:adjustRightInd w:val="0"/>
        <w:snapToGrid w:val="0"/>
        <w:spacing w:line="440" w:lineRule="exact"/>
        <w:ind w:left="636" w:hanging="636" w:hangingChars="265"/>
        <w:rPr>
          <w:rFonts w:hint="eastAsia" w:ascii="宋体" w:hAnsi="宋体" w:eastAsia="宋体" w:cs="宋体"/>
          <w:color w:val="auto"/>
          <w:sz w:val="24"/>
          <w:highlight w:val="none"/>
          <w:lang w:bidi="ar"/>
        </w:rPr>
      </w:pPr>
    </w:p>
    <w:p w14:paraId="5A184217">
      <w:pPr>
        <w:pStyle w:val="4"/>
        <w:bidi w:val="0"/>
        <w:rPr>
          <w:rFonts w:hint="eastAsia" w:ascii="宋体" w:hAnsi="宋体" w:eastAsia="宋体" w:cs="宋体"/>
          <w:color w:val="auto"/>
          <w:highlight w:val="none"/>
        </w:rPr>
      </w:pPr>
      <w:bookmarkStart w:id="40" w:name="_Toc8831"/>
      <w:bookmarkStart w:id="41" w:name="_Toc12743"/>
      <w:r>
        <w:rPr>
          <w:rFonts w:hint="eastAsia" w:ascii="宋体" w:hAnsi="宋体" w:eastAsia="宋体" w:cs="宋体"/>
          <w:color w:val="auto"/>
          <w:highlight w:val="none"/>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投标文件的递交</w:t>
      </w:r>
      <w:bookmarkEnd w:id="40"/>
      <w:bookmarkEnd w:id="41"/>
    </w:p>
    <w:p w14:paraId="2F27CB2B">
      <w:pPr>
        <w:adjustRightInd w:val="0"/>
        <w:snapToGrid w:val="0"/>
        <w:spacing w:line="440" w:lineRule="exact"/>
        <w:ind w:left="745" w:hanging="745" w:hangingChars="265"/>
        <w:jc w:val="center"/>
        <w:rPr>
          <w:rFonts w:hint="eastAsia" w:ascii="宋体" w:hAnsi="宋体" w:eastAsia="宋体" w:cs="宋体"/>
          <w:b/>
          <w:bCs/>
          <w:color w:val="auto"/>
          <w:sz w:val="28"/>
          <w:szCs w:val="28"/>
          <w:highlight w:val="none"/>
          <w:lang w:bidi="ar"/>
        </w:rPr>
      </w:pPr>
    </w:p>
    <w:p w14:paraId="4563E19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15. 投标文件的密封 </w:t>
      </w:r>
    </w:p>
    <w:p w14:paraId="13844ED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15.1 投标文件应当用不能被他人知悉或更换投标文件内容的方式加密。投标人应承担封装失误产生的任何后果。 </w:t>
      </w:r>
    </w:p>
    <w:p w14:paraId="7619A71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15.2 如果投标文件未按上述要求加密，将被</w:t>
      </w:r>
      <w:r>
        <w:rPr>
          <w:rFonts w:hint="eastAsia" w:ascii="宋体" w:hAnsi="宋体" w:eastAsia="宋体" w:cs="宋体"/>
          <w:b/>
          <w:color w:val="auto"/>
          <w:spacing w:val="0"/>
          <w:kern w:val="2"/>
          <w:sz w:val="24"/>
          <w:szCs w:val="24"/>
          <w:highlight w:val="none"/>
          <w:lang w:bidi="ar"/>
        </w:rPr>
        <w:t>拒绝</w:t>
      </w:r>
      <w:r>
        <w:rPr>
          <w:rFonts w:hint="eastAsia" w:ascii="宋体" w:hAnsi="宋体" w:eastAsia="宋体" w:cs="宋体"/>
          <w:bCs w:val="0"/>
          <w:color w:val="auto"/>
          <w:spacing w:val="0"/>
          <w:kern w:val="2"/>
          <w:sz w:val="24"/>
          <w:szCs w:val="24"/>
          <w:highlight w:val="none"/>
          <w:lang w:bidi="ar"/>
        </w:rPr>
        <w:t xml:space="preserve">接收。 </w:t>
      </w:r>
    </w:p>
    <w:p w14:paraId="464347D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16. 投标截止</w:t>
      </w:r>
      <w:r>
        <w:rPr>
          <w:rFonts w:hint="eastAsia" w:ascii="宋体" w:hAnsi="宋体" w:eastAsia="宋体" w:cs="宋体"/>
          <w:bCs w:val="0"/>
          <w:color w:val="auto"/>
          <w:spacing w:val="0"/>
          <w:kern w:val="2"/>
          <w:sz w:val="24"/>
          <w:szCs w:val="24"/>
          <w:highlight w:val="none"/>
          <w:lang w:bidi="ar"/>
        </w:rPr>
        <w:t xml:space="preserve"> </w:t>
      </w:r>
    </w:p>
    <w:p w14:paraId="3265FAC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16.1 投标人应在</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中规定的截止时间前，将投标文件递交到招标公告中规定的地点。 </w:t>
      </w:r>
    </w:p>
    <w:p w14:paraId="04C1AFD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16.2 采购人和采购代理机构将拒绝并原封退回在投标截止期后送达的任何投标文件。 </w:t>
      </w:r>
    </w:p>
    <w:p w14:paraId="59941CF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14:paraId="389AEDD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17. 投标文件的接收、修改与撤回 </w:t>
      </w:r>
    </w:p>
    <w:p w14:paraId="622CDC8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17.1 采购人和采购代理机构将按招标文件规定的时间和地点接收投标文件。 </w:t>
      </w:r>
    </w:p>
    <w:p w14:paraId="6B40985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17.2 采购人或者采购代理机构收到投标文件后，应当如实记载投标文件的送达时间和密封情况。 </w:t>
      </w:r>
    </w:p>
    <w:p w14:paraId="4BDAB6C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递交投标文件以后，如果投标人要进行撤回的，须提出书面通知并在投标截止时间前送达开标地点，采购人和采购代理机构将予以接受。 </w:t>
      </w:r>
    </w:p>
    <w:p w14:paraId="1E72F2A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17.4 在投标截止时间之后，投标人不得对其投标文件做任何修改。除投标人不足3家未开标外，采购人和采购代理机构对所接收投标文件概不退回。</w:t>
      </w:r>
    </w:p>
    <w:p w14:paraId="7E25E12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17.5 从投标截止期至投标人在投标书中承诺的投标有效期之间，投标人不得撤回其投标，否则其投标保证金将按照本须知第12条规定予以没收。</w:t>
      </w:r>
    </w:p>
    <w:p w14:paraId="0126061A">
      <w:pPr>
        <w:bidi w:val="0"/>
        <w:rPr>
          <w:rFonts w:hint="eastAsia" w:ascii="宋体" w:hAnsi="宋体" w:eastAsia="宋体" w:cs="宋体"/>
          <w:color w:val="auto"/>
          <w:highlight w:val="none"/>
        </w:rPr>
      </w:pPr>
    </w:p>
    <w:p w14:paraId="5E70FCA9">
      <w:pPr>
        <w:pStyle w:val="4"/>
        <w:bidi w:val="0"/>
        <w:rPr>
          <w:rFonts w:hint="eastAsia" w:ascii="宋体" w:hAnsi="宋体" w:eastAsia="宋体" w:cs="宋体"/>
          <w:color w:val="auto"/>
          <w:highlight w:val="none"/>
        </w:rPr>
      </w:pPr>
      <w:bookmarkStart w:id="42" w:name="_Toc31878"/>
      <w:bookmarkStart w:id="43" w:name="_Toc11632"/>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开标及评标</w:t>
      </w:r>
      <w:bookmarkEnd w:id="42"/>
      <w:bookmarkEnd w:id="43"/>
    </w:p>
    <w:p w14:paraId="786B02FE">
      <w:pPr>
        <w:adjustRightInd w:val="0"/>
        <w:snapToGrid w:val="0"/>
        <w:spacing w:line="440" w:lineRule="exact"/>
        <w:ind w:left="636" w:hanging="636" w:hangingChars="265"/>
        <w:rPr>
          <w:rFonts w:hint="eastAsia" w:ascii="宋体" w:hAnsi="宋体" w:eastAsia="宋体" w:cs="宋体"/>
          <w:color w:val="auto"/>
          <w:sz w:val="24"/>
          <w:highlight w:val="none"/>
          <w:lang w:bidi="ar"/>
        </w:rPr>
      </w:pPr>
    </w:p>
    <w:p w14:paraId="130897C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bCs/>
          <w:color w:val="auto"/>
          <w:spacing w:val="0"/>
          <w:kern w:val="2"/>
          <w:sz w:val="24"/>
          <w:szCs w:val="24"/>
          <w:highlight w:val="none"/>
          <w:lang w:bidi="ar"/>
        </w:rPr>
      </w:pPr>
      <w:r>
        <w:rPr>
          <w:rFonts w:hint="eastAsia" w:ascii="宋体" w:hAnsi="宋体" w:eastAsia="宋体" w:cs="宋体"/>
          <w:b/>
          <w:bCs/>
          <w:color w:val="auto"/>
          <w:spacing w:val="0"/>
          <w:kern w:val="2"/>
          <w:sz w:val="24"/>
          <w:szCs w:val="24"/>
          <w:highlight w:val="none"/>
          <w:lang w:val="en-US" w:eastAsia="zh-CN" w:bidi="ar"/>
        </w:rPr>
        <w:t>18</w:t>
      </w:r>
      <w:r>
        <w:rPr>
          <w:rFonts w:hint="eastAsia" w:ascii="宋体" w:hAnsi="宋体" w:eastAsia="宋体" w:cs="宋体"/>
          <w:b/>
          <w:bCs/>
          <w:color w:val="auto"/>
          <w:spacing w:val="0"/>
          <w:kern w:val="2"/>
          <w:sz w:val="24"/>
          <w:szCs w:val="24"/>
          <w:highlight w:val="none"/>
          <w:lang w:bidi="ar"/>
        </w:rPr>
        <w:t>．开标</w:t>
      </w:r>
    </w:p>
    <w:p w14:paraId="7E7C14B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val="en-US" w:eastAsia="zh-CN" w:bidi="ar"/>
        </w:rPr>
        <w:t>18</w:t>
      </w:r>
      <w:r>
        <w:rPr>
          <w:rFonts w:hint="eastAsia" w:ascii="宋体" w:hAnsi="宋体" w:eastAsia="宋体" w:cs="宋体"/>
          <w:b w:val="0"/>
          <w:bCs w:val="0"/>
          <w:color w:val="auto"/>
          <w:spacing w:val="0"/>
          <w:kern w:val="2"/>
          <w:sz w:val="24"/>
          <w:szCs w:val="24"/>
          <w:highlight w:val="none"/>
          <w:lang w:bidi="ar"/>
        </w:rPr>
        <w:t>.1 本次招标将按招标公告中规定的时间地点进行开标，所有投标人均应当准时参加开标。</w:t>
      </w:r>
    </w:p>
    <w:p w14:paraId="2D02ED4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val="en-US" w:eastAsia="zh-CN" w:bidi="ar"/>
        </w:rPr>
        <w:t>18</w:t>
      </w:r>
      <w:r>
        <w:rPr>
          <w:rFonts w:hint="eastAsia" w:ascii="宋体" w:hAnsi="宋体" w:eastAsia="宋体" w:cs="宋体"/>
          <w:b w:val="0"/>
          <w:bCs w:val="0"/>
          <w:color w:val="auto"/>
          <w:spacing w:val="0"/>
          <w:kern w:val="2"/>
          <w:sz w:val="24"/>
          <w:szCs w:val="24"/>
          <w:highlight w:val="none"/>
          <w:lang w:bidi="ar"/>
        </w:rPr>
        <w:t>.2</w:t>
      </w:r>
      <w:r>
        <w:rPr>
          <w:rFonts w:hint="eastAsia" w:ascii="宋体" w:hAnsi="宋体" w:eastAsia="宋体" w:cs="宋体"/>
          <w:b w:val="0"/>
          <w:bCs w:val="0"/>
          <w:color w:val="auto"/>
          <w:spacing w:val="0"/>
          <w:kern w:val="2"/>
          <w:sz w:val="24"/>
          <w:szCs w:val="24"/>
          <w:highlight w:val="none"/>
          <w:lang w:val="en-US" w:eastAsia="zh-CN" w:bidi="ar"/>
        </w:rPr>
        <w:t xml:space="preserve"> </w:t>
      </w:r>
      <w:r>
        <w:rPr>
          <w:rFonts w:hint="eastAsia" w:ascii="宋体" w:hAnsi="宋体" w:eastAsia="宋体" w:cs="宋体"/>
          <w:b w:val="0"/>
          <w:bCs w:val="0"/>
          <w:color w:val="auto"/>
          <w:spacing w:val="0"/>
          <w:kern w:val="2"/>
          <w:sz w:val="24"/>
          <w:szCs w:val="24"/>
          <w:highlight w:val="none"/>
          <w:lang w:bidi="ar"/>
        </w:rPr>
        <w:t>开标由采购人或采购代理机构主持，邀请投标人参加，并做好录音、录像工作；录音录像应当清晰可辨，音像资料作为采购文件一并存档。</w:t>
      </w:r>
    </w:p>
    <w:p w14:paraId="7539135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val="en-US" w:eastAsia="zh-CN" w:bidi="ar"/>
        </w:rPr>
        <w:t>18</w:t>
      </w:r>
      <w:r>
        <w:rPr>
          <w:rFonts w:hint="eastAsia" w:ascii="宋体" w:hAnsi="宋体" w:eastAsia="宋体" w:cs="宋体"/>
          <w:b w:val="0"/>
          <w:bCs w:val="0"/>
          <w:color w:val="auto"/>
          <w:spacing w:val="0"/>
          <w:kern w:val="2"/>
          <w:sz w:val="24"/>
          <w:szCs w:val="24"/>
          <w:highlight w:val="none"/>
          <w:lang w:bidi="ar"/>
        </w:rPr>
        <w:t>.3</w:t>
      </w:r>
      <w:r>
        <w:rPr>
          <w:rFonts w:hint="eastAsia" w:ascii="宋体" w:hAnsi="宋体" w:eastAsia="宋体" w:cs="宋体"/>
          <w:b w:val="0"/>
          <w:bCs w:val="0"/>
          <w:color w:val="auto"/>
          <w:spacing w:val="0"/>
          <w:kern w:val="2"/>
          <w:sz w:val="24"/>
          <w:szCs w:val="24"/>
          <w:highlight w:val="none"/>
          <w:lang w:val="en-US" w:eastAsia="zh-CN" w:bidi="ar"/>
        </w:rPr>
        <w:t xml:space="preserve"> </w:t>
      </w:r>
      <w:r>
        <w:rPr>
          <w:rFonts w:hint="eastAsia" w:ascii="宋体" w:hAnsi="宋体" w:eastAsia="宋体" w:cs="宋体"/>
          <w:b w:val="0"/>
          <w:bCs w:val="0"/>
          <w:color w:val="auto"/>
          <w:spacing w:val="0"/>
          <w:kern w:val="2"/>
          <w:sz w:val="24"/>
          <w:szCs w:val="24"/>
          <w:highlight w:val="none"/>
          <w:lang w:bidi="ar"/>
        </w:rPr>
        <w:t>开标和唱标的顺序，按照递交投标文件的先后顺序进行。</w:t>
      </w:r>
    </w:p>
    <w:p w14:paraId="5BCFF7E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val="en-US" w:eastAsia="zh-CN" w:bidi="ar"/>
        </w:rPr>
        <w:t>18</w:t>
      </w:r>
      <w:r>
        <w:rPr>
          <w:rFonts w:hint="eastAsia" w:ascii="宋体" w:hAnsi="宋体" w:eastAsia="宋体" w:cs="宋体"/>
          <w:b w:val="0"/>
          <w:bCs w:val="0"/>
          <w:color w:val="auto"/>
          <w:spacing w:val="0"/>
          <w:kern w:val="2"/>
          <w:sz w:val="24"/>
          <w:szCs w:val="24"/>
          <w:highlight w:val="none"/>
          <w:lang w:bidi="ar"/>
        </w:rPr>
        <w:t>.4</w:t>
      </w:r>
      <w:r>
        <w:rPr>
          <w:rFonts w:hint="eastAsia" w:ascii="宋体" w:hAnsi="宋体" w:eastAsia="宋体" w:cs="宋体"/>
          <w:b w:val="0"/>
          <w:bCs w:val="0"/>
          <w:color w:val="auto"/>
          <w:spacing w:val="0"/>
          <w:kern w:val="2"/>
          <w:sz w:val="24"/>
          <w:szCs w:val="24"/>
          <w:highlight w:val="none"/>
          <w:lang w:val="en-US" w:eastAsia="zh-CN" w:bidi="ar"/>
        </w:rPr>
        <w:t xml:space="preserve"> </w:t>
      </w:r>
      <w:r>
        <w:rPr>
          <w:rFonts w:hint="eastAsia" w:ascii="宋体" w:hAnsi="宋体" w:eastAsia="宋体" w:cs="宋体"/>
          <w:b w:val="0"/>
          <w:bCs w:val="0"/>
          <w:color w:val="auto"/>
          <w:spacing w:val="0"/>
          <w:kern w:val="2"/>
          <w:sz w:val="24"/>
          <w:szCs w:val="24"/>
          <w:highlight w:val="none"/>
          <w:lang w:bidi="ar"/>
        </w:rPr>
        <w:t>投标文件解密成功后，宣读投标人的名称、投标报价和招标文件规定的需要宣布的其他内容并记录。</w:t>
      </w:r>
    </w:p>
    <w:p w14:paraId="1468BCE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val="en-US" w:eastAsia="zh-CN" w:bidi="ar"/>
        </w:rPr>
        <w:t>18</w:t>
      </w:r>
      <w:r>
        <w:rPr>
          <w:rFonts w:hint="eastAsia" w:ascii="宋体" w:hAnsi="宋体" w:eastAsia="宋体" w:cs="宋体"/>
          <w:b w:val="0"/>
          <w:bCs w:val="0"/>
          <w:color w:val="auto"/>
          <w:spacing w:val="0"/>
          <w:kern w:val="2"/>
          <w:sz w:val="24"/>
          <w:szCs w:val="24"/>
          <w:highlight w:val="none"/>
          <w:lang w:bidi="ar"/>
        </w:rPr>
        <w:t>.</w:t>
      </w:r>
      <w:r>
        <w:rPr>
          <w:rFonts w:hint="eastAsia" w:ascii="宋体" w:hAnsi="宋体" w:eastAsia="宋体" w:cs="宋体"/>
          <w:b w:val="0"/>
          <w:bCs w:val="0"/>
          <w:color w:val="auto"/>
          <w:spacing w:val="0"/>
          <w:kern w:val="2"/>
          <w:sz w:val="24"/>
          <w:szCs w:val="24"/>
          <w:highlight w:val="none"/>
          <w:lang w:val="en-US" w:eastAsia="zh-CN" w:bidi="ar"/>
        </w:rPr>
        <w:t xml:space="preserve">5 </w:t>
      </w:r>
      <w:r>
        <w:rPr>
          <w:rFonts w:hint="eastAsia" w:ascii="宋体" w:hAnsi="宋体" w:eastAsia="宋体" w:cs="宋体"/>
          <w:b w:val="0"/>
          <w:bCs w:val="0"/>
          <w:color w:val="auto"/>
          <w:spacing w:val="0"/>
          <w:kern w:val="2"/>
          <w:sz w:val="24"/>
          <w:szCs w:val="24"/>
          <w:highlight w:val="none"/>
          <w:lang w:bidi="ar"/>
        </w:rPr>
        <w:t>开标过程应当由采购人或者采购代理机构负责记录，由参加开标的各投标人代表和相关工作人员签字确认后随采购文件一并存档。</w:t>
      </w:r>
    </w:p>
    <w:p w14:paraId="5E97F72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bidi="ar"/>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77BCD0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color w:val="auto"/>
          <w:spacing w:val="0"/>
          <w:kern w:val="2"/>
          <w:sz w:val="24"/>
          <w:szCs w:val="24"/>
          <w:highlight w:val="none"/>
          <w:lang w:bidi="ar"/>
        </w:rPr>
      </w:pPr>
      <w:r>
        <w:rPr>
          <w:rFonts w:hint="eastAsia" w:ascii="宋体" w:hAnsi="宋体" w:eastAsia="宋体" w:cs="宋体"/>
          <w:b w:val="0"/>
          <w:bCs w:val="0"/>
          <w:color w:val="auto"/>
          <w:spacing w:val="0"/>
          <w:kern w:val="2"/>
          <w:sz w:val="24"/>
          <w:szCs w:val="24"/>
          <w:highlight w:val="none"/>
          <w:lang w:bidi="ar"/>
        </w:rPr>
        <w:t>投标人未参加开标的，视同认可开标结果。</w:t>
      </w:r>
    </w:p>
    <w:p w14:paraId="7F00C3D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19. 资格审查及组建评标委员会 </w:t>
      </w:r>
    </w:p>
    <w:p w14:paraId="6FD5305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19.1 </w:t>
      </w:r>
      <w:r>
        <w:rPr>
          <w:rFonts w:hint="eastAsia" w:ascii="宋体" w:hAnsi="宋体" w:cs="宋体"/>
          <w:bCs w:val="0"/>
          <w:color w:val="auto"/>
          <w:spacing w:val="0"/>
          <w:kern w:val="2"/>
          <w:sz w:val="24"/>
          <w:szCs w:val="24"/>
          <w:highlight w:val="none"/>
          <w:lang w:val="en-US" w:eastAsia="zh-CN" w:bidi="ar"/>
        </w:rPr>
        <w:t>采购人和评标委员会</w:t>
      </w:r>
      <w:r>
        <w:rPr>
          <w:rFonts w:hint="eastAsia" w:ascii="宋体" w:hAnsi="宋体" w:eastAsia="宋体" w:cs="宋体"/>
          <w:bCs w:val="0"/>
          <w:color w:val="auto"/>
          <w:spacing w:val="0"/>
          <w:kern w:val="2"/>
          <w:sz w:val="24"/>
          <w:szCs w:val="24"/>
          <w:highlight w:val="none"/>
          <w:lang w:bidi="ar"/>
        </w:rPr>
        <w:t>依据法律法规和招标文件中规定的内容，对投标人及其投标货物及服务的资格进行审查，未通过资格审查的投标人不进入评标；资格证明文件未装在“投标文件”中的，将被认定为未通过资格审查；通过资格审查的投标人少于三家的，不进行评标。</w:t>
      </w:r>
    </w:p>
    <w:p w14:paraId="1299207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19.2 采购代理机构将按</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中规定的时间查询投标人的信用记录。 </w:t>
      </w:r>
    </w:p>
    <w:p w14:paraId="10A9893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19.2.1投标人在中国政府采购网（www.ccgp.gov.cn）被列入政府采购严重违法失信行为记录名单，在“信用中国”网站（www.creditchina.gov.cn）被列入失信被执行人、重大税收违法案件当事人名单及存在《中华人民共和国政府采购法实施条例》第十九条规定的行政处罚记录，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w:t>
      </w:r>
    </w:p>
    <w:p w14:paraId="211BC09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以联合体形式参加投标的，联合体任何成员存在以上不良信用记录的，联合体投标将被认定为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。（本项目不适用）</w:t>
      </w:r>
    </w:p>
    <w:p w14:paraId="5EA3F61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14:paraId="3B9F79D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在本招标文件规定的查询时间之外，网站信息发生的任何变更均不作为资格审查依据。 </w:t>
      </w:r>
    </w:p>
    <w:p w14:paraId="098F5AA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19.3 按照《中华人民共和国政府采购法》、《中华人民共和国政府采购法实施条例》及本项目本级和上级财政部门的有关规定依法组建的评标委员会，负责评标工作。 </w:t>
      </w:r>
    </w:p>
    <w:p w14:paraId="061C40D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20. 投标文件的符合性审查与澄清 </w:t>
      </w:r>
    </w:p>
    <w:p w14:paraId="1376AB9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20.1 符合性检查是指依据招标文件的规定，从投标文件的有效性、完整性和对招标文件的响应程度进行审查，以确定是否对招标文件的实质性要求做出响应。 </w:t>
      </w:r>
    </w:p>
    <w:p w14:paraId="39F8CB4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20.2 投标文件的澄清 </w:t>
      </w:r>
    </w:p>
    <w:p w14:paraId="077FA4A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14:paraId="78D9D55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20.2.2 投标人的澄清、说明或补正将作为投标文件的一部分。 </w:t>
      </w:r>
    </w:p>
    <w:p w14:paraId="0E17FAC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20.2.3 投标文件报价出现前后不一致的，按照下列规定修正： </w:t>
      </w:r>
    </w:p>
    <w:p w14:paraId="16411C8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（一）投标文件中开标一览表（报价表）内容与投标文件中相应内容不一致的，以开标一览表（报价表）为准； </w:t>
      </w:r>
    </w:p>
    <w:p w14:paraId="2BC055A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（二）大写金额和小写金额不一致的，以大写金额为准；</w:t>
      </w:r>
    </w:p>
    <w:p w14:paraId="27D9FA3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（三）单价金额小数点或者百分比有明显错位的，以开标一览表的总价为准，并修改单价； </w:t>
      </w:r>
    </w:p>
    <w:p w14:paraId="0DD064C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（四）总价金额与按单价汇总金额不一致的，以单价金额计算结果为准。 </w:t>
      </w:r>
    </w:p>
    <w:p w14:paraId="3EC9B1A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同时出现两种以上不一致的，按照前款规定的顺序修正。修正后的报价经投标人确认后产生约束力，投标人不确认的，其投标将被认定为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141808B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对不同文字文本投标文件的解释发生异议的，以汉语语言文本为准。 </w:t>
      </w:r>
    </w:p>
    <w:p w14:paraId="076BBCD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14:paraId="744B9A6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如采购货物为政府强制采购的产品，投标人所投产品应属于品目清单的强制采购部分。投标人应提供有效期内的认证证书，否则其投标将被认定为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7A33A92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如采购货物属于信息安全产品的，投标人所投产品应为经国家认证的信息安全产品，并提供由中国信息安全认证中心按国家标准认证颁发的有效认证证书，否则其投标将被认定为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6C21581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20.4 政府采购货物或服务项目中涉及商品包装和快递包装的，投标人提供产品及相关快递服务的具体包装要求请详见《商品包装政府采购需求标准（试行）》、《快递包装政府采购需求标准（试行）》。</w:t>
      </w:r>
    </w:p>
    <w:p w14:paraId="3A0CE7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20.5 如一个分包内只有一种产品，不同投标人所投产品为同一品牌的，按如下方式处理： </w:t>
      </w:r>
    </w:p>
    <w:p w14:paraId="7A93F27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hint="eastAsia" w:ascii="宋体" w:hAnsi="宋体" w:eastAsia="宋体" w:cs="宋体"/>
          <w:b/>
          <w:bCs/>
          <w:color w:val="auto"/>
          <w:sz w:val="24"/>
          <w:highlight w:val="none"/>
          <w:lang w:bidi="ar"/>
        </w:rPr>
        <w:t>投标无效</w:t>
      </w:r>
      <w:r>
        <w:rPr>
          <w:rFonts w:hint="eastAsia" w:ascii="宋体" w:hAnsi="宋体" w:eastAsia="宋体" w:cs="宋体"/>
          <w:color w:val="auto"/>
          <w:sz w:val="24"/>
          <w:highlight w:val="none"/>
          <w:lang w:bidi="ar"/>
        </w:rPr>
        <w:t xml:space="preserve">。 </w:t>
      </w:r>
    </w:p>
    <w:p w14:paraId="1D046C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14:paraId="6CF6189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20.6 如一个分包内包含多种产品的，采购人或采购代理机构将在</w:t>
      </w:r>
      <w:r>
        <w:rPr>
          <w:rFonts w:hint="eastAsia" w:ascii="宋体" w:hAnsi="宋体" w:eastAsia="宋体" w:cs="宋体"/>
          <w:color w:val="auto"/>
          <w:sz w:val="24"/>
          <w:highlight w:val="none"/>
          <w:u w:val="single"/>
          <w:lang w:bidi="ar"/>
        </w:rPr>
        <w:t>投标人须知前附表</w:t>
      </w:r>
      <w:r>
        <w:rPr>
          <w:rFonts w:hint="eastAsia" w:ascii="宋体" w:hAnsi="宋体" w:eastAsia="宋体" w:cs="宋体"/>
          <w:color w:val="auto"/>
          <w:sz w:val="24"/>
          <w:highlight w:val="none"/>
          <w:lang w:bidi="ar"/>
        </w:rPr>
        <w:t>中载明核心产品，多家投标人提供的所有核心产品品牌均相同的，按第 20.</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 xml:space="preserve">条规定处理。 </w:t>
      </w:r>
    </w:p>
    <w:p w14:paraId="39D0577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21. 投标偏离 </w:t>
      </w:r>
    </w:p>
    <w:p w14:paraId="79A1630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对于投标文件中不构成实质性偏差的不正规、不一致或不规则，评标委员会可以接受，但这种接受不能损坏或影响任何投标人的相对排序。 </w:t>
      </w:r>
    </w:p>
    <w:p w14:paraId="6EE6209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 xml:space="preserve">22. 无效投标 </w:t>
      </w:r>
    </w:p>
    <w:p w14:paraId="6FFE010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22.1 在比较与评价之前，根据招标文件的规定，评标委员会要审查每份投标文件是否实质上响应了招标文件的要求。实质上响应的投标应该是与招标文件要求的全部条款、条件和规格相符，没有重大偏离的投标。 </w:t>
      </w:r>
    </w:p>
    <w:p w14:paraId="25F45F7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对关键条款的偏离、保留和反对，将被认为是实质上的偏离，其投标将被认定为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。评标委员会决定投标的响应性只根据招标文件要求、投标文件内容及财政主管部门指定相关信息发布媒体。 </w:t>
      </w:r>
    </w:p>
    <w:p w14:paraId="2C562FA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22.2 实质上没有响应招标文件要求的投标将被认定为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。投标人不得通过修正或撤销不符合要求的偏离或保留从而使其投标成为实质上响应的投标。如发现下列情况之一的，其投标将被认定为</w:t>
      </w:r>
      <w:r>
        <w:rPr>
          <w:rFonts w:hint="eastAsia" w:ascii="宋体" w:hAnsi="宋体" w:eastAsia="宋体" w:cs="宋体"/>
          <w:b/>
          <w:color w:val="auto"/>
          <w:spacing w:val="0"/>
          <w:kern w:val="2"/>
          <w:sz w:val="24"/>
          <w:szCs w:val="24"/>
          <w:highlight w:val="none"/>
          <w:lang w:bidi="ar"/>
        </w:rPr>
        <w:t>投标无效</w:t>
      </w:r>
      <w:r>
        <w:rPr>
          <w:rFonts w:hint="eastAsia" w:ascii="宋体" w:hAnsi="宋体" w:eastAsia="宋体" w:cs="宋体"/>
          <w:bCs w:val="0"/>
          <w:color w:val="auto"/>
          <w:spacing w:val="0"/>
          <w:kern w:val="2"/>
          <w:sz w:val="24"/>
          <w:szCs w:val="24"/>
          <w:highlight w:val="none"/>
          <w:lang w:bidi="ar"/>
        </w:rPr>
        <w:t xml:space="preserve">： </w:t>
      </w:r>
    </w:p>
    <w:p w14:paraId="3332023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（1） 未按招标文件规定的形式和金额交纳投标保证金的； </w:t>
      </w:r>
    </w:p>
    <w:p w14:paraId="30B9C19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（2） 未按照招标文件规定要求签字、盖章的； </w:t>
      </w:r>
    </w:p>
    <w:p w14:paraId="5AD5C4F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（3） 未满足招标文件中技术条款的实质性要求； </w:t>
      </w:r>
    </w:p>
    <w:p w14:paraId="0C4A62F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（4） 属于串通投标，或者依法被视为串通投标； </w:t>
      </w:r>
    </w:p>
    <w:p w14:paraId="56A7E30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（5） 投标文件含有采购人不能接受的附加条件的； </w:t>
      </w:r>
    </w:p>
    <w:p w14:paraId="4630882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（6） 评标委员会认为投标人的报价明显低于其他通过符合性检查投标人的报价，有可能影响履约的，且投标人未按照规定证明其报价合理性的； </w:t>
      </w:r>
    </w:p>
    <w:p w14:paraId="6C977F2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（7） 属于招标文件规定的其他无效投标情形； </w:t>
      </w:r>
    </w:p>
    <w:p w14:paraId="79AA991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 xml:space="preserve">（8） 不符合法规和招标文件中规定的其他实质性要求的。 </w:t>
      </w:r>
    </w:p>
    <w:p w14:paraId="77FEDBF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color w:val="auto"/>
          <w:sz w:val="24"/>
          <w:highlight w:val="none"/>
          <w:lang w:bidi="ar"/>
        </w:rPr>
      </w:pPr>
      <w:bookmarkStart w:id="44" w:name="_Toc507399470"/>
      <w:r>
        <w:rPr>
          <w:rFonts w:hint="eastAsia" w:ascii="宋体" w:hAnsi="宋体" w:eastAsia="宋体" w:cs="宋体"/>
          <w:b/>
          <w:bCs/>
          <w:color w:val="auto"/>
          <w:sz w:val="24"/>
          <w:highlight w:val="none"/>
          <w:lang w:bidi="ar"/>
        </w:rPr>
        <w:t>23. 比较与评价</w:t>
      </w:r>
      <w:bookmarkEnd w:id="44"/>
    </w:p>
    <w:p w14:paraId="04B5357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23.1 经符合性检查合格的投标文件，评标委员会将根据招标文件确定的评标方法和标准，对其技术部分和商务部分作进一步的比较和评价。</w:t>
      </w:r>
    </w:p>
    <w:p w14:paraId="15045BF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23.2 评标严格按照招标文件的要求和条件进行。根据实际情况，在</w:t>
      </w:r>
      <w:r>
        <w:rPr>
          <w:rFonts w:hint="eastAsia" w:ascii="宋体" w:hAnsi="宋体" w:eastAsia="宋体" w:cs="宋体"/>
          <w:color w:val="auto"/>
          <w:sz w:val="24"/>
          <w:highlight w:val="none"/>
          <w:u w:val="single"/>
          <w:lang w:bidi="ar"/>
        </w:rPr>
        <w:t>投标人须知前附表</w:t>
      </w:r>
      <w:r>
        <w:rPr>
          <w:rFonts w:hint="eastAsia" w:ascii="宋体" w:hAnsi="宋体" w:eastAsia="宋体" w:cs="宋体"/>
          <w:color w:val="auto"/>
          <w:sz w:val="24"/>
          <w:highlight w:val="none"/>
          <w:lang w:bidi="ar"/>
        </w:rPr>
        <w:t>中规定采用下列一种评标方法，详细评标标准见招标文件第六章：</w:t>
      </w:r>
    </w:p>
    <w:p w14:paraId="442475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 最低评标价法，是指投标文件满足招标文件全部实质性要求，且投标报价最低的投标人为中标候选人的评标方法。</w:t>
      </w:r>
    </w:p>
    <w:p w14:paraId="13A0EA5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 综合评分法，是指投标文件满足招标文件全部实质性要求，且按照评审因素的量化指标评审得分最高的投标人为中标候选人的评标方法。</w:t>
      </w:r>
    </w:p>
    <w:p w14:paraId="404F6F3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color w:val="auto"/>
          <w:sz w:val="24"/>
          <w:highlight w:val="none"/>
          <w:lang w:bidi="ar"/>
        </w:rPr>
      </w:pPr>
      <w:bookmarkStart w:id="45" w:name="_Toc520356168"/>
      <w:bookmarkStart w:id="46" w:name="_Toc507399471"/>
      <w:r>
        <w:rPr>
          <w:rFonts w:hint="eastAsia" w:ascii="宋体" w:hAnsi="宋体" w:eastAsia="宋体" w:cs="宋体"/>
          <w:b/>
          <w:bCs/>
          <w:color w:val="auto"/>
          <w:sz w:val="24"/>
          <w:highlight w:val="none"/>
          <w:lang w:bidi="ar"/>
        </w:rPr>
        <w:t>24</w:t>
      </w:r>
      <w:bookmarkEnd w:id="45"/>
      <w:r>
        <w:rPr>
          <w:rFonts w:hint="eastAsia" w:ascii="宋体" w:hAnsi="宋体" w:eastAsia="宋体" w:cs="宋体"/>
          <w:b/>
          <w:bCs/>
          <w:color w:val="auto"/>
          <w:sz w:val="24"/>
          <w:highlight w:val="none"/>
          <w:lang w:bidi="ar"/>
        </w:rPr>
        <w:t>. 废标</w:t>
      </w:r>
      <w:bookmarkEnd w:id="46"/>
    </w:p>
    <w:p w14:paraId="2991ADC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出现下列情形之一，将导致项目废标即本项目的所有投标被拒绝： </w:t>
      </w:r>
    </w:p>
    <w:p w14:paraId="506B79E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（1）符合专业条件的投标人或者对招标文件做实质性响应的投标人不足三家；</w:t>
      </w:r>
    </w:p>
    <w:p w14:paraId="2F907AA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（2）出现影响采购公正的违法、违规行为的；</w:t>
      </w:r>
    </w:p>
    <w:p w14:paraId="714E8F0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（3）投标人的报价均超过了采购预算，采购人不能支付的；</w:t>
      </w:r>
    </w:p>
    <w:p w14:paraId="0C7B61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（4）因重大变故，采购任务取消的。</w:t>
      </w:r>
    </w:p>
    <w:p w14:paraId="68DD488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color w:val="auto"/>
          <w:sz w:val="24"/>
          <w:highlight w:val="none"/>
          <w:lang w:bidi="ar"/>
        </w:rPr>
      </w:pPr>
      <w:r>
        <w:rPr>
          <w:rFonts w:hint="eastAsia" w:ascii="宋体" w:hAnsi="宋体" w:eastAsia="宋体" w:cs="宋体"/>
          <w:b/>
          <w:bCs/>
          <w:color w:val="auto"/>
          <w:sz w:val="24"/>
          <w:highlight w:val="none"/>
          <w:lang w:bidi="ar"/>
        </w:rPr>
        <w:t>25. 保密原则</w:t>
      </w:r>
    </w:p>
    <w:p w14:paraId="0D87242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25.1 评标将在严格保密的情况下进行。</w:t>
      </w:r>
    </w:p>
    <w:p w14:paraId="231CB95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25.2 政府采购评审专家应当遵守评审工作纪律，不得泄露评审文件、评审情况</w:t>
      </w:r>
    </w:p>
    <w:p w14:paraId="53D64D6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和评审中获悉的商业秘密。</w:t>
      </w:r>
    </w:p>
    <w:p w14:paraId="66A858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25.3 投标人试图影响采购人、采购代理机构和评标委员会的任何活动，将导致其</w:t>
      </w:r>
      <w:r>
        <w:rPr>
          <w:rFonts w:hint="eastAsia" w:ascii="宋体" w:hAnsi="宋体" w:eastAsia="宋体" w:cs="宋体"/>
          <w:b/>
          <w:bCs/>
          <w:color w:val="auto"/>
          <w:sz w:val="24"/>
          <w:highlight w:val="none"/>
          <w:lang w:bidi="ar"/>
        </w:rPr>
        <w:t>投标被拒绝</w:t>
      </w:r>
      <w:r>
        <w:rPr>
          <w:rFonts w:hint="eastAsia" w:ascii="宋体" w:hAnsi="宋体" w:eastAsia="宋体" w:cs="宋体"/>
          <w:color w:val="auto"/>
          <w:sz w:val="24"/>
          <w:highlight w:val="none"/>
          <w:lang w:bidi="ar"/>
        </w:rPr>
        <w:t>，并承担相应的法律责任。</w:t>
      </w:r>
    </w:p>
    <w:p w14:paraId="6EA56479">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bookmarkStart w:id="47" w:name="_Toc507399473"/>
      <w:bookmarkStart w:id="48" w:name="_Toc216582810"/>
    </w:p>
    <w:p w14:paraId="54F43B91">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p>
    <w:p w14:paraId="66C874C3">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p>
    <w:p w14:paraId="06978C21">
      <w:pPr>
        <w:pStyle w:val="4"/>
        <w:bidi w:val="0"/>
        <w:rPr>
          <w:rFonts w:hint="eastAsia" w:ascii="宋体" w:hAnsi="宋体" w:eastAsia="宋体" w:cs="宋体"/>
          <w:color w:val="auto"/>
          <w:sz w:val="24"/>
          <w:highlight w:val="none"/>
          <w:lang w:bidi="ar"/>
        </w:rPr>
      </w:pPr>
      <w:bookmarkStart w:id="49" w:name="_Toc4624"/>
      <w:bookmarkStart w:id="50" w:name="_Toc18114"/>
      <w:r>
        <w:rPr>
          <w:rFonts w:hint="eastAsia" w:ascii="宋体" w:hAnsi="宋体" w:eastAsia="宋体" w:cs="宋体"/>
          <w:color w:val="auto"/>
          <w:highlight w:val="none"/>
        </w:rPr>
        <w:t>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确定中标</w:t>
      </w:r>
      <w:bookmarkEnd w:id="47"/>
      <w:bookmarkEnd w:id="48"/>
      <w:bookmarkEnd w:id="49"/>
      <w:bookmarkEnd w:id="50"/>
    </w:p>
    <w:p w14:paraId="5AF3743C">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bookmarkStart w:id="51" w:name="_Toc520356170"/>
      <w:bookmarkStart w:id="52" w:name="_Toc507399474"/>
      <w:bookmarkStart w:id="53" w:name="_Ref467307010"/>
      <w:r>
        <w:rPr>
          <w:rFonts w:hint="eastAsia" w:ascii="宋体" w:hAnsi="宋体" w:eastAsia="宋体" w:cs="宋体"/>
          <w:b/>
          <w:bCs/>
          <w:color w:val="auto"/>
          <w:sz w:val="24"/>
          <w:highlight w:val="none"/>
          <w:lang w:bidi="ar"/>
        </w:rPr>
        <w:t>26. 中标候选人的确定原则及标准</w:t>
      </w:r>
      <w:bookmarkEnd w:id="51"/>
      <w:bookmarkEnd w:id="52"/>
      <w:bookmarkEnd w:id="53"/>
    </w:p>
    <w:p w14:paraId="4B05563F">
      <w:pPr>
        <w:adjustRightInd w:val="0"/>
        <w:snapToGrid w:val="0"/>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除评标委员会受采购人委托直接确定中标人的情形外，对实质上响应招标文件的投标人按下列方法进行排序，确定中标候选人：</w:t>
      </w:r>
    </w:p>
    <w:p w14:paraId="267605FC">
      <w:pPr>
        <w:adjustRightInd w:val="0"/>
        <w:snapToGrid w:val="0"/>
        <w:spacing w:line="440" w:lineRule="exac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14:paraId="39507B5F">
      <w:pPr>
        <w:adjustRightInd w:val="0"/>
        <w:snapToGrid w:val="0"/>
        <w:spacing w:line="440" w:lineRule="exac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（2）采用综合评分法的，评标结果按评审后得分由高到低顺序排列。得分相同的，按投标报价由低到高顺序排列。（详见招标文件第六章）</w:t>
      </w:r>
    </w:p>
    <w:p w14:paraId="14F3F41C">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27. 确定中标候选人和中标人</w:t>
      </w:r>
    </w:p>
    <w:p w14:paraId="2BF5D887">
      <w:pPr>
        <w:pStyle w:val="44"/>
        <w:widowControl w:val="0"/>
        <w:adjustRightInd w:val="0"/>
        <w:snapToGrid w:val="0"/>
        <w:spacing w:before="0" w:after="0" w:line="440" w:lineRule="exact"/>
        <w:ind w:left="636" w:hanging="636" w:hangingChars="265"/>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27.1 评标委员会将根据评标标准，按</w:t>
      </w:r>
      <w:r>
        <w:rPr>
          <w:rFonts w:hint="eastAsia" w:ascii="宋体" w:hAnsi="宋体" w:eastAsia="宋体" w:cs="宋体"/>
          <w:bCs w:val="0"/>
          <w:color w:val="auto"/>
          <w:spacing w:val="0"/>
          <w:kern w:val="2"/>
          <w:sz w:val="24"/>
          <w:szCs w:val="24"/>
          <w:highlight w:val="none"/>
          <w:u w:val="single"/>
          <w:lang w:bidi="ar"/>
        </w:rPr>
        <w:t>投标须知前附表</w:t>
      </w:r>
      <w:r>
        <w:rPr>
          <w:rFonts w:hint="eastAsia" w:ascii="宋体" w:hAnsi="宋体" w:eastAsia="宋体" w:cs="宋体"/>
          <w:bCs w:val="0"/>
          <w:color w:val="auto"/>
          <w:spacing w:val="0"/>
          <w:kern w:val="2"/>
          <w:sz w:val="24"/>
          <w:szCs w:val="24"/>
          <w:highlight w:val="none"/>
          <w:lang w:bidi="ar"/>
        </w:rPr>
        <w:t xml:space="preserve">中规定数量推荐中标候选人。 </w:t>
      </w:r>
    </w:p>
    <w:p w14:paraId="4F3A53C7">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27.2 按投标须知前附表中规定，由评标委员会直接确定中标人。</w:t>
      </w:r>
    </w:p>
    <w:p w14:paraId="6B5F6A2A">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28. 采购任务取消</w:t>
      </w:r>
    </w:p>
    <w:p w14:paraId="3E808929">
      <w:pPr>
        <w:adjustRightInd w:val="0"/>
        <w:snapToGrid w:val="0"/>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当采购任务取消时，为维护国家和社会公共利益，采购人有权拒绝任何投标人中标，且对受影响的投标人不承担任何责任。</w:t>
      </w:r>
    </w:p>
    <w:p w14:paraId="7652E58D">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29. 中标通知书</w:t>
      </w:r>
    </w:p>
    <w:p w14:paraId="66DECACE">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29.1 在投标有效期内，中标人确定后，采购人或者采购代理机构发布中标公告后向中标人发出中标通知书。</w:t>
      </w:r>
    </w:p>
    <w:p w14:paraId="606E7545">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29.2 中标通知书是合同的组成部分。</w:t>
      </w:r>
    </w:p>
    <w:p w14:paraId="6185307E">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30. 签订合同</w:t>
      </w:r>
    </w:p>
    <w:p w14:paraId="249EF3BF">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30.1 中标人应当自发出中标通知书之日起30日内，与采购人签订合同。</w:t>
      </w:r>
    </w:p>
    <w:p w14:paraId="53281CA9">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30.2 招标文件、中标人的投标文件及其澄清文件等，均为签订合同的依据。</w:t>
      </w:r>
    </w:p>
    <w:p w14:paraId="17F0A0ED">
      <w:pPr>
        <w:adjustRightInd w:val="0"/>
        <w:snapToGrid w:val="0"/>
        <w:spacing w:line="440" w:lineRule="exact"/>
        <w:ind w:left="660" w:hanging="660" w:hangingChars="27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30.3 中标人拒绝与采购人签订合同的，采购人可以按照评审报告推荐的中标候选人名单排序，确定下一候选人为中标人，也可以重新开展政府采购活动。</w:t>
      </w:r>
    </w:p>
    <w:p w14:paraId="53B45BDF">
      <w:pPr>
        <w:adjustRightInd w:val="0"/>
        <w:snapToGrid w:val="0"/>
        <w:spacing w:line="440" w:lineRule="exact"/>
        <w:ind w:left="660" w:hanging="660" w:hangingChars="27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30.4 当出现法规规定的中标无效情形时，采购人可与排名下一位的中标候选人另行签订合同，或依法重新开展采购活动。</w:t>
      </w:r>
    </w:p>
    <w:p w14:paraId="67E2164C">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bookmarkStart w:id="54" w:name="_Toc507399479"/>
      <w:r>
        <w:rPr>
          <w:rFonts w:hint="eastAsia" w:ascii="宋体" w:hAnsi="宋体" w:eastAsia="宋体" w:cs="宋体"/>
          <w:b/>
          <w:bCs/>
          <w:color w:val="auto"/>
          <w:sz w:val="24"/>
          <w:highlight w:val="none"/>
          <w:lang w:bidi="ar"/>
        </w:rPr>
        <w:t>31. 履约保证金</w:t>
      </w:r>
      <w:bookmarkEnd w:id="54"/>
    </w:p>
    <w:p w14:paraId="04FAC35A">
      <w:pPr>
        <w:adjustRightInd w:val="0"/>
        <w:snapToGrid w:val="0"/>
        <w:spacing w:line="440" w:lineRule="exact"/>
        <w:ind w:left="660" w:hanging="660" w:hangingChars="27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31.1 中标人应按照</w:t>
      </w:r>
      <w:r>
        <w:rPr>
          <w:rFonts w:hint="eastAsia" w:ascii="宋体" w:hAnsi="宋体" w:eastAsia="宋体" w:cs="宋体"/>
          <w:color w:val="auto"/>
          <w:sz w:val="24"/>
          <w:highlight w:val="none"/>
          <w:u w:val="single"/>
          <w:lang w:bidi="ar"/>
        </w:rPr>
        <w:t>投标人须知前附表</w:t>
      </w:r>
      <w:r>
        <w:rPr>
          <w:rFonts w:hint="eastAsia" w:ascii="宋体" w:hAnsi="宋体" w:eastAsia="宋体" w:cs="宋体"/>
          <w:color w:val="auto"/>
          <w:sz w:val="24"/>
          <w:highlight w:val="none"/>
          <w:lang w:bidi="ar"/>
        </w:rPr>
        <w:t>规定的金额、形式和时间向采购人缴纳履约保证金。</w:t>
      </w:r>
    </w:p>
    <w:p w14:paraId="471BFB05">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31.2 经采购人同意，中标人也可以自愿采用其他履约保证金的提供方式。</w:t>
      </w:r>
    </w:p>
    <w:p w14:paraId="009852D4">
      <w:pPr>
        <w:adjustRightInd w:val="0"/>
        <w:snapToGrid w:val="0"/>
        <w:spacing w:line="440" w:lineRule="exact"/>
        <w:ind w:left="-1"/>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31.3 如果中标人没有按照上述第30条或31.1条的规定执行，将视为放弃中标资格，中标人的投标保证金将被没收。在此情况下，采购人可确定下一候选人为中标人，也可以重新开展政府采购活动。</w:t>
      </w:r>
    </w:p>
    <w:p w14:paraId="6BE64AC4">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bookmarkStart w:id="55" w:name="_Toc507399480"/>
      <w:r>
        <w:rPr>
          <w:rFonts w:hint="eastAsia" w:ascii="宋体" w:hAnsi="宋体" w:eastAsia="宋体" w:cs="宋体"/>
          <w:b/>
          <w:bCs/>
          <w:color w:val="auto"/>
          <w:sz w:val="24"/>
          <w:highlight w:val="none"/>
          <w:lang w:bidi="ar"/>
        </w:rPr>
        <w:t>32. 招标代理费</w:t>
      </w:r>
      <w:bookmarkEnd w:id="55"/>
    </w:p>
    <w:p w14:paraId="640C6DC0">
      <w:pPr>
        <w:adjustRightInd w:val="0"/>
        <w:snapToGrid w:val="0"/>
        <w:spacing w:line="440" w:lineRule="exact"/>
        <w:ind w:firstLine="480" w:firstLineChars="200"/>
        <w:rPr>
          <w:rFonts w:hint="eastAsia" w:ascii="宋体" w:hAnsi="宋体" w:eastAsia="宋体" w:cs="宋体"/>
          <w:color w:val="auto"/>
          <w:sz w:val="24"/>
          <w:highlight w:val="none"/>
          <w:lang w:bidi="ar"/>
        </w:rPr>
      </w:pPr>
      <w:bookmarkStart w:id="56" w:name="_Toc507399482"/>
      <w:r>
        <w:rPr>
          <w:rFonts w:hint="eastAsia" w:ascii="宋体" w:hAnsi="宋体" w:eastAsia="宋体" w:cs="宋体"/>
          <w:color w:val="auto"/>
          <w:sz w:val="24"/>
          <w:highlight w:val="none"/>
          <w:lang w:bidi="ar"/>
        </w:rPr>
        <w:t>中标人须按照投标须知前附表中规定的时间、形式、金额，向招标代理机构支付中标服务费。</w:t>
      </w:r>
    </w:p>
    <w:p w14:paraId="4D3F7F8E">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33. 廉洁自律规定</w:t>
      </w:r>
      <w:bookmarkEnd w:id="56"/>
    </w:p>
    <w:p w14:paraId="66D947F8">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33.1 采购代理机构工作人员不得以不正当手段获取政府采购代理业务，不得与采购人、投标人恶意串通操纵政府采购活动。</w:t>
      </w:r>
    </w:p>
    <w:p w14:paraId="422502D0">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33.2 采购代理机构工作人员不得接受采购人或者投标人组织的宴请、旅游、娱乐，不得收受礼品、现金、有价证券等，不得向采购人或者投标人报销应当由个人承担的费用。</w:t>
      </w:r>
    </w:p>
    <w:p w14:paraId="6E87124C">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bookmarkStart w:id="57" w:name="_Toc507399483"/>
      <w:r>
        <w:rPr>
          <w:rFonts w:hint="eastAsia" w:ascii="宋体" w:hAnsi="宋体" w:eastAsia="宋体" w:cs="宋体"/>
          <w:b/>
          <w:bCs/>
          <w:color w:val="auto"/>
          <w:sz w:val="24"/>
          <w:highlight w:val="none"/>
          <w:lang w:bidi="ar"/>
        </w:rPr>
        <w:t>34. 人员回避</w:t>
      </w:r>
      <w:bookmarkEnd w:id="57"/>
    </w:p>
    <w:p w14:paraId="3FBA06CB">
      <w:pPr>
        <w:adjustRightInd w:val="0"/>
        <w:snapToGrid w:val="0"/>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14:paraId="3282CB24">
      <w:pPr>
        <w:adjustRightInd w:val="0"/>
        <w:snapToGrid w:val="0"/>
        <w:spacing w:line="440" w:lineRule="exact"/>
        <w:ind w:left="638" w:hanging="638" w:hangingChars="265"/>
        <w:rPr>
          <w:rFonts w:hint="eastAsia" w:ascii="宋体" w:hAnsi="宋体" w:eastAsia="宋体" w:cs="宋体"/>
          <w:b/>
          <w:bCs/>
          <w:color w:val="auto"/>
          <w:sz w:val="24"/>
          <w:highlight w:val="none"/>
          <w:lang w:bidi="ar"/>
        </w:rPr>
      </w:pPr>
      <w:bookmarkStart w:id="58" w:name="_Toc507399484"/>
      <w:r>
        <w:rPr>
          <w:rFonts w:hint="eastAsia" w:ascii="宋体" w:hAnsi="宋体" w:eastAsia="宋体" w:cs="宋体"/>
          <w:b/>
          <w:bCs/>
          <w:color w:val="auto"/>
          <w:sz w:val="24"/>
          <w:highlight w:val="none"/>
          <w:lang w:bidi="ar"/>
        </w:rPr>
        <w:t>35. 质疑与接收</w:t>
      </w:r>
      <w:bookmarkEnd w:id="58"/>
    </w:p>
    <w:p w14:paraId="0437CD8B">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35.1 投标人认为采购文件、采购过程和中标结果使自己的权益受到损害的，根据</w:t>
      </w:r>
      <w:r>
        <w:rPr>
          <w:rFonts w:hint="eastAsia" w:ascii="宋体" w:hAnsi="宋体" w:cs="宋体"/>
          <w:color w:val="auto"/>
          <w:sz w:val="24"/>
          <w:highlight w:val="none"/>
          <w:lang w:eastAsia="zh-CN" w:bidi="ar"/>
        </w:rPr>
        <w:t>《中华人民共和国政府采购法》</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eastAsia="zh-CN" w:bidi="ar"/>
        </w:rPr>
        <w:t>中华人民共和国政府采购法实施条例</w:t>
      </w:r>
      <w:r>
        <w:rPr>
          <w:rFonts w:hint="eastAsia" w:ascii="宋体" w:hAnsi="宋体" w:eastAsia="宋体" w:cs="宋体"/>
          <w:color w:val="auto"/>
          <w:sz w:val="24"/>
          <w:highlight w:val="none"/>
          <w:lang w:bidi="ar"/>
        </w:rPr>
        <w:t>》和《政府采购质疑和投诉办法》的有关规定，可以依法向采购人或采购代理机构提出质疑。</w:t>
      </w:r>
    </w:p>
    <w:p w14:paraId="6FF0B8DD">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35.2 投标人应按照财政部制定的《政府采购质疑函范本》格式（可从财政部官方网站下载）和《政府采购质疑和投诉办法》的要求，在法定质疑期内以纸质形式提出质疑，针对同一采购程序环节的质疑次数见</w:t>
      </w:r>
      <w:r>
        <w:rPr>
          <w:rFonts w:hint="eastAsia" w:ascii="宋体" w:hAnsi="宋体" w:eastAsia="宋体" w:cs="宋体"/>
          <w:color w:val="auto"/>
          <w:sz w:val="24"/>
          <w:highlight w:val="none"/>
          <w:u w:val="single"/>
          <w:lang w:bidi="ar"/>
        </w:rPr>
        <w:t>投标须知前附表</w:t>
      </w:r>
      <w:r>
        <w:rPr>
          <w:rFonts w:hint="eastAsia" w:ascii="宋体" w:hAnsi="宋体" w:eastAsia="宋体" w:cs="宋体"/>
          <w:color w:val="auto"/>
          <w:sz w:val="24"/>
          <w:highlight w:val="none"/>
          <w:lang w:bidi="ar"/>
        </w:rPr>
        <w:t>。</w:t>
      </w:r>
    </w:p>
    <w:p w14:paraId="2639DDEA">
      <w:pPr>
        <w:adjustRightInd w:val="0"/>
        <w:snapToGrid w:val="0"/>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超出法定质疑期的、重复提出的、分次提出的或内容、形式不符合《政府采购质疑和投诉办法》的，投标人将依法承担不利后果。</w:t>
      </w:r>
    </w:p>
    <w:p w14:paraId="68F8DD04">
      <w:pPr>
        <w:adjustRightInd w:val="0"/>
        <w:snapToGrid w:val="0"/>
        <w:spacing w:line="440" w:lineRule="exact"/>
        <w:ind w:left="636" w:hanging="636" w:hangingChars="265"/>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35.3 采购代理机构质疑函接收部门、联系电话和通讯地址</w:t>
      </w:r>
    </w:p>
    <w:p w14:paraId="691D3FC3">
      <w:pPr>
        <w:pStyle w:val="44"/>
        <w:widowControl w:val="0"/>
        <w:adjustRightInd w:val="0"/>
        <w:snapToGrid w:val="0"/>
        <w:spacing w:before="0" w:after="0" w:line="440" w:lineRule="exact"/>
        <w:ind w:left="730" w:leftChars="304"/>
        <w:rPr>
          <w:rFonts w:hint="eastAsia" w:ascii="宋体" w:hAnsi="宋体" w:eastAsia="宋体" w:cs="宋体"/>
          <w:bCs w:val="0"/>
          <w:color w:val="auto"/>
          <w:spacing w:val="0"/>
          <w:kern w:val="2"/>
          <w:sz w:val="24"/>
          <w:szCs w:val="24"/>
          <w:highlight w:val="none"/>
          <w:lang w:eastAsia="zh-CN" w:bidi="ar"/>
        </w:rPr>
      </w:pPr>
      <w:bookmarkStart w:id="59" w:name="_Toc507399488"/>
      <w:r>
        <w:rPr>
          <w:rFonts w:hint="eastAsia" w:ascii="宋体" w:hAnsi="宋体" w:eastAsia="宋体" w:cs="宋体"/>
          <w:bCs w:val="0"/>
          <w:color w:val="auto"/>
          <w:spacing w:val="0"/>
          <w:kern w:val="2"/>
          <w:sz w:val="24"/>
          <w:szCs w:val="24"/>
          <w:highlight w:val="none"/>
          <w:lang w:bidi="ar"/>
        </w:rPr>
        <w:t>联系部门：</w:t>
      </w:r>
      <w:r>
        <w:rPr>
          <w:rFonts w:hint="eastAsia" w:ascii="宋体" w:hAnsi="宋体" w:eastAsia="宋体" w:cs="宋体"/>
          <w:bCs w:val="0"/>
          <w:color w:val="auto"/>
          <w:spacing w:val="0"/>
          <w:kern w:val="2"/>
          <w:sz w:val="24"/>
          <w:szCs w:val="24"/>
          <w:highlight w:val="none"/>
          <w:lang w:eastAsia="zh-CN" w:bidi="ar"/>
        </w:rPr>
        <w:t>新疆新建联项目管理咨询有限公司</w:t>
      </w:r>
    </w:p>
    <w:p w14:paraId="333C0718">
      <w:pPr>
        <w:pStyle w:val="44"/>
        <w:widowControl w:val="0"/>
        <w:adjustRightInd w:val="0"/>
        <w:snapToGrid w:val="0"/>
        <w:spacing w:before="0" w:after="0" w:line="440" w:lineRule="exact"/>
        <w:ind w:left="730" w:leftChars="304"/>
        <w:rPr>
          <w:rFonts w:hint="eastAsia" w:ascii="宋体" w:hAnsi="宋体" w:eastAsia="宋体" w:cs="宋体"/>
          <w:bCs w:val="0"/>
          <w:color w:val="auto"/>
          <w:spacing w:val="0"/>
          <w:kern w:val="2"/>
          <w:sz w:val="24"/>
          <w:szCs w:val="24"/>
          <w:highlight w:val="none"/>
          <w:lang w:eastAsia="zh-CN" w:bidi="ar"/>
        </w:rPr>
      </w:pPr>
      <w:r>
        <w:rPr>
          <w:rFonts w:hint="eastAsia" w:ascii="宋体" w:hAnsi="宋体" w:eastAsia="宋体" w:cs="宋体"/>
          <w:bCs w:val="0"/>
          <w:color w:val="auto"/>
          <w:spacing w:val="0"/>
          <w:kern w:val="2"/>
          <w:sz w:val="24"/>
          <w:szCs w:val="24"/>
          <w:highlight w:val="none"/>
          <w:lang w:bidi="ar"/>
        </w:rPr>
        <w:t>联系电话：</w:t>
      </w:r>
      <w:r>
        <w:rPr>
          <w:rFonts w:hint="eastAsia" w:ascii="宋体" w:hAnsi="宋体" w:cs="宋体"/>
          <w:bCs w:val="0"/>
          <w:color w:val="auto"/>
          <w:spacing w:val="0"/>
          <w:kern w:val="2"/>
          <w:sz w:val="24"/>
          <w:szCs w:val="24"/>
          <w:highlight w:val="none"/>
          <w:lang w:eastAsia="zh-CN" w:bidi="ar"/>
        </w:rPr>
        <w:t>18999179993</w:t>
      </w:r>
      <w:r>
        <w:rPr>
          <w:rFonts w:hint="eastAsia" w:ascii="宋体" w:hAnsi="宋体" w:eastAsia="宋体" w:cs="宋体"/>
          <w:bCs w:val="0"/>
          <w:color w:val="auto"/>
          <w:spacing w:val="0"/>
          <w:kern w:val="2"/>
          <w:sz w:val="24"/>
          <w:szCs w:val="24"/>
          <w:highlight w:val="none"/>
          <w:lang w:eastAsia="zh-CN" w:bidi="ar"/>
        </w:rPr>
        <w:t>、0991-8875119</w:t>
      </w:r>
    </w:p>
    <w:p w14:paraId="08814158">
      <w:pPr>
        <w:pStyle w:val="44"/>
        <w:widowControl w:val="0"/>
        <w:adjustRightInd w:val="0"/>
        <w:snapToGrid w:val="0"/>
        <w:spacing w:before="0" w:after="0" w:line="440" w:lineRule="exact"/>
        <w:ind w:left="730" w:leftChars="304"/>
        <w:rPr>
          <w:rFonts w:hint="eastAsia" w:ascii="宋体" w:hAnsi="宋体" w:eastAsia="宋体" w:cs="宋体"/>
          <w:bCs w:val="0"/>
          <w:color w:val="auto"/>
          <w:spacing w:val="0"/>
          <w:kern w:val="2"/>
          <w:sz w:val="24"/>
          <w:szCs w:val="24"/>
          <w:highlight w:val="none"/>
          <w:lang w:eastAsia="zh-CN" w:bidi="ar"/>
        </w:rPr>
      </w:pPr>
      <w:r>
        <w:rPr>
          <w:rFonts w:hint="eastAsia" w:ascii="宋体" w:hAnsi="宋体" w:eastAsia="宋体" w:cs="宋体"/>
          <w:bCs w:val="0"/>
          <w:color w:val="auto"/>
          <w:spacing w:val="0"/>
          <w:kern w:val="2"/>
          <w:sz w:val="24"/>
          <w:szCs w:val="24"/>
          <w:highlight w:val="none"/>
          <w:lang w:bidi="ar"/>
        </w:rPr>
        <w:t>通讯地址：</w:t>
      </w:r>
      <w:r>
        <w:rPr>
          <w:rFonts w:hint="eastAsia" w:ascii="宋体" w:hAnsi="宋体" w:eastAsia="宋体" w:cs="宋体"/>
          <w:bCs w:val="0"/>
          <w:color w:val="auto"/>
          <w:spacing w:val="0"/>
          <w:kern w:val="2"/>
          <w:sz w:val="24"/>
          <w:szCs w:val="24"/>
          <w:highlight w:val="none"/>
          <w:lang w:eastAsia="zh-CN" w:bidi="ar"/>
        </w:rPr>
        <w:t>乌鲁木齐市水磨沟区龙盛街898号中央公园商住小区S6栋14层</w:t>
      </w:r>
    </w:p>
    <w:p w14:paraId="667AD81A">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376368E">
      <w:pPr>
        <w:pStyle w:val="3"/>
        <w:bidi w:val="0"/>
        <w:rPr>
          <w:rFonts w:hint="eastAsia" w:ascii="宋体" w:hAnsi="宋体" w:eastAsia="宋体" w:cs="宋体"/>
          <w:color w:val="auto"/>
          <w:highlight w:val="none"/>
        </w:rPr>
      </w:pPr>
      <w:bookmarkStart w:id="60" w:name="_Toc29452"/>
      <w:bookmarkStart w:id="61" w:name="_Toc21891"/>
      <w:r>
        <w:rPr>
          <w:rFonts w:hint="eastAsia" w:ascii="宋体" w:hAnsi="宋体" w:eastAsia="宋体" w:cs="宋体"/>
          <w:color w:val="auto"/>
          <w:highlight w:val="none"/>
        </w:rPr>
        <w:t xml:space="preserve">第四章 </w:t>
      </w:r>
      <w:bookmarkEnd w:id="59"/>
      <w:r>
        <w:rPr>
          <w:rFonts w:hint="eastAsia" w:ascii="宋体" w:hAnsi="宋体" w:eastAsia="宋体" w:cs="宋体"/>
          <w:color w:val="auto"/>
          <w:highlight w:val="none"/>
        </w:rPr>
        <w:t>政府采购合同</w:t>
      </w:r>
      <w:bookmarkEnd w:id="60"/>
      <w:bookmarkEnd w:id="61"/>
    </w:p>
    <w:p w14:paraId="5496419E">
      <w:pPr>
        <w:bidi w:val="0"/>
        <w:jc w:val="center"/>
        <w:rPr>
          <w:rFonts w:hint="eastAsia" w:ascii="宋体" w:hAnsi="宋体" w:eastAsia="宋体" w:cs="宋体"/>
          <w:color w:val="auto"/>
          <w:sz w:val="84"/>
          <w:szCs w:val="84"/>
          <w:highlight w:val="none"/>
        </w:rPr>
      </w:pPr>
      <w:r>
        <w:rPr>
          <w:rFonts w:hint="eastAsia" w:ascii="宋体" w:hAnsi="宋体" w:eastAsia="宋体" w:cs="宋体"/>
          <w:b/>
          <w:bCs/>
          <w:color w:val="auto"/>
          <w:sz w:val="28"/>
          <w:szCs w:val="28"/>
          <w:highlight w:val="none"/>
        </w:rPr>
        <w:t>（本合同仅供参考，具体以实际签订为准）</w:t>
      </w:r>
      <w:r>
        <w:rPr>
          <w:rFonts w:hint="eastAsia" w:ascii="宋体" w:hAnsi="宋体" w:eastAsia="宋体" w:cs="宋体"/>
          <w:color w:val="auto"/>
          <w:sz w:val="84"/>
          <w:szCs w:val="84"/>
          <w:highlight w:val="none"/>
        </w:rPr>
        <w:t xml:space="preserve"> </w:t>
      </w:r>
    </w:p>
    <w:p w14:paraId="1EBCCD51">
      <w:pPr>
        <w:pStyle w:val="4"/>
        <w:bidi w:val="0"/>
        <w:rPr>
          <w:rFonts w:hint="eastAsia" w:ascii="方正小标宋简体" w:hAnsi="方正小标宋简体" w:eastAsia="方正小标宋简体" w:cs="方正小标宋简体"/>
          <w:color w:val="auto"/>
          <w:highlight w:val="none"/>
        </w:rPr>
      </w:pPr>
      <w:r>
        <w:rPr>
          <w:rFonts w:hint="eastAsia"/>
          <w:color w:val="auto"/>
          <w:highlight w:val="none"/>
          <w:lang w:val="en-US" w:eastAsia="zh-CN"/>
        </w:rPr>
        <w:t>XXXX年度</w:t>
      </w:r>
      <w:r>
        <w:rPr>
          <w:rFonts w:hint="eastAsia"/>
          <w:color w:val="auto"/>
          <w:highlight w:val="none"/>
        </w:rPr>
        <w:t>采购合同</w:t>
      </w:r>
    </w:p>
    <w:p w14:paraId="419E038A">
      <w:pPr>
        <w:spacing w:line="360" w:lineRule="auto"/>
        <w:ind w:firstLine="480" w:firstLineChars="200"/>
        <w:rPr>
          <w:color w:val="auto"/>
          <w:szCs w:val="21"/>
          <w:highlight w:val="none"/>
          <w:u w:val="single"/>
        </w:rPr>
      </w:pPr>
    </w:p>
    <w:p w14:paraId="588A97B0">
      <w:pPr>
        <w:spacing w:line="360" w:lineRule="auto"/>
        <w:ind w:firstLine="480" w:firstLineChars="200"/>
        <w:rPr>
          <w:color w:val="auto"/>
          <w:szCs w:val="21"/>
          <w:highlight w:val="none"/>
        </w:rPr>
      </w:pPr>
      <w:r>
        <w:rPr>
          <w:rFonts w:hint="eastAsia"/>
          <w:color w:val="auto"/>
          <w:szCs w:val="21"/>
          <w:highlight w:val="none"/>
          <w:lang w:val="en-US" w:eastAsia="zh-CN"/>
        </w:rPr>
        <w:t>甲方</w:t>
      </w:r>
      <w:r>
        <w:rPr>
          <w:color w:val="auto"/>
          <w:szCs w:val="21"/>
          <w:highlight w:val="none"/>
        </w:rPr>
        <w:t>与乙方就采购配送事宜，</w:t>
      </w:r>
      <w:r>
        <w:rPr>
          <w:color w:val="auto"/>
          <w:szCs w:val="21"/>
          <w:highlight w:val="none"/>
        </w:rPr>
        <w:t>根据</w:t>
      </w:r>
      <w:r>
        <w:rPr>
          <w:color w:val="auto"/>
          <w:szCs w:val="21"/>
          <w:highlight w:val="none"/>
        </w:rPr>
        <w:drawing>
          <wp:inline distT="0" distB="0" distL="0" distR="0">
            <wp:extent cx="12065" cy="2540"/>
            <wp:effectExtent l="0" t="0" r="0" b="0"/>
            <wp:docPr id="1026" name="Picture 3917"/>
            <wp:cNvGraphicFramePr/>
            <a:graphic xmlns:a="http://schemas.openxmlformats.org/drawingml/2006/main">
              <a:graphicData uri="http://schemas.openxmlformats.org/drawingml/2006/picture">
                <pic:pic xmlns:pic="http://schemas.openxmlformats.org/drawingml/2006/picture">
                  <pic:nvPicPr>
                    <pic:cNvPr id="1026" name="Picture 3917"/>
                    <pic:cNvPicPr/>
                  </pic:nvPicPr>
                  <pic:blipFill>
                    <a:blip r:embed="rId11" cstate="print"/>
                    <a:srcRect/>
                    <a:stretch>
                      <a:fillRect/>
                    </a:stretch>
                  </pic:blipFill>
                  <pic:spPr>
                    <a:xfrm>
                      <a:off x="0" y="0"/>
                      <a:ext cx="12065" cy="2540"/>
                    </a:xfrm>
                    <a:prstGeom prst="rect">
                      <a:avLst/>
                    </a:prstGeom>
                  </pic:spPr>
                </pic:pic>
              </a:graphicData>
            </a:graphic>
          </wp:inline>
        </w:drawing>
      </w:r>
      <w:r>
        <w:rPr>
          <w:color w:val="auto"/>
          <w:szCs w:val="21"/>
          <w:highlight w:val="none"/>
        </w:rPr>
        <w:t>《中华人民共和国民法典》《中华人民共和国政府采购法》等规定，本着平等、自愿、</w:t>
      </w:r>
      <w:r>
        <w:rPr>
          <w:color w:val="auto"/>
          <w:szCs w:val="21"/>
          <w:highlight w:val="none"/>
        </w:rPr>
        <w:t>互利、互惠的原则，经各方协商一致，订立本合同。</w:t>
      </w:r>
    </w:p>
    <w:p w14:paraId="17A8867D">
      <w:pPr>
        <w:numPr>
          <w:ilvl w:val="0"/>
          <w:numId w:val="0"/>
        </w:numPr>
        <w:spacing w:after="0" w:line="360" w:lineRule="auto"/>
        <w:ind w:right="0" w:rightChars="0" w:firstLine="482" w:firstLineChars="200"/>
        <w:rPr>
          <w:b/>
          <w:bCs/>
          <w:color w:val="auto"/>
          <w:szCs w:val="21"/>
          <w:highlight w:val="none"/>
        </w:rPr>
      </w:pPr>
      <w:r>
        <w:rPr>
          <w:rFonts w:hint="eastAsia"/>
          <w:b/>
          <w:bCs/>
          <w:color w:val="auto"/>
          <w:szCs w:val="21"/>
          <w:highlight w:val="none"/>
          <w:lang w:val="en-US" w:eastAsia="zh-CN"/>
        </w:rPr>
        <w:t>1.</w:t>
      </w:r>
      <w:r>
        <w:rPr>
          <w:rFonts w:hint="eastAsia" w:ascii="黑体" w:hAnsi="黑体" w:eastAsia="黑体" w:cs="黑体"/>
          <w:b/>
          <w:bCs/>
          <w:color w:val="auto"/>
          <w:szCs w:val="21"/>
          <w:highlight w:val="none"/>
        </w:rPr>
        <w:t>采购物品名称、</w:t>
      </w:r>
      <w:r>
        <w:rPr>
          <w:rFonts w:hint="eastAsia" w:ascii="黑体" w:hAnsi="黑体" w:eastAsia="黑体" w:cs="黑体"/>
          <w:b/>
          <w:bCs/>
          <w:color w:val="auto"/>
          <w:szCs w:val="21"/>
          <w:highlight w:val="none"/>
          <w:lang w:eastAsia="zh-CN"/>
        </w:rPr>
        <w:t>品牌、</w:t>
      </w:r>
      <w:r>
        <w:rPr>
          <w:rFonts w:hint="eastAsia" w:ascii="黑体" w:hAnsi="黑体" w:eastAsia="黑体" w:cs="黑体"/>
          <w:b/>
          <w:bCs/>
          <w:color w:val="auto"/>
          <w:szCs w:val="21"/>
          <w:highlight w:val="none"/>
        </w:rPr>
        <w:t>规格、金额（人民币/元）</w:t>
      </w:r>
    </w:p>
    <w:p w14:paraId="53D18D5F">
      <w:pPr>
        <w:spacing w:line="360" w:lineRule="auto"/>
        <w:ind w:right="0" w:firstLine="480" w:firstLineChars="200"/>
        <w:rPr>
          <w:color w:val="auto"/>
          <w:szCs w:val="21"/>
          <w:highlight w:val="none"/>
        </w:rPr>
      </w:pPr>
      <w:r>
        <w:rPr>
          <w:rFonts w:hint="eastAsia"/>
          <w:color w:val="auto"/>
          <w:szCs w:val="21"/>
          <w:highlight w:val="none"/>
          <w:lang w:val="en-US" w:eastAsia="zh-CN"/>
        </w:rPr>
        <w:t>1.1价格清单（名</w:t>
      </w:r>
      <w:r>
        <w:rPr>
          <w:rFonts w:hint="eastAsia"/>
          <w:color w:val="auto"/>
          <w:szCs w:val="21"/>
          <w:highlight w:val="none"/>
          <w:lang w:val="en-US" w:eastAsia="zh-CN"/>
        </w:rPr>
        <w:t>称、品牌、</w:t>
      </w:r>
      <w:r>
        <w:rPr>
          <w:color w:val="auto"/>
          <w:szCs w:val="21"/>
          <w:highlight w:val="none"/>
        </w:rPr>
        <w:t>规格及价</w:t>
      </w:r>
      <w:r>
        <w:rPr>
          <w:color w:val="auto"/>
          <w:szCs w:val="21"/>
          <w:highlight w:val="none"/>
        </w:rPr>
        <w:t>格</w:t>
      </w:r>
      <w:r>
        <w:rPr>
          <w:rFonts w:hint="eastAsia"/>
          <w:color w:val="auto"/>
          <w:szCs w:val="21"/>
          <w:highlight w:val="none"/>
          <w:lang w:val="en-US" w:eastAsia="zh-CN"/>
        </w:rPr>
        <w:t>）</w:t>
      </w:r>
      <w:r>
        <w:rPr>
          <w:color w:val="auto"/>
          <w:szCs w:val="21"/>
          <w:highlight w:val="none"/>
        </w:rPr>
        <w:t>：</w:t>
      </w:r>
    </w:p>
    <w:tbl>
      <w:tblPr>
        <w:tblStyle w:val="30"/>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622"/>
        <w:gridCol w:w="826"/>
        <w:gridCol w:w="1170"/>
        <w:gridCol w:w="795"/>
        <w:gridCol w:w="1965"/>
        <w:gridCol w:w="1574"/>
      </w:tblGrid>
      <w:tr w14:paraId="57C8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2" w:type="dxa"/>
            <w:shd w:val="clear" w:color="auto" w:fill="auto"/>
            <w:vAlign w:val="center"/>
          </w:tcPr>
          <w:p w14:paraId="3A0E9880">
            <w:pPr>
              <w:jc w:val="center"/>
              <w:rPr>
                <w:color w:val="auto"/>
                <w:highlight w:val="none"/>
              </w:rPr>
            </w:pPr>
            <w:r>
              <w:rPr>
                <w:rFonts w:hint="eastAsia"/>
                <w:color w:val="auto"/>
                <w:highlight w:val="none"/>
              </w:rPr>
              <w:t>序号</w:t>
            </w:r>
          </w:p>
        </w:tc>
        <w:tc>
          <w:tcPr>
            <w:tcW w:w="1622" w:type="dxa"/>
            <w:shd w:val="clear" w:color="auto" w:fill="auto"/>
            <w:vAlign w:val="center"/>
          </w:tcPr>
          <w:p w14:paraId="5899F5EA">
            <w:pPr>
              <w:jc w:val="center"/>
              <w:rPr>
                <w:color w:val="auto"/>
                <w:highlight w:val="none"/>
              </w:rPr>
            </w:pPr>
            <w:r>
              <w:rPr>
                <w:rFonts w:hint="eastAsia"/>
                <w:color w:val="auto"/>
                <w:highlight w:val="none"/>
              </w:rPr>
              <w:t>品名</w:t>
            </w:r>
          </w:p>
        </w:tc>
        <w:tc>
          <w:tcPr>
            <w:tcW w:w="826" w:type="dxa"/>
            <w:shd w:val="clear" w:color="auto" w:fill="auto"/>
            <w:vAlign w:val="center"/>
          </w:tcPr>
          <w:p w14:paraId="38334355">
            <w:pPr>
              <w:jc w:val="center"/>
              <w:rPr>
                <w:rFonts w:hint="eastAsia" w:eastAsia="宋体"/>
                <w:color w:val="auto"/>
                <w:highlight w:val="none"/>
                <w:lang w:val="en-US" w:eastAsia="zh-CN"/>
              </w:rPr>
            </w:pPr>
            <w:r>
              <w:rPr>
                <w:rFonts w:hint="eastAsia"/>
                <w:color w:val="auto"/>
                <w:highlight w:val="none"/>
                <w:lang w:val="en-US" w:eastAsia="zh-CN"/>
              </w:rPr>
              <w:t>品牌</w:t>
            </w:r>
          </w:p>
        </w:tc>
        <w:tc>
          <w:tcPr>
            <w:tcW w:w="1170" w:type="dxa"/>
            <w:shd w:val="clear" w:color="auto" w:fill="auto"/>
            <w:vAlign w:val="center"/>
          </w:tcPr>
          <w:p w14:paraId="02DC6D4B">
            <w:pPr>
              <w:jc w:val="center"/>
              <w:rPr>
                <w:rFonts w:hint="eastAsia" w:eastAsia="宋体"/>
                <w:color w:val="auto"/>
                <w:highlight w:val="none"/>
                <w:lang w:val="en-US" w:eastAsia="zh-CN"/>
              </w:rPr>
            </w:pPr>
            <w:r>
              <w:rPr>
                <w:rFonts w:hint="eastAsia"/>
                <w:color w:val="auto"/>
                <w:highlight w:val="none"/>
                <w:lang w:val="en-US" w:eastAsia="zh-CN"/>
              </w:rPr>
              <w:t>规格</w:t>
            </w:r>
          </w:p>
        </w:tc>
        <w:tc>
          <w:tcPr>
            <w:tcW w:w="795" w:type="dxa"/>
            <w:shd w:val="clear" w:color="auto" w:fill="auto"/>
            <w:vAlign w:val="center"/>
          </w:tcPr>
          <w:p w14:paraId="7E7022EC">
            <w:pPr>
              <w:jc w:val="center"/>
              <w:rPr>
                <w:rFonts w:hint="eastAsia" w:eastAsia="宋体"/>
                <w:color w:val="auto"/>
                <w:highlight w:val="none"/>
                <w:lang w:eastAsia="zh-CN"/>
              </w:rPr>
            </w:pPr>
            <w:r>
              <w:rPr>
                <w:rFonts w:hint="eastAsia"/>
                <w:color w:val="auto"/>
                <w:highlight w:val="none"/>
                <w:lang w:eastAsia="zh-CN"/>
              </w:rPr>
              <w:t>单位</w:t>
            </w:r>
          </w:p>
        </w:tc>
        <w:tc>
          <w:tcPr>
            <w:tcW w:w="1965" w:type="dxa"/>
            <w:shd w:val="clear" w:color="auto" w:fill="auto"/>
            <w:vAlign w:val="center"/>
          </w:tcPr>
          <w:p w14:paraId="33CD45B6">
            <w:pPr>
              <w:jc w:val="center"/>
              <w:rPr>
                <w:rFonts w:hint="eastAsia"/>
                <w:color w:val="auto"/>
                <w:highlight w:val="none"/>
              </w:rPr>
            </w:pPr>
            <w:r>
              <w:rPr>
                <w:rFonts w:hint="eastAsia"/>
                <w:color w:val="auto"/>
                <w:highlight w:val="none"/>
              </w:rPr>
              <w:t>最高限价</w:t>
            </w:r>
          </w:p>
        </w:tc>
        <w:tc>
          <w:tcPr>
            <w:tcW w:w="1574" w:type="dxa"/>
            <w:vAlign w:val="center"/>
          </w:tcPr>
          <w:p w14:paraId="5FB94352">
            <w:pPr>
              <w:jc w:val="center"/>
              <w:rPr>
                <w:color w:val="auto"/>
                <w:highlight w:val="none"/>
              </w:rPr>
            </w:pPr>
            <w:r>
              <w:rPr>
                <w:rFonts w:hint="eastAsia"/>
                <w:color w:val="auto"/>
                <w:highlight w:val="none"/>
              </w:rPr>
              <w:t>中标价</w:t>
            </w:r>
          </w:p>
        </w:tc>
      </w:tr>
      <w:tr w14:paraId="0337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82" w:type="dxa"/>
            <w:shd w:val="clear" w:color="auto" w:fill="auto"/>
            <w:vAlign w:val="center"/>
          </w:tcPr>
          <w:p w14:paraId="4B46E7DC">
            <w:pPr>
              <w:jc w:val="center"/>
              <w:rPr>
                <w:color w:val="auto"/>
                <w:highlight w:val="none"/>
              </w:rPr>
            </w:pPr>
            <w:r>
              <w:rPr>
                <w:rFonts w:hint="eastAsia"/>
                <w:color w:val="auto"/>
                <w:highlight w:val="none"/>
              </w:rPr>
              <w:t>1</w:t>
            </w:r>
          </w:p>
        </w:tc>
        <w:tc>
          <w:tcPr>
            <w:tcW w:w="1622" w:type="dxa"/>
            <w:shd w:val="clear" w:color="auto" w:fill="auto"/>
            <w:vAlign w:val="center"/>
          </w:tcPr>
          <w:p w14:paraId="1284916D">
            <w:pPr>
              <w:jc w:val="center"/>
              <w:rPr>
                <w:color w:val="auto"/>
                <w:highlight w:val="none"/>
              </w:rPr>
            </w:pPr>
          </w:p>
        </w:tc>
        <w:tc>
          <w:tcPr>
            <w:tcW w:w="826" w:type="dxa"/>
            <w:shd w:val="clear" w:color="auto" w:fill="auto"/>
            <w:vAlign w:val="center"/>
          </w:tcPr>
          <w:p w14:paraId="1D51E11E">
            <w:pPr>
              <w:jc w:val="center"/>
              <w:rPr>
                <w:color w:val="auto"/>
                <w:highlight w:val="none"/>
              </w:rPr>
            </w:pPr>
          </w:p>
        </w:tc>
        <w:tc>
          <w:tcPr>
            <w:tcW w:w="1170" w:type="dxa"/>
            <w:shd w:val="clear" w:color="auto" w:fill="auto"/>
            <w:vAlign w:val="center"/>
          </w:tcPr>
          <w:p w14:paraId="76FD5F2D">
            <w:pPr>
              <w:jc w:val="center"/>
              <w:rPr>
                <w:color w:val="auto"/>
                <w:highlight w:val="none"/>
              </w:rPr>
            </w:pPr>
          </w:p>
        </w:tc>
        <w:tc>
          <w:tcPr>
            <w:tcW w:w="795" w:type="dxa"/>
            <w:shd w:val="clear" w:color="auto" w:fill="auto"/>
            <w:vAlign w:val="center"/>
          </w:tcPr>
          <w:p w14:paraId="6A612256">
            <w:pPr>
              <w:jc w:val="center"/>
              <w:rPr>
                <w:color w:val="auto"/>
                <w:highlight w:val="none"/>
              </w:rPr>
            </w:pPr>
          </w:p>
        </w:tc>
        <w:tc>
          <w:tcPr>
            <w:tcW w:w="1965" w:type="dxa"/>
            <w:shd w:val="clear" w:color="auto" w:fill="auto"/>
            <w:vAlign w:val="center"/>
          </w:tcPr>
          <w:p w14:paraId="77B3DE59">
            <w:pPr>
              <w:jc w:val="center"/>
              <w:rPr>
                <w:color w:val="auto"/>
                <w:highlight w:val="none"/>
              </w:rPr>
            </w:pPr>
          </w:p>
        </w:tc>
        <w:tc>
          <w:tcPr>
            <w:tcW w:w="1574" w:type="dxa"/>
            <w:vAlign w:val="center"/>
          </w:tcPr>
          <w:p w14:paraId="125C7CA3">
            <w:pPr>
              <w:jc w:val="center"/>
              <w:rPr>
                <w:color w:val="auto"/>
                <w:highlight w:val="none"/>
              </w:rPr>
            </w:pPr>
          </w:p>
        </w:tc>
      </w:tr>
      <w:tr w14:paraId="1C84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2" w:type="dxa"/>
            <w:shd w:val="clear" w:color="auto" w:fill="auto"/>
            <w:vAlign w:val="center"/>
          </w:tcPr>
          <w:p w14:paraId="454588DD">
            <w:pPr>
              <w:jc w:val="center"/>
              <w:rPr>
                <w:color w:val="auto"/>
                <w:highlight w:val="none"/>
              </w:rPr>
            </w:pPr>
            <w:r>
              <w:rPr>
                <w:rFonts w:hint="eastAsia"/>
                <w:color w:val="auto"/>
                <w:highlight w:val="none"/>
              </w:rPr>
              <w:t>2</w:t>
            </w:r>
          </w:p>
        </w:tc>
        <w:tc>
          <w:tcPr>
            <w:tcW w:w="1622" w:type="dxa"/>
            <w:shd w:val="clear" w:color="auto" w:fill="auto"/>
            <w:vAlign w:val="center"/>
          </w:tcPr>
          <w:p w14:paraId="1D95038C">
            <w:pPr>
              <w:jc w:val="center"/>
              <w:rPr>
                <w:color w:val="auto"/>
                <w:highlight w:val="none"/>
              </w:rPr>
            </w:pPr>
          </w:p>
        </w:tc>
        <w:tc>
          <w:tcPr>
            <w:tcW w:w="826" w:type="dxa"/>
            <w:shd w:val="clear" w:color="auto" w:fill="auto"/>
            <w:vAlign w:val="center"/>
          </w:tcPr>
          <w:p w14:paraId="63BBF142">
            <w:pPr>
              <w:jc w:val="center"/>
              <w:rPr>
                <w:color w:val="auto"/>
                <w:highlight w:val="none"/>
              </w:rPr>
            </w:pPr>
          </w:p>
        </w:tc>
        <w:tc>
          <w:tcPr>
            <w:tcW w:w="1170" w:type="dxa"/>
            <w:shd w:val="clear" w:color="auto" w:fill="auto"/>
            <w:vAlign w:val="center"/>
          </w:tcPr>
          <w:p w14:paraId="6FDFB525">
            <w:pPr>
              <w:jc w:val="center"/>
              <w:rPr>
                <w:color w:val="auto"/>
                <w:highlight w:val="none"/>
              </w:rPr>
            </w:pPr>
          </w:p>
        </w:tc>
        <w:tc>
          <w:tcPr>
            <w:tcW w:w="795" w:type="dxa"/>
            <w:shd w:val="clear" w:color="auto" w:fill="auto"/>
            <w:vAlign w:val="center"/>
          </w:tcPr>
          <w:p w14:paraId="2CCB74C9">
            <w:pPr>
              <w:jc w:val="center"/>
              <w:rPr>
                <w:color w:val="auto"/>
                <w:highlight w:val="none"/>
              </w:rPr>
            </w:pPr>
          </w:p>
        </w:tc>
        <w:tc>
          <w:tcPr>
            <w:tcW w:w="1965" w:type="dxa"/>
            <w:shd w:val="clear" w:color="auto" w:fill="auto"/>
            <w:vAlign w:val="center"/>
          </w:tcPr>
          <w:p w14:paraId="1D1AB9BC">
            <w:pPr>
              <w:jc w:val="center"/>
              <w:rPr>
                <w:color w:val="auto"/>
                <w:highlight w:val="none"/>
              </w:rPr>
            </w:pPr>
          </w:p>
        </w:tc>
        <w:tc>
          <w:tcPr>
            <w:tcW w:w="1574" w:type="dxa"/>
            <w:vAlign w:val="center"/>
          </w:tcPr>
          <w:p w14:paraId="6E3646D0">
            <w:pPr>
              <w:jc w:val="center"/>
              <w:rPr>
                <w:color w:val="auto"/>
                <w:highlight w:val="none"/>
              </w:rPr>
            </w:pPr>
          </w:p>
        </w:tc>
      </w:tr>
      <w:tr w14:paraId="07A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2" w:type="dxa"/>
            <w:shd w:val="clear" w:color="auto" w:fill="auto"/>
          </w:tcPr>
          <w:p w14:paraId="02EABC7B">
            <w:pPr>
              <w:jc w:val="center"/>
              <w:rPr>
                <w:color w:val="auto"/>
                <w:highlight w:val="none"/>
              </w:rPr>
            </w:pPr>
            <w:r>
              <w:rPr>
                <w:rFonts w:hint="eastAsia"/>
                <w:color w:val="auto"/>
                <w:highlight w:val="none"/>
              </w:rPr>
              <w:t>3</w:t>
            </w:r>
          </w:p>
        </w:tc>
        <w:tc>
          <w:tcPr>
            <w:tcW w:w="1622" w:type="dxa"/>
            <w:shd w:val="clear" w:color="auto" w:fill="auto"/>
            <w:vAlign w:val="center"/>
          </w:tcPr>
          <w:p w14:paraId="4A3ABF78">
            <w:pPr>
              <w:jc w:val="center"/>
              <w:rPr>
                <w:color w:val="auto"/>
                <w:highlight w:val="none"/>
              </w:rPr>
            </w:pPr>
          </w:p>
        </w:tc>
        <w:tc>
          <w:tcPr>
            <w:tcW w:w="826" w:type="dxa"/>
            <w:shd w:val="clear" w:color="auto" w:fill="auto"/>
            <w:vAlign w:val="center"/>
          </w:tcPr>
          <w:p w14:paraId="2ABDA22C">
            <w:pPr>
              <w:jc w:val="center"/>
              <w:rPr>
                <w:color w:val="auto"/>
                <w:highlight w:val="none"/>
              </w:rPr>
            </w:pPr>
          </w:p>
        </w:tc>
        <w:tc>
          <w:tcPr>
            <w:tcW w:w="1170" w:type="dxa"/>
            <w:shd w:val="clear" w:color="auto" w:fill="auto"/>
            <w:vAlign w:val="center"/>
          </w:tcPr>
          <w:p w14:paraId="67881E38">
            <w:pPr>
              <w:jc w:val="center"/>
              <w:rPr>
                <w:color w:val="auto"/>
                <w:highlight w:val="none"/>
              </w:rPr>
            </w:pPr>
          </w:p>
        </w:tc>
        <w:tc>
          <w:tcPr>
            <w:tcW w:w="795" w:type="dxa"/>
            <w:shd w:val="clear" w:color="auto" w:fill="auto"/>
            <w:vAlign w:val="center"/>
          </w:tcPr>
          <w:p w14:paraId="57244757">
            <w:pPr>
              <w:jc w:val="center"/>
              <w:rPr>
                <w:color w:val="auto"/>
                <w:highlight w:val="none"/>
              </w:rPr>
            </w:pPr>
          </w:p>
        </w:tc>
        <w:tc>
          <w:tcPr>
            <w:tcW w:w="1965" w:type="dxa"/>
            <w:shd w:val="clear" w:color="auto" w:fill="auto"/>
            <w:vAlign w:val="center"/>
          </w:tcPr>
          <w:p w14:paraId="12AB3254">
            <w:pPr>
              <w:jc w:val="center"/>
              <w:rPr>
                <w:color w:val="auto"/>
                <w:highlight w:val="none"/>
              </w:rPr>
            </w:pPr>
          </w:p>
        </w:tc>
        <w:tc>
          <w:tcPr>
            <w:tcW w:w="1574" w:type="dxa"/>
            <w:vAlign w:val="center"/>
          </w:tcPr>
          <w:p w14:paraId="3C5B3532">
            <w:pPr>
              <w:jc w:val="center"/>
              <w:rPr>
                <w:color w:val="auto"/>
                <w:highlight w:val="none"/>
              </w:rPr>
            </w:pPr>
          </w:p>
        </w:tc>
      </w:tr>
      <w:tr w14:paraId="79BC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2" w:type="dxa"/>
            <w:shd w:val="clear" w:color="auto" w:fill="auto"/>
          </w:tcPr>
          <w:p w14:paraId="4060D7A6">
            <w:pPr>
              <w:jc w:val="center"/>
              <w:rPr>
                <w:color w:val="auto"/>
                <w:highlight w:val="none"/>
              </w:rPr>
            </w:pPr>
            <w:r>
              <w:rPr>
                <w:rFonts w:hint="eastAsia"/>
                <w:color w:val="auto"/>
                <w:highlight w:val="none"/>
              </w:rPr>
              <w:t>4</w:t>
            </w:r>
          </w:p>
        </w:tc>
        <w:tc>
          <w:tcPr>
            <w:tcW w:w="1622" w:type="dxa"/>
            <w:shd w:val="clear" w:color="auto" w:fill="auto"/>
            <w:vAlign w:val="center"/>
          </w:tcPr>
          <w:p w14:paraId="2749408F">
            <w:pPr>
              <w:jc w:val="center"/>
              <w:rPr>
                <w:color w:val="auto"/>
                <w:highlight w:val="none"/>
              </w:rPr>
            </w:pPr>
          </w:p>
        </w:tc>
        <w:tc>
          <w:tcPr>
            <w:tcW w:w="826" w:type="dxa"/>
            <w:shd w:val="clear" w:color="auto" w:fill="auto"/>
            <w:vAlign w:val="center"/>
          </w:tcPr>
          <w:p w14:paraId="0D72481E">
            <w:pPr>
              <w:jc w:val="center"/>
              <w:rPr>
                <w:color w:val="auto"/>
                <w:highlight w:val="none"/>
              </w:rPr>
            </w:pPr>
          </w:p>
        </w:tc>
        <w:tc>
          <w:tcPr>
            <w:tcW w:w="1170" w:type="dxa"/>
            <w:shd w:val="clear" w:color="auto" w:fill="auto"/>
            <w:vAlign w:val="center"/>
          </w:tcPr>
          <w:p w14:paraId="55EF4105">
            <w:pPr>
              <w:jc w:val="center"/>
              <w:rPr>
                <w:color w:val="auto"/>
                <w:highlight w:val="none"/>
              </w:rPr>
            </w:pPr>
          </w:p>
        </w:tc>
        <w:tc>
          <w:tcPr>
            <w:tcW w:w="795" w:type="dxa"/>
            <w:shd w:val="clear" w:color="auto" w:fill="auto"/>
            <w:vAlign w:val="center"/>
          </w:tcPr>
          <w:p w14:paraId="659235CB">
            <w:pPr>
              <w:jc w:val="center"/>
              <w:rPr>
                <w:color w:val="auto"/>
                <w:highlight w:val="none"/>
              </w:rPr>
            </w:pPr>
          </w:p>
        </w:tc>
        <w:tc>
          <w:tcPr>
            <w:tcW w:w="1965" w:type="dxa"/>
            <w:shd w:val="clear" w:color="auto" w:fill="auto"/>
            <w:vAlign w:val="center"/>
          </w:tcPr>
          <w:p w14:paraId="651AB3CE">
            <w:pPr>
              <w:jc w:val="center"/>
              <w:rPr>
                <w:color w:val="auto"/>
                <w:highlight w:val="none"/>
              </w:rPr>
            </w:pPr>
          </w:p>
        </w:tc>
        <w:tc>
          <w:tcPr>
            <w:tcW w:w="1574" w:type="dxa"/>
            <w:vAlign w:val="center"/>
          </w:tcPr>
          <w:p w14:paraId="37E2E67D">
            <w:pPr>
              <w:jc w:val="center"/>
              <w:rPr>
                <w:color w:val="auto"/>
                <w:highlight w:val="none"/>
              </w:rPr>
            </w:pPr>
          </w:p>
        </w:tc>
      </w:tr>
      <w:tr w14:paraId="04B2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4" w:type="dxa"/>
            <w:gridSpan w:val="7"/>
            <w:shd w:val="clear" w:color="auto" w:fill="auto"/>
          </w:tcPr>
          <w:p w14:paraId="7A3C1FA1">
            <w:pPr>
              <w:rPr>
                <w:color w:val="auto"/>
                <w:highlight w:val="none"/>
              </w:rPr>
            </w:pPr>
            <w:r>
              <w:rPr>
                <w:rFonts w:hint="eastAsia"/>
                <w:color w:val="auto"/>
                <w:highlight w:val="none"/>
              </w:rPr>
              <w:t>备注：</w:t>
            </w:r>
          </w:p>
          <w:p w14:paraId="1A7BDE07">
            <w:pPr>
              <w:rPr>
                <w:rFonts w:hint="eastAsia" w:eastAsia="宋体"/>
                <w:color w:val="auto"/>
                <w:highlight w:val="none"/>
                <w:lang w:eastAsia="zh-CN"/>
              </w:rPr>
            </w:pPr>
            <w:r>
              <w:rPr>
                <w:rFonts w:hint="eastAsia"/>
                <w:color w:val="auto"/>
                <w:highlight w:val="none"/>
              </w:rPr>
              <w:t>供货价格以</w:t>
            </w:r>
            <w:r>
              <w:rPr>
                <w:rFonts w:hint="eastAsia"/>
                <w:color w:val="auto"/>
                <w:highlight w:val="none"/>
                <w:lang w:val="en-US" w:eastAsia="zh-CN"/>
              </w:rPr>
              <w:t>供货前一日</w:t>
            </w:r>
            <w:r>
              <w:rPr>
                <w:rFonts w:hint="eastAsia"/>
                <w:color w:val="auto"/>
                <w:highlight w:val="none"/>
              </w:rPr>
              <w:t>北园春</w:t>
            </w:r>
            <w:r>
              <w:rPr>
                <w:rFonts w:hint="eastAsia"/>
                <w:color w:val="auto"/>
                <w:highlight w:val="none"/>
                <w:lang w:eastAsia="zh-CN"/>
              </w:rPr>
              <w:t>集团官网</w:t>
            </w:r>
            <w:r>
              <w:rPr>
                <w:rFonts w:hint="eastAsia"/>
                <w:color w:val="auto"/>
                <w:highlight w:val="none"/>
              </w:rPr>
              <w:t>同品类报价为基准价，</w:t>
            </w:r>
            <w:r>
              <w:rPr>
                <w:color w:val="auto"/>
                <w:highlight w:val="none"/>
              </w:rPr>
              <w:t>若供货产品在北园春</w:t>
            </w:r>
            <w:r>
              <w:rPr>
                <w:rFonts w:hint="eastAsia"/>
                <w:color w:val="auto"/>
                <w:highlight w:val="none"/>
                <w:lang w:eastAsia="zh-CN"/>
              </w:rPr>
              <w:t>集团官网</w:t>
            </w:r>
            <w:r>
              <w:rPr>
                <w:color w:val="auto"/>
                <w:highlight w:val="none"/>
              </w:rPr>
              <w:t>（http://www.beiyuanchun.com/）无报价，以九鼎</w:t>
            </w:r>
            <w:r>
              <w:rPr>
                <w:rFonts w:hint="eastAsia"/>
                <w:color w:val="auto"/>
                <w:highlight w:val="none"/>
                <w:lang w:val="en-US" w:eastAsia="zh-CN"/>
              </w:rPr>
              <w:t>农商网（最近时间）</w:t>
            </w:r>
            <w:r>
              <w:rPr>
                <w:color w:val="auto"/>
                <w:highlight w:val="none"/>
              </w:rPr>
              <w:t>（https://www.xj9d.com/）价格为</w:t>
            </w:r>
            <w:r>
              <w:rPr>
                <w:rFonts w:hint="eastAsia"/>
                <w:color w:val="auto"/>
                <w:highlight w:val="none"/>
              </w:rPr>
              <w:t>相应基准</w:t>
            </w:r>
            <w:r>
              <w:rPr>
                <w:color w:val="auto"/>
                <w:highlight w:val="none"/>
              </w:rPr>
              <w:t>，如</w:t>
            </w:r>
            <w:r>
              <w:rPr>
                <w:rFonts w:hint="eastAsia"/>
                <w:color w:val="auto"/>
                <w:highlight w:val="none"/>
              </w:rPr>
              <w:t>甲方</w:t>
            </w:r>
            <w:r>
              <w:rPr>
                <w:color w:val="auto"/>
                <w:highlight w:val="none"/>
              </w:rPr>
              <w:t>所需货物北园春集团</w:t>
            </w:r>
            <w:r>
              <w:rPr>
                <w:rFonts w:hint="eastAsia"/>
                <w:color w:val="auto"/>
                <w:highlight w:val="none"/>
                <w:lang w:val="en-US" w:eastAsia="zh-CN"/>
              </w:rPr>
              <w:t>官网</w:t>
            </w:r>
            <w:r>
              <w:rPr>
                <w:color w:val="auto"/>
                <w:highlight w:val="none"/>
              </w:rPr>
              <w:t>、九鼎</w:t>
            </w:r>
            <w:r>
              <w:rPr>
                <w:rFonts w:hint="eastAsia"/>
                <w:color w:val="auto"/>
                <w:highlight w:val="none"/>
                <w:lang w:val="en-US" w:eastAsia="zh-CN"/>
              </w:rPr>
              <w:t>农商网</w:t>
            </w:r>
            <w:r>
              <w:rPr>
                <w:color w:val="auto"/>
                <w:highlight w:val="none"/>
              </w:rPr>
              <w:t>均没有时，以甲</w:t>
            </w:r>
            <w:r>
              <w:rPr>
                <w:rFonts w:hint="eastAsia"/>
                <w:color w:val="auto"/>
                <w:highlight w:val="none"/>
              </w:rPr>
              <w:t>方</w:t>
            </w:r>
            <w:r>
              <w:rPr>
                <w:color w:val="auto"/>
                <w:highlight w:val="none"/>
              </w:rPr>
              <w:t>询价的价格为基准价</w:t>
            </w:r>
            <w:r>
              <w:rPr>
                <w:rFonts w:hint="default"/>
                <w:color w:val="auto"/>
                <w:highlight w:val="none"/>
                <w:lang w:val="en"/>
              </w:rPr>
              <w:t>,</w:t>
            </w:r>
            <w:r>
              <w:rPr>
                <w:rFonts w:hint="eastAsia"/>
                <w:color w:val="auto"/>
                <w:highlight w:val="none"/>
              </w:rPr>
              <w:t>如北园春官网</w:t>
            </w:r>
            <w:r>
              <w:rPr>
                <w:rFonts w:hint="eastAsia"/>
                <w:color w:val="auto"/>
                <w:highlight w:val="none"/>
                <w:lang w:eastAsia="zh-CN"/>
              </w:rPr>
              <w:t>、</w:t>
            </w:r>
            <w:r>
              <w:rPr>
                <w:rFonts w:hint="eastAsia"/>
                <w:color w:val="auto"/>
                <w:highlight w:val="none"/>
                <w:lang w:val="en-US" w:eastAsia="zh-CN"/>
              </w:rPr>
              <w:t>九鼎农商网</w:t>
            </w:r>
            <w:r>
              <w:rPr>
                <w:rFonts w:hint="eastAsia"/>
                <w:color w:val="auto"/>
                <w:highlight w:val="none"/>
              </w:rPr>
              <w:t>无当日报价，以最近一期发布价格为准</w:t>
            </w:r>
            <w:r>
              <w:rPr>
                <w:color w:val="auto"/>
                <w:highlight w:val="none"/>
              </w:rPr>
              <w:t>。</w:t>
            </w:r>
          </w:p>
        </w:tc>
      </w:tr>
    </w:tbl>
    <w:p w14:paraId="46148B69">
      <w:pPr>
        <w:spacing w:after="0" w:line="360" w:lineRule="auto"/>
        <w:ind w:right="0" w:firstLine="480" w:firstLineChars="200"/>
        <w:rPr>
          <w:color w:val="auto"/>
          <w:szCs w:val="21"/>
          <w:highlight w:val="none"/>
        </w:rPr>
      </w:pPr>
      <w:r>
        <w:rPr>
          <w:rFonts w:hint="eastAsia"/>
          <w:color w:val="auto"/>
          <w:szCs w:val="21"/>
          <w:highlight w:val="none"/>
          <w:lang w:val="en-US" w:eastAsia="zh-CN"/>
        </w:rPr>
        <w:t>1.2</w:t>
      </w:r>
      <w:r>
        <w:rPr>
          <w:color w:val="auto"/>
          <w:szCs w:val="21"/>
          <w:highlight w:val="none"/>
        </w:rPr>
        <w:t>本</w:t>
      </w:r>
      <w:r>
        <w:rPr>
          <w:color w:val="auto"/>
          <w:szCs w:val="21"/>
          <w:highlight w:val="none"/>
        </w:rPr>
        <w:t>合同作为今后供货执行单价，以上供货价格系指包括全部货品、税费、包装费、运输</w:t>
      </w:r>
      <w:r>
        <w:rPr>
          <w:rFonts w:hint="eastAsia"/>
          <w:color w:val="auto"/>
          <w:szCs w:val="21"/>
          <w:highlight w:val="none"/>
          <w:lang w:eastAsia="zh-CN"/>
        </w:rPr>
        <w:t>费</w:t>
      </w:r>
      <w:r>
        <w:rPr>
          <w:color w:val="auto"/>
          <w:szCs w:val="21"/>
          <w:highlight w:val="none"/>
        </w:rPr>
        <w:t>、装卸</w:t>
      </w:r>
      <w:r>
        <w:rPr>
          <w:rFonts w:hint="eastAsia"/>
          <w:color w:val="auto"/>
          <w:szCs w:val="21"/>
          <w:highlight w:val="none"/>
          <w:lang w:val="en-US" w:eastAsia="zh-CN"/>
        </w:rPr>
        <w:t>以及最终将货物卸载、运送、搬货交付到甲方指定区域待甲方验收的全部费用，</w:t>
      </w:r>
      <w:r>
        <w:rPr>
          <w:rFonts w:hint="eastAsia"/>
          <w:color w:val="auto"/>
          <w:highlight w:val="none"/>
          <w:lang w:eastAsia="zh-CN"/>
        </w:rPr>
        <w:t>其他存在或可能存在的各类税、费、成本等亦由乙方承担。</w:t>
      </w:r>
      <w:r>
        <w:rPr>
          <w:color w:val="auto"/>
          <w:szCs w:val="21"/>
          <w:highlight w:val="none"/>
        </w:rPr>
        <w:t>合同总额按照甲方验收合格的数量结合上述供货单价进行结算。</w:t>
      </w:r>
    </w:p>
    <w:p w14:paraId="31FB411B">
      <w:pPr>
        <w:spacing w:line="360" w:lineRule="auto"/>
        <w:ind w:right="0" w:firstLine="480" w:firstLineChars="200"/>
        <w:rPr>
          <w:color w:val="auto"/>
          <w:szCs w:val="21"/>
          <w:highlight w:val="none"/>
        </w:rPr>
      </w:pPr>
      <w:r>
        <w:rPr>
          <w:rFonts w:hint="eastAsia"/>
          <w:color w:val="auto"/>
          <w:szCs w:val="21"/>
          <w:highlight w:val="none"/>
          <w:lang w:val="en-US" w:eastAsia="zh-CN"/>
        </w:rPr>
        <w:t>1.3</w:t>
      </w:r>
      <w:r>
        <w:rPr>
          <w:color w:val="auto"/>
          <w:szCs w:val="21"/>
          <w:highlight w:val="none"/>
        </w:rPr>
        <w:t>价格</w:t>
      </w:r>
      <w:r>
        <w:rPr>
          <w:color w:val="auto"/>
          <w:szCs w:val="21"/>
          <w:highlight w:val="none"/>
        </w:rPr>
        <w:t>清单是基于乙方在完全理解本项目所需为前提，甲方对清单中的名称、规格、技术参数及数量等有</w:t>
      </w:r>
      <w:r>
        <w:rPr>
          <w:rFonts w:hint="eastAsia"/>
          <w:color w:val="auto"/>
          <w:highlight w:val="none"/>
          <w:lang w:eastAsia="zh-CN"/>
        </w:rPr>
        <w:t>核对验收的权利</w:t>
      </w:r>
      <w:r>
        <w:rPr>
          <w:color w:val="auto"/>
          <w:szCs w:val="21"/>
          <w:highlight w:val="none"/>
        </w:rPr>
        <w:t>，且每批货物价格</w:t>
      </w:r>
      <w:r>
        <w:rPr>
          <w:rFonts w:hint="eastAsia"/>
          <w:color w:val="auto"/>
          <w:szCs w:val="21"/>
          <w:highlight w:val="none"/>
        </w:rPr>
        <w:t>以合同约定</w:t>
      </w:r>
      <w:r>
        <w:rPr>
          <w:rFonts w:hint="eastAsia"/>
          <w:color w:val="auto"/>
          <w:highlight w:val="none"/>
          <w:lang w:eastAsia="zh-CN"/>
        </w:rPr>
        <w:t>价格计算方式</w:t>
      </w:r>
      <w:r>
        <w:rPr>
          <w:rFonts w:hint="eastAsia"/>
          <w:b w:val="0"/>
          <w:bCs w:val="0"/>
          <w:color w:val="auto"/>
          <w:highlight w:val="none"/>
          <w:lang w:eastAsia="zh-CN"/>
        </w:rPr>
        <w:t>（</w:t>
      </w:r>
      <w:r>
        <w:rPr>
          <w:rFonts w:hint="eastAsia"/>
          <w:b w:val="0"/>
          <w:bCs w:val="0"/>
          <w:color w:val="auto"/>
          <w:highlight w:val="none"/>
          <w:lang w:val="en-US" w:eastAsia="zh-CN"/>
        </w:rPr>
        <w:t>小数点两位后均不计入价款</w:t>
      </w:r>
      <w:r>
        <w:rPr>
          <w:rFonts w:hint="eastAsia"/>
          <w:b w:val="0"/>
          <w:bCs w:val="0"/>
          <w:color w:val="auto"/>
          <w:highlight w:val="none"/>
          <w:lang w:eastAsia="zh-CN"/>
        </w:rPr>
        <w:t>）</w:t>
      </w:r>
      <w:r>
        <w:rPr>
          <w:rFonts w:hint="eastAsia"/>
          <w:color w:val="auto"/>
          <w:szCs w:val="21"/>
          <w:highlight w:val="none"/>
          <w:lang w:eastAsia="zh-CN"/>
        </w:rPr>
        <w:t>。</w:t>
      </w:r>
      <w:r>
        <w:rPr>
          <w:color w:val="auto"/>
          <w:szCs w:val="21"/>
          <w:highlight w:val="none"/>
        </w:rPr>
        <w:t>乙方在合同有效期内不得对清单</w:t>
      </w:r>
      <w:r>
        <w:rPr>
          <w:rFonts w:hint="eastAsia"/>
          <w:color w:val="auto"/>
          <w:szCs w:val="21"/>
          <w:highlight w:val="none"/>
          <w:lang w:eastAsia="zh-CN"/>
        </w:rPr>
        <w:t>提出任何费用的增加</w:t>
      </w:r>
      <w:r>
        <w:rPr>
          <w:color w:val="auto"/>
          <w:szCs w:val="21"/>
          <w:highlight w:val="none"/>
        </w:rPr>
        <w:t>。实际供货数量以甲方通知乙方配送到位的</w:t>
      </w:r>
      <w:r>
        <w:rPr>
          <w:rFonts w:hint="eastAsia"/>
          <w:color w:val="auto"/>
          <w:szCs w:val="21"/>
          <w:highlight w:val="none"/>
          <w:lang w:val="en-US" w:eastAsia="zh-CN"/>
        </w:rPr>
        <w:t>验收合格且</w:t>
      </w:r>
      <w:r>
        <w:rPr>
          <w:rFonts w:hint="eastAsia"/>
          <w:color w:val="auto"/>
          <w:szCs w:val="21"/>
          <w:highlight w:val="none"/>
        </w:rPr>
        <w:t>净重</w:t>
      </w:r>
      <w:r>
        <w:rPr>
          <w:color w:val="auto"/>
          <w:szCs w:val="21"/>
          <w:highlight w:val="none"/>
        </w:rPr>
        <w:t>数量为准，结算数量按照甲方对货物称重</w:t>
      </w:r>
      <w:r>
        <w:rPr>
          <w:rFonts w:hint="eastAsia"/>
          <w:color w:val="auto"/>
          <w:szCs w:val="21"/>
          <w:highlight w:val="none"/>
        </w:rPr>
        <w:t>并清点合格</w:t>
      </w:r>
      <w:r>
        <w:rPr>
          <w:color w:val="auto"/>
          <w:szCs w:val="21"/>
          <w:highlight w:val="none"/>
        </w:rPr>
        <w:t>后的</w:t>
      </w:r>
      <w:r>
        <w:rPr>
          <w:rFonts w:hint="eastAsia"/>
          <w:color w:val="auto"/>
          <w:szCs w:val="21"/>
          <w:highlight w:val="none"/>
        </w:rPr>
        <w:t>净重</w:t>
      </w:r>
      <w:r>
        <w:rPr>
          <w:color w:val="auto"/>
          <w:szCs w:val="21"/>
          <w:highlight w:val="none"/>
        </w:rPr>
        <w:t>数量进行结算。</w:t>
      </w:r>
    </w:p>
    <w:p w14:paraId="11B290BC">
      <w:pPr>
        <w:spacing w:line="360" w:lineRule="auto"/>
        <w:ind w:right="0" w:firstLine="48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1.4如乙方在同等条件下向任何第三方提供低于给与甲方的价格，乙方有义务主动通报其向第三方提供的更低价格，否则视为违约。甲方有权按照乙方给与第三方的最低价格作为甲乙双方的结算价格。</w:t>
      </w:r>
    </w:p>
    <w:p w14:paraId="429DC3F4">
      <w:pPr>
        <w:spacing w:line="360" w:lineRule="auto"/>
        <w:ind w:right="0" w:firstLine="482" w:firstLineChars="200"/>
        <w:rPr>
          <w:rFonts w:hint="default" w:eastAsia="宋体"/>
          <w:b/>
          <w:bCs/>
          <w:color w:val="auto"/>
          <w:szCs w:val="21"/>
          <w:highlight w:val="none"/>
          <w:lang w:val="en-US" w:eastAsia="zh-CN"/>
        </w:rPr>
      </w:pPr>
      <w:r>
        <w:rPr>
          <w:rFonts w:hint="eastAsia"/>
          <w:b/>
          <w:bCs/>
          <w:color w:val="auto"/>
          <w:szCs w:val="21"/>
          <w:highlight w:val="none"/>
          <w:lang w:val="en-US" w:eastAsia="zh-CN"/>
        </w:rPr>
        <w:t>2.</w:t>
      </w:r>
      <w:r>
        <w:rPr>
          <w:rFonts w:hint="eastAsia" w:ascii="黑体" w:hAnsi="黑体" w:eastAsia="黑体" w:cs="黑体"/>
          <w:b/>
          <w:bCs/>
          <w:color w:val="auto"/>
          <w:szCs w:val="21"/>
          <w:highlight w:val="none"/>
        </w:rPr>
        <w:t>质量</w:t>
      </w:r>
      <w:r>
        <w:rPr>
          <w:rFonts w:hint="eastAsia" w:ascii="黑体" w:hAnsi="黑体" w:eastAsia="黑体" w:cs="黑体"/>
          <w:b/>
          <w:bCs/>
          <w:color w:val="auto"/>
          <w:szCs w:val="21"/>
          <w:highlight w:val="none"/>
          <w:lang w:val="en-US" w:eastAsia="zh-CN"/>
        </w:rPr>
        <w:t>标准及质保期</w:t>
      </w:r>
    </w:p>
    <w:p w14:paraId="52BFDB15">
      <w:pPr>
        <w:spacing w:line="360" w:lineRule="auto"/>
        <w:ind w:right="0" w:firstLine="480" w:firstLineChars="200"/>
        <w:rPr>
          <w:color w:val="auto"/>
          <w:szCs w:val="21"/>
          <w:highlight w:val="none"/>
        </w:rPr>
      </w:pPr>
      <w:r>
        <w:rPr>
          <w:rFonts w:hint="eastAsia"/>
          <w:color w:val="auto"/>
          <w:szCs w:val="21"/>
          <w:highlight w:val="none"/>
          <w:lang w:val="en-US" w:eastAsia="zh-CN"/>
        </w:rPr>
        <w:t>2.1</w:t>
      </w:r>
      <w:r>
        <w:rPr>
          <w:color w:val="auto"/>
          <w:szCs w:val="21"/>
          <w:highlight w:val="none"/>
        </w:rPr>
        <w:t>乙</w:t>
      </w:r>
      <w:r>
        <w:rPr>
          <w:color w:val="auto"/>
          <w:szCs w:val="21"/>
          <w:highlight w:val="none"/>
        </w:rPr>
        <w:t>方保证本合同项下</w:t>
      </w:r>
      <w:r>
        <w:rPr>
          <w:rFonts w:hint="eastAsia"/>
          <w:color w:val="auto"/>
          <w:szCs w:val="21"/>
          <w:highlight w:val="none"/>
          <w:lang w:val="en-US" w:eastAsia="zh-CN"/>
        </w:rPr>
        <w:t>所</w:t>
      </w:r>
      <w:r>
        <w:rPr>
          <w:color w:val="auto"/>
          <w:szCs w:val="21"/>
          <w:highlight w:val="none"/>
        </w:rPr>
        <w:t>提供的货物来源安全可靠</w:t>
      </w:r>
      <w:r>
        <w:rPr>
          <w:rFonts w:hint="eastAsia"/>
          <w:color w:val="auto"/>
          <w:szCs w:val="21"/>
          <w:highlight w:val="none"/>
          <w:lang w:eastAsia="zh-CN"/>
        </w:rPr>
        <w:t>，</w:t>
      </w:r>
      <w:r>
        <w:rPr>
          <w:color w:val="auto"/>
          <w:szCs w:val="21"/>
          <w:highlight w:val="none"/>
        </w:rPr>
        <w:t>质量符合国家质量安全标准及招投标文件、答疑附件的质量要求，干净卫生、</w:t>
      </w:r>
      <w:r>
        <w:rPr>
          <w:rFonts w:hint="eastAsia"/>
          <w:color w:val="auto"/>
          <w:szCs w:val="21"/>
          <w:highlight w:val="none"/>
        </w:rPr>
        <w:t>新鲜、</w:t>
      </w:r>
      <w:r>
        <w:rPr>
          <w:color w:val="auto"/>
          <w:szCs w:val="21"/>
          <w:highlight w:val="none"/>
        </w:rPr>
        <w:t>无杂质，无过期、变质、腐烂、以假充真、以次充好等现象，并保证其销售的产品不存在有造成甲方或任何第三人人身损害的现实或潜在的危险；</w:t>
      </w:r>
      <w:r>
        <w:rPr>
          <w:rFonts w:hint="eastAsia"/>
          <w:color w:val="auto"/>
          <w:szCs w:val="21"/>
          <w:highlight w:val="none"/>
        </w:rPr>
        <w:t>乙方承诺对货物质量承担终身追溯责任</w:t>
      </w:r>
      <w:r>
        <w:rPr>
          <w:color w:val="auto"/>
          <w:szCs w:val="21"/>
          <w:highlight w:val="none"/>
        </w:rPr>
        <w:t>。</w:t>
      </w:r>
      <w:r>
        <w:rPr>
          <w:rFonts w:hint="eastAsia"/>
          <w:color w:val="auto"/>
          <w:szCs w:val="21"/>
          <w:highlight w:val="none"/>
        </w:rPr>
        <w:t>若因此造成任何损失，由乙方承担全部赔偿责任及违约责任。</w:t>
      </w:r>
    </w:p>
    <w:p w14:paraId="0F604BF8">
      <w:pPr>
        <w:spacing w:after="0" w:line="360" w:lineRule="auto"/>
        <w:ind w:right="0" w:firstLine="480" w:firstLineChars="200"/>
        <w:rPr>
          <w:color w:val="auto"/>
          <w:szCs w:val="21"/>
          <w:highlight w:val="none"/>
        </w:rPr>
      </w:pPr>
      <w:r>
        <w:rPr>
          <w:rFonts w:hint="eastAsia"/>
          <w:color w:val="auto"/>
          <w:szCs w:val="21"/>
          <w:highlight w:val="none"/>
          <w:lang w:val="en-US" w:eastAsia="zh-CN"/>
        </w:rPr>
        <w:t>2.2</w:t>
      </w:r>
      <w:r>
        <w:rPr>
          <w:color w:val="auto"/>
          <w:szCs w:val="21"/>
          <w:highlight w:val="none"/>
        </w:rPr>
        <w:t>乙方应</w:t>
      </w:r>
      <w:r>
        <w:rPr>
          <w:color w:val="auto"/>
          <w:szCs w:val="21"/>
          <w:highlight w:val="none"/>
        </w:rPr>
        <w:t>保证其配送的每一个批次的货物符合上述质量标准及相应的安全标准</w:t>
      </w:r>
      <w:r>
        <w:rPr>
          <w:rFonts w:hint="eastAsia"/>
          <w:color w:val="auto"/>
          <w:szCs w:val="21"/>
          <w:highlight w:val="none"/>
        </w:rPr>
        <w:t>，并在交付时提供由国家级检测机构出具的货物质量合格证明文件</w:t>
      </w:r>
      <w:r>
        <w:rPr>
          <w:rFonts w:hint="eastAsia"/>
          <w:color w:val="auto"/>
          <w:szCs w:val="21"/>
          <w:highlight w:val="none"/>
          <w:lang w:eastAsia="zh-CN"/>
        </w:rPr>
        <w:t>。</w:t>
      </w:r>
      <w:r>
        <w:rPr>
          <w:b w:val="0"/>
          <w:bCs w:val="0"/>
          <w:color w:val="auto"/>
          <w:szCs w:val="21"/>
          <w:highlight w:val="none"/>
        </w:rPr>
        <w:t>在实施中甲方将核实乙方投标书中的产品质量标准、检验报告、</w:t>
      </w:r>
      <w:r>
        <w:rPr>
          <w:rFonts w:hint="default"/>
          <w:b w:val="0"/>
          <w:bCs w:val="0"/>
          <w:color w:val="auto"/>
          <w:szCs w:val="21"/>
          <w:highlight w:val="none"/>
          <w:lang w:val="en-US"/>
        </w:rPr>
        <w:t>SC</w:t>
      </w:r>
      <w:r>
        <w:rPr>
          <w:rFonts w:hint="eastAsia"/>
          <w:b w:val="0"/>
          <w:bCs w:val="0"/>
          <w:color w:val="auto"/>
          <w:szCs w:val="21"/>
          <w:highlight w:val="none"/>
          <w:lang w:val="en-US" w:eastAsia="zh-CN"/>
        </w:rPr>
        <w:t>编码（食品生产许可证编号）</w:t>
      </w:r>
      <w:r>
        <w:rPr>
          <w:b w:val="0"/>
          <w:bCs w:val="0"/>
          <w:color w:val="auto"/>
          <w:szCs w:val="21"/>
          <w:highlight w:val="none"/>
        </w:rPr>
        <w:t>与</w:t>
      </w:r>
      <w:r>
        <w:rPr>
          <w:color w:val="auto"/>
          <w:szCs w:val="21"/>
          <w:highlight w:val="none"/>
        </w:rPr>
        <w:t>实际供货的产品的质量标准、检验报告、</w:t>
      </w:r>
      <w:r>
        <w:rPr>
          <w:rFonts w:hint="default"/>
          <w:color w:val="auto"/>
          <w:szCs w:val="21"/>
          <w:highlight w:val="none"/>
          <w:lang w:val="en-US"/>
        </w:rPr>
        <w:t>SC</w:t>
      </w:r>
      <w:r>
        <w:rPr>
          <w:rFonts w:hint="eastAsia"/>
          <w:color w:val="auto"/>
          <w:szCs w:val="21"/>
          <w:highlight w:val="none"/>
          <w:lang w:val="en-US" w:eastAsia="zh-CN"/>
        </w:rPr>
        <w:t>编码</w:t>
      </w:r>
      <w:r>
        <w:rPr>
          <w:color w:val="auto"/>
          <w:szCs w:val="21"/>
          <w:highlight w:val="none"/>
        </w:rPr>
        <w:t>是否一致，如发现偏离</w:t>
      </w:r>
      <w:r>
        <w:rPr>
          <w:rFonts w:hint="eastAsia"/>
          <w:color w:val="auto"/>
          <w:szCs w:val="21"/>
          <w:highlight w:val="none"/>
          <w:lang w:eastAsia="zh-CN"/>
        </w:rPr>
        <w:t>（实际供货的质量标准低于乙方投标书中的质量标准、无</w:t>
      </w:r>
      <w:r>
        <w:rPr>
          <w:rFonts w:hint="default"/>
          <w:color w:val="auto"/>
          <w:szCs w:val="21"/>
          <w:highlight w:val="none"/>
          <w:lang w:val="en-US"/>
        </w:rPr>
        <w:t>SC</w:t>
      </w:r>
      <w:r>
        <w:rPr>
          <w:rFonts w:hint="eastAsia"/>
          <w:color w:val="auto"/>
          <w:szCs w:val="21"/>
          <w:highlight w:val="none"/>
          <w:lang w:val="en-US" w:eastAsia="zh-CN"/>
        </w:rPr>
        <w:t>编码、无检验报告或报告未达到投标资料标准等</w:t>
      </w:r>
      <w:r>
        <w:rPr>
          <w:rFonts w:hint="eastAsia"/>
          <w:color w:val="auto"/>
          <w:szCs w:val="21"/>
          <w:highlight w:val="none"/>
          <w:lang w:eastAsia="zh-CN"/>
        </w:rPr>
        <w:t>），</w:t>
      </w:r>
      <w:r>
        <w:rPr>
          <w:rFonts w:hint="eastAsia"/>
          <w:color w:val="auto"/>
          <w:highlight w:val="none"/>
          <w:lang w:eastAsia="zh-CN"/>
        </w:rPr>
        <w:t>即认定为违约行为</w:t>
      </w:r>
      <w:r>
        <w:rPr>
          <w:color w:val="auto"/>
          <w:szCs w:val="21"/>
          <w:highlight w:val="none"/>
        </w:rPr>
        <w:t>，甲方</w:t>
      </w:r>
      <w:r>
        <w:rPr>
          <w:rFonts w:hint="eastAsia"/>
          <w:color w:val="auto"/>
          <w:szCs w:val="21"/>
          <w:highlight w:val="none"/>
          <w:lang w:val="en-US" w:eastAsia="zh-CN"/>
        </w:rPr>
        <w:t>可以</w:t>
      </w:r>
      <w:r>
        <w:rPr>
          <w:rFonts w:hint="eastAsia"/>
          <w:color w:val="auto"/>
          <w:szCs w:val="21"/>
          <w:highlight w:val="none"/>
          <w:lang w:eastAsia="zh-CN"/>
        </w:rPr>
        <w:t>终止</w:t>
      </w:r>
      <w:r>
        <w:rPr>
          <w:color w:val="auto"/>
          <w:szCs w:val="21"/>
          <w:highlight w:val="none"/>
        </w:rPr>
        <w:t>乙方供货资格</w:t>
      </w:r>
      <w:r>
        <w:rPr>
          <w:rFonts w:hint="eastAsia"/>
          <w:color w:val="auto"/>
          <w:szCs w:val="21"/>
          <w:highlight w:val="none"/>
          <w:lang w:val="en-US" w:eastAsia="zh-CN"/>
        </w:rPr>
        <w:t>并解除合同，并</w:t>
      </w:r>
      <w:r>
        <w:rPr>
          <w:rFonts w:hint="eastAsia"/>
          <w:color w:val="auto"/>
          <w:szCs w:val="21"/>
          <w:highlight w:val="none"/>
        </w:rPr>
        <w:t>追究乙方的违约责任和赔偿责任</w:t>
      </w:r>
      <w:r>
        <w:rPr>
          <w:color w:val="auto"/>
          <w:szCs w:val="21"/>
          <w:highlight w:val="none"/>
        </w:rPr>
        <w:t>。</w:t>
      </w:r>
    </w:p>
    <w:p w14:paraId="435A9828">
      <w:pPr>
        <w:spacing w:after="0" w:line="360" w:lineRule="auto"/>
        <w:ind w:right="0" w:firstLine="480" w:firstLineChars="200"/>
        <w:rPr>
          <w:color w:val="auto"/>
          <w:szCs w:val="21"/>
          <w:highlight w:val="none"/>
        </w:rPr>
      </w:pPr>
      <w:r>
        <w:rPr>
          <w:rFonts w:hint="eastAsia"/>
          <w:color w:val="auto"/>
          <w:highlight w:val="none"/>
          <w:lang w:val="en-US" w:eastAsia="zh-CN"/>
        </w:rPr>
        <w:t>2.3乙方保</w:t>
      </w:r>
      <w:r>
        <w:rPr>
          <w:rFonts w:hint="eastAsia"/>
          <w:color w:val="auto"/>
          <w:highlight w:val="none"/>
          <w:lang w:val="en-US" w:eastAsia="zh-CN"/>
        </w:rPr>
        <w:t>证所供货物及相关技术、标识、包装等不侵犯任何第三方的知识产权（包括但不限于专利权、商标权、著作权等其他权利）。如因货物侵犯第三方知识产权导致甲方被诉或遭受损失的，乙方应负责解决纠纷，并承担全部赔偿责任（包括但不限于赔偿金、律师费、诉讼费等）。</w:t>
      </w:r>
    </w:p>
    <w:p w14:paraId="76FD0180">
      <w:pPr>
        <w:spacing w:line="360" w:lineRule="auto"/>
        <w:ind w:right="0" w:firstLine="480" w:firstLineChars="200"/>
        <w:rPr>
          <w:rFonts w:hint="eastAsia"/>
          <w:color w:val="auto"/>
          <w:szCs w:val="21"/>
          <w:highlight w:val="none"/>
        </w:rPr>
      </w:pPr>
      <w:r>
        <w:rPr>
          <w:rFonts w:hint="eastAsia"/>
          <w:color w:val="auto"/>
          <w:szCs w:val="21"/>
          <w:highlight w:val="none"/>
          <w:lang w:val="en-US" w:eastAsia="zh-CN"/>
        </w:rPr>
        <w:t>2.4乙方保证所供货物质量新鲜，有保质期约定的货品，乙方配送的货品剩余保质期应在80%以上（自交付之日的次日起计算），若发现剩余保质期不足80%，甲方有权拒收并要求乙方按照甲方要求的时限更换符合要求的货物，乙方应承担双倍运输费用及质量复检费用，并按不合格货物价值的20%支付违约金。</w:t>
      </w:r>
      <w:r>
        <w:rPr>
          <w:rFonts w:hint="eastAsia"/>
          <w:color w:val="auto"/>
          <w:szCs w:val="21"/>
          <w:highlight w:val="none"/>
        </w:rPr>
        <w:t>（如质保期为10个月的，供货时剩余的质保期应当大于或等于</w:t>
      </w:r>
      <w:r>
        <w:rPr>
          <w:rFonts w:hint="eastAsia"/>
          <w:color w:val="auto"/>
          <w:szCs w:val="21"/>
          <w:highlight w:val="none"/>
          <w:lang w:val="en-US" w:eastAsia="zh-CN"/>
        </w:rPr>
        <w:t>8</w:t>
      </w:r>
      <w:r>
        <w:rPr>
          <w:rFonts w:hint="eastAsia"/>
          <w:color w:val="auto"/>
          <w:szCs w:val="21"/>
          <w:highlight w:val="none"/>
        </w:rPr>
        <w:t>个月。）</w:t>
      </w:r>
    </w:p>
    <w:p w14:paraId="51E22A3C">
      <w:pPr>
        <w:spacing w:line="360" w:lineRule="auto"/>
        <w:ind w:right="0" w:firstLine="480" w:firstLineChars="200"/>
        <w:rPr>
          <w:rFonts w:hint="eastAsia"/>
          <w:color w:val="auto"/>
          <w:highlight w:val="none"/>
          <w:lang w:val="en-US" w:eastAsia="zh-CN"/>
        </w:rPr>
      </w:pPr>
      <w:r>
        <w:rPr>
          <w:rFonts w:hint="eastAsia"/>
          <w:color w:val="auto"/>
          <w:highlight w:val="none"/>
          <w:lang w:val="en-US" w:eastAsia="zh-CN"/>
        </w:rPr>
        <w:t>2.5如乙方所供货物不符合双方约定质量标准的，甲方有权拒收货物并要求乙方自行收回，费用由乙方承担。因此造成甲方或他方损失的应由乙方承担，并按照合同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39282C6B">
      <w:pPr>
        <w:spacing w:line="360" w:lineRule="auto"/>
        <w:ind w:right="0" w:firstLine="482" w:firstLineChars="200"/>
        <w:rPr>
          <w:b/>
          <w:bCs/>
          <w:color w:val="auto"/>
          <w:szCs w:val="21"/>
          <w:highlight w:val="none"/>
        </w:rPr>
      </w:pPr>
      <w:r>
        <w:rPr>
          <w:rFonts w:hint="eastAsia"/>
          <w:b/>
          <w:bCs/>
          <w:color w:val="auto"/>
          <w:szCs w:val="21"/>
          <w:highlight w:val="none"/>
          <w:lang w:val="en-US" w:eastAsia="zh-CN"/>
        </w:rPr>
        <w:t>3.</w:t>
      </w:r>
      <w:r>
        <w:rPr>
          <w:rFonts w:hint="eastAsia" w:ascii="黑体" w:hAnsi="黑体" w:eastAsia="黑体" w:cs="黑体"/>
          <w:b/>
          <w:bCs/>
          <w:color w:val="auto"/>
          <w:szCs w:val="21"/>
          <w:highlight w:val="none"/>
        </w:rPr>
        <w:t>交</w:t>
      </w:r>
      <w:r>
        <w:rPr>
          <w:rFonts w:hint="eastAsia" w:ascii="黑体" w:hAnsi="黑体" w:eastAsia="黑体" w:cs="黑体"/>
          <w:b/>
          <w:bCs/>
          <w:color w:val="auto"/>
          <w:szCs w:val="21"/>
          <w:highlight w:val="none"/>
        </w:rPr>
        <w:t>货时间、地点及风险转移</w:t>
      </w:r>
    </w:p>
    <w:p w14:paraId="15E3C473">
      <w:pPr>
        <w:spacing w:line="360" w:lineRule="auto"/>
        <w:ind w:right="0" w:firstLine="480" w:firstLineChars="200"/>
        <w:rPr>
          <w:color w:val="auto"/>
          <w:szCs w:val="21"/>
          <w:highlight w:val="none"/>
        </w:rPr>
      </w:pPr>
      <w:r>
        <w:rPr>
          <w:rFonts w:hint="eastAsia"/>
          <w:color w:val="auto"/>
          <w:szCs w:val="21"/>
          <w:highlight w:val="none"/>
          <w:lang w:val="en-US" w:eastAsia="zh-CN"/>
        </w:rPr>
        <w:t>3.1</w:t>
      </w:r>
      <w:r>
        <w:rPr>
          <w:color w:val="auto"/>
          <w:szCs w:val="21"/>
          <w:highlight w:val="none"/>
        </w:rPr>
        <w:t>乙方按甲方要求配送货物的日期</w:t>
      </w:r>
      <w:r>
        <w:rPr>
          <w:rFonts w:hint="eastAsia"/>
          <w:color w:val="auto"/>
          <w:szCs w:val="21"/>
          <w:highlight w:val="none"/>
          <w:lang w:eastAsia="zh-CN"/>
        </w:rPr>
        <w:t>，</w:t>
      </w:r>
      <w:r>
        <w:rPr>
          <w:color w:val="auto"/>
          <w:szCs w:val="21"/>
          <w:highlight w:val="none"/>
        </w:rPr>
        <w:t>将货物送达至指定地点</w:t>
      </w:r>
      <w:r>
        <w:rPr>
          <w:rFonts w:hint="eastAsia"/>
          <w:color w:val="auto"/>
          <w:szCs w:val="21"/>
          <w:highlight w:val="none"/>
        </w:rPr>
        <w:t>：</w:t>
      </w:r>
      <w:r>
        <w:rPr>
          <w:rFonts w:hint="eastAsia"/>
          <w:color w:val="auto"/>
          <w:szCs w:val="21"/>
          <w:highlight w:val="none"/>
          <w:u w:val="single"/>
        </w:rPr>
        <w:t>甲方指定地点</w:t>
      </w:r>
      <w:r>
        <w:rPr>
          <w:color w:val="auto"/>
          <w:szCs w:val="21"/>
          <w:highlight w:val="none"/>
        </w:rPr>
        <w:t>，并确保及时配合甲方完成验收工作。</w:t>
      </w:r>
      <w:r>
        <w:rPr>
          <w:color w:val="auto"/>
          <w:szCs w:val="21"/>
          <w:highlight w:val="none"/>
        </w:rPr>
        <w:drawing>
          <wp:inline distT="0" distB="0" distL="0" distR="0">
            <wp:extent cx="2540" cy="2540"/>
            <wp:effectExtent l="0" t="0" r="0" b="0"/>
            <wp:docPr id="1027" name="Picture 13551"/>
            <wp:cNvGraphicFramePr/>
            <a:graphic xmlns:a="http://schemas.openxmlformats.org/drawingml/2006/main">
              <a:graphicData uri="http://schemas.openxmlformats.org/drawingml/2006/picture">
                <pic:pic xmlns:pic="http://schemas.openxmlformats.org/drawingml/2006/picture">
                  <pic:nvPicPr>
                    <pic:cNvPr id="1027" name="Picture 13551"/>
                    <pic:cNvPicPr/>
                  </pic:nvPicPr>
                  <pic:blipFill>
                    <a:blip r:embed="rId12" cstate="print"/>
                    <a:srcRect/>
                    <a:stretch>
                      <a:fillRect/>
                    </a:stretch>
                  </pic:blipFill>
                  <pic:spPr>
                    <a:xfrm>
                      <a:off x="0" y="0"/>
                      <a:ext cx="2540" cy="2540"/>
                    </a:xfrm>
                    <a:prstGeom prst="rect">
                      <a:avLst/>
                    </a:prstGeom>
                  </pic:spPr>
                </pic:pic>
              </a:graphicData>
            </a:graphic>
          </wp:inline>
        </w:drawing>
      </w:r>
    </w:p>
    <w:p w14:paraId="135474AA">
      <w:pPr>
        <w:spacing w:after="0" w:line="360" w:lineRule="auto"/>
        <w:ind w:right="0" w:firstLine="480" w:firstLineChars="200"/>
        <w:rPr>
          <w:color w:val="auto"/>
          <w:szCs w:val="21"/>
          <w:highlight w:val="none"/>
        </w:rPr>
      </w:pPr>
      <w:r>
        <w:rPr>
          <w:rFonts w:hint="eastAsia"/>
          <w:color w:val="auto"/>
          <w:szCs w:val="21"/>
          <w:highlight w:val="none"/>
          <w:lang w:val="en-US" w:eastAsia="zh-CN"/>
        </w:rPr>
        <w:t>3.2</w:t>
      </w:r>
      <w:r>
        <w:rPr>
          <w:color w:val="auto"/>
          <w:szCs w:val="21"/>
          <w:highlight w:val="none"/>
        </w:rPr>
        <w:t>供货时间：</w:t>
      </w:r>
    </w:p>
    <w:p w14:paraId="5F50C921">
      <w:pPr>
        <w:spacing w:after="0" w:line="360" w:lineRule="auto"/>
        <w:ind w:right="0" w:firstLine="480" w:firstLineChars="200"/>
        <w:rPr>
          <w:color w:val="auto"/>
          <w:szCs w:val="21"/>
          <w:highlight w:val="none"/>
        </w:rPr>
      </w:pPr>
      <w:r>
        <w:rPr>
          <w:rFonts w:hint="eastAsia"/>
          <w:color w:val="auto"/>
          <w:szCs w:val="21"/>
          <w:highlight w:val="none"/>
          <w:lang w:val="en-US" w:eastAsia="zh-CN"/>
        </w:rPr>
        <w:t>3.2.1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并有权处置该部分货物并向乙方收取仓储费用；</w:t>
      </w:r>
      <w:r>
        <w:rPr>
          <w:rFonts w:hint="eastAsia"/>
          <w:color w:val="auto"/>
          <w:szCs w:val="21"/>
          <w:highlight w:val="none"/>
        </w:rPr>
        <w:t>如乙方不能及时送货造成甲方保障无法正常运行，甲方有权扣除本合同50%的履约保证金</w:t>
      </w:r>
      <w:r>
        <w:rPr>
          <w:rFonts w:hint="eastAsia"/>
          <w:color w:val="auto"/>
          <w:szCs w:val="21"/>
          <w:highlight w:val="none"/>
          <w:lang w:eastAsia="zh-CN"/>
        </w:rPr>
        <w:t>；</w:t>
      </w:r>
      <w:r>
        <w:rPr>
          <w:rFonts w:hint="eastAsia"/>
          <w:color w:val="auto"/>
          <w:szCs w:val="21"/>
          <w:highlight w:val="none"/>
        </w:rPr>
        <w:t>甲方委托第三方配送货物的，由此产生的一切费用由乙方承担</w:t>
      </w:r>
      <w:r>
        <w:rPr>
          <w:rFonts w:hint="eastAsia"/>
          <w:color w:val="auto"/>
          <w:szCs w:val="21"/>
          <w:highlight w:val="none"/>
          <w:lang w:eastAsia="zh-CN"/>
        </w:rPr>
        <w:t>。</w:t>
      </w:r>
      <w:r>
        <w:rPr>
          <w:color w:val="auto"/>
          <w:highlight w:val="none"/>
        </w:rPr>
        <w:t>第二次</w:t>
      </w:r>
      <w:r>
        <w:rPr>
          <w:color w:val="auto"/>
          <w:szCs w:val="21"/>
          <w:highlight w:val="none"/>
        </w:rPr>
        <w:t>出现同样情况</w:t>
      </w:r>
      <w:r>
        <w:rPr>
          <w:rFonts w:hint="eastAsia"/>
          <w:color w:val="auto"/>
          <w:szCs w:val="21"/>
          <w:highlight w:val="none"/>
          <w:lang w:val="en-US" w:eastAsia="zh-CN"/>
        </w:rPr>
        <w:t>的</w:t>
      </w:r>
      <w:r>
        <w:rPr>
          <w:color w:val="auto"/>
          <w:szCs w:val="21"/>
          <w:highlight w:val="none"/>
        </w:rPr>
        <w:t>，甲方有权单方解除合同并扣除全额履约保证金。有特殊需求的供货时间，由甲方指定供货时间与频次。</w:t>
      </w:r>
    </w:p>
    <w:p w14:paraId="378E4F25">
      <w:pPr>
        <w:spacing w:after="0" w:line="360" w:lineRule="auto"/>
        <w:ind w:right="0" w:firstLine="480" w:firstLineChars="200"/>
        <w:rPr>
          <w:color w:val="auto"/>
          <w:szCs w:val="21"/>
          <w:highlight w:val="none"/>
        </w:rPr>
      </w:pPr>
      <w:r>
        <w:rPr>
          <w:rFonts w:hint="eastAsia"/>
          <w:color w:val="auto"/>
          <w:szCs w:val="21"/>
          <w:highlight w:val="none"/>
          <w:lang w:val="en-US" w:eastAsia="zh-CN"/>
        </w:rPr>
        <w:t>3.2.2</w:t>
      </w:r>
      <w:r>
        <w:rPr>
          <w:color w:val="auto"/>
          <w:szCs w:val="21"/>
          <w:highlight w:val="none"/>
        </w:rPr>
        <w:t>如甲方应急临时需购货品，乙方必须按指定的品种、数量，</w:t>
      </w:r>
      <w:r>
        <w:rPr>
          <w:rFonts w:hint="eastAsia"/>
          <w:color w:val="auto"/>
          <w:szCs w:val="21"/>
          <w:highlight w:val="none"/>
        </w:rPr>
        <w:t>并保证货物符合国家相关食品安全标准</w:t>
      </w:r>
      <w:r>
        <w:rPr>
          <w:rFonts w:hint="eastAsia"/>
          <w:color w:val="auto"/>
          <w:szCs w:val="21"/>
          <w:highlight w:val="none"/>
          <w:lang w:eastAsia="zh-CN"/>
        </w:rPr>
        <w:t>。</w:t>
      </w:r>
      <w:r>
        <w:rPr>
          <w:color w:val="auto"/>
          <w:szCs w:val="21"/>
          <w:highlight w:val="none"/>
        </w:rPr>
        <w:t>在接到甲方的要货通知后24小时（最短时间）内及时送货</w:t>
      </w:r>
      <w:r>
        <w:rPr>
          <w:rFonts w:hint="eastAsia"/>
          <w:color w:val="auto"/>
          <w:szCs w:val="21"/>
          <w:highlight w:val="none"/>
        </w:rPr>
        <w:t>至甲方指定地点</w:t>
      </w:r>
      <w:r>
        <w:rPr>
          <w:rFonts w:hint="eastAsia"/>
          <w:color w:val="auto"/>
          <w:szCs w:val="21"/>
          <w:highlight w:val="none"/>
          <w:lang w:eastAsia="zh-CN"/>
        </w:rPr>
        <w:t>。</w:t>
      </w:r>
      <w:r>
        <w:rPr>
          <w:rFonts w:hint="eastAsia"/>
          <w:color w:val="auto"/>
          <w:szCs w:val="21"/>
          <w:highlight w:val="none"/>
          <w:lang w:val="en-US" w:eastAsia="zh-CN"/>
        </w:rPr>
        <w:t>如需使用托盘、叉车、食品级收纳箱等特殊载具时，相应配送交付的费用全部由乙方承担</w:t>
      </w:r>
      <w:r>
        <w:rPr>
          <w:color w:val="auto"/>
          <w:szCs w:val="21"/>
          <w:highlight w:val="none"/>
        </w:rPr>
        <w:t>。</w:t>
      </w:r>
    </w:p>
    <w:p w14:paraId="7FA4C986">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3.3</w:t>
      </w:r>
      <w:r>
        <w:rPr>
          <w:color w:val="auto"/>
          <w:szCs w:val="21"/>
          <w:highlight w:val="none"/>
        </w:rPr>
        <w:t>交货完成前（即货物交付完毕且经甲方书面验收合格前），本合同项下货物的损毁灭失风险由乙方承担</w:t>
      </w:r>
      <w:r>
        <w:rPr>
          <w:rFonts w:hint="eastAsia"/>
          <w:color w:val="auto"/>
          <w:szCs w:val="21"/>
          <w:highlight w:val="none"/>
          <w:lang w:eastAsia="zh-CN"/>
        </w:rPr>
        <w:t>。</w:t>
      </w:r>
      <w:r>
        <w:rPr>
          <w:color w:val="auto"/>
          <w:szCs w:val="21"/>
          <w:highlight w:val="none"/>
        </w:rPr>
        <w:t>交货完成后（货物交付完毕且经过甲方书面验收合格后）</w:t>
      </w:r>
      <w:r>
        <w:rPr>
          <w:rFonts w:hint="eastAsia"/>
          <w:color w:val="auto"/>
          <w:szCs w:val="21"/>
          <w:highlight w:val="none"/>
          <w:lang w:eastAsia="zh-CN"/>
        </w:rPr>
        <w:t>，非因甲方原因，出现质量问题，</w:t>
      </w:r>
      <w:r>
        <w:rPr>
          <w:rFonts w:hint="eastAsia"/>
          <w:color w:val="auto"/>
          <w:szCs w:val="21"/>
          <w:highlight w:val="none"/>
          <w:lang w:val="en-US" w:eastAsia="zh-CN"/>
        </w:rPr>
        <w:t>乙方必须在甲方要求的时限内更换货物或退货处理，并保留追偿全部损失的权利。</w:t>
      </w:r>
    </w:p>
    <w:p w14:paraId="1105595C">
      <w:pPr>
        <w:spacing w:line="360" w:lineRule="auto"/>
        <w:ind w:right="0" w:firstLine="480" w:firstLineChars="200"/>
        <w:rPr>
          <w:rFonts w:hint="eastAsia"/>
          <w:color w:val="auto"/>
          <w:szCs w:val="21"/>
          <w:highlight w:val="none"/>
        </w:rPr>
      </w:pPr>
      <w:r>
        <w:rPr>
          <w:rFonts w:hint="eastAsia"/>
          <w:color w:val="auto"/>
          <w:szCs w:val="21"/>
          <w:highlight w:val="none"/>
          <w:lang w:val="en-US" w:eastAsia="zh-CN"/>
        </w:rPr>
        <w:t>3.4</w:t>
      </w:r>
      <w:r>
        <w:rPr>
          <w:rFonts w:hint="eastAsia"/>
          <w:color w:val="auto"/>
          <w:szCs w:val="21"/>
          <w:highlight w:val="none"/>
        </w:rPr>
        <w:t>供货方式：按甲方需求</w:t>
      </w:r>
      <w:r>
        <w:rPr>
          <w:rFonts w:hint="eastAsia"/>
          <w:color w:val="auto"/>
          <w:szCs w:val="21"/>
          <w:highlight w:val="none"/>
          <w:lang w:eastAsia="zh-CN"/>
        </w:rPr>
        <w:t>及要求（质量要求、送货方式及卸货要求）</w:t>
      </w:r>
      <w:r>
        <w:rPr>
          <w:rFonts w:hint="eastAsia"/>
          <w:color w:val="auto"/>
          <w:szCs w:val="21"/>
          <w:highlight w:val="none"/>
        </w:rPr>
        <w:t>供货</w:t>
      </w:r>
      <w:r>
        <w:rPr>
          <w:rFonts w:hint="eastAsia"/>
          <w:color w:val="auto"/>
          <w:szCs w:val="21"/>
          <w:highlight w:val="none"/>
          <w:lang w:eastAsia="zh-CN"/>
        </w:rPr>
        <w:t>，送达指定地点</w:t>
      </w:r>
      <w:r>
        <w:rPr>
          <w:rFonts w:hint="eastAsia"/>
          <w:color w:val="auto"/>
          <w:szCs w:val="21"/>
          <w:highlight w:val="none"/>
        </w:rPr>
        <w:t>。</w:t>
      </w:r>
    </w:p>
    <w:p w14:paraId="4A13C74F">
      <w:pPr>
        <w:spacing w:line="360" w:lineRule="auto"/>
        <w:ind w:right="0" w:firstLine="480" w:firstLineChars="200"/>
        <w:rPr>
          <w:color w:val="auto"/>
          <w:szCs w:val="21"/>
          <w:highlight w:val="none"/>
        </w:rPr>
      </w:pPr>
      <w:r>
        <w:rPr>
          <w:rFonts w:hint="eastAsia"/>
          <w:color w:val="auto"/>
          <w:szCs w:val="21"/>
          <w:highlight w:val="none"/>
          <w:lang w:val="en-US" w:eastAsia="zh-CN"/>
        </w:rPr>
        <w:t>3.5在紧</w:t>
      </w:r>
      <w:r>
        <w:rPr>
          <w:rFonts w:hint="eastAsia"/>
          <w:color w:val="auto"/>
          <w:szCs w:val="21"/>
          <w:highlight w:val="none"/>
          <w:lang w:val="en-US" w:eastAsia="zh-CN"/>
        </w:rPr>
        <w:t>急需求特殊情况下，</w:t>
      </w:r>
      <w:r>
        <w:rPr>
          <w:color w:val="auto"/>
          <w:szCs w:val="21"/>
          <w:highlight w:val="none"/>
        </w:rPr>
        <w:t>乙方有责任配合甲方做好人员、车辆等</w:t>
      </w:r>
      <w:r>
        <w:rPr>
          <w:rFonts w:hint="eastAsia"/>
          <w:color w:val="auto"/>
          <w:szCs w:val="21"/>
          <w:highlight w:val="none"/>
          <w:lang w:val="en-US" w:eastAsia="zh-CN"/>
        </w:rPr>
        <w:t>安全检查、</w:t>
      </w:r>
      <w:r>
        <w:rPr>
          <w:rFonts w:hint="eastAsia"/>
          <w:color w:val="auto"/>
          <w:szCs w:val="21"/>
          <w:highlight w:val="none"/>
        </w:rPr>
        <w:t>卫生</w:t>
      </w:r>
      <w:r>
        <w:rPr>
          <w:rFonts w:hint="eastAsia"/>
          <w:color w:val="auto"/>
          <w:szCs w:val="21"/>
          <w:highlight w:val="none"/>
          <w:lang w:val="en-US" w:eastAsia="zh-CN"/>
        </w:rPr>
        <w:t>防疫等相关</w:t>
      </w:r>
      <w:r>
        <w:rPr>
          <w:color w:val="auto"/>
          <w:szCs w:val="21"/>
          <w:highlight w:val="none"/>
        </w:rPr>
        <w:t>要求</w:t>
      </w:r>
      <w:r>
        <w:rPr>
          <w:rFonts w:hint="eastAsia"/>
          <w:color w:val="auto"/>
          <w:szCs w:val="21"/>
          <w:highlight w:val="none"/>
          <w:lang w:eastAsia="zh-CN"/>
        </w:rPr>
        <w:t>。</w:t>
      </w:r>
      <w:r>
        <w:rPr>
          <w:rFonts w:hint="eastAsia"/>
          <w:color w:val="auto"/>
          <w:highlight w:val="none"/>
          <w:lang w:eastAsia="zh-CN"/>
        </w:rPr>
        <w:t>未经检测达标的，甲方有权禁止</w:t>
      </w:r>
      <w:r>
        <w:rPr>
          <w:rFonts w:hint="eastAsia"/>
          <w:color w:val="auto"/>
          <w:highlight w:val="none"/>
          <w:lang w:val="en-US" w:eastAsia="zh-CN"/>
        </w:rPr>
        <w:t>其入场供货</w:t>
      </w:r>
      <w:r>
        <w:rPr>
          <w:rFonts w:hint="eastAsia"/>
          <w:color w:val="auto"/>
          <w:highlight w:val="none"/>
          <w:lang w:eastAsia="zh-CN"/>
        </w:rPr>
        <w:t>，乙方应当立即整改，</w:t>
      </w:r>
      <w:r>
        <w:rPr>
          <w:rFonts w:hint="eastAsia"/>
          <w:color w:val="auto"/>
          <w:highlight w:val="none"/>
          <w:lang w:val="en-US" w:eastAsia="zh-CN"/>
        </w:rPr>
        <w:t>由此所造成的逾期视为乙方违约</w:t>
      </w:r>
      <w:r>
        <w:rPr>
          <w:color w:val="auto"/>
          <w:szCs w:val="21"/>
          <w:highlight w:val="none"/>
        </w:rPr>
        <w:t>。</w:t>
      </w:r>
    </w:p>
    <w:p w14:paraId="0890A68A">
      <w:pPr>
        <w:spacing w:line="360" w:lineRule="auto"/>
        <w:ind w:right="0" w:firstLine="48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lang w:val="en-US" w:eastAsia="zh-CN"/>
        </w:rPr>
        <w:t>4.</w:t>
      </w:r>
      <w:r>
        <w:rPr>
          <w:rFonts w:hint="eastAsia" w:ascii="黑体" w:hAnsi="黑体" w:eastAsia="黑体" w:cs="黑体"/>
          <w:b/>
          <w:bCs/>
          <w:color w:val="auto"/>
          <w:szCs w:val="21"/>
          <w:highlight w:val="none"/>
        </w:rPr>
        <w:t>货</w:t>
      </w:r>
      <w:r>
        <w:rPr>
          <w:rFonts w:hint="eastAsia" w:ascii="黑体" w:hAnsi="黑体" w:eastAsia="黑体" w:cs="黑体"/>
          <w:b/>
          <w:bCs/>
          <w:color w:val="auto"/>
          <w:szCs w:val="21"/>
          <w:highlight w:val="none"/>
        </w:rPr>
        <w:t>物的包装及运输</w:t>
      </w:r>
    </w:p>
    <w:p w14:paraId="0558E274">
      <w:pPr>
        <w:spacing w:line="360" w:lineRule="auto"/>
        <w:ind w:right="0" w:firstLine="480" w:firstLineChars="200"/>
        <w:rPr>
          <w:color w:val="auto"/>
          <w:szCs w:val="21"/>
          <w:highlight w:val="none"/>
        </w:rPr>
      </w:pPr>
      <w:r>
        <w:rPr>
          <w:rFonts w:hint="eastAsia"/>
          <w:color w:val="auto"/>
          <w:szCs w:val="21"/>
          <w:highlight w:val="none"/>
          <w:lang w:val="en-US" w:eastAsia="zh-CN"/>
        </w:rPr>
        <w:t>4.1</w:t>
      </w:r>
      <w:r>
        <w:rPr>
          <w:color w:val="auto"/>
          <w:szCs w:val="21"/>
          <w:highlight w:val="none"/>
        </w:rPr>
        <w:t>包装必须与运输方式相适应，包装方式的确定和包装费用均由乙方负责；</w:t>
      </w:r>
      <w:r>
        <w:rPr>
          <w:rFonts w:hint="eastAsia"/>
          <w:color w:val="auto"/>
          <w:szCs w:val="21"/>
          <w:highlight w:val="none"/>
        </w:rPr>
        <w:t>乙方应在货物交付前提供包装方案供甲方审核，未经甲方书面同意不得变更包装方式。</w:t>
      </w:r>
      <w:r>
        <w:rPr>
          <w:color w:val="auto"/>
          <w:szCs w:val="21"/>
          <w:highlight w:val="none"/>
        </w:rPr>
        <w:t>由于不适当的包装而造成的货物有任何损坏由乙方负责。</w:t>
      </w:r>
    </w:p>
    <w:p w14:paraId="5CBC974F">
      <w:pPr>
        <w:spacing w:line="360" w:lineRule="auto"/>
        <w:ind w:right="0" w:firstLine="480" w:firstLineChars="200"/>
        <w:rPr>
          <w:color w:val="auto"/>
          <w:szCs w:val="21"/>
          <w:highlight w:val="none"/>
        </w:rPr>
      </w:pPr>
      <w:r>
        <w:rPr>
          <w:rFonts w:hint="eastAsia"/>
          <w:color w:val="auto"/>
          <w:szCs w:val="21"/>
          <w:highlight w:val="none"/>
          <w:lang w:val="en-US" w:eastAsia="zh-CN"/>
        </w:rPr>
        <w:t>4.2</w:t>
      </w:r>
      <w:r>
        <w:rPr>
          <w:color w:val="auto"/>
          <w:szCs w:val="21"/>
          <w:highlight w:val="none"/>
        </w:rPr>
        <w:t>包装费、</w:t>
      </w:r>
      <w:r>
        <w:rPr>
          <w:rFonts w:hint="eastAsia"/>
          <w:color w:val="auto"/>
          <w:szCs w:val="21"/>
          <w:highlight w:val="none"/>
          <w:lang w:eastAsia="zh-CN"/>
        </w:rPr>
        <w:t>加工费、</w:t>
      </w:r>
      <w:r>
        <w:rPr>
          <w:color w:val="auto"/>
          <w:szCs w:val="21"/>
          <w:highlight w:val="none"/>
        </w:rPr>
        <w:t>运输费、装卸费和保险费等均包含在合同单价内。</w:t>
      </w:r>
    </w:p>
    <w:p w14:paraId="0037B725">
      <w:pPr>
        <w:spacing w:after="0" w:line="360" w:lineRule="auto"/>
        <w:ind w:right="0" w:firstLine="480" w:firstLineChars="200"/>
        <w:rPr>
          <w:color w:val="auto"/>
          <w:szCs w:val="21"/>
          <w:highlight w:val="none"/>
        </w:rPr>
      </w:pPr>
      <w:r>
        <w:rPr>
          <w:rFonts w:hint="eastAsia"/>
          <w:color w:val="auto"/>
          <w:szCs w:val="21"/>
          <w:highlight w:val="none"/>
          <w:lang w:val="en-US" w:eastAsia="zh-CN"/>
        </w:rPr>
        <w:t>4.3</w:t>
      </w:r>
      <w:r>
        <w:rPr>
          <w:color w:val="auto"/>
          <w:szCs w:val="21"/>
          <w:highlight w:val="none"/>
        </w:rPr>
        <w:t>采用定型包装的货物，包装必须符合国家对产品包装的有关规定。货品由生产厂家使用符合国家食品卫生要求的包装箱或包装袋进行完整包装，包装上必须有清晰的厂家信息、生产日期、保质期、净重量；必须有</w:t>
      </w:r>
      <w:r>
        <w:rPr>
          <w:rFonts w:hint="eastAsia"/>
          <w:color w:val="auto"/>
          <w:szCs w:val="21"/>
          <w:highlight w:val="none"/>
          <w:lang w:val="en-US" w:eastAsia="zh-CN"/>
        </w:rPr>
        <w:t>SC编码</w:t>
      </w:r>
      <w:r>
        <w:rPr>
          <w:color w:val="auto"/>
          <w:szCs w:val="21"/>
          <w:highlight w:val="none"/>
        </w:rPr>
        <w:t>；包装破损甲方有权</w:t>
      </w:r>
      <w:r>
        <w:rPr>
          <w:rFonts w:hint="eastAsia"/>
          <w:color w:val="auto"/>
          <w:szCs w:val="21"/>
          <w:highlight w:val="none"/>
          <w:lang w:eastAsia="zh-CN"/>
        </w:rPr>
        <w:t>拒绝</w:t>
      </w:r>
      <w:r>
        <w:rPr>
          <w:color w:val="auto"/>
          <w:szCs w:val="21"/>
          <w:highlight w:val="none"/>
        </w:rPr>
        <w:t>接收</w:t>
      </w:r>
      <w:r>
        <w:rPr>
          <w:rFonts w:hint="eastAsia"/>
          <w:color w:val="auto"/>
          <w:szCs w:val="21"/>
          <w:highlight w:val="none"/>
          <w:lang w:eastAsia="zh-CN"/>
        </w:rPr>
        <w:t>，自然破损除外</w:t>
      </w:r>
      <w:r>
        <w:rPr>
          <w:color w:val="auto"/>
          <w:szCs w:val="21"/>
          <w:highlight w:val="none"/>
        </w:rPr>
        <w:t>。</w:t>
      </w:r>
    </w:p>
    <w:p w14:paraId="28D87DC1">
      <w:pPr>
        <w:spacing w:line="360" w:lineRule="auto"/>
        <w:ind w:right="0" w:firstLine="480" w:firstLineChars="200"/>
        <w:rPr>
          <w:color w:val="auto"/>
          <w:szCs w:val="21"/>
          <w:highlight w:val="none"/>
        </w:rPr>
      </w:pPr>
      <w:r>
        <w:rPr>
          <w:rFonts w:hint="eastAsia"/>
          <w:color w:val="auto"/>
          <w:szCs w:val="21"/>
          <w:highlight w:val="none"/>
          <w:lang w:val="en-US" w:eastAsia="zh-CN"/>
        </w:rPr>
        <w:t>4.4</w:t>
      </w:r>
      <w:r>
        <w:rPr>
          <w:color w:val="auto"/>
          <w:szCs w:val="21"/>
          <w:highlight w:val="none"/>
        </w:rPr>
        <w:t>乙方保证运输周转的容器与车辆的清洁卫生和防止货物在运输过程中受到污染</w:t>
      </w:r>
      <w:r>
        <w:rPr>
          <w:rFonts w:hint="eastAsia"/>
          <w:color w:val="auto"/>
          <w:highlight w:val="none"/>
          <w:lang w:eastAsia="zh-CN"/>
        </w:rPr>
        <w:t>，否则甲方有权拒绝接收</w:t>
      </w:r>
      <w:r>
        <w:rPr>
          <w:color w:val="auto"/>
          <w:szCs w:val="21"/>
          <w:highlight w:val="none"/>
        </w:rPr>
        <w:t>。</w:t>
      </w:r>
    </w:p>
    <w:p w14:paraId="7C4A9451">
      <w:pPr>
        <w:spacing w:after="0" w:line="360" w:lineRule="auto"/>
        <w:ind w:right="0" w:firstLine="480" w:firstLineChars="200"/>
        <w:rPr>
          <w:color w:val="auto"/>
          <w:szCs w:val="21"/>
          <w:highlight w:val="none"/>
        </w:rPr>
      </w:pPr>
      <w:r>
        <w:rPr>
          <w:rFonts w:hint="eastAsia"/>
          <w:color w:val="auto"/>
          <w:szCs w:val="21"/>
          <w:highlight w:val="none"/>
          <w:lang w:val="en-US" w:eastAsia="zh-CN"/>
        </w:rPr>
        <w:t>4.5</w:t>
      </w:r>
      <w:r>
        <w:rPr>
          <w:color w:val="auto"/>
          <w:szCs w:val="21"/>
          <w:highlight w:val="none"/>
        </w:rPr>
        <w:t>乙方</w:t>
      </w:r>
      <w:r>
        <w:rPr>
          <w:rFonts w:hint="eastAsia"/>
          <w:color w:val="auto"/>
          <w:szCs w:val="21"/>
          <w:highlight w:val="none"/>
          <w:lang w:eastAsia="zh-CN"/>
        </w:rPr>
        <w:t>根</w:t>
      </w:r>
      <w:r>
        <w:rPr>
          <w:rFonts w:hint="eastAsia"/>
          <w:color w:val="auto"/>
          <w:szCs w:val="21"/>
          <w:highlight w:val="none"/>
          <w:lang w:eastAsia="zh-CN"/>
        </w:rPr>
        <w:t>据运送货物的需求，运送车辆及方式须符合《中华人民共和国道路交通安全法》《</w:t>
      </w:r>
      <w:r>
        <w:rPr>
          <w:rFonts w:hint="eastAsia"/>
          <w:color w:val="auto"/>
          <w:szCs w:val="21"/>
          <w:highlight w:val="none"/>
          <w:lang w:val="en-US" w:eastAsia="zh-CN"/>
        </w:rPr>
        <w:t>中华人民共和国</w:t>
      </w:r>
      <w:r>
        <w:rPr>
          <w:rFonts w:hint="eastAsia"/>
          <w:color w:val="auto"/>
          <w:szCs w:val="21"/>
          <w:highlight w:val="none"/>
          <w:lang w:eastAsia="zh-CN"/>
        </w:rPr>
        <w:t>道路运输条例》及国家相关行业标准（如GB/T 26772-2011等），货物装卸必须执行以下操作标准：(1)单件货物人工搬运时离地高度不超过30cm；(2)使用机械装卸时吊装速度控制在0.5m/s以内；(3)货物堆码需遵循‘重不压轻、木不压纸'原则，堆垛高度不超过运输工具栏板高度的2/3，且需使用防滑衬垫材料。乙方承运车辆到达甲方指定地点后必须服从甲方管理，并确保货物按要求安全放置在指定区域。</w:t>
      </w:r>
    </w:p>
    <w:p w14:paraId="70983A4C">
      <w:pPr>
        <w:spacing w:line="360" w:lineRule="auto"/>
        <w:ind w:right="0" w:firstLine="48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lang w:val="en-US" w:eastAsia="zh-CN"/>
        </w:rPr>
        <w:t>5.</w:t>
      </w:r>
      <w:r>
        <w:rPr>
          <w:rFonts w:hint="eastAsia" w:ascii="黑体" w:hAnsi="黑体" w:eastAsia="黑体" w:cs="黑体"/>
          <w:b/>
          <w:bCs/>
          <w:color w:val="auto"/>
          <w:szCs w:val="21"/>
          <w:highlight w:val="none"/>
        </w:rPr>
        <w:t>验收</w:t>
      </w:r>
    </w:p>
    <w:p w14:paraId="64C74BF2">
      <w:pPr>
        <w:spacing w:after="0" w:line="360" w:lineRule="auto"/>
        <w:ind w:right="0" w:firstLine="480" w:firstLineChars="200"/>
        <w:rPr>
          <w:color w:val="auto"/>
          <w:szCs w:val="21"/>
          <w:highlight w:val="none"/>
        </w:rPr>
      </w:pPr>
      <w:r>
        <w:rPr>
          <w:rFonts w:hint="eastAsia"/>
          <w:color w:val="auto"/>
          <w:szCs w:val="21"/>
          <w:highlight w:val="none"/>
          <w:lang w:val="en-US" w:eastAsia="zh-CN"/>
        </w:rPr>
        <w:t>5.1</w:t>
      </w:r>
      <w:r>
        <w:rPr>
          <w:color w:val="auto"/>
          <w:szCs w:val="21"/>
          <w:highlight w:val="none"/>
        </w:rPr>
        <w:t>验收标准：以招投标文件及本合同甲、乙双方约定的质量标准为货物的验收标准。甲方仅对乙方交付货物的数量、规格、外观等进行初步验收，初步验收合格不代表乙方对所交付货物潜在质量安全问题免责。</w:t>
      </w:r>
      <w:r>
        <w:rPr>
          <w:rFonts w:hint="eastAsia"/>
          <w:color w:val="auto"/>
          <w:szCs w:val="21"/>
          <w:highlight w:val="none"/>
          <w:lang w:eastAsia="zh-CN"/>
        </w:rPr>
        <w:t>甲方有权对货物进行破坏性抽样检测，检测费用和产生的成本由乙方承担。</w:t>
      </w:r>
      <w:r>
        <w:rPr>
          <w:color w:val="auto"/>
          <w:highlight w:val="none"/>
        </w:rPr>
        <w:t>验收合格后若发现质量问题（如保质期内变质），乙方</w:t>
      </w:r>
      <w:r>
        <w:rPr>
          <w:rFonts w:hint="eastAsia"/>
          <w:color w:val="auto"/>
          <w:highlight w:val="none"/>
          <w:lang w:eastAsia="zh-CN"/>
        </w:rPr>
        <w:t>应承担复检费用并全部无偿更换，另行承担问题产品总额</w:t>
      </w:r>
      <w:r>
        <w:rPr>
          <w:rFonts w:hint="eastAsia"/>
          <w:color w:val="auto"/>
          <w:highlight w:val="none"/>
          <w:lang w:val="en-US" w:eastAsia="zh-CN"/>
        </w:rPr>
        <w:t>30</w:t>
      </w:r>
      <w:r>
        <w:rPr>
          <w:rFonts w:hint="eastAsia" w:ascii="汉仪瑞意宋简" w:hAnsi="汉仪瑞意宋简" w:eastAsia="汉仪瑞意宋简" w:cs="汉仪瑞意宋简"/>
          <w:color w:val="auto"/>
          <w:highlight w:val="none"/>
          <w:lang w:val="en-US" w:eastAsia="zh-CN"/>
        </w:rPr>
        <w:t>%</w:t>
      </w:r>
      <w:r>
        <w:rPr>
          <w:rFonts w:hint="eastAsia"/>
          <w:color w:val="auto"/>
          <w:highlight w:val="none"/>
          <w:lang w:val="en-US" w:eastAsia="zh-CN"/>
        </w:rPr>
        <w:t>的违约金，</w:t>
      </w:r>
      <w:r>
        <w:rPr>
          <w:color w:val="auto"/>
          <w:highlight w:val="none"/>
        </w:rPr>
        <w:t>且甲方有权从货款中直接扣除相关费用。</w:t>
      </w:r>
    </w:p>
    <w:p w14:paraId="5B398042">
      <w:pPr>
        <w:spacing w:line="360" w:lineRule="auto"/>
        <w:ind w:right="0" w:firstLine="480" w:firstLineChars="200"/>
        <w:rPr>
          <w:color w:val="auto"/>
          <w:szCs w:val="21"/>
          <w:highlight w:val="none"/>
        </w:rPr>
      </w:pPr>
      <w:r>
        <w:rPr>
          <w:rFonts w:hint="eastAsia"/>
          <w:color w:val="auto"/>
          <w:szCs w:val="21"/>
          <w:highlight w:val="none"/>
          <w:lang w:val="en-US" w:eastAsia="zh-CN"/>
        </w:rPr>
        <w:t>5.2</w:t>
      </w:r>
      <w:r>
        <w:rPr>
          <w:color w:val="auto"/>
          <w:szCs w:val="21"/>
          <w:highlight w:val="none"/>
        </w:rPr>
        <w:t>数量的认定：乙方依据甲方提供的物资计划单中品种数量</w:t>
      </w:r>
      <w:r>
        <w:rPr>
          <w:rFonts w:hint="eastAsia"/>
          <w:color w:val="auto"/>
          <w:szCs w:val="21"/>
          <w:highlight w:val="none"/>
          <w:lang w:val="en-US" w:eastAsia="zh-CN"/>
        </w:rPr>
        <w:t>进行</w:t>
      </w:r>
      <w:r>
        <w:rPr>
          <w:color w:val="auto"/>
          <w:szCs w:val="21"/>
          <w:highlight w:val="none"/>
        </w:rPr>
        <w:t>配送；甲方工作人员和乙方人员现场称重或点数完毕后，共同在送货单上核准并签字，并加盖乙方</w:t>
      </w:r>
      <w:r>
        <w:rPr>
          <w:rFonts w:hint="eastAsia"/>
          <w:color w:val="auto"/>
          <w:szCs w:val="21"/>
          <w:highlight w:val="none"/>
          <w:lang w:eastAsia="zh-CN"/>
        </w:rPr>
        <w:t>公章</w:t>
      </w:r>
      <w:r>
        <w:rPr>
          <w:color w:val="auto"/>
          <w:szCs w:val="21"/>
          <w:highlight w:val="none"/>
        </w:rPr>
        <w:t>作为</w:t>
      </w:r>
      <w:r>
        <w:rPr>
          <w:rFonts w:hint="eastAsia"/>
          <w:color w:val="auto"/>
          <w:szCs w:val="21"/>
          <w:highlight w:val="none"/>
          <w:lang w:eastAsia="zh-CN"/>
        </w:rPr>
        <w:t>结账</w:t>
      </w:r>
      <w:r>
        <w:rPr>
          <w:color w:val="auto"/>
          <w:szCs w:val="21"/>
          <w:highlight w:val="none"/>
        </w:rPr>
        <w:t>凭证</w:t>
      </w:r>
      <w:r>
        <w:rPr>
          <w:rFonts w:hint="eastAsia"/>
          <w:color w:val="auto"/>
          <w:szCs w:val="21"/>
          <w:highlight w:val="none"/>
          <w:lang w:eastAsia="zh-CN"/>
        </w:rPr>
        <w:t>，乙方验收人员为法定代表人或乙方书面授权的委托人，乙方将授权委托书一并提交给甲方，授权委托书应加盖乙方公章并由法定代表人签字。</w:t>
      </w:r>
      <w:r>
        <w:rPr>
          <w:color w:val="auto"/>
          <w:szCs w:val="21"/>
          <w:highlight w:val="none"/>
        </w:rPr>
        <w:t>结算数量按照实际进货数量</w:t>
      </w:r>
      <w:r>
        <w:rPr>
          <w:rFonts w:hint="eastAsia"/>
          <w:color w:val="auto"/>
          <w:szCs w:val="21"/>
          <w:highlight w:val="none"/>
        </w:rPr>
        <w:t>（净重），除去未通过验收数量</w:t>
      </w:r>
      <w:r>
        <w:rPr>
          <w:color w:val="auto"/>
          <w:szCs w:val="21"/>
          <w:highlight w:val="none"/>
        </w:rPr>
        <w:t>进行结算。计量单位：按</w:t>
      </w:r>
      <w:r>
        <w:rPr>
          <w:rFonts w:hint="eastAsia"/>
          <w:color w:val="auto"/>
          <w:szCs w:val="21"/>
          <w:highlight w:val="none"/>
        </w:rPr>
        <w:t>合同签订的规格</w:t>
      </w:r>
      <w:r>
        <w:rPr>
          <w:color w:val="auto"/>
          <w:szCs w:val="21"/>
          <w:highlight w:val="none"/>
        </w:rPr>
        <w:t>。</w:t>
      </w:r>
    </w:p>
    <w:p w14:paraId="0BDCB5FE">
      <w:pPr>
        <w:spacing w:line="360" w:lineRule="auto"/>
        <w:ind w:right="0" w:firstLine="480" w:firstLineChars="200"/>
        <w:rPr>
          <w:rFonts w:hint="default"/>
          <w:color w:val="auto"/>
          <w:highlight w:val="none"/>
          <w:lang w:val="en-US" w:eastAsia="zh-CN"/>
        </w:rPr>
      </w:pPr>
      <w:r>
        <w:rPr>
          <w:rFonts w:hint="eastAsia"/>
          <w:color w:val="auto"/>
          <w:szCs w:val="21"/>
          <w:highlight w:val="none"/>
          <w:lang w:val="en-US" w:eastAsia="zh-CN"/>
        </w:rPr>
        <w:t>5.3散装货物称重采用同类货物抽样五件或十件，根据平均数乘以件数，获得验收合格数量。实际供货量不足，短缺量小于采购量5%以内的，按实际称重数量结算，短缺量超过5%（含5%），乙方应在甲方要求的时间内补齐货物，如乙方未按要求补齐货物，视为违约供货，乙方应当按照合同约定承担违约责任；实际供货量超出采购量的货物，乙方应在甲方要求的时间内自行拉回，并承担由此产生的所有费用。</w:t>
      </w:r>
      <w:r>
        <w:rPr>
          <w:rFonts w:hint="eastAsia"/>
          <w:color w:val="auto"/>
          <w:highlight w:val="none"/>
          <w:lang w:val="en-US" w:eastAsia="zh-CN"/>
        </w:rPr>
        <w:t>如采购100箱重量合计为1000公斤的土豆，抽查10箱，平均重量为9.8公斤，那么验收合格数量为9.8乘以100，为980公斤，短缺20公斤，未超出采购量的5%，</w:t>
      </w:r>
      <w:r>
        <w:rPr>
          <w:rFonts w:hint="eastAsia" w:cs="宋体"/>
          <w:color w:val="auto"/>
          <w:szCs w:val="21"/>
          <w:highlight w:val="none"/>
          <w:lang w:val="en-US" w:eastAsia="zh-CN"/>
        </w:rPr>
        <w:t>按实际称重数量结算，</w:t>
      </w:r>
      <w:r>
        <w:rPr>
          <w:rFonts w:hint="eastAsia"/>
          <w:color w:val="auto"/>
          <w:highlight w:val="none"/>
          <w:lang w:val="en-US" w:eastAsia="zh-CN"/>
        </w:rPr>
        <w:t>视为正常履约供货；如抽查10箱，平均重量为9公斤，那么验收合格数量为9乘以100，为900公斤，短缺100公斤，超出采购量的5%，应按甲方要求补齐货物。预包装货物，按实际验收合格的数量计算。</w:t>
      </w:r>
    </w:p>
    <w:p w14:paraId="548D7A5A">
      <w:pPr>
        <w:spacing w:after="0" w:line="360" w:lineRule="auto"/>
        <w:ind w:right="0" w:firstLine="480" w:firstLineChars="200"/>
        <w:rPr>
          <w:rFonts w:hint="eastAsia" w:eastAsia="宋体"/>
          <w:color w:val="auto"/>
          <w:highlight w:val="none"/>
          <w:lang w:eastAsia="zh-CN"/>
        </w:rPr>
      </w:pPr>
      <w:r>
        <w:rPr>
          <w:rFonts w:hint="eastAsia"/>
          <w:color w:val="auto"/>
          <w:szCs w:val="21"/>
          <w:highlight w:val="none"/>
          <w:lang w:val="en-US" w:eastAsia="zh-CN"/>
        </w:rPr>
        <w:t>5.4</w:t>
      </w:r>
      <w:r>
        <w:rPr>
          <w:rFonts w:hint="eastAsia"/>
          <w:color w:val="auto"/>
          <w:szCs w:val="21"/>
          <w:highlight w:val="none"/>
        </w:rPr>
        <w:t>甲方</w:t>
      </w:r>
      <w:r>
        <w:rPr>
          <w:rFonts w:hint="eastAsia"/>
          <w:color w:val="auto"/>
          <w:szCs w:val="21"/>
          <w:highlight w:val="none"/>
        </w:rPr>
        <w:t>应依照双方在本合同中约定的质量要求和验收标准进行验收。验收不合格的，应及时向乙方提出异议</w:t>
      </w:r>
      <w:r>
        <w:rPr>
          <w:rFonts w:hint="eastAsia"/>
          <w:color w:val="auto"/>
          <w:szCs w:val="21"/>
          <w:highlight w:val="none"/>
          <w:lang w:eastAsia="zh-CN"/>
        </w:rPr>
        <w:t>。</w:t>
      </w:r>
      <w:r>
        <w:rPr>
          <w:rFonts w:hint="eastAsia"/>
          <w:color w:val="auto"/>
          <w:szCs w:val="21"/>
          <w:highlight w:val="none"/>
        </w:rPr>
        <w:t>乙方应在接到甲方发出异议通知后</w:t>
      </w:r>
      <w:r>
        <w:rPr>
          <w:rFonts w:hint="eastAsia"/>
          <w:color w:val="auto"/>
          <w:szCs w:val="21"/>
          <w:highlight w:val="none"/>
          <w:lang w:eastAsia="zh-CN"/>
        </w:rPr>
        <w:t>，按甲方要求</w:t>
      </w:r>
      <w:r>
        <w:rPr>
          <w:rFonts w:hint="eastAsia"/>
          <w:color w:val="auto"/>
          <w:szCs w:val="21"/>
          <w:highlight w:val="none"/>
        </w:rPr>
        <w:t>更换，直至验收合格；如双方就质量问题存在争议，应委托双方认可的第三方检测机构进行检验，检验费用由乙方承担；如果因乙方供货质量原因造成甲方损失的，乙方应按照损失金额的130%承担赔偿责任。</w:t>
      </w:r>
    </w:p>
    <w:p w14:paraId="72C22031">
      <w:pPr>
        <w:spacing w:line="360" w:lineRule="auto"/>
        <w:ind w:right="0" w:firstLine="48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lang w:val="en-US" w:eastAsia="zh-CN"/>
        </w:rPr>
        <w:t>6.</w:t>
      </w:r>
      <w:r>
        <w:rPr>
          <w:rFonts w:hint="eastAsia" w:ascii="黑体" w:hAnsi="黑体" w:eastAsia="黑体" w:cs="黑体"/>
          <w:b/>
          <w:bCs/>
          <w:color w:val="auto"/>
          <w:szCs w:val="21"/>
          <w:highlight w:val="none"/>
        </w:rPr>
        <w:t>货款支付</w:t>
      </w:r>
    </w:p>
    <w:p w14:paraId="3EE46EE1">
      <w:pPr>
        <w:spacing w:line="360" w:lineRule="auto"/>
        <w:ind w:firstLine="480" w:firstLineChars="200"/>
        <w:rPr>
          <w:color w:val="auto"/>
          <w:szCs w:val="21"/>
          <w:highlight w:val="none"/>
        </w:rPr>
      </w:pPr>
      <w:r>
        <w:rPr>
          <w:rFonts w:hint="eastAsia"/>
          <w:color w:val="auto"/>
          <w:szCs w:val="21"/>
          <w:highlight w:val="none"/>
          <w:lang w:val="en-US" w:eastAsia="zh-CN"/>
        </w:rPr>
        <w:t>6.1</w:t>
      </w:r>
      <w:r>
        <w:rPr>
          <w:color w:val="auto"/>
          <w:szCs w:val="21"/>
          <w:highlight w:val="none"/>
        </w:rPr>
        <w:t>乙方应</w:t>
      </w:r>
      <w:r>
        <w:rPr>
          <w:rFonts w:hint="eastAsia"/>
          <w:color w:val="auto"/>
          <w:szCs w:val="21"/>
          <w:highlight w:val="none"/>
          <w:lang w:val="en-US" w:eastAsia="zh-CN"/>
        </w:rPr>
        <w:t>按照甲方的通知</w:t>
      </w:r>
      <w:r>
        <w:rPr>
          <w:color w:val="auto"/>
          <w:szCs w:val="21"/>
          <w:highlight w:val="none"/>
        </w:rPr>
        <w:t>开具符合国家税务规定的正规普通发票（发票内容需与验收单一致</w:t>
      </w:r>
      <w:r>
        <w:rPr>
          <w:rFonts w:hint="eastAsia"/>
          <w:color w:val="auto"/>
          <w:szCs w:val="21"/>
          <w:highlight w:val="none"/>
          <w:lang w:eastAsia="zh-CN"/>
        </w:rPr>
        <w:t>，</w:t>
      </w:r>
      <w:r>
        <w:rPr>
          <w:color w:val="auto"/>
          <w:szCs w:val="21"/>
          <w:highlight w:val="none"/>
        </w:rPr>
        <w:t>不能在税务局代开发票）</w:t>
      </w:r>
      <w:r>
        <w:rPr>
          <w:rFonts w:hint="eastAsia"/>
          <w:color w:val="auto"/>
          <w:szCs w:val="21"/>
          <w:highlight w:val="none"/>
          <w:lang w:val="en-US" w:eastAsia="zh-CN"/>
        </w:rPr>
        <w:t>交甲方</w:t>
      </w:r>
      <w:r>
        <w:rPr>
          <w:rFonts w:hint="eastAsia"/>
          <w:color w:val="auto"/>
          <w:szCs w:val="21"/>
          <w:highlight w:val="none"/>
        </w:rPr>
        <w:t>查验</w:t>
      </w:r>
      <w:r>
        <w:rPr>
          <w:rFonts w:hint="eastAsia"/>
          <w:color w:val="auto"/>
          <w:szCs w:val="21"/>
          <w:highlight w:val="none"/>
          <w:lang w:eastAsia="zh-CN"/>
        </w:rPr>
        <w:t>，</w:t>
      </w:r>
      <w:r>
        <w:rPr>
          <w:color w:val="auto"/>
          <w:szCs w:val="21"/>
          <w:highlight w:val="none"/>
        </w:rPr>
        <w:t>否则视为自行放弃供货资格。如发票被税务机关认定为无效或不符合规定，乙方应在收到甲方通知后3个工作日内重新开具有效发票，否则甲方有权延迟支付相应货款直至收到有效发票，且不承担延迟付款责任。</w:t>
      </w:r>
    </w:p>
    <w:p w14:paraId="7F44A761">
      <w:pPr>
        <w:pStyle w:val="11"/>
        <w:numPr>
          <w:ilvl w:val="0"/>
          <w:numId w:val="0"/>
        </w:numPr>
        <w:spacing w:line="360" w:lineRule="auto"/>
        <w:ind w:firstLine="480" w:firstLineChars="200"/>
        <w:rPr>
          <w:rFonts w:ascii="宋体" w:hAnsi="宋体" w:eastAsia="宋体" w:cs="宋体"/>
          <w:color w:val="auto"/>
          <w:sz w:val="24"/>
          <w:szCs w:val="21"/>
          <w:highlight w:val="none"/>
          <w:lang w:val="en-US" w:eastAsia="zh-CN" w:bidi="ar-SA"/>
        </w:rPr>
      </w:pPr>
      <w:r>
        <w:rPr>
          <w:rFonts w:hint="eastAsia" w:cs="宋体"/>
          <w:color w:val="auto"/>
          <w:sz w:val="24"/>
          <w:szCs w:val="21"/>
          <w:highlight w:val="none"/>
          <w:lang w:val="en-US" w:eastAsia="zh-CN" w:bidi="ar-SA"/>
        </w:rPr>
        <w:t>6.2</w:t>
      </w:r>
      <w:r>
        <w:rPr>
          <w:rFonts w:ascii="宋体" w:hAnsi="宋体" w:eastAsia="宋体" w:cs="宋体"/>
          <w:color w:val="auto"/>
          <w:sz w:val="24"/>
          <w:szCs w:val="21"/>
          <w:highlight w:val="none"/>
          <w:lang w:val="en-US" w:eastAsia="zh-CN" w:bidi="ar-SA"/>
        </w:rPr>
        <w:t>甲乙双方签订</w:t>
      </w:r>
      <w:r>
        <w:rPr>
          <w:rFonts w:hint="eastAsia" w:cs="宋体"/>
          <w:b w:val="0"/>
          <w:bCs w:val="0"/>
          <w:color w:val="auto"/>
          <w:sz w:val="24"/>
          <w:szCs w:val="21"/>
          <w:highlight w:val="none"/>
          <w:lang w:val="en-US" w:eastAsia="zh-CN" w:bidi="ar-SA"/>
        </w:rPr>
        <w:t>合同</w:t>
      </w:r>
      <w:r>
        <w:rPr>
          <w:rFonts w:ascii="宋体" w:hAnsi="宋体" w:eastAsia="宋体" w:cs="宋体"/>
          <w:b w:val="0"/>
          <w:bCs w:val="0"/>
          <w:color w:val="auto"/>
          <w:sz w:val="24"/>
          <w:szCs w:val="21"/>
          <w:highlight w:val="none"/>
          <w:lang w:val="en-US" w:eastAsia="zh-CN" w:bidi="ar-SA"/>
        </w:rPr>
        <w:t>之</w:t>
      </w:r>
      <w:r>
        <w:rPr>
          <w:rFonts w:ascii="宋体" w:hAnsi="宋体" w:eastAsia="宋体" w:cs="宋体"/>
          <w:color w:val="auto"/>
          <w:sz w:val="24"/>
          <w:szCs w:val="21"/>
          <w:highlight w:val="none"/>
          <w:lang w:val="en-US" w:eastAsia="zh-CN" w:bidi="ar-SA"/>
        </w:rPr>
        <w:t>后，由乙方先行配送货物，首次送货满</w:t>
      </w:r>
      <w:r>
        <w:rPr>
          <w:rFonts w:hint="eastAsia" w:cs="宋体"/>
          <w:color w:val="auto"/>
          <w:sz w:val="24"/>
          <w:szCs w:val="21"/>
          <w:highlight w:val="none"/>
          <w:lang w:val="en-US" w:eastAsia="zh-CN" w:bidi="ar-SA"/>
        </w:rPr>
        <w:t>1</w:t>
      </w:r>
      <w:r>
        <w:rPr>
          <w:rFonts w:ascii="宋体" w:hAnsi="宋体" w:eastAsia="宋体" w:cs="宋体"/>
          <w:color w:val="auto"/>
          <w:sz w:val="24"/>
          <w:szCs w:val="21"/>
          <w:highlight w:val="none"/>
          <w:lang w:val="en-US" w:eastAsia="zh-CN" w:bidi="ar-SA"/>
        </w:rPr>
        <w:t>个月后，双方对</w:t>
      </w:r>
      <w:r>
        <w:rPr>
          <w:rFonts w:hint="eastAsia" w:cs="宋体"/>
          <w:color w:val="auto"/>
          <w:sz w:val="24"/>
          <w:szCs w:val="21"/>
          <w:highlight w:val="none"/>
          <w:lang w:val="en-US" w:eastAsia="zh-CN" w:bidi="ar-SA"/>
        </w:rPr>
        <w:t>已</w:t>
      </w:r>
      <w:r>
        <w:rPr>
          <w:rFonts w:ascii="宋体" w:hAnsi="宋体" w:eastAsia="宋体" w:cs="宋体"/>
          <w:color w:val="auto"/>
          <w:sz w:val="24"/>
          <w:szCs w:val="21"/>
          <w:highlight w:val="none"/>
          <w:lang w:val="en-US" w:eastAsia="zh-CN" w:bidi="ar-SA"/>
        </w:rPr>
        <w:t>供货物进行结算确认，供货期间</w:t>
      </w:r>
      <w:r>
        <w:rPr>
          <w:rFonts w:hint="eastAsia" w:cs="宋体"/>
          <w:color w:val="auto"/>
          <w:sz w:val="24"/>
          <w:szCs w:val="21"/>
          <w:highlight w:val="none"/>
          <w:lang w:val="en-US" w:eastAsia="zh-CN" w:bidi="ar-SA"/>
        </w:rPr>
        <w:t>按月</w:t>
      </w:r>
      <w:r>
        <w:rPr>
          <w:rFonts w:ascii="宋体" w:hAnsi="宋体" w:eastAsia="宋体" w:cs="宋体"/>
          <w:color w:val="auto"/>
          <w:sz w:val="24"/>
          <w:szCs w:val="21"/>
          <w:highlight w:val="none"/>
          <w:lang w:val="en-US" w:eastAsia="zh-CN" w:bidi="ar-SA"/>
        </w:rPr>
        <w:t>实行滚动结款</w:t>
      </w:r>
      <w:r>
        <w:rPr>
          <w:rFonts w:hint="eastAsia" w:cs="宋体"/>
          <w:color w:val="auto"/>
          <w:sz w:val="24"/>
          <w:szCs w:val="21"/>
          <w:highlight w:val="none"/>
          <w:lang w:val="en-US" w:eastAsia="zh-CN" w:bidi="ar-SA"/>
        </w:rPr>
        <w:t>。</w:t>
      </w:r>
      <w:r>
        <w:rPr>
          <w:rFonts w:hint="eastAsia" w:ascii="宋体" w:hAnsi="宋体" w:eastAsia="宋体" w:cs="宋体"/>
          <w:color w:val="auto"/>
          <w:sz w:val="24"/>
          <w:szCs w:val="21"/>
          <w:highlight w:val="none"/>
          <w:lang w:val="en-US" w:eastAsia="zh-CN" w:bidi="ar-SA"/>
        </w:rPr>
        <w:t>因乙方银行账户存在问题导致甲方延迟付款的，甲方不承担迟延付款责任</w:t>
      </w:r>
      <w:r>
        <w:rPr>
          <w:rFonts w:hint="eastAsia" w:cs="宋体"/>
          <w:color w:val="auto"/>
          <w:sz w:val="24"/>
          <w:szCs w:val="21"/>
          <w:highlight w:val="none"/>
          <w:lang w:val="en-US" w:eastAsia="zh-CN" w:bidi="ar-SA"/>
        </w:rPr>
        <w:t>。</w:t>
      </w:r>
    </w:p>
    <w:p w14:paraId="27E43617">
      <w:pPr>
        <w:pStyle w:val="11"/>
        <w:numPr>
          <w:ilvl w:val="0"/>
          <w:numId w:val="0"/>
        </w:numPr>
        <w:spacing w:line="360" w:lineRule="auto"/>
        <w:ind w:firstLine="480" w:firstLineChars="200"/>
        <w:rPr>
          <w:rFonts w:ascii="宋体" w:hAnsi="宋体" w:eastAsia="宋体" w:cs="宋体"/>
          <w:color w:val="auto"/>
          <w:sz w:val="24"/>
          <w:szCs w:val="21"/>
          <w:highlight w:val="none"/>
          <w:u w:val="single"/>
          <w:lang w:val="en-US" w:eastAsia="zh-CN" w:bidi="ar-SA"/>
        </w:rPr>
      </w:pPr>
      <w:r>
        <w:rPr>
          <w:rFonts w:hint="eastAsia"/>
          <w:color w:val="auto"/>
          <w:szCs w:val="21"/>
          <w:highlight w:val="none"/>
          <w:lang w:val="en-US" w:eastAsia="zh-CN"/>
        </w:rPr>
        <w:t>6.3合同</w:t>
      </w:r>
      <w:r>
        <w:rPr>
          <w:color w:val="auto"/>
          <w:szCs w:val="21"/>
          <w:highlight w:val="none"/>
        </w:rPr>
        <w:t>履约保证金</w:t>
      </w:r>
      <w:r>
        <w:rPr>
          <w:rFonts w:hint="eastAsia"/>
          <w:color w:val="auto"/>
          <w:szCs w:val="21"/>
          <w:highlight w:val="none"/>
          <w:lang w:eastAsia="zh-CN"/>
        </w:rPr>
        <w:t>：</w:t>
      </w:r>
      <w:r>
        <w:rPr>
          <w:rFonts w:hint="eastAsia"/>
          <w:color w:val="auto"/>
          <w:szCs w:val="21"/>
          <w:highlight w:val="none"/>
          <w:lang w:val="en-US" w:eastAsia="zh-CN"/>
        </w:rPr>
        <w:t>￥</w:t>
      </w:r>
      <w:r>
        <w:rPr>
          <w:rFonts w:hint="eastAsia"/>
          <w:b/>
          <w:bCs/>
          <w:color w:val="auto"/>
          <w:szCs w:val="21"/>
          <w:highlight w:val="none"/>
          <w:u w:val="single"/>
        </w:rPr>
        <w:t xml:space="preserve">      </w:t>
      </w:r>
      <w:r>
        <w:rPr>
          <w:rFonts w:hint="eastAsia"/>
          <w:b/>
          <w:bCs/>
          <w:color w:val="auto"/>
          <w:szCs w:val="21"/>
          <w:highlight w:val="none"/>
          <w:u w:val="single"/>
          <w:lang w:val="en-US" w:eastAsia="zh-CN"/>
        </w:rPr>
        <w:t xml:space="preserve">  </w:t>
      </w:r>
      <w:r>
        <w:rPr>
          <w:rFonts w:hint="eastAsia"/>
          <w:b w:val="0"/>
          <w:bCs w:val="0"/>
          <w:color w:val="auto"/>
          <w:szCs w:val="21"/>
          <w:highlight w:val="none"/>
          <w:u w:val="single"/>
        </w:rPr>
        <w:t>元</w:t>
      </w:r>
      <w:r>
        <w:rPr>
          <w:rFonts w:hint="eastAsia"/>
          <w:b/>
          <w:bCs/>
          <w:color w:val="auto"/>
          <w:szCs w:val="21"/>
          <w:highlight w:val="none"/>
          <w:u w:val="single"/>
          <w:lang w:eastAsia="zh-CN"/>
        </w:rPr>
        <w:t>（</w:t>
      </w:r>
      <w:r>
        <w:rPr>
          <w:rFonts w:hint="eastAsia"/>
          <w:b/>
          <w:bCs/>
          <w:color w:val="auto"/>
          <w:szCs w:val="21"/>
          <w:highlight w:val="none"/>
          <w:u w:val="single"/>
          <w:lang w:val="en-US" w:eastAsia="zh-CN"/>
        </w:rPr>
        <w:t xml:space="preserve">人民币大写：  </w:t>
      </w:r>
      <w:r>
        <w:rPr>
          <w:rFonts w:hint="eastAsia"/>
          <w:b/>
          <w:bCs/>
          <w:color w:val="auto"/>
          <w:szCs w:val="21"/>
          <w:highlight w:val="none"/>
          <w:u w:val="single"/>
          <w:lang w:val="en-US" w:eastAsia="zh-CN"/>
        </w:rPr>
        <w:t xml:space="preserve">        圆整），</w:t>
      </w:r>
      <w:r>
        <w:rPr>
          <w:rFonts w:hint="eastAsia"/>
          <w:b/>
          <w:bCs/>
          <w:color w:val="auto"/>
          <w:sz w:val="24"/>
          <w:szCs w:val="21"/>
          <w:highlight w:val="none"/>
          <w:u w:val="single"/>
          <w:lang w:val="en-US" w:eastAsia="zh-CN"/>
        </w:rPr>
        <w:t>需在合同签订前一天缴纳完毕。</w:t>
      </w:r>
    </w:p>
    <w:p w14:paraId="17A1F95C">
      <w:pPr>
        <w:spacing w:line="360" w:lineRule="auto"/>
        <w:ind w:right="0" w:firstLine="482" w:firstLineChars="200"/>
        <w:rPr>
          <w:rFonts w:hint="eastAsia" w:ascii="黑体" w:hAnsi="黑体" w:eastAsia="黑体" w:cs="黑体"/>
          <w:color w:val="auto"/>
          <w:szCs w:val="21"/>
          <w:highlight w:val="none"/>
        </w:rPr>
      </w:pPr>
      <w:r>
        <w:rPr>
          <w:rFonts w:hint="eastAsia" w:ascii="黑体" w:hAnsi="黑体" w:eastAsia="黑体" w:cs="黑体"/>
          <w:b/>
          <w:bCs/>
          <w:color w:val="auto"/>
          <w:szCs w:val="21"/>
          <w:highlight w:val="none"/>
          <w:lang w:val="en-US" w:eastAsia="zh-CN"/>
        </w:rPr>
        <w:t>7.</w:t>
      </w:r>
      <w:r>
        <w:rPr>
          <w:rFonts w:hint="eastAsia" w:ascii="黑体" w:hAnsi="黑体" w:eastAsia="黑体" w:cs="黑体"/>
          <w:b/>
          <w:bCs/>
          <w:color w:val="auto"/>
          <w:szCs w:val="21"/>
          <w:highlight w:val="none"/>
        </w:rPr>
        <w:t>违约责任</w:t>
      </w:r>
    </w:p>
    <w:p w14:paraId="4338FAFA">
      <w:pPr>
        <w:spacing w:line="360" w:lineRule="auto"/>
        <w:ind w:right="0" w:firstLine="480" w:firstLineChars="200"/>
        <w:rPr>
          <w:rFonts w:hint="eastAsia" w:eastAsia="宋体"/>
          <w:color w:val="auto"/>
          <w:szCs w:val="21"/>
          <w:highlight w:val="none"/>
          <w:lang w:eastAsia="zh-CN"/>
        </w:rPr>
      </w:pPr>
      <w:r>
        <w:rPr>
          <w:rFonts w:hint="eastAsia"/>
          <w:color w:val="auto"/>
          <w:szCs w:val="21"/>
          <w:highlight w:val="none"/>
          <w:lang w:val="en-US" w:eastAsia="zh-CN"/>
        </w:rPr>
        <w:t>7.1</w:t>
      </w:r>
      <w:r>
        <w:rPr>
          <w:rFonts w:hint="eastAsia"/>
          <w:color w:val="auto"/>
          <w:szCs w:val="21"/>
          <w:highlight w:val="none"/>
        </w:rPr>
        <w:t>合同期满</w:t>
      </w:r>
      <w:r>
        <w:rPr>
          <w:rFonts w:hint="eastAsia"/>
          <w:color w:val="auto"/>
          <w:szCs w:val="21"/>
          <w:highlight w:val="none"/>
          <w:lang w:val="en-US" w:eastAsia="zh-CN"/>
        </w:rPr>
        <w:t>且乙方</w:t>
      </w:r>
      <w:r>
        <w:rPr>
          <w:rFonts w:hint="eastAsia"/>
          <w:color w:val="auto"/>
          <w:szCs w:val="21"/>
          <w:highlight w:val="none"/>
        </w:rPr>
        <w:t>未出现</w:t>
      </w:r>
      <w:r>
        <w:rPr>
          <w:rFonts w:hint="eastAsia"/>
          <w:color w:val="auto"/>
          <w:szCs w:val="21"/>
          <w:highlight w:val="none"/>
          <w:lang w:val="en-US" w:eastAsia="zh-CN"/>
        </w:rPr>
        <w:t>任何</w:t>
      </w:r>
      <w:r>
        <w:rPr>
          <w:rFonts w:hint="eastAsia"/>
          <w:color w:val="auto"/>
          <w:szCs w:val="21"/>
          <w:highlight w:val="none"/>
        </w:rPr>
        <w:t>违约情形</w:t>
      </w:r>
      <w:r>
        <w:rPr>
          <w:rFonts w:hint="eastAsia"/>
          <w:color w:val="auto"/>
          <w:szCs w:val="21"/>
          <w:highlight w:val="none"/>
          <w:lang w:val="en-US" w:eastAsia="zh-CN"/>
        </w:rPr>
        <w:t>的</w:t>
      </w:r>
      <w:r>
        <w:rPr>
          <w:rFonts w:hint="eastAsia"/>
          <w:color w:val="auto"/>
          <w:szCs w:val="21"/>
          <w:highlight w:val="none"/>
        </w:rPr>
        <w:t>，甲方无息退还</w:t>
      </w:r>
      <w:r>
        <w:rPr>
          <w:rFonts w:hint="eastAsia"/>
          <w:color w:val="auto"/>
          <w:szCs w:val="21"/>
          <w:highlight w:val="none"/>
          <w:lang w:val="en-US" w:eastAsia="zh-CN"/>
        </w:rPr>
        <w:t>履约保证金</w:t>
      </w:r>
      <w:r>
        <w:rPr>
          <w:rFonts w:hint="eastAsia"/>
          <w:color w:val="auto"/>
          <w:szCs w:val="21"/>
          <w:highlight w:val="none"/>
        </w:rPr>
        <w:t>。</w:t>
      </w:r>
      <w:r>
        <w:rPr>
          <w:color w:val="auto"/>
          <w:szCs w:val="21"/>
          <w:highlight w:val="none"/>
        </w:rPr>
        <w:t>如乙方有</w:t>
      </w:r>
      <w:r>
        <w:rPr>
          <w:rFonts w:hint="eastAsia"/>
          <w:color w:val="auto"/>
          <w:szCs w:val="21"/>
          <w:highlight w:val="none"/>
          <w:lang w:val="en-US" w:eastAsia="zh-CN"/>
        </w:rPr>
        <w:t>任何</w:t>
      </w:r>
      <w:r>
        <w:rPr>
          <w:color w:val="auto"/>
          <w:szCs w:val="21"/>
          <w:highlight w:val="none"/>
        </w:rPr>
        <w:t>违约行为，</w:t>
      </w:r>
      <w:r>
        <w:rPr>
          <w:rFonts w:hint="eastAsia"/>
          <w:color w:val="auto"/>
          <w:szCs w:val="21"/>
          <w:highlight w:val="none"/>
        </w:rPr>
        <w:t>甲方有权按照合同约定从</w:t>
      </w:r>
      <w:r>
        <w:rPr>
          <w:rFonts w:hint="eastAsia"/>
          <w:color w:val="auto"/>
          <w:szCs w:val="21"/>
          <w:highlight w:val="none"/>
          <w:lang w:val="en-US" w:eastAsia="zh-CN"/>
        </w:rPr>
        <w:t>履约保证金</w:t>
      </w:r>
      <w:r>
        <w:rPr>
          <w:rFonts w:hint="eastAsia"/>
          <w:color w:val="auto"/>
          <w:szCs w:val="21"/>
          <w:highlight w:val="none"/>
        </w:rPr>
        <w:t>中扣除乙方应赔偿部分金额，剩余部分合同期满或合同解除时无息</w:t>
      </w:r>
      <w:r>
        <w:rPr>
          <w:rFonts w:hint="eastAsia"/>
          <w:color w:val="auto"/>
          <w:szCs w:val="21"/>
          <w:highlight w:val="none"/>
          <w:lang w:eastAsia="zh-CN"/>
        </w:rPr>
        <w:t>退还给</w:t>
      </w:r>
      <w:r>
        <w:rPr>
          <w:rFonts w:hint="eastAsia"/>
          <w:color w:val="auto"/>
          <w:szCs w:val="21"/>
          <w:highlight w:val="none"/>
        </w:rPr>
        <w:t>乙方</w:t>
      </w:r>
      <w:r>
        <w:rPr>
          <w:rFonts w:hint="eastAsia"/>
          <w:color w:val="auto"/>
          <w:szCs w:val="21"/>
          <w:highlight w:val="none"/>
          <w:lang w:val="en-US" w:eastAsia="zh-CN"/>
        </w:rPr>
        <w:t>账户</w:t>
      </w:r>
      <w:r>
        <w:rPr>
          <w:rFonts w:hint="eastAsia"/>
          <w:color w:val="auto"/>
          <w:szCs w:val="21"/>
          <w:highlight w:val="none"/>
        </w:rPr>
        <w:t>；保证金不足以支付违约金或不足以弥补甲方损失的，由乙方另行向甲方</w:t>
      </w:r>
      <w:r>
        <w:rPr>
          <w:rFonts w:hint="eastAsia"/>
          <w:color w:val="auto"/>
          <w:szCs w:val="21"/>
          <w:highlight w:val="none"/>
          <w:lang w:val="en-US" w:eastAsia="zh-CN"/>
        </w:rPr>
        <w:t>赔偿</w:t>
      </w:r>
      <w:r>
        <w:rPr>
          <w:rFonts w:hint="eastAsia"/>
          <w:color w:val="auto"/>
          <w:szCs w:val="21"/>
          <w:highlight w:val="none"/>
        </w:rPr>
        <w:t>。因乙方违约扣除保证金的</w:t>
      </w:r>
      <w:r>
        <w:rPr>
          <w:rFonts w:hint="eastAsia"/>
          <w:color w:val="auto"/>
          <w:szCs w:val="21"/>
          <w:highlight w:val="none"/>
          <w:lang w:eastAsia="zh-CN"/>
        </w:rPr>
        <w:t>，</w:t>
      </w:r>
      <w:r>
        <w:rPr>
          <w:rFonts w:hint="eastAsia"/>
          <w:color w:val="auto"/>
          <w:szCs w:val="21"/>
          <w:highlight w:val="none"/>
        </w:rPr>
        <w:t>乙方</w:t>
      </w:r>
      <w:r>
        <w:rPr>
          <w:rFonts w:hint="eastAsia"/>
          <w:color w:val="auto"/>
          <w:szCs w:val="21"/>
          <w:highlight w:val="none"/>
          <w:lang w:val="en-US" w:eastAsia="zh-CN"/>
        </w:rPr>
        <w:t>应</w:t>
      </w:r>
      <w:r>
        <w:rPr>
          <w:rFonts w:hint="eastAsia"/>
          <w:color w:val="auto"/>
          <w:szCs w:val="21"/>
          <w:highlight w:val="none"/>
        </w:rPr>
        <w:t>在扣除后5个工作日内补足，逾期不补足视为违约，甲方有权主张所需物资总额的10％的违约金，并视为放弃继续供货资格</w:t>
      </w:r>
      <w:r>
        <w:rPr>
          <w:rFonts w:hint="eastAsia"/>
          <w:color w:val="auto"/>
          <w:szCs w:val="21"/>
          <w:highlight w:val="none"/>
          <w:lang w:eastAsia="zh-CN"/>
        </w:rPr>
        <w:t>。</w:t>
      </w:r>
    </w:p>
    <w:p w14:paraId="5EFB364E">
      <w:pPr>
        <w:spacing w:line="360" w:lineRule="auto"/>
        <w:ind w:right="0" w:firstLine="480" w:firstLineChars="200"/>
        <w:rPr>
          <w:color w:val="auto"/>
          <w:szCs w:val="21"/>
          <w:highlight w:val="none"/>
        </w:rPr>
      </w:pPr>
      <w:r>
        <w:rPr>
          <w:rFonts w:hint="eastAsia"/>
          <w:color w:val="auto"/>
          <w:szCs w:val="21"/>
          <w:highlight w:val="none"/>
          <w:lang w:val="en-US" w:eastAsia="zh-CN"/>
        </w:rPr>
        <w:t>7.</w:t>
      </w:r>
      <w:r>
        <w:rPr>
          <w:rFonts w:hint="eastAsia"/>
          <w:b w:val="0"/>
          <w:bCs w:val="0"/>
          <w:color w:val="auto"/>
          <w:szCs w:val="21"/>
          <w:highlight w:val="none"/>
          <w:lang w:val="en-US" w:eastAsia="zh-CN"/>
        </w:rPr>
        <w:t>2乙方</w:t>
      </w:r>
      <w:r>
        <w:rPr>
          <w:b w:val="0"/>
          <w:bCs w:val="0"/>
          <w:color w:val="auto"/>
          <w:szCs w:val="21"/>
          <w:highlight w:val="none"/>
        </w:rPr>
        <w:t>必</w:t>
      </w:r>
      <w:r>
        <w:rPr>
          <w:color w:val="auto"/>
          <w:szCs w:val="21"/>
          <w:highlight w:val="none"/>
        </w:rPr>
        <w:t>须满足在发生突发公共安全等不可抗力事件时，</w:t>
      </w:r>
      <w:r>
        <w:rPr>
          <w:rFonts w:hint="eastAsia"/>
          <w:color w:val="auto"/>
          <w:szCs w:val="21"/>
          <w:highlight w:val="none"/>
          <w:lang w:eastAsia="zh-CN"/>
        </w:rPr>
        <w:t>对</w:t>
      </w:r>
      <w:r>
        <w:rPr>
          <w:color w:val="auto"/>
          <w:szCs w:val="21"/>
          <w:highlight w:val="none"/>
        </w:rPr>
        <w:t>甲方无条件提供货物保障供应</w:t>
      </w:r>
      <w:r>
        <w:rPr>
          <w:rFonts w:hint="eastAsia"/>
          <w:color w:val="auto"/>
          <w:szCs w:val="21"/>
          <w:highlight w:val="none"/>
          <w:lang w:eastAsia="zh-CN"/>
        </w:rPr>
        <w:t>。</w:t>
      </w:r>
      <w:r>
        <w:rPr>
          <w:color w:val="auto"/>
          <w:szCs w:val="21"/>
          <w:highlight w:val="none"/>
        </w:rPr>
        <w:t>如不能满足极端特殊条件下的供应，应提前7日以书面形式通知甲方，</w:t>
      </w:r>
      <w:r>
        <w:rPr>
          <w:rFonts w:hint="eastAsia"/>
          <w:color w:val="auto"/>
          <w:szCs w:val="21"/>
          <w:highlight w:val="none"/>
        </w:rPr>
        <w:t>并提供官方具有证明效力</w:t>
      </w:r>
      <w:r>
        <w:rPr>
          <w:rFonts w:hint="eastAsia"/>
          <w:b w:val="0"/>
          <w:bCs w:val="0"/>
          <w:color w:val="auto"/>
          <w:szCs w:val="21"/>
          <w:highlight w:val="none"/>
        </w:rPr>
        <w:t>的</w:t>
      </w:r>
      <w:r>
        <w:rPr>
          <w:rFonts w:hint="eastAsia"/>
          <w:b w:val="0"/>
          <w:bCs w:val="0"/>
          <w:color w:val="auto"/>
          <w:szCs w:val="21"/>
          <w:highlight w:val="none"/>
          <w:lang w:val="en-US" w:eastAsia="zh-CN"/>
        </w:rPr>
        <w:t>相关官方</w:t>
      </w:r>
      <w:r>
        <w:rPr>
          <w:rFonts w:hint="eastAsia"/>
          <w:b w:val="0"/>
          <w:bCs w:val="0"/>
          <w:color w:val="auto"/>
          <w:szCs w:val="21"/>
          <w:highlight w:val="none"/>
        </w:rPr>
        <w:t>证明</w:t>
      </w:r>
      <w:r>
        <w:rPr>
          <w:rFonts w:hint="eastAsia"/>
          <w:b w:val="0"/>
          <w:bCs w:val="0"/>
          <w:color w:val="auto"/>
          <w:szCs w:val="21"/>
          <w:highlight w:val="none"/>
          <w:lang w:val="en-US" w:eastAsia="zh-CN"/>
        </w:rPr>
        <w:t>文件。</w:t>
      </w:r>
      <w:r>
        <w:rPr>
          <w:b w:val="0"/>
          <w:bCs w:val="0"/>
          <w:color w:val="auto"/>
          <w:szCs w:val="21"/>
          <w:highlight w:val="none"/>
        </w:rPr>
        <w:t>乙方如未</w:t>
      </w:r>
      <w:r>
        <w:rPr>
          <w:rFonts w:hint="eastAsia"/>
          <w:b w:val="0"/>
          <w:bCs w:val="0"/>
          <w:color w:val="auto"/>
          <w:szCs w:val="21"/>
          <w:highlight w:val="none"/>
          <w:lang w:val="en-US" w:eastAsia="zh-CN"/>
        </w:rPr>
        <w:t>及时</w:t>
      </w:r>
      <w:r>
        <w:rPr>
          <w:b w:val="0"/>
          <w:bCs w:val="0"/>
          <w:color w:val="auto"/>
          <w:szCs w:val="21"/>
          <w:highlight w:val="none"/>
        </w:rPr>
        <w:t>通知甲方</w:t>
      </w:r>
      <w:r>
        <w:rPr>
          <w:rFonts w:hint="eastAsia"/>
          <w:b w:val="0"/>
          <w:bCs w:val="0"/>
          <w:color w:val="auto"/>
          <w:szCs w:val="21"/>
          <w:highlight w:val="none"/>
          <w:lang w:val="en-US" w:eastAsia="zh-CN"/>
        </w:rPr>
        <w:t>则</w:t>
      </w:r>
      <w:r>
        <w:rPr>
          <w:b w:val="0"/>
          <w:bCs w:val="0"/>
          <w:color w:val="auto"/>
          <w:szCs w:val="21"/>
          <w:highlight w:val="none"/>
        </w:rPr>
        <w:t>视</w:t>
      </w:r>
      <w:r>
        <w:rPr>
          <w:color w:val="auto"/>
          <w:szCs w:val="21"/>
          <w:highlight w:val="none"/>
        </w:rPr>
        <w:t>为违约，赔偿甲方所需物资总额的30％</w:t>
      </w:r>
      <w:r>
        <w:rPr>
          <w:rFonts w:hint="eastAsia"/>
          <w:color w:val="auto"/>
          <w:szCs w:val="21"/>
          <w:highlight w:val="none"/>
          <w:lang w:eastAsia="zh-CN"/>
        </w:rPr>
        <w:t>作为</w:t>
      </w:r>
      <w:r>
        <w:rPr>
          <w:color w:val="auto"/>
          <w:szCs w:val="21"/>
          <w:highlight w:val="none"/>
        </w:rPr>
        <w:t>违约金（由未结算货款进行抵扣</w:t>
      </w:r>
      <w:r>
        <w:rPr>
          <w:rFonts w:hint="eastAsia"/>
          <w:color w:val="auto"/>
          <w:szCs w:val="21"/>
          <w:highlight w:val="none"/>
          <w:lang w:eastAsia="zh-CN"/>
        </w:rPr>
        <w:t>，如货款不足，从履约保证金中扣除</w:t>
      </w:r>
      <w:r>
        <w:rPr>
          <w:color w:val="auto"/>
          <w:szCs w:val="21"/>
          <w:highlight w:val="none"/>
        </w:rPr>
        <w:t>），并自动终止合同。</w:t>
      </w:r>
    </w:p>
    <w:p w14:paraId="12468249">
      <w:pPr>
        <w:spacing w:after="0" w:line="360" w:lineRule="auto"/>
        <w:ind w:right="0" w:firstLine="480" w:firstLineChars="200"/>
        <w:rPr>
          <w:rFonts w:hint="eastAsia"/>
          <w:color w:val="auto"/>
          <w:szCs w:val="21"/>
          <w:highlight w:val="none"/>
        </w:rPr>
      </w:pPr>
      <w:r>
        <w:rPr>
          <w:rFonts w:hint="eastAsia"/>
          <w:color w:val="auto"/>
          <w:szCs w:val="21"/>
          <w:highlight w:val="none"/>
          <w:lang w:val="en-US" w:eastAsia="zh-CN"/>
        </w:rPr>
        <w:t>7.3</w:t>
      </w:r>
      <w:r>
        <w:rPr>
          <w:color w:val="auto"/>
          <w:szCs w:val="21"/>
          <w:highlight w:val="none"/>
        </w:rPr>
        <w:t>乙方需在本合同签署之日向甲方提供各种有效证照的复印件（需加盖乙方公章），包括但不限于</w:t>
      </w:r>
      <w:r>
        <w:rPr>
          <w:color w:val="auto"/>
          <w:szCs w:val="21"/>
          <w:highlight w:val="none"/>
        </w:rPr>
        <w:t>：</w:t>
      </w:r>
      <w:r>
        <w:rPr>
          <w:rFonts w:hint="eastAsia"/>
          <w:color w:val="auto"/>
          <w:szCs w:val="21"/>
          <w:highlight w:val="none"/>
          <w:lang w:val="en-US" w:eastAsia="zh-CN"/>
        </w:rPr>
        <w:t>统一社会信用代码、法定代表人身份证、法定代表人身份证明书、授权委托书、营业执照、税务登记证、</w:t>
      </w:r>
      <w:r>
        <w:rPr>
          <w:color w:val="auto"/>
          <w:szCs w:val="21"/>
          <w:highlight w:val="none"/>
        </w:rPr>
        <w:t>营业执照、食品卫生许可证、产品质量检验报告</w:t>
      </w:r>
      <w:r>
        <w:rPr>
          <w:rFonts w:hint="eastAsia"/>
          <w:color w:val="auto"/>
          <w:szCs w:val="21"/>
          <w:highlight w:val="none"/>
          <w:lang w:val="en-US" w:eastAsia="zh-CN"/>
        </w:rPr>
        <w:t>等自身主体资格证明和</w:t>
      </w:r>
      <w:r>
        <w:rPr>
          <w:color w:val="auto"/>
          <w:szCs w:val="21"/>
          <w:highlight w:val="none"/>
        </w:rPr>
        <w:t>与食品销售要求相关的资质证明，</w:t>
      </w:r>
      <w:r>
        <w:rPr>
          <w:color w:val="auto"/>
          <w:szCs w:val="21"/>
          <w:highlight w:val="none"/>
        </w:rPr>
        <w:t>否则，甲方有权</w:t>
      </w:r>
      <w:r>
        <w:rPr>
          <w:rFonts w:hint="eastAsia"/>
          <w:color w:val="auto"/>
          <w:szCs w:val="21"/>
          <w:highlight w:val="none"/>
        </w:rPr>
        <w:t>解除合同</w:t>
      </w:r>
      <w:r>
        <w:rPr>
          <w:color w:val="auto"/>
          <w:szCs w:val="21"/>
          <w:highlight w:val="none"/>
        </w:rPr>
        <w:t>且不承担违约责任。在本合同有效期内，乙方必须保证上述各类证照始终处于合法、有效状态</w:t>
      </w:r>
      <w:r>
        <w:rPr>
          <w:rFonts w:hint="eastAsia"/>
          <w:color w:val="auto"/>
          <w:szCs w:val="21"/>
          <w:highlight w:val="none"/>
        </w:rPr>
        <w:t>，</w:t>
      </w:r>
      <w:r>
        <w:rPr>
          <w:rFonts w:hint="eastAsia"/>
          <w:color w:val="auto"/>
          <w:highlight w:val="none"/>
        </w:rPr>
        <w:t>乙方如不按上述要求提供，或乙方在合同期限内</w:t>
      </w:r>
      <w:r>
        <w:rPr>
          <w:rFonts w:hint="eastAsia"/>
          <w:color w:val="auto"/>
          <w:highlight w:val="none"/>
          <w:lang w:eastAsia="zh-CN"/>
        </w:rPr>
        <w:t>被相关主管部门责令停产停业或</w:t>
      </w:r>
      <w:r>
        <w:rPr>
          <w:rFonts w:hint="eastAsia"/>
          <w:color w:val="auto"/>
          <w:highlight w:val="none"/>
        </w:rPr>
        <w:t>相关证照被吊销、注销、过期失效等，甲方有权解除合同并将追究乙方的违约责任和赔偿责任</w:t>
      </w:r>
      <w:r>
        <w:rPr>
          <w:rFonts w:hint="eastAsia"/>
          <w:color w:val="auto"/>
          <w:szCs w:val="21"/>
          <w:highlight w:val="none"/>
        </w:rPr>
        <w:t>。乙方</w:t>
      </w:r>
      <w:r>
        <w:rPr>
          <w:color w:val="auto"/>
          <w:szCs w:val="21"/>
          <w:highlight w:val="none"/>
        </w:rPr>
        <w:t>每批次</w:t>
      </w:r>
      <w:r>
        <w:rPr>
          <w:rFonts w:hint="eastAsia"/>
          <w:color w:val="auto"/>
          <w:szCs w:val="21"/>
          <w:highlight w:val="none"/>
        </w:rPr>
        <w:t>货品</w:t>
      </w:r>
      <w:r>
        <w:rPr>
          <w:color w:val="auto"/>
          <w:szCs w:val="21"/>
          <w:highlight w:val="none"/>
        </w:rPr>
        <w:t>提供所需证件及产品检验报告单</w:t>
      </w:r>
      <w:r>
        <w:rPr>
          <w:rFonts w:hint="eastAsia"/>
          <w:color w:val="auto"/>
          <w:szCs w:val="21"/>
          <w:highlight w:val="none"/>
        </w:rPr>
        <w:t>，否则甲方有权单方终止合同，同时扣除乙方全额履约保证金。</w:t>
      </w:r>
    </w:p>
    <w:p w14:paraId="0D4B8EF5">
      <w:pPr>
        <w:spacing w:after="0" w:line="360" w:lineRule="auto"/>
        <w:ind w:right="0" w:firstLine="480" w:firstLineChars="200"/>
        <w:rPr>
          <w:color w:val="auto"/>
          <w:szCs w:val="21"/>
          <w:highlight w:val="none"/>
        </w:rPr>
      </w:pPr>
      <w:r>
        <w:rPr>
          <w:rFonts w:hint="eastAsia"/>
          <w:color w:val="auto"/>
          <w:szCs w:val="21"/>
          <w:highlight w:val="none"/>
          <w:lang w:val="en-US" w:eastAsia="zh-CN"/>
        </w:rPr>
        <w:t>7.4</w:t>
      </w:r>
      <w:r>
        <w:rPr>
          <w:color w:val="auto"/>
          <w:szCs w:val="21"/>
          <w:highlight w:val="none"/>
        </w:rPr>
        <w:t>合同签订后，乙方应严格履行合同，如乙方因价格原因寻找借口，拒绝供货或不能根据合同约定的品种、规格、数量、质量等标准和要求向甲方配送货物，无法满足甲方采购需要，甲方</w:t>
      </w:r>
      <w:r>
        <w:rPr>
          <w:rFonts w:hint="eastAsia"/>
          <w:color w:val="auto"/>
          <w:szCs w:val="21"/>
          <w:highlight w:val="none"/>
          <w:lang w:val="en-US" w:eastAsia="zh-CN"/>
        </w:rPr>
        <w:t>有权</w:t>
      </w:r>
      <w:r>
        <w:rPr>
          <w:rFonts w:hint="eastAsia"/>
          <w:color w:val="auto"/>
          <w:highlight w:val="none"/>
          <w:lang w:val="en-US" w:eastAsia="zh-CN"/>
        </w:rPr>
        <w:t>直接以电话、邮箱、微信等途径通知的方式解除合同，</w:t>
      </w:r>
      <w:r>
        <w:rPr>
          <w:color w:val="auto"/>
          <w:szCs w:val="21"/>
          <w:highlight w:val="none"/>
        </w:rPr>
        <w:t>同时扣除乙方</w:t>
      </w:r>
      <w:r>
        <w:rPr>
          <w:rFonts w:hint="eastAsia"/>
          <w:color w:val="auto"/>
          <w:szCs w:val="21"/>
          <w:highlight w:val="none"/>
        </w:rPr>
        <w:t>履约保证金</w:t>
      </w:r>
      <w:r>
        <w:rPr>
          <w:color w:val="auto"/>
          <w:szCs w:val="21"/>
          <w:highlight w:val="none"/>
        </w:rPr>
        <w:t>的</w:t>
      </w:r>
      <w:r>
        <w:rPr>
          <w:rFonts w:hint="eastAsia"/>
          <w:color w:val="auto"/>
          <w:szCs w:val="21"/>
          <w:highlight w:val="none"/>
        </w:rPr>
        <w:t>50</w:t>
      </w:r>
      <w:r>
        <w:rPr>
          <w:color w:val="auto"/>
          <w:szCs w:val="21"/>
          <w:highlight w:val="none"/>
        </w:rPr>
        <w:t>％向甲方承担违约责任。合同解除后，甲方有权</w:t>
      </w:r>
      <w:r>
        <w:rPr>
          <w:rFonts w:hint="eastAsia"/>
          <w:color w:val="auto"/>
          <w:szCs w:val="21"/>
          <w:highlight w:val="none"/>
        </w:rPr>
        <w:t>临时性应急</w:t>
      </w:r>
      <w:r>
        <w:rPr>
          <w:color w:val="auto"/>
          <w:szCs w:val="21"/>
          <w:highlight w:val="none"/>
        </w:rPr>
        <w:t>与第三方供</w:t>
      </w:r>
      <w:r>
        <w:rPr>
          <w:rFonts w:hint="eastAsia"/>
          <w:color w:val="auto"/>
          <w:szCs w:val="21"/>
          <w:highlight w:val="none"/>
          <w:lang w:val="en-US" w:eastAsia="zh-CN"/>
        </w:rPr>
        <w:t>应</w:t>
      </w:r>
      <w:r>
        <w:rPr>
          <w:color w:val="auto"/>
          <w:szCs w:val="21"/>
          <w:highlight w:val="none"/>
        </w:rPr>
        <w:t>商另行签订合同，进行</w:t>
      </w:r>
      <w:r>
        <w:rPr>
          <w:rFonts w:hint="eastAsia"/>
          <w:color w:val="auto"/>
          <w:szCs w:val="21"/>
          <w:highlight w:val="none"/>
          <w:lang w:val="en-US" w:eastAsia="zh-CN"/>
        </w:rPr>
        <w:t>保障性</w:t>
      </w:r>
      <w:r>
        <w:rPr>
          <w:color w:val="auto"/>
          <w:szCs w:val="21"/>
          <w:highlight w:val="none"/>
        </w:rPr>
        <w:t>供货。</w:t>
      </w:r>
      <w:r>
        <w:rPr>
          <w:rFonts w:hint="eastAsia"/>
          <w:color w:val="auto"/>
          <w:szCs w:val="21"/>
          <w:highlight w:val="none"/>
        </w:rPr>
        <w:t>甲方因乙方违约解除合同后，选择第三方应急采购产生的差价、运输费、人工费等所有额外支出，全部由乙方承担，甲方有权直接从乙方未结货款、履约保证金中扣除，不足部分有权继续向乙方追偿。</w:t>
      </w:r>
    </w:p>
    <w:p w14:paraId="3F83E51D">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7.5</w:t>
      </w:r>
      <w:r>
        <w:rPr>
          <w:rFonts w:hint="eastAsia"/>
          <w:color w:val="auto"/>
          <w:szCs w:val="21"/>
          <w:highlight w:val="none"/>
        </w:rPr>
        <w:t>如乙方出现虚假产品、以次充好，乙方未按甲方要求予以更换或供货，导致甲方需紧急采购的，甲方有权解除合同，扣除全额履约保证金，并且另行采购其他商家同类货物，由此产生的全部费用从乙方货款中扣除，乙方还需支付合同总金额的50%作为违约金，并赔偿甲方因此遭受的全部损失。</w:t>
      </w:r>
    </w:p>
    <w:p w14:paraId="0D651A96">
      <w:pPr>
        <w:spacing w:line="360" w:lineRule="auto"/>
        <w:ind w:right="0" w:firstLine="480" w:firstLineChars="200"/>
        <w:rPr>
          <w:rFonts w:hint="eastAsia"/>
          <w:color w:val="auto"/>
          <w:szCs w:val="21"/>
          <w:highlight w:val="none"/>
        </w:rPr>
      </w:pPr>
      <w:r>
        <w:rPr>
          <w:rFonts w:hint="eastAsia"/>
          <w:color w:val="auto"/>
          <w:szCs w:val="21"/>
          <w:highlight w:val="none"/>
        </w:rPr>
        <w:t>如</w:t>
      </w:r>
      <w:r>
        <w:rPr>
          <w:rFonts w:hint="eastAsia"/>
          <w:color w:val="auto"/>
          <w:szCs w:val="21"/>
          <w:highlight w:val="none"/>
          <w:lang w:eastAsia="zh-CN"/>
        </w:rPr>
        <w:t>乙方货品</w:t>
      </w:r>
      <w:r>
        <w:rPr>
          <w:rFonts w:hint="eastAsia"/>
          <w:color w:val="auto"/>
          <w:szCs w:val="21"/>
          <w:highlight w:val="none"/>
        </w:rPr>
        <w:t>与甲方要求品质标准不符</w:t>
      </w:r>
      <w:r>
        <w:rPr>
          <w:rFonts w:hint="eastAsia"/>
          <w:color w:val="auto"/>
          <w:szCs w:val="21"/>
          <w:highlight w:val="none"/>
          <w:lang w:eastAsia="zh-CN"/>
        </w:rPr>
        <w:t>以及数量不足</w:t>
      </w:r>
      <w:r>
        <w:rPr>
          <w:rFonts w:hint="eastAsia"/>
          <w:color w:val="auto"/>
          <w:szCs w:val="21"/>
          <w:highlight w:val="none"/>
        </w:rPr>
        <w:t>的货品，甲方有权要求乙方</w:t>
      </w:r>
      <w:r>
        <w:rPr>
          <w:rFonts w:hint="eastAsia"/>
          <w:color w:val="auto"/>
          <w:szCs w:val="21"/>
          <w:highlight w:val="none"/>
          <w:lang w:eastAsia="zh-CN"/>
        </w:rPr>
        <w:t>按照约定数量和标准在甲方要求时限内调换或补齐货物</w:t>
      </w:r>
      <w:r>
        <w:rPr>
          <w:rFonts w:hint="eastAsia"/>
          <w:color w:val="auto"/>
          <w:szCs w:val="21"/>
          <w:highlight w:val="none"/>
        </w:rPr>
        <w:t>。乙方应在接到甲方通知后</w:t>
      </w:r>
      <w:r>
        <w:rPr>
          <w:rFonts w:hint="eastAsia"/>
          <w:color w:val="auto"/>
          <w:szCs w:val="21"/>
          <w:highlight w:val="none"/>
          <w:lang w:val="en-US" w:eastAsia="zh-CN"/>
        </w:rPr>
        <w:t>按照甲方要求</w:t>
      </w:r>
      <w:r>
        <w:rPr>
          <w:rFonts w:hint="eastAsia"/>
          <w:color w:val="auto"/>
          <w:szCs w:val="21"/>
          <w:highlight w:val="none"/>
        </w:rPr>
        <w:t>完成调换或补齐货物，并承担由此产生的所有运输、检验及相关费用。若乙方未能在规定时间内完成调换或补齐，甲方有权从应付款项中扣除相应金额或采取其他补救措施，且乙方应赔偿甲方因此造成的全部损失。</w:t>
      </w:r>
      <w:r>
        <w:rPr>
          <w:rFonts w:hint="eastAsia"/>
          <w:color w:val="auto"/>
          <w:szCs w:val="21"/>
          <w:highlight w:val="none"/>
          <w:lang w:eastAsia="zh-CN"/>
        </w:rPr>
        <w:t>合同期内</w:t>
      </w:r>
      <w:r>
        <w:rPr>
          <w:color w:val="auto"/>
          <w:highlight w:val="none"/>
        </w:rPr>
        <w:t>第一次出现该情况，甲方书面告知</w:t>
      </w:r>
      <w:r>
        <w:rPr>
          <w:rFonts w:hint="eastAsia"/>
          <w:color w:val="auto"/>
          <w:szCs w:val="21"/>
          <w:highlight w:val="none"/>
        </w:rPr>
        <w:t>乙方</w:t>
      </w:r>
      <w:r>
        <w:rPr>
          <w:color w:val="auto"/>
          <w:highlight w:val="none"/>
        </w:rPr>
        <w:t>后，</w:t>
      </w:r>
      <w:r>
        <w:rPr>
          <w:rFonts w:hint="eastAsia"/>
          <w:color w:val="auto"/>
          <w:szCs w:val="21"/>
          <w:highlight w:val="none"/>
        </w:rPr>
        <w:t>乙方</w:t>
      </w:r>
      <w:r>
        <w:rPr>
          <w:rFonts w:hint="eastAsia"/>
          <w:color w:val="auto"/>
          <w:szCs w:val="21"/>
          <w:highlight w:val="none"/>
          <w:lang w:val="en-US" w:eastAsia="zh-CN"/>
        </w:rPr>
        <w:t>须</w:t>
      </w:r>
      <w:r>
        <w:rPr>
          <w:rFonts w:hint="eastAsia"/>
          <w:color w:val="auto"/>
          <w:szCs w:val="21"/>
          <w:highlight w:val="none"/>
        </w:rPr>
        <w:t>在</w:t>
      </w:r>
      <w:r>
        <w:rPr>
          <w:rFonts w:hint="eastAsia"/>
          <w:color w:val="auto"/>
          <w:szCs w:val="21"/>
          <w:highlight w:val="none"/>
          <w:lang w:val="en-US" w:eastAsia="zh-CN"/>
        </w:rPr>
        <w:t>2日</w:t>
      </w:r>
      <w:r>
        <w:rPr>
          <w:rFonts w:hint="eastAsia"/>
          <w:color w:val="auto"/>
          <w:szCs w:val="21"/>
          <w:highlight w:val="none"/>
        </w:rPr>
        <w:t>内重新供货，</w:t>
      </w:r>
      <w:r>
        <w:rPr>
          <w:rFonts w:hint="eastAsia"/>
          <w:color w:val="auto"/>
          <w:szCs w:val="21"/>
          <w:highlight w:val="none"/>
          <w:lang w:eastAsia="zh-CN"/>
        </w:rPr>
        <w:t>如未补齐或更换，</w:t>
      </w:r>
      <w:r>
        <w:rPr>
          <w:rFonts w:hint="eastAsia"/>
          <w:color w:val="auto"/>
          <w:szCs w:val="21"/>
          <w:highlight w:val="none"/>
        </w:rPr>
        <w:t>甲方</w:t>
      </w:r>
      <w:r>
        <w:rPr>
          <w:color w:val="auto"/>
          <w:highlight w:val="none"/>
        </w:rPr>
        <w:t>有权扣除</w:t>
      </w:r>
      <w:r>
        <w:rPr>
          <w:rFonts w:hint="eastAsia"/>
          <w:color w:val="auto"/>
          <w:szCs w:val="21"/>
          <w:highlight w:val="none"/>
        </w:rPr>
        <w:t>当次货款的</w:t>
      </w:r>
      <w:r>
        <w:rPr>
          <w:rFonts w:hint="eastAsia"/>
          <w:color w:val="auto"/>
          <w:szCs w:val="21"/>
          <w:highlight w:val="none"/>
          <w:lang w:val="en-US" w:eastAsia="zh-CN"/>
        </w:rPr>
        <w:t>3</w:t>
      </w:r>
      <w:r>
        <w:rPr>
          <w:rFonts w:hint="eastAsia"/>
          <w:color w:val="auto"/>
          <w:szCs w:val="21"/>
          <w:highlight w:val="none"/>
        </w:rPr>
        <w:t>%</w:t>
      </w:r>
      <w:r>
        <w:rPr>
          <w:rFonts w:hint="eastAsia"/>
          <w:color w:val="auto"/>
          <w:szCs w:val="21"/>
          <w:highlight w:val="none"/>
          <w:lang w:val="en-US" w:eastAsia="zh-CN"/>
        </w:rPr>
        <w:t>或</w:t>
      </w:r>
      <w:r>
        <w:rPr>
          <w:color w:val="auto"/>
          <w:highlight w:val="none"/>
        </w:rPr>
        <w:t>履约保证金的</w:t>
      </w:r>
      <w:r>
        <w:rPr>
          <w:rFonts w:hint="eastAsia"/>
          <w:color w:val="auto"/>
          <w:highlight w:val="none"/>
          <w:lang w:val="en-US" w:eastAsia="zh-CN"/>
        </w:rPr>
        <w:t>3</w:t>
      </w:r>
      <w:r>
        <w:rPr>
          <w:color w:val="auto"/>
          <w:highlight w:val="none"/>
        </w:rPr>
        <w:t>%</w:t>
      </w:r>
      <w:r>
        <w:rPr>
          <w:rFonts w:hint="eastAsia"/>
          <w:color w:val="auto"/>
          <w:szCs w:val="21"/>
          <w:highlight w:val="none"/>
        </w:rPr>
        <w:t>（以较高者为准）</w:t>
      </w:r>
      <w:r>
        <w:rPr>
          <w:color w:val="auto"/>
          <w:highlight w:val="none"/>
        </w:rPr>
        <w:t>作为违约金；第二次出现该情况，甲方书面告知</w:t>
      </w:r>
      <w:r>
        <w:rPr>
          <w:rFonts w:hint="eastAsia"/>
          <w:color w:val="auto"/>
          <w:szCs w:val="21"/>
          <w:highlight w:val="none"/>
        </w:rPr>
        <w:t>乙方</w:t>
      </w:r>
      <w:r>
        <w:rPr>
          <w:color w:val="auto"/>
          <w:highlight w:val="none"/>
        </w:rPr>
        <w:t>后，</w:t>
      </w:r>
      <w:r>
        <w:rPr>
          <w:rFonts w:hint="eastAsia"/>
          <w:color w:val="auto"/>
          <w:szCs w:val="21"/>
          <w:highlight w:val="none"/>
        </w:rPr>
        <w:t>乙方</w:t>
      </w:r>
      <w:r>
        <w:rPr>
          <w:rFonts w:hint="eastAsia"/>
          <w:color w:val="auto"/>
          <w:szCs w:val="21"/>
          <w:highlight w:val="none"/>
          <w:lang w:val="en-US" w:eastAsia="zh-CN"/>
        </w:rPr>
        <w:t>须在2日内</w:t>
      </w:r>
      <w:r>
        <w:rPr>
          <w:rFonts w:hint="eastAsia"/>
          <w:color w:val="auto"/>
          <w:szCs w:val="21"/>
          <w:highlight w:val="none"/>
        </w:rPr>
        <w:t>重新供货，</w:t>
      </w:r>
      <w:r>
        <w:rPr>
          <w:rFonts w:hint="eastAsia"/>
          <w:color w:val="auto"/>
          <w:szCs w:val="21"/>
          <w:highlight w:val="none"/>
          <w:lang w:eastAsia="zh-CN"/>
        </w:rPr>
        <w:t>如未在</w:t>
      </w:r>
      <w:r>
        <w:rPr>
          <w:rFonts w:hint="eastAsia"/>
          <w:color w:val="auto"/>
          <w:szCs w:val="21"/>
          <w:highlight w:val="none"/>
          <w:lang w:val="en-US" w:eastAsia="zh-CN"/>
        </w:rPr>
        <w:t>2日</w:t>
      </w:r>
      <w:r>
        <w:rPr>
          <w:rFonts w:hint="eastAsia"/>
          <w:color w:val="auto"/>
          <w:szCs w:val="21"/>
          <w:highlight w:val="none"/>
          <w:lang w:eastAsia="zh-CN"/>
        </w:rPr>
        <w:t>内补齐或更换，</w:t>
      </w:r>
      <w:r>
        <w:rPr>
          <w:rFonts w:hint="eastAsia"/>
          <w:color w:val="auto"/>
          <w:szCs w:val="21"/>
          <w:highlight w:val="none"/>
        </w:rPr>
        <w:t>甲方</w:t>
      </w:r>
      <w:r>
        <w:rPr>
          <w:color w:val="auto"/>
          <w:highlight w:val="none"/>
        </w:rPr>
        <w:t>有权扣除</w:t>
      </w:r>
      <w:r>
        <w:rPr>
          <w:rFonts w:hint="eastAsia"/>
          <w:color w:val="auto"/>
          <w:szCs w:val="21"/>
          <w:highlight w:val="none"/>
        </w:rPr>
        <w:t>当次货款的</w:t>
      </w:r>
      <w:r>
        <w:rPr>
          <w:rFonts w:hint="eastAsia"/>
          <w:color w:val="auto"/>
          <w:szCs w:val="21"/>
          <w:highlight w:val="none"/>
          <w:lang w:val="en-US" w:eastAsia="zh-CN"/>
        </w:rPr>
        <w:t>5</w:t>
      </w:r>
      <w:r>
        <w:rPr>
          <w:rFonts w:hint="eastAsia"/>
          <w:color w:val="auto"/>
          <w:szCs w:val="21"/>
          <w:highlight w:val="none"/>
        </w:rPr>
        <w:t>%或履约保证金的</w:t>
      </w:r>
      <w:r>
        <w:rPr>
          <w:rFonts w:hint="eastAsia"/>
          <w:color w:val="auto"/>
          <w:szCs w:val="21"/>
          <w:highlight w:val="none"/>
          <w:lang w:val="en-US" w:eastAsia="zh-CN"/>
        </w:rPr>
        <w:t>5</w:t>
      </w:r>
      <w:r>
        <w:rPr>
          <w:rFonts w:hint="eastAsia"/>
          <w:color w:val="auto"/>
          <w:szCs w:val="21"/>
          <w:highlight w:val="none"/>
        </w:rPr>
        <w:t>%（以较高者为准）作为违约金</w:t>
      </w:r>
      <w:r>
        <w:rPr>
          <w:rFonts w:hint="eastAsia"/>
          <w:color w:val="auto"/>
          <w:szCs w:val="21"/>
          <w:highlight w:val="none"/>
          <w:lang w:eastAsia="zh-CN"/>
        </w:rPr>
        <w:t>，</w:t>
      </w:r>
      <w:r>
        <w:rPr>
          <w:color w:val="auto"/>
          <w:highlight w:val="none"/>
        </w:rPr>
        <w:t>并从</w:t>
      </w:r>
      <w:r>
        <w:rPr>
          <w:rFonts w:hint="eastAsia"/>
          <w:color w:val="auto"/>
          <w:highlight w:val="none"/>
        </w:rPr>
        <w:t>货款或履约保证金</w:t>
      </w:r>
      <w:r>
        <w:rPr>
          <w:color w:val="auto"/>
          <w:highlight w:val="none"/>
        </w:rPr>
        <w:t>中</w:t>
      </w:r>
      <w:r>
        <w:rPr>
          <w:rFonts w:hint="eastAsia"/>
          <w:color w:val="auto"/>
          <w:highlight w:val="none"/>
        </w:rPr>
        <w:t>直接扣除</w:t>
      </w:r>
      <w:r>
        <w:rPr>
          <w:rFonts w:hint="eastAsia"/>
          <w:color w:val="auto"/>
          <w:highlight w:val="none"/>
          <w:lang w:eastAsia="zh-CN"/>
        </w:rPr>
        <w:t>。累计</w:t>
      </w:r>
      <w:r>
        <w:rPr>
          <w:rFonts w:hint="eastAsia"/>
          <w:color w:val="auto"/>
          <w:szCs w:val="21"/>
          <w:highlight w:val="none"/>
        </w:rPr>
        <w:t>出现三次上述情况的，甲方</w:t>
      </w:r>
      <w:r>
        <w:rPr>
          <w:rFonts w:hint="eastAsia"/>
          <w:color w:val="auto"/>
          <w:szCs w:val="21"/>
          <w:highlight w:val="none"/>
          <w:lang w:val="en-US" w:eastAsia="zh-CN"/>
        </w:rPr>
        <w:t>有权</w:t>
      </w:r>
      <w:r>
        <w:rPr>
          <w:rFonts w:hint="eastAsia"/>
          <w:color w:val="auto"/>
          <w:highlight w:val="none"/>
          <w:lang w:eastAsia="zh-CN"/>
        </w:rPr>
        <w:t>直接以</w:t>
      </w:r>
      <w:r>
        <w:rPr>
          <w:rFonts w:hint="eastAsia"/>
          <w:color w:val="auto"/>
          <w:highlight w:val="none"/>
          <w:lang w:val="en-US" w:eastAsia="zh-CN"/>
        </w:rPr>
        <w:t>电话、邮箱、微信等途径</w:t>
      </w:r>
      <w:r>
        <w:rPr>
          <w:rFonts w:hint="eastAsia"/>
          <w:color w:val="auto"/>
          <w:highlight w:val="none"/>
          <w:lang w:eastAsia="zh-CN"/>
        </w:rPr>
        <w:t>通知的方式解除合同</w:t>
      </w:r>
      <w:r>
        <w:rPr>
          <w:rFonts w:hint="eastAsia"/>
          <w:color w:val="auto"/>
          <w:szCs w:val="21"/>
          <w:highlight w:val="none"/>
        </w:rPr>
        <w:t>，并</w:t>
      </w:r>
      <w:r>
        <w:rPr>
          <w:rFonts w:hint="eastAsia"/>
          <w:color w:val="auto"/>
          <w:highlight w:val="none"/>
          <w:lang w:eastAsia="zh-CN"/>
        </w:rPr>
        <w:t>扣除</w:t>
      </w:r>
      <w:r>
        <w:rPr>
          <w:rFonts w:hint="eastAsia"/>
          <w:color w:val="auto"/>
          <w:highlight w:val="none"/>
          <w:lang w:val="en-US" w:eastAsia="zh-CN"/>
        </w:rPr>
        <w:t>剩余</w:t>
      </w:r>
      <w:r>
        <w:rPr>
          <w:rFonts w:hint="eastAsia"/>
          <w:color w:val="auto"/>
          <w:highlight w:val="none"/>
          <w:lang w:eastAsia="zh-CN"/>
        </w:rPr>
        <w:t>全部履约保证金作为违约金</w:t>
      </w:r>
      <w:r>
        <w:rPr>
          <w:rFonts w:hint="eastAsia"/>
          <w:color w:val="auto"/>
          <w:szCs w:val="21"/>
          <w:highlight w:val="none"/>
        </w:rPr>
        <w:t>。</w:t>
      </w:r>
    </w:p>
    <w:p w14:paraId="00022FC9">
      <w:pPr>
        <w:numPr>
          <w:ilvl w:val="0"/>
          <w:numId w:val="0"/>
        </w:numPr>
        <w:spacing w:line="360" w:lineRule="auto"/>
        <w:ind w:right="0" w:rightChars="0" w:firstLine="480" w:firstLineChars="200"/>
        <w:rPr>
          <w:rFonts w:hint="eastAsia"/>
          <w:color w:val="auto"/>
          <w:highlight w:val="none"/>
          <w:lang w:eastAsia="zh-CN"/>
        </w:rPr>
      </w:pPr>
      <w:r>
        <w:rPr>
          <w:rFonts w:hint="eastAsia"/>
          <w:color w:val="auto"/>
          <w:highlight w:val="none"/>
          <w:lang w:val="en-US" w:eastAsia="zh-CN"/>
        </w:rPr>
        <w:t>7.6</w:t>
      </w:r>
      <w:r>
        <w:rPr>
          <w:rFonts w:hint="eastAsia"/>
          <w:color w:val="auto"/>
          <w:highlight w:val="none"/>
          <w:lang w:eastAsia="zh-CN"/>
        </w:rPr>
        <w:t>经甲方验收入库，</w:t>
      </w:r>
      <w:r>
        <w:rPr>
          <w:rFonts w:hint="eastAsia"/>
          <w:color w:val="auto"/>
          <w:highlight w:val="none"/>
          <w:lang w:val="en-US" w:eastAsia="zh-CN"/>
        </w:rPr>
        <w:t>若</w:t>
      </w:r>
      <w:r>
        <w:rPr>
          <w:rFonts w:hint="eastAsia"/>
          <w:color w:val="auto"/>
          <w:highlight w:val="none"/>
          <w:lang w:eastAsia="zh-CN"/>
        </w:rPr>
        <w:t>非甲方保管不到位的情况，</w:t>
      </w:r>
      <w:r>
        <w:rPr>
          <w:color w:val="auto"/>
          <w:highlight w:val="none"/>
        </w:rPr>
        <w:t>货物出现融化、变质、过期及其他质量问题等，乙方负责免费无条件更换。如遇不可抗</w:t>
      </w:r>
      <w:r>
        <w:rPr>
          <w:rFonts w:hint="eastAsia"/>
          <w:color w:val="auto"/>
          <w:highlight w:val="none"/>
          <w:lang w:val="en-US" w:eastAsia="zh-CN"/>
        </w:rPr>
        <w:t>力或情势变更导致</w:t>
      </w:r>
      <w:r>
        <w:rPr>
          <w:color w:val="auto"/>
          <w:highlight w:val="none"/>
        </w:rPr>
        <w:t>乙方货物质量不符合甲方标准要求，乙方负责无偿更换，退回货物暂由甲方保管，待甲方具备退回条件时，通知乙方退回，退回货物所产生的包装、运费等一切相关费用由乙方承担</w:t>
      </w:r>
      <w:r>
        <w:rPr>
          <w:rFonts w:hint="eastAsia"/>
          <w:color w:val="auto"/>
          <w:highlight w:val="none"/>
          <w:lang w:eastAsia="zh-CN"/>
        </w:rPr>
        <w:t>。</w:t>
      </w:r>
      <w:r>
        <w:rPr>
          <w:color w:val="auto"/>
          <w:highlight w:val="none"/>
        </w:rPr>
        <w:t>如乙方在接到甲方通知后72小时内（或甲乙双方约定时间）未及时取回退货，甲方将按照废弃物处置</w:t>
      </w:r>
      <w:r>
        <w:rPr>
          <w:rFonts w:hint="eastAsia"/>
          <w:color w:val="auto"/>
          <w:highlight w:val="none"/>
        </w:rPr>
        <w:t>，处置费用由乙方承担。</w:t>
      </w:r>
      <w:r>
        <w:rPr>
          <w:rFonts w:hint="eastAsia"/>
          <w:color w:val="auto"/>
          <w:highlight w:val="none"/>
          <w:lang w:eastAsia="zh-CN"/>
        </w:rPr>
        <w:t>或待更换货物状况已不适合或已无法继续保存的，经甲方单方确认后即可直接处置，无需退还乙方，由乙方在</w:t>
      </w:r>
      <w:r>
        <w:rPr>
          <w:rFonts w:hint="eastAsia"/>
          <w:color w:val="auto"/>
          <w:highlight w:val="none"/>
          <w:lang w:val="en-US" w:eastAsia="zh-CN"/>
        </w:rPr>
        <w:t>2日</w:t>
      </w:r>
      <w:r>
        <w:rPr>
          <w:rFonts w:hint="eastAsia"/>
          <w:color w:val="auto"/>
          <w:highlight w:val="none"/>
          <w:lang w:eastAsia="zh-CN"/>
        </w:rPr>
        <w:t>内重新供货并承担因此产生的全部费用，</w:t>
      </w:r>
      <w:r>
        <w:rPr>
          <w:rFonts w:hint="eastAsia"/>
          <w:color w:val="auto"/>
          <w:highlight w:val="none"/>
          <w:lang w:val="en-US" w:eastAsia="zh-CN"/>
        </w:rPr>
        <w:t>且</w:t>
      </w:r>
      <w:r>
        <w:rPr>
          <w:rFonts w:hint="eastAsia"/>
          <w:color w:val="auto"/>
          <w:highlight w:val="none"/>
          <w:lang w:eastAsia="zh-CN"/>
        </w:rPr>
        <w:t>废物处置、直接处置的费用由乙方承担。</w:t>
      </w:r>
    </w:p>
    <w:p w14:paraId="46A38EEC">
      <w:pPr>
        <w:numPr>
          <w:ilvl w:val="0"/>
          <w:numId w:val="0"/>
        </w:numPr>
        <w:spacing w:line="360" w:lineRule="auto"/>
        <w:ind w:right="0" w:rightChars="0" w:firstLine="480" w:firstLineChars="200"/>
        <w:rPr>
          <w:color w:val="auto"/>
          <w:szCs w:val="21"/>
          <w:highlight w:val="none"/>
        </w:rPr>
      </w:pPr>
      <w:r>
        <w:rPr>
          <w:rFonts w:hint="eastAsia"/>
          <w:color w:val="auto"/>
          <w:szCs w:val="21"/>
          <w:highlight w:val="none"/>
          <w:lang w:val="en-US" w:eastAsia="zh-CN"/>
        </w:rPr>
        <w:t>7.7</w:t>
      </w:r>
      <w:r>
        <w:rPr>
          <w:color w:val="auto"/>
          <w:szCs w:val="21"/>
          <w:highlight w:val="none"/>
        </w:rPr>
        <w:t>乙方应严格按照甲方要求配送货物的日期交货，每逾期一日，</w:t>
      </w:r>
      <w:r>
        <w:rPr>
          <w:rFonts w:hint="eastAsia"/>
          <w:color w:val="auto"/>
          <w:szCs w:val="21"/>
          <w:highlight w:val="none"/>
          <w:lang w:eastAsia="zh-CN"/>
        </w:rPr>
        <w:t>按照日</w:t>
      </w:r>
      <w:r>
        <w:rPr>
          <w:rFonts w:hint="eastAsia"/>
          <w:color w:val="auto"/>
          <w:szCs w:val="21"/>
          <w:highlight w:val="none"/>
          <w:lang w:val="en-US" w:eastAsia="zh-CN"/>
        </w:rPr>
        <w:t>千</w:t>
      </w:r>
      <w:r>
        <w:rPr>
          <w:rFonts w:hint="eastAsia"/>
          <w:color w:val="auto"/>
          <w:szCs w:val="21"/>
          <w:highlight w:val="none"/>
          <w:lang w:eastAsia="zh-CN"/>
        </w:rPr>
        <w:t>分之五的比率，</w:t>
      </w:r>
      <w:r>
        <w:rPr>
          <w:rFonts w:hint="eastAsia"/>
          <w:color w:val="auto"/>
          <w:szCs w:val="21"/>
          <w:highlight w:val="none"/>
        </w:rPr>
        <w:t>甲方有权从未结货款或保证金中扣除</w:t>
      </w:r>
      <w:r>
        <w:rPr>
          <w:color w:val="auto"/>
          <w:szCs w:val="21"/>
          <w:highlight w:val="none"/>
        </w:rPr>
        <w:t>；乙方逾期供货超出交付期七天（含七天）以上的，甲方有权</w:t>
      </w:r>
      <w:r>
        <w:rPr>
          <w:rFonts w:hint="eastAsia"/>
          <w:color w:val="auto"/>
          <w:szCs w:val="21"/>
          <w:highlight w:val="none"/>
          <w:lang w:val="en-US" w:eastAsia="zh-CN"/>
        </w:rPr>
        <w:t>直接以</w:t>
      </w:r>
      <w:r>
        <w:rPr>
          <w:rFonts w:hint="eastAsia"/>
          <w:color w:val="auto"/>
          <w:highlight w:val="none"/>
          <w:lang w:val="en-US" w:eastAsia="zh-CN"/>
        </w:rPr>
        <w:t>电话、邮箱、微信等途径</w:t>
      </w:r>
      <w:r>
        <w:rPr>
          <w:rFonts w:hint="eastAsia"/>
          <w:color w:val="auto"/>
          <w:szCs w:val="21"/>
          <w:highlight w:val="none"/>
          <w:lang w:val="en-US" w:eastAsia="zh-CN"/>
        </w:rPr>
        <w:t>通知的方式</w:t>
      </w:r>
      <w:r>
        <w:rPr>
          <w:color w:val="auto"/>
          <w:szCs w:val="21"/>
          <w:highlight w:val="none"/>
        </w:rPr>
        <w:t>解除合同，并有权拒绝支付</w:t>
      </w:r>
      <w:r>
        <w:rPr>
          <w:rFonts w:hint="eastAsia"/>
          <w:color w:val="auto"/>
          <w:szCs w:val="21"/>
          <w:highlight w:val="none"/>
          <w:lang w:val="en-US" w:eastAsia="zh-CN"/>
        </w:rPr>
        <w:t>剩余货</w:t>
      </w:r>
      <w:r>
        <w:rPr>
          <w:color w:val="auto"/>
          <w:szCs w:val="21"/>
          <w:highlight w:val="none"/>
        </w:rPr>
        <w:t>款</w:t>
      </w:r>
      <w:r>
        <w:rPr>
          <w:rFonts w:hint="eastAsia"/>
          <w:color w:val="auto"/>
          <w:szCs w:val="21"/>
          <w:highlight w:val="none"/>
        </w:rPr>
        <w:t>，扣除全额履约保证金</w:t>
      </w:r>
      <w:r>
        <w:rPr>
          <w:rFonts w:hint="eastAsia"/>
          <w:color w:val="auto"/>
          <w:szCs w:val="21"/>
          <w:highlight w:val="none"/>
          <w:lang w:eastAsia="zh-CN"/>
        </w:rPr>
        <w:t>作为违约金</w:t>
      </w:r>
      <w:r>
        <w:rPr>
          <w:color w:val="auto"/>
          <w:szCs w:val="21"/>
          <w:highlight w:val="none"/>
        </w:rPr>
        <w:t>。</w:t>
      </w:r>
    </w:p>
    <w:p w14:paraId="1FB9B755">
      <w:pPr>
        <w:spacing w:line="360" w:lineRule="auto"/>
        <w:ind w:firstLine="480" w:firstLineChars="200"/>
        <w:rPr>
          <w:color w:val="auto"/>
          <w:szCs w:val="21"/>
          <w:highlight w:val="none"/>
        </w:rPr>
      </w:pPr>
      <w:r>
        <w:rPr>
          <w:rFonts w:hint="eastAsia"/>
          <w:color w:val="auto"/>
          <w:szCs w:val="21"/>
          <w:highlight w:val="none"/>
          <w:lang w:val="en-US" w:eastAsia="zh-CN"/>
        </w:rPr>
        <w:t>7.8</w:t>
      </w:r>
      <w:r>
        <w:rPr>
          <w:color w:val="auto"/>
          <w:szCs w:val="21"/>
          <w:highlight w:val="none"/>
        </w:rPr>
        <w:t>在履行合同过程中，如果乙方遇到妨碍按时交货和提供服务等不可抗力的情况，乙方</w:t>
      </w:r>
      <w:r>
        <w:rPr>
          <w:rFonts w:hint="eastAsia"/>
          <w:color w:val="auto"/>
          <w:szCs w:val="21"/>
          <w:highlight w:val="none"/>
          <w:lang w:val="en-US" w:eastAsia="zh-CN"/>
        </w:rPr>
        <w:t>至</w:t>
      </w:r>
      <w:r>
        <w:rPr>
          <w:color w:val="auto"/>
          <w:szCs w:val="21"/>
          <w:highlight w:val="none"/>
        </w:rPr>
        <w:t>迟提前7日以书面形式将拖延的事实，可能拖延的时间和原因通知甲方，</w:t>
      </w:r>
      <w:r>
        <w:rPr>
          <w:rFonts w:hint="eastAsia"/>
          <w:color w:val="auto"/>
          <w:szCs w:val="21"/>
          <w:highlight w:val="none"/>
          <w:lang w:eastAsia="zh-CN"/>
        </w:rPr>
        <w:t>经</w:t>
      </w:r>
      <w:r>
        <w:rPr>
          <w:color w:val="auto"/>
          <w:szCs w:val="21"/>
          <w:highlight w:val="none"/>
        </w:rPr>
        <w:t>甲方同意延期交货后，及时采取补救措施，不得无故断货</w:t>
      </w:r>
      <w:r>
        <w:rPr>
          <w:rFonts w:hint="eastAsia"/>
          <w:color w:val="auto"/>
          <w:szCs w:val="21"/>
          <w:highlight w:val="none"/>
        </w:rPr>
        <w:t>；自上述不可抗力情形消除后，24小时内继续履行交货义务</w:t>
      </w:r>
      <w:r>
        <w:rPr>
          <w:color w:val="auto"/>
          <w:szCs w:val="21"/>
          <w:highlight w:val="none"/>
        </w:rPr>
        <w:t>。</w:t>
      </w:r>
    </w:p>
    <w:p w14:paraId="6E23FF0E">
      <w:pPr>
        <w:spacing w:after="0" w:line="360" w:lineRule="auto"/>
        <w:ind w:right="0" w:firstLine="480" w:firstLineChars="200"/>
        <w:rPr>
          <w:rFonts w:hint="eastAsia" w:eastAsia="宋体"/>
          <w:color w:val="auto"/>
          <w:szCs w:val="21"/>
          <w:highlight w:val="none"/>
          <w:lang w:eastAsia="zh-CN"/>
        </w:rPr>
      </w:pPr>
      <w:r>
        <w:rPr>
          <w:rFonts w:hint="eastAsia"/>
          <w:color w:val="auto"/>
          <w:szCs w:val="21"/>
          <w:highlight w:val="none"/>
          <w:lang w:val="en-US" w:eastAsia="zh-CN"/>
        </w:rPr>
        <w:t>7.9</w:t>
      </w:r>
      <w:r>
        <w:rPr>
          <w:rFonts w:hint="eastAsia"/>
          <w:color w:val="auto"/>
          <w:szCs w:val="21"/>
          <w:highlight w:val="none"/>
        </w:rPr>
        <w:t>若乙方提供的产品不符合质量标准，导致食品安全事故，乙方应支付产品价格十倍或实际损失三倍的赔偿金，最低赔偿金额为一万元。若前述赔偿金不足以弥补甲方全部损失（包括但不限于对第三方的赔偿、商誉损失等），甲方有权另行追偿</w:t>
      </w:r>
      <w:r>
        <w:rPr>
          <w:rFonts w:hint="eastAsia"/>
          <w:color w:val="auto"/>
          <w:szCs w:val="21"/>
          <w:highlight w:val="none"/>
          <w:lang w:eastAsia="zh-CN"/>
        </w:rPr>
        <w:t>。</w:t>
      </w:r>
      <w:r>
        <w:rPr>
          <w:rFonts w:hint="eastAsia"/>
          <w:color w:val="auto"/>
          <w:szCs w:val="21"/>
          <w:highlight w:val="none"/>
        </w:rPr>
        <w:t>此外，乙方还应</w:t>
      </w:r>
      <w:r>
        <w:rPr>
          <w:rFonts w:hint="eastAsia"/>
          <w:color w:val="auto"/>
          <w:szCs w:val="21"/>
          <w:highlight w:val="none"/>
          <w:lang w:val="en-US" w:eastAsia="zh-CN"/>
        </w:rPr>
        <w:t>承担</w:t>
      </w:r>
      <w:r>
        <w:rPr>
          <w:rFonts w:hint="eastAsia"/>
          <w:color w:val="auto"/>
          <w:szCs w:val="21"/>
          <w:highlight w:val="none"/>
        </w:rPr>
        <w:t>合同总金额的</w:t>
      </w:r>
      <w:r>
        <w:rPr>
          <w:rFonts w:hint="eastAsia"/>
          <w:color w:val="auto"/>
          <w:szCs w:val="21"/>
          <w:highlight w:val="none"/>
          <w:lang w:val="en-US" w:eastAsia="zh-CN"/>
        </w:rPr>
        <w:t>3</w:t>
      </w:r>
      <w:r>
        <w:rPr>
          <w:rFonts w:hint="eastAsia"/>
          <w:color w:val="auto"/>
          <w:szCs w:val="21"/>
          <w:highlight w:val="none"/>
        </w:rPr>
        <w:t>0%作为违约金，并承担所有相关费用；赔偿金的金额不足一</w:t>
      </w:r>
      <w:r>
        <w:rPr>
          <w:rFonts w:hint="eastAsia"/>
          <w:color w:val="auto"/>
          <w:szCs w:val="21"/>
          <w:highlight w:val="none"/>
          <w:lang w:val="en-US" w:eastAsia="zh-CN"/>
        </w:rPr>
        <w:t>万</w:t>
      </w:r>
      <w:r>
        <w:rPr>
          <w:rFonts w:hint="eastAsia"/>
          <w:color w:val="auto"/>
          <w:szCs w:val="21"/>
          <w:highlight w:val="none"/>
        </w:rPr>
        <w:t>元的，</w:t>
      </w:r>
      <w:r>
        <w:rPr>
          <w:rFonts w:hint="eastAsia"/>
          <w:color w:val="auto"/>
          <w:szCs w:val="21"/>
          <w:highlight w:val="none"/>
          <w:lang w:eastAsia="zh-CN"/>
        </w:rPr>
        <w:t>按</w:t>
      </w:r>
      <w:r>
        <w:rPr>
          <w:rFonts w:hint="eastAsia"/>
          <w:color w:val="auto"/>
          <w:szCs w:val="21"/>
          <w:highlight w:val="none"/>
        </w:rPr>
        <w:t>一</w:t>
      </w:r>
      <w:r>
        <w:rPr>
          <w:rFonts w:hint="eastAsia"/>
          <w:color w:val="auto"/>
          <w:szCs w:val="21"/>
          <w:highlight w:val="none"/>
          <w:lang w:val="en-US" w:eastAsia="zh-CN"/>
        </w:rPr>
        <w:t>万</w:t>
      </w:r>
      <w:r>
        <w:rPr>
          <w:rFonts w:hint="eastAsia"/>
          <w:color w:val="auto"/>
          <w:szCs w:val="21"/>
          <w:highlight w:val="none"/>
        </w:rPr>
        <w:t>元</w:t>
      </w:r>
      <w:r>
        <w:rPr>
          <w:rFonts w:hint="eastAsia"/>
          <w:color w:val="auto"/>
          <w:szCs w:val="21"/>
          <w:highlight w:val="none"/>
          <w:lang w:eastAsia="zh-CN"/>
        </w:rPr>
        <w:t>计算；</w:t>
      </w:r>
      <w:r>
        <w:rPr>
          <w:rFonts w:hint="eastAsia"/>
          <w:color w:val="auto"/>
          <w:szCs w:val="21"/>
          <w:highlight w:val="none"/>
        </w:rPr>
        <w:t>赔偿款甲方有权直接从履约保证金中扣除，不足部分乙方应另行支付</w:t>
      </w:r>
      <w:r>
        <w:rPr>
          <w:rFonts w:hint="eastAsia"/>
          <w:color w:val="auto"/>
          <w:szCs w:val="21"/>
          <w:highlight w:val="none"/>
          <w:lang w:eastAsia="zh-CN"/>
        </w:rPr>
        <w:t>。</w:t>
      </w:r>
      <w:r>
        <w:rPr>
          <w:rFonts w:hint="eastAsia"/>
          <w:color w:val="auto"/>
          <w:highlight w:val="none"/>
          <w:lang w:val="en-US" w:eastAsia="zh-CN"/>
        </w:rPr>
        <w:t>甲方向第三方垫付赔偿款的，有权向乙方追偿；</w:t>
      </w:r>
      <w:r>
        <w:rPr>
          <w:rFonts w:hint="eastAsia"/>
          <w:color w:val="auto"/>
          <w:szCs w:val="21"/>
          <w:highlight w:val="none"/>
          <w:lang w:eastAsia="zh-CN"/>
        </w:rPr>
        <w:t>甲方或第三人由此支出的鉴定、调查取证等为维护权益支出的费用均由乙方承担，且甲方有权直接从履约保证金或未结货款中扣除相关费用。</w:t>
      </w:r>
    </w:p>
    <w:p w14:paraId="47D80A53">
      <w:pPr>
        <w:spacing w:after="0" w:line="360" w:lineRule="auto"/>
        <w:ind w:right="0" w:firstLine="480" w:firstLineChars="200"/>
        <w:rPr>
          <w:rFonts w:hint="default" w:eastAsia="宋体"/>
          <w:color w:val="auto"/>
          <w:szCs w:val="21"/>
          <w:highlight w:val="none"/>
          <w:lang w:val="en-US" w:eastAsia="zh-CN"/>
        </w:rPr>
      </w:pPr>
      <w:r>
        <w:rPr>
          <w:rFonts w:hint="eastAsia"/>
          <w:color w:val="auto"/>
          <w:szCs w:val="21"/>
          <w:highlight w:val="none"/>
          <w:lang w:val="en-US" w:eastAsia="zh-CN"/>
        </w:rPr>
        <w:t>7.10</w:t>
      </w:r>
      <w:r>
        <w:rPr>
          <w:color w:val="auto"/>
          <w:szCs w:val="21"/>
          <w:highlight w:val="none"/>
        </w:rPr>
        <w:t>乙方保证在供货时</w:t>
      </w:r>
      <w:r>
        <w:rPr>
          <w:rFonts w:hint="eastAsia"/>
          <w:color w:val="auto"/>
          <w:szCs w:val="21"/>
          <w:highlight w:val="none"/>
          <w:lang w:eastAsia="zh-CN"/>
        </w:rPr>
        <w:t>严格</w:t>
      </w:r>
      <w:r>
        <w:rPr>
          <w:color w:val="auto"/>
          <w:szCs w:val="21"/>
          <w:highlight w:val="none"/>
        </w:rPr>
        <w:t>遵从甲方关于本项目的采购程序，保证不会将合同及（或）其中的权利、义务转让，保证不会转包、分包。如发现转包、分包现象，甲方有权扣</w:t>
      </w:r>
      <w:r>
        <w:rPr>
          <w:rFonts w:hint="eastAsia"/>
          <w:color w:val="auto"/>
          <w:szCs w:val="21"/>
          <w:highlight w:val="none"/>
        </w:rPr>
        <w:t>除全额履约保证金</w:t>
      </w:r>
      <w:r>
        <w:rPr>
          <w:color w:val="auto"/>
          <w:szCs w:val="21"/>
          <w:highlight w:val="none"/>
        </w:rPr>
        <w:t>及解除合同</w:t>
      </w:r>
      <w:r>
        <w:rPr>
          <w:rFonts w:hint="eastAsia"/>
          <w:color w:val="auto"/>
          <w:szCs w:val="21"/>
          <w:highlight w:val="none"/>
          <w:lang w:eastAsia="zh-CN"/>
        </w:rPr>
        <w:t>，并要求乙方支付合同总额</w:t>
      </w:r>
      <w:r>
        <w:rPr>
          <w:rFonts w:hint="eastAsia"/>
          <w:color w:val="auto"/>
          <w:szCs w:val="21"/>
          <w:highlight w:val="none"/>
          <w:lang w:val="en-US" w:eastAsia="zh-CN"/>
        </w:rPr>
        <w:t>20%的违约金。</w:t>
      </w:r>
    </w:p>
    <w:p w14:paraId="58D3E3F4">
      <w:pPr>
        <w:spacing w:line="360" w:lineRule="auto"/>
        <w:ind w:right="0" w:firstLine="480" w:firstLineChars="200"/>
        <w:rPr>
          <w:color w:val="auto"/>
          <w:szCs w:val="21"/>
          <w:highlight w:val="none"/>
        </w:rPr>
      </w:pPr>
      <w:r>
        <w:rPr>
          <w:rFonts w:hint="eastAsia"/>
          <w:color w:val="auto"/>
          <w:szCs w:val="21"/>
          <w:highlight w:val="none"/>
          <w:lang w:val="en-US" w:eastAsia="zh-CN"/>
        </w:rPr>
        <w:t>7.11</w:t>
      </w:r>
      <w:r>
        <w:rPr>
          <w:color w:val="auto"/>
          <w:szCs w:val="21"/>
          <w:highlight w:val="none"/>
        </w:rPr>
        <w:t>乙方在供应过程中，</w:t>
      </w:r>
      <w:r>
        <w:rPr>
          <w:rFonts w:hint="eastAsia"/>
          <w:color w:val="auto"/>
          <w:szCs w:val="21"/>
          <w:highlight w:val="none"/>
        </w:rPr>
        <w:t>乙方人员及</w:t>
      </w:r>
      <w:r>
        <w:rPr>
          <w:color w:val="auto"/>
          <w:szCs w:val="21"/>
          <w:highlight w:val="none"/>
        </w:rPr>
        <w:t>送货车辆</w:t>
      </w:r>
      <w:r>
        <w:rPr>
          <w:rFonts w:hint="eastAsia"/>
          <w:color w:val="auto"/>
          <w:highlight w:val="none"/>
          <w:lang w:eastAsia="zh-CN"/>
        </w:rPr>
        <w:t>应履行安全保证义务，如发生任何问题应由乙方承担全部责任，如</w:t>
      </w:r>
      <w:r>
        <w:rPr>
          <w:color w:val="auto"/>
          <w:szCs w:val="21"/>
          <w:highlight w:val="none"/>
        </w:rPr>
        <w:t>在甲方</w:t>
      </w:r>
      <w:r>
        <w:rPr>
          <w:rFonts w:hint="eastAsia"/>
          <w:color w:val="auto"/>
          <w:szCs w:val="21"/>
          <w:highlight w:val="none"/>
          <w:lang w:eastAsia="zh-CN"/>
        </w:rPr>
        <w:t>场所内</w:t>
      </w:r>
      <w:r>
        <w:rPr>
          <w:color w:val="auto"/>
          <w:szCs w:val="21"/>
          <w:highlight w:val="none"/>
        </w:rPr>
        <w:t>发生事故</w:t>
      </w:r>
      <w:r>
        <w:rPr>
          <w:rFonts w:hint="eastAsia"/>
          <w:color w:val="auto"/>
          <w:szCs w:val="21"/>
          <w:highlight w:val="none"/>
        </w:rPr>
        <w:t>或问题</w:t>
      </w:r>
      <w:r>
        <w:rPr>
          <w:color w:val="auto"/>
          <w:szCs w:val="21"/>
          <w:highlight w:val="none"/>
        </w:rPr>
        <w:t>，</w:t>
      </w:r>
      <w:r>
        <w:rPr>
          <w:rFonts w:hint="eastAsia"/>
          <w:color w:val="auto"/>
          <w:szCs w:val="21"/>
          <w:highlight w:val="none"/>
          <w:lang w:eastAsia="zh-CN"/>
        </w:rPr>
        <w:t>经有权机关或双方认可的第三方鉴定机构认定，属乙方责任的，</w:t>
      </w:r>
      <w:r>
        <w:rPr>
          <w:color w:val="auto"/>
          <w:szCs w:val="21"/>
          <w:highlight w:val="none"/>
        </w:rPr>
        <w:t>乙方承担全部责任</w:t>
      </w:r>
      <w:r>
        <w:rPr>
          <w:rFonts w:hint="eastAsia"/>
          <w:color w:val="auto"/>
          <w:szCs w:val="21"/>
          <w:highlight w:val="none"/>
        </w:rPr>
        <w:t>（除不可抗力外）</w:t>
      </w:r>
      <w:r>
        <w:rPr>
          <w:rFonts w:hint="eastAsia"/>
          <w:color w:val="auto"/>
          <w:szCs w:val="21"/>
          <w:highlight w:val="none"/>
          <w:lang w:eastAsia="zh-CN"/>
        </w:rPr>
        <w:t>，</w:t>
      </w:r>
      <w:r>
        <w:rPr>
          <w:rFonts w:hint="eastAsia"/>
          <w:color w:val="auto"/>
          <w:highlight w:val="none"/>
          <w:lang w:eastAsia="zh-CN"/>
        </w:rPr>
        <w:t>并赔偿给甲方造成的全部损失，甲方有权在确定损失后</w:t>
      </w:r>
      <w:r>
        <w:rPr>
          <w:rFonts w:hint="eastAsia"/>
          <w:color w:val="auto"/>
          <w:szCs w:val="21"/>
          <w:highlight w:val="none"/>
        </w:rPr>
        <w:t>直接从未结货款</w:t>
      </w:r>
      <w:r>
        <w:rPr>
          <w:rFonts w:hint="eastAsia"/>
          <w:color w:val="auto"/>
          <w:szCs w:val="21"/>
          <w:highlight w:val="none"/>
          <w:lang w:val="en-US" w:eastAsia="zh-CN"/>
        </w:rPr>
        <w:t>或</w:t>
      </w:r>
      <w:r>
        <w:rPr>
          <w:rFonts w:hint="eastAsia"/>
          <w:color w:val="auto"/>
          <w:szCs w:val="21"/>
          <w:highlight w:val="none"/>
        </w:rPr>
        <w:t>履约保证金中扣除</w:t>
      </w:r>
      <w:r>
        <w:rPr>
          <w:rFonts w:hint="eastAsia"/>
          <w:color w:val="auto"/>
          <w:szCs w:val="21"/>
          <w:highlight w:val="none"/>
          <w:lang w:eastAsia="zh-CN"/>
        </w:rPr>
        <w:t>赔偿款</w:t>
      </w:r>
      <w:r>
        <w:rPr>
          <w:rFonts w:hint="eastAsia"/>
          <w:color w:val="auto"/>
          <w:szCs w:val="21"/>
          <w:highlight w:val="none"/>
        </w:rPr>
        <w:t>，不足部分乙方</w:t>
      </w:r>
      <w:r>
        <w:rPr>
          <w:rFonts w:hint="eastAsia"/>
          <w:color w:val="auto"/>
          <w:szCs w:val="21"/>
          <w:highlight w:val="none"/>
          <w:lang w:eastAsia="zh-CN"/>
        </w:rPr>
        <w:t>应在</w:t>
      </w:r>
      <w:r>
        <w:rPr>
          <w:rFonts w:hint="eastAsia"/>
          <w:color w:val="auto"/>
          <w:szCs w:val="21"/>
          <w:highlight w:val="none"/>
          <w:lang w:val="en-US" w:eastAsia="zh-CN"/>
        </w:rPr>
        <w:t>3个工作日内另行支付</w:t>
      </w:r>
      <w:r>
        <w:rPr>
          <w:rFonts w:hint="eastAsia"/>
          <w:color w:val="auto"/>
          <w:szCs w:val="21"/>
          <w:highlight w:val="none"/>
          <w:lang w:eastAsia="zh-CN"/>
        </w:rPr>
        <w:t>，且</w:t>
      </w:r>
      <w:r>
        <w:rPr>
          <w:color w:val="auto"/>
          <w:szCs w:val="21"/>
          <w:highlight w:val="none"/>
        </w:rPr>
        <w:t>甲方</w:t>
      </w:r>
      <w:r>
        <w:rPr>
          <w:rFonts w:hint="eastAsia"/>
          <w:color w:val="auto"/>
          <w:szCs w:val="21"/>
          <w:highlight w:val="none"/>
          <w:lang w:eastAsia="zh-CN"/>
        </w:rPr>
        <w:t>有权要求乙方支付相当于损失金额</w:t>
      </w:r>
      <w:r>
        <w:rPr>
          <w:rFonts w:hint="eastAsia"/>
          <w:color w:val="auto"/>
          <w:szCs w:val="21"/>
          <w:highlight w:val="none"/>
          <w:lang w:val="en-US" w:eastAsia="zh-CN"/>
        </w:rPr>
        <w:t>20%的额外违约金</w:t>
      </w:r>
      <w:r>
        <w:rPr>
          <w:color w:val="auto"/>
          <w:szCs w:val="21"/>
          <w:highlight w:val="none"/>
        </w:rPr>
        <w:t>。</w:t>
      </w:r>
    </w:p>
    <w:p w14:paraId="51F4B271">
      <w:pPr>
        <w:spacing w:line="360" w:lineRule="auto"/>
        <w:ind w:right="0" w:firstLine="480" w:firstLineChars="200"/>
        <w:rPr>
          <w:rFonts w:hint="default"/>
          <w:color w:val="auto"/>
          <w:szCs w:val="21"/>
          <w:highlight w:val="none"/>
          <w:lang w:val="en-US" w:eastAsia="zh-CN"/>
        </w:rPr>
      </w:pPr>
      <w:r>
        <w:rPr>
          <w:rFonts w:hint="eastAsia"/>
          <w:color w:val="auto"/>
          <w:szCs w:val="21"/>
          <w:highlight w:val="none"/>
          <w:lang w:val="en-US" w:eastAsia="zh-CN"/>
        </w:rPr>
        <w:t>7.12乙方无条件执行甲方进出大门的管理要求，乙方及配送司机不得携带违禁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乙方确认知悉甲方有关监管安全的各项措施，包括但不限于违禁、危险品，人员出入、车辆出入、搜身检查、通讯工具管理、电子设备管理等。</w:t>
      </w:r>
    </w:p>
    <w:p w14:paraId="3AE27F6D">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7.13在</w:t>
      </w:r>
      <w:r>
        <w:rPr>
          <w:rFonts w:hint="eastAsia"/>
          <w:color w:val="auto"/>
          <w:szCs w:val="21"/>
          <w:highlight w:val="none"/>
          <w:lang w:val="en-US" w:eastAsia="zh-CN"/>
        </w:rPr>
        <w:t>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24E9FB56">
      <w:pPr>
        <w:spacing w:line="360" w:lineRule="auto"/>
        <w:ind w:right="0" w:firstLine="480" w:firstLineChars="200"/>
        <w:rPr>
          <w:rFonts w:hint="eastAsia"/>
          <w:color w:val="auto"/>
          <w:highlight w:val="none"/>
          <w:lang w:val="en-US" w:eastAsia="zh-CN"/>
        </w:rPr>
      </w:pPr>
      <w:r>
        <w:rPr>
          <w:rFonts w:hint="eastAsia"/>
          <w:color w:val="auto"/>
          <w:highlight w:val="none"/>
          <w:lang w:val="en-US" w:eastAsia="zh-CN"/>
        </w:rPr>
        <w:t>7.14如乙方违反合同有关保密约定，向第三方披露本采购项目或合同相关资料或情况的，甲方有权立即解除合同，扣除全部履约保证金，并要求乙方支付合同总金额的20%作为违约金；如涉及违法犯罪行为，将移送司法机关依法追究乙方的法律责任。</w:t>
      </w:r>
    </w:p>
    <w:p w14:paraId="1258CB02">
      <w:pPr>
        <w:spacing w:line="360" w:lineRule="auto"/>
        <w:ind w:right="0" w:firstLine="480" w:firstLineChars="200"/>
        <w:rPr>
          <w:rFonts w:hint="default" w:eastAsia="宋体"/>
          <w:color w:val="auto"/>
          <w:szCs w:val="21"/>
          <w:highlight w:val="none"/>
          <w:lang w:val="en-US" w:eastAsia="zh-CN"/>
        </w:rPr>
      </w:pPr>
      <w:r>
        <w:rPr>
          <w:rFonts w:hint="eastAsia"/>
          <w:color w:val="auto"/>
          <w:highlight w:val="none"/>
          <w:lang w:val="en-US" w:eastAsia="zh-CN"/>
        </w:rPr>
        <w:t>7.15</w:t>
      </w:r>
      <w:r>
        <w:rPr>
          <w:rFonts w:hint="eastAsia"/>
          <w:color w:val="auto"/>
          <w:szCs w:val="21"/>
          <w:highlight w:val="none"/>
        </w:rPr>
        <w:t>如</w:t>
      </w:r>
      <w:r>
        <w:rPr>
          <w:rFonts w:hint="eastAsia"/>
          <w:color w:val="auto"/>
          <w:szCs w:val="21"/>
          <w:highlight w:val="none"/>
          <w:lang w:eastAsia="zh-CN"/>
        </w:rPr>
        <w:t>乙方出现违约行为的</w:t>
      </w:r>
      <w:r>
        <w:rPr>
          <w:rFonts w:hint="eastAsia"/>
          <w:color w:val="auto"/>
          <w:szCs w:val="21"/>
          <w:highlight w:val="none"/>
        </w:rPr>
        <w:t>，</w:t>
      </w:r>
      <w:r>
        <w:rPr>
          <w:color w:val="auto"/>
          <w:szCs w:val="21"/>
          <w:highlight w:val="none"/>
        </w:rPr>
        <w:t>乙方承担全部赔偿责任</w:t>
      </w:r>
      <w:r>
        <w:rPr>
          <w:rFonts w:hint="eastAsia"/>
          <w:color w:val="auto"/>
          <w:szCs w:val="21"/>
          <w:highlight w:val="none"/>
          <w:lang w:eastAsia="zh-CN"/>
        </w:rPr>
        <w:t>，并承担甲方因此遭受的全部损失以及甲方为维权而支出的合理费用</w:t>
      </w:r>
      <w:r>
        <w:rPr>
          <w:color w:val="auto"/>
          <w:szCs w:val="21"/>
          <w:highlight w:val="none"/>
        </w:rPr>
        <w:t>（包括但不限于第三方索赔、</w:t>
      </w:r>
      <w:r>
        <w:rPr>
          <w:rFonts w:hint="eastAsia"/>
          <w:color w:val="auto"/>
          <w:szCs w:val="21"/>
          <w:highlight w:val="none"/>
          <w:lang w:val="en-US" w:eastAsia="zh-CN"/>
        </w:rPr>
        <w:t>退货运输费、诉讼费、</w:t>
      </w:r>
      <w:r>
        <w:rPr>
          <w:color w:val="auto"/>
          <w:szCs w:val="21"/>
          <w:highlight w:val="none"/>
        </w:rPr>
        <w:t>律师</w:t>
      </w:r>
      <w:r>
        <w:rPr>
          <w:rFonts w:hint="eastAsia"/>
          <w:color w:val="auto"/>
          <w:szCs w:val="21"/>
          <w:highlight w:val="none"/>
          <w:lang w:val="en-US" w:eastAsia="zh-CN"/>
        </w:rPr>
        <w:t>服务</w:t>
      </w:r>
      <w:r>
        <w:rPr>
          <w:color w:val="auto"/>
          <w:szCs w:val="21"/>
          <w:highlight w:val="none"/>
        </w:rPr>
        <w:t>费、鉴定费、</w:t>
      </w:r>
      <w:r>
        <w:rPr>
          <w:rFonts w:hint="eastAsia"/>
          <w:color w:val="auto"/>
          <w:szCs w:val="21"/>
          <w:highlight w:val="none"/>
          <w:lang w:val="en-US" w:eastAsia="zh-CN"/>
        </w:rPr>
        <w:t>公告费、公证费、</w:t>
      </w:r>
      <w:r>
        <w:rPr>
          <w:rFonts w:hint="eastAsia"/>
          <w:color w:val="auto"/>
          <w:szCs w:val="21"/>
          <w:highlight w:val="none"/>
          <w:lang w:eastAsia="zh-CN"/>
        </w:rPr>
        <w:t>调查取证</w:t>
      </w:r>
      <w:r>
        <w:rPr>
          <w:color w:val="auto"/>
          <w:szCs w:val="21"/>
          <w:highlight w:val="none"/>
        </w:rPr>
        <w:t>费、差旅费</w:t>
      </w:r>
      <w:r>
        <w:rPr>
          <w:rFonts w:hint="eastAsia"/>
          <w:color w:val="auto"/>
          <w:szCs w:val="21"/>
          <w:highlight w:val="none"/>
        </w:rPr>
        <w:t>、</w:t>
      </w:r>
      <w:r>
        <w:rPr>
          <w:rFonts w:hint="eastAsia"/>
          <w:color w:val="auto"/>
          <w:szCs w:val="21"/>
          <w:highlight w:val="none"/>
          <w:lang w:val="en-US" w:eastAsia="zh-CN"/>
        </w:rPr>
        <w:t>交通费、</w:t>
      </w:r>
      <w:r>
        <w:rPr>
          <w:rFonts w:hint="eastAsia"/>
          <w:color w:val="auto"/>
          <w:szCs w:val="21"/>
          <w:highlight w:val="none"/>
        </w:rPr>
        <w:t>保全保险费</w:t>
      </w:r>
      <w:r>
        <w:rPr>
          <w:rFonts w:hint="eastAsia"/>
          <w:color w:val="auto"/>
          <w:szCs w:val="21"/>
          <w:highlight w:val="none"/>
          <w:lang w:eastAsia="zh-CN"/>
        </w:rPr>
        <w:t>、</w:t>
      </w:r>
      <w:r>
        <w:rPr>
          <w:rFonts w:hint="eastAsia"/>
          <w:color w:val="auto"/>
          <w:szCs w:val="21"/>
          <w:highlight w:val="none"/>
          <w:lang w:val="en-US" w:eastAsia="zh-CN"/>
        </w:rPr>
        <w:t>财产保全费、强制执行费</w:t>
      </w:r>
      <w:r>
        <w:rPr>
          <w:color w:val="auto"/>
          <w:szCs w:val="21"/>
          <w:highlight w:val="none"/>
        </w:rPr>
        <w:t>等</w:t>
      </w:r>
      <w:r>
        <w:rPr>
          <w:rFonts w:hint="eastAsia"/>
          <w:color w:val="auto"/>
          <w:szCs w:val="21"/>
          <w:highlight w:val="none"/>
          <w:lang w:val="en-US" w:eastAsia="zh-CN"/>
        </w:rPr>
        <w:t>与之相关的</w:t>
      </w:r>
      <w:r>
        <w:rPr>
          <w:color w:val="auto"/>
          <w:szCs w:val="21"/>
          <w:highlight w:val="none"/>
        </w:rPr>
        <w:t>一切费用）以及相关法律责任。</w:t>
      </w:r>
    </w:p>
    <w:p w14:paraId="3A145A9E">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7.16</w:t>
      </w:r>
      <w:r>
        <w:rPr>
          <w:rFonts w:hint="eastAsia"/>
          <w:b w:val="0"/>
          <w:bCs w:val="0"/>
          <w:color w:val="auto"/>
          <w:szCs w:val="21"/>
          <w:highlight w:val="none"/>
          <w:lang w:val="en-US" w:eastAsia="zh-CN"/>
        </w:rPr>
        <w:t>在本合同履行期间，未经甲方书面同意，乙方不得提出解除本合同（除不可抗力外），</w:t>
      </w:r>
      <w:r>
        <w:rPr>
          <w:rFonts w:hint="eastAsia"/>
          <w:color w:val="auto"/>
          <w:szCs w:val="21"/>
          <w:highlight w:val="none"/>
          <w:lang w:val="en-US" w:eastAsia="zh-CN"/>
        </w:rPr>
        <w:t>如因乙方自身原因导致合同解除，甲方有权扣除全额履约保证金，并有权向乙方追偿因解除合同造成的全部损失，包括但不限于预期利润损失。</w:t>
      </w:r>
    </w:p>
    <w:p w14:paraId="2DA82062">
      <w:pPr>
        <w:spacing w:line="360" w:lineRule="auto"/>
        <w:ind w:right="0" w:firstLine="482" w:firstLineChars="200"/>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8.通知和送达条款</w:t>
      </w:r>
    </w:p>
    <w:p w14:paraId="304F734D">
      <w:pPr>
        <w:spacing w:line="360" w:lineRule="auto"/>
        <w:ind w:right="0" w:firstLine="480" w:firstLineChars="200"/>
        <w:rPr>
          <w:rFonts w:hint="eastAsia"/>
          <w:color w:val="auto"/>
          <w:highlight w:val="none"/>
          <w:lang w:val="en-US" w:eastAsia="zh-CN"/>
        </w:rPr>
      </w:pPr>
      <w:r>
        <w:rPr>
          <w:rFonts w:hint="eastAsia"/>
          <w:color w:val="auto"/>
          <w:highlight w:val="none"/>
          <w:lang w:val="en-US" w:eastAsia="zh-CN"/>
        </w:rPr>
        <w:t>8.1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3D7CAEC3">
      <w:pPr>
        <w:spacing w:line="360" w:lineRule="auto"/>
        <w:ind w:right="0" w:firstLine="480" w:firstLineChars="200"/>
        <w:rPr>
          <w:rFonts w:hint="eastAsia"/>
          <w:color w:val="auto"/>
          <w:highlight w:val="none"/>
          <w:lang w:val="en-US" w:eastAsia="zh-CN"/>
        </w:rPr>
      </w:pPr>
      <w:r>
        <w:rPr>
          <w:rFonts w:hint="eastAsia"/>
          <w:color w:val="auto"/>
          <w:highlight w:val="none"/>
          <w:lang w:val="en-US" w:eastAsia="zh-CN"/>
        </w:rPr>
        <w:t>8.2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03B38314">
      <w:pPr>
        <w:spacing w:line="360" w:lineRule="auto"/>
        <w:ind w:right="0" w:firstLine="480" w:firstLineChars="200"/>
        <w:rPr>
          <w:rFonts w:hint="eastAsia"/>
          <w:color w:val="auto"/>
          <w:highlight w:val="none"/>
          <w:lang w:val="en-US" w:eastAsia="zh-CN"/>
        </w:rPr>
      </w:pPr>
      <w:r>
        <w:rPr>
          <w:rFonts w:hint="eastAsia"/>
          <w:color w:val="auto"/>
          <w:highlight w:val="none"/>
          <w:lang w:val="en-US" w:eastAsia="zh-CN"/>
        </w:rPr>
        <w:t>8.3任何一方变更本合同所载明的有效送达地址或联系人时，须在变更前十五日以书面形式通知对方。否则，因有效送达地址或联系人变更而导致无法送达或迟延送达的法律后果均由未通知一方承担。</w:t>
      </w:r>
    </w:p>
    <w:p w14:paraId="5D70CB98">
      <w:pPr>
        <w:spacing w:line="360" w:lineRule="auto"/>
        <w:ind w:right="0" w:firstLine="480" w:firstLineChars="200"/>
        <w:rPr>
          <w:rFonts w:hint="eastAsia"/>
          <w:color w:val="auto"/>
          <w:highlight w:val="none"/>
          <w:lang w:val="en-US" w:eastAsia="zh-CN"/>
        </w:rPr>
      </w:pPr>
      <w:r>
        <w:rPr>
          <w:rFonts w:hint="eastAsia"/>
          <w:color w:val="auto"/>
          <w:highlight w:val="none"/>
          <w:lang w:val="en-US" w:eastAsia="zh-CN"/>
        </w:rPr>
        <w:t>8.4双方按以下约定，根据不同的送达方式，确定送达时间。</w:t>
      </w:r>
    </w:p>
    <w:p w14:paraId="28136453">
      <w:pPr>
        <w:numPr>
          <w:ilvl w:val="0"/>
          <w:numId w:val="0"/>
        </w:numPr>
        <w:spacing w:line="360" w:lineRule="auto"/>
        <w:ind w:right="0" w:rightChars="0" w:firstLine="480" w:firstLineChars="200"/>
        <w:rPr>
          <w:rFonts w:hint="eastAsia"/>
          <w:color w:val="auto"/>
          <w:highlight w:val="none"/>
          <w:lang w:val="en-US" w:eastAsia="zh-CN"/>
        </w:rPr>
      </w:pPr>
      <w:r>
        <w:rPr>
          <w:rFonts w:hint="eastAsia"/>
          <w:color w:val="auto"/>
          <w:highlight w:val="none"/>
          <w:lang w:val="en-US" w:eastAsia="zh-CN"/>
        </w:rPr>
        <w:t>8.4.1当面送达的，受送达人签收时视为送达。若受送达人拒绝签收的，送达人将送达文件留在受送达人的有效送达地址之时，视为送达。</w:t>
      </w:r>
    </w:p>
    <w:p w14:paraId="608862FE">
      <w:pPr>
        <w:numPr>
          <w:ilvl w:val="0"/>
          <w:numId w:val="0"/>
        </w:numPr>
        <w:spacing w:line="360" w:lineRule="auto"/>
        <w:ind w:right="0" w:rightChars="0" w:firstLine="480" w:firstLineChars="200"/>
        <w:rPr>
          <w:rFonts w:hint="eastAsia"/>
          <w:color w:val="auto"/>
          <w:highlight w:val="none"/>
          <w:lang w:val="en-US" w:eastAsia="zh-CN"/>
        </w:rPr>
      </w:pPr>
      <w:r>
        <w:rPr>
          <w:rFonts w:hint="eastAsia"/>
          <w:color w:val="auto"/>
          <w:highlight w:val="none"/>
          <w:lang w:val="en-US" w:eastAsia="zh-CN"/>
        </w:rPr>
        <w:t>8.4.2以平信、挂号信、特快专递或快递方式送达的，甲方送达乙方注册地址、主要营业地或合同所载明的地址时即视为送达；乙方送达甲方时需实际签收视为送达。当乙方注册地址与实际营业场所不一致时，以采购方首次成功送达的地址为最终有效送达地址，避免因地址争议导致送达效力不确定性。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06494EDB">
      <w:pPr>
        <w:numPr>
          <w:ilvl w:val="0"/>
          <w:numId w:val="0"/>
        </w:numPr>
        <w:spacing w:line="360" w:lineRule="auto"/>
        <w:ind w:right="0" w:rightChars="0" w:firstLine="480" w:firstLineChars="200"/>
        <w:rPr>
          <w:rFonts w:hint="eastAsia"/>
          <w:color w:val="auto"/>
          <w:highlight w:val="none"/>
          <w:lang w:val="en-US" w:eastAsia="zh-CN"/>
        </w:rPr>
      </w:pPr>
      <w:r>
        <w:rPr>
          <w:rFonts w:hint="eastAsia"/>
          <w:color w:val="auto"/>
          <w:highlight w:val="none"/>
          <w:lang w:val="en-US" w:eastAsia="zh-CN"/>
        </w:rPr>
        <w:t>8.4.3以传真方式送达的，</w:t>
      </w:r>
      <w:r>
        <w:rPr>
          <w:rFonts w:hint="eastAsia"/>
          <w:b w:val="0"/>
          <w:bCs w:val="0"/>
          <w:color w:val="auto"/>
          <w:highlight w:val="none"/>
          <w:lang w:val="en-US" w:eastAsia="zh-CN"/>
        </w:rPr>
        <w:t>以</w:t>
      </w:r>
      <w:r>
        <w:rPr>
          <w:rFonts w:hint="eastAsia"/>
          <w:b w:val="0"/>
          <w:bCs w:val="0"/>
          <w:color w:val="auto"/>
          <w:highlight w:val="none"/>
          <w:lang w:val="en-US" w:eastAsia="zh-CN"/>
        </w:rPr>
        <w:t>发</w:t>
      </w:r>
      <w:r>
        <w:rPr>
          <w:rFonts w:hint="eastAsia"/>
          <w:color w:val="auto"/>
          <w:highlight w:val="none"/>
          <w:lang w:val="en-US" w:eastAsia="zh-CN"/>
        </w:rPr>
        <w:t>送方打印的传真发送确认单显示的时间为送达时间。</w:t>
      </w:r>
    </w:p>
    <w:p w14:paraId="7C7E2861">
      <w:pPr>
        <w:numPr>
          <w:ilvl w:val="0"/>
          <w:numId w:val="0"/>
        </w:numPr>
        <w:spacing w:line="360" w:lineRule="auto"/>
        <w:ind w:right="0" w:rightChars="0" w:firstLine="480" w:firstLineChars="200"/>
        <w:rPr>
          <w:rFonts w:hint="default"/>
          <w:color w:val="auto"/>
          <w:highlight w:val="none"/>
          <w:lang w:val="en-US" w:eastAsia="zh-CN"/>
        </w:rPr>
      </w:pPr>
      <w:r>
        <w:rPr>
          <w:rFonts w:hint="eastAsia"/>
          <w:color w:val="auto"/>
          <w:highlight w:val="none"/>
          <w:lang w:val="en-US" w:eastAsia="zh-CN"/>
        </w:rPr>
        <w:t>8.4.4以电子邮件方式送达的，系统发送成功的时间视为送达时间，若乙方作为受送达人，则邮件发送至乙方在本合同签署盖章页载明的邮箱地址即视为送达。</w:t>
      </w:r>
    </w:p>
    <w:p w14:paraId="1FC975F4">
      <w:pPr>
        <w:spacing w:line="360" w:lineRule="auto"/>
        <w:ind w:right="0" w:firstLine="48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lang w:val="en-US" w:eastAsia="zh-CN"/>
        </w:rPr>
        <w:t>9.</w:t>
      </w:r>
      <w:r>
        <w:rPr>
          <w:rFonts w:hint="eastAsia" w:ascii="黑体" w:hAnsi="黑体" w:eastAsia="黑体" w:cs="黑体"/>
          <w:b/>
          <w:bCs/>
          <w:color w:val="auto"/>
          <w:szCs w:val="21"/>
          <w:highlight w:val="none"/>
        </w:rPr>
        <w:t>争议解决</w:t>
      </w:r>
    </w:p>
    <w:p w14:paraId="7EE3EB0C">
      <w:pPr>
        <w:spacing w:line="360" w:lineRule="auto"/>
        <w:ind w:right="0" w:firstLine="480" w:firstLineChars="200"/>
        <w:rPr>
          <w:rFonts w:hint="eastAsia"/>
          <w:color w:val="auto"/>
          <w:szCs w:val="21"/>
          <w:highlight w:val="none"/>
        </w:rPr>
      </w:pPr>
      <w:r>
        <w:rPr>
          <w:rFonts w:hint="eastAsia"/>
          <w:color w:val="auto"/>
          <w:szCs w:val="21"/>
          <w:highlight w:val="none"/>
        </w:rPr>
        <w:t>本合同如发生纠纷，</w:t>
      </w:r>
      <w:r>
        <w:rPr>
          <w:rFonts w:hint="eastAsia"/>
          <w:color w:val="auto"/>
          <w:szCs w:val="21"/>
          <w:highlight w:val="none"/>
        </w:rPr>
        <w:t>双方当事人</w:t>
      </w:r>
      <w:r>
        <w:rPr>
          <w:rFonts w:hint="eastAsia"/>
          <w:color w:val="auto"/>
          <w:szCs w:val="21"/>
          <w:highlight w:val="none"/>
        </w:rPr>
        <w:t>应当及时协商解决，协商不成时，向甲方所在地</w:t>
      </w:r>
      <w:r>
        <w:rPr>
          <w:rFonts w:hint="eastAsia"/>
          <w:color w:val="auto"/>
          <w:szCs w:val="21"/>
          <w:highlight w:val="none"/>
          <w:lang w:val="en-US" w:eastAsia="zh-CN"/>
        </w:rPr>
        <w:t>有管辖权的</w:t>
      </w:r>
      <w:r>
        <w:rPr>
          <w:rFonts w:hint="eastAsia"/>
          <w:color w:val="auto"/>
          <w:szCs w:val="21"/>
          <w:highlight w:val="none"/>
        </w:rPr>
        <w:t>人民法院起诉。</w:t>
      </w:r>
    </w:p>
    <w:p w14:paraId="302B104B">
      <w:pPr>
        <w:spacing w:line="360" w:lineRule="auto"/>
        <w:ind w:right="0" w:firstLine="48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lang w:val="en-US" w:eastAsia="zh-CN"/>
        </w:rPr>
        <w:t>10.</w:t>
      </w:r>
      <w:r>
        <w:rPr>
          <w:rFonts w:hint="eastAsia" w:ascii="黑体" w:hAnsi="黑体" w:eastAsia="黑体" w:cs="黑体"/>
          <w:b/>
          <w:bCs/>
          <w:color w:val="auto"/>
          <w:szCs w:val="21"/>
          <w:highlight w:val="none"/>
        </w:rPr>
        <w:t>合同生效</w:t>
      </w:r>
    </w:p>
    <w:p w14:paraId="631BD8E1">
      <w:pPr>
        <w:spacing w:line="360" w:lineRule="auto"/>
        <w:ind w:right="0" w:firstLine="480" w:firstLineChars="200"/>
        <w:rPr>
          <w:color w:val="auto"/>
          <w:szCs w:val="21"/>
          <w:highlight w:val="none"/>
        </w:rPr>
      </w:pPr>
      <w:r>
        <w:rPr>
          <w:rFonts w:hint="eastAsia"/>
          <w:color w:val="auto"/>
          <w:szCs w:val="21"/>
          <w:highlight w:val="none"/>
          <w:lang w:val="en-US" w:eastAsia="zh-CN"/>
        </w:rPr>
        <w:t>10.1</w:t>
      </w:r>
      <w:r>
        <w:rPr>
          <w:color w:val="auto"/>
          <w:szCs w:val="21"/>
          <w:highlight w:val="none"/>
        </w:rPr>
        <w:t>本合同</w:t>
      </w:r>
      <w:r>
        <w:rPr>
          <w:rFonts w:hint="eastAsia"/>
          <w:color w:val="auto"/>
          <w:szCs w:val="21"/>
          <w:highlight w:val="none"/>
        </w:rPr>
        <w:t>壹</w:t>
      </w:r>
      <w:r>
        <w:rPr>
          <w:color w:val="auto"/>
          <w:szCs w:val="21"/>
          <w:highlight w:val="none"/>
        </w:rPr>
        <w:t>式</w:t>
      </w:r>
      <w:r>
        <w:rPr>
          <w:rFonts w:hint="eastAsia"/>
          <w:color w:val="auto"/>
          <w:szCs w:val="21"/>
          <w:highlight w:val="none"/>
          <w:lang w:eastAsia="zh-CN"/>
        </w:rPr>
        <w:t>伍</w:t>
      </w:r>
      <w:r>
        <w:rPr>
          <w:color w:val="auto"/>
          <w:szCs w:val="21"/>
          <w:highlight w:val="none"/>
        </w:rPr>
        <w:t>份，甲方</w:t>
      </w:r>
      <w:r>
        <w:rPr>
          <w:rFonts w:hint="eastAsia"/>
          <w:color w:val="auto"/>
          <w:szCs w:val="21"/>
          <w:highlight w:val="none"/>
          <w:lang w:eastAsia="zh-CN"/>
        </w:rPr>
        <w:t>肆</w:t>
      </w:r>
      <w:r>
        <w:rPr>
          <w:color w:val="auto"/>
          <w:szCs w:val="21"/>
          <w:highlight w:val="none"/>
        </w:rPr>
        <w:t>份、乙方执</w:t>
      </w:r>
      <w:r>
        <w:rPr>
          <w:rFonts w:hint="eastAsia"/>
          <w:color w:val="auto"/>
          <w:szCs w:val="21"/>
          <w:highlight w:val="none"/>
          <w:lang w:eastAsia="zh-CN"/>
        </w:rPr>
        <w:t>壹</w:t>
      </w:r>
      <w:r>
        <w:rPr>
          <w:color w:val="auto"/>
          <w:szCs w:val="21"/>
          <w:highlight w:val="none"/>
        </w:rPr>
        <w:t>份</w:t>
      </w:r>
      <w:r>
        <w:rPr>
          <w:rFonts w:hint="eastAsia"/>
          <w:color w:val="auto"/>
          <w:szCs w:val="21"/>
          <w:highlight w:val="none"/>
          <w:lang w:eastAsia="zh-CN"/>
        </w:rPr>
        <w:t>，具有同等法律效力</w:t>
      </w:r>
      <w:r>
        <w:rPr>
          <w:color w:val="auto"/>
          <w:szCs w:val="21"/>
          <w:highlight w:val="none"/>
        </w:rPr>
        <w:t>。</w:t>
      </w:r>
    </w:p>
    <w:p w14:paraId="053C287F">
      <w:pPr>
        <w:spacing w:line="360" w:lineRule="auto"/>
        <w:ind w:right="0" w:firstLine="480" w:firstLineChars="200"/>
        <w:rPr>
          <w:rFonts w:hint="eastAsia"/>
          <w:color w:val="auto"/>
          <w:szCs w:val="21"/>
          <w:highlight w:val="none"/>
        </w:rPr>
      </w:pPr>
      <w:r>
        <w:rPr>
          <w:rFonts w:hint="eastAsia"/>
          <w:color w:val="auto"/>
          <w:szCs w:val="21"/>
          <w:highlight w:val="none"/>
          <w:lang w:val="en-US" w:eastAsia="zh-CN"/>
        </w:rPr>
        <w:t>10.2</w:t>
      </w:r>
      <w:r>
        <w:rPr>
          <w:color w:val="auto"/>
          <w:szCs w:val="21"/>
          <w:highlight w:val="none"/>
        </w:rPr>
        <w:t>本合同经双方法定代表人</w:t>
      </w:r>
      <w:r>
        <w:rPr>
          <w:rFonts w:hint="eastAsia"/>
          <w:color w:val="auto"/>
          <w:szCs w:val="21"/>
          <w:highlight w:val="none"/>
          <w:lang w:val="en-US" w:eastAsia="zh-CN"/>
        </w:rPr>
        <w:t>或授权代表</w:t>
      </w:r>
      <w:r>
        <w:rPr>
          <w:color w:val="auto"/>
          <w:szCs w:val="21"/>
          <w:highlight w:val="none"/>
        </w:rPr>
        <w:t>签</w:t>
      </w:r>
      <w:r>
        <w:rPr>
          <w:rFonts w:hint="eastAsia"/>
          <w:color w:val="auto"/>
          <w:szCs w:val="21"/>
          <w:highlight w:val="none"/>
          <w:lang w:val="en-US" w:eastAsia="zh-CN"/>
        </w:rPr>
        <w:t>名</w:t>
      </w:r>
      <w:r>
        <w:rPr>
          <w:rFonts w:hint="eastAsia"/>
          <w:color w:val="auto"/>
          <w:szCs w:val="21"/>
          <w:highlight w:val="none"/>
          <w:lang w:eastAsia="zh-CN"/>
        </w:rPr>
        <w:t>且</w:t>
      </w:r>
      <w:r>
        <w:rPr>
          <w:rFonts w:hint="eastAsia"/>
          <w:color w:val="auto"/>
          <w:szCs w:val="21"/>
          <w:highlight w:val="none"/>
          <w:lang w:val="en-US" w:eastAsia="zh-CN"/>
        </w:rPr>
        <w:t>加盖</w:t>
      </w:r>
      <w:r>
        <w:rPr>
          <w:color w:val="auto"/>
          <w:szCs w:val="21"/>
          <w:highlight w:val="none"/>
        </w:rPr>
        <w:t>单位</w:t>
      </w:r>
      <w:r>
        <w:rPr>
          <w:rFonts w:hint="eastAsia"/>
          <w:color w:val="auto"/>
          <w:szCs w:val="21"/>
          <w:highlight w:val="none"/>
          <w:lang w:val="en-US" w:eastAsia="zh-CN"/>
        </w:rPr>
        <w:t>公章之日起</w:t>
      </w:r>
      <w:r>
        <w:rPr>
          <w:color w:val="auto"/>
          <w:szCs w:val="21"/>
          <w:highlight w:val="none"/>
        </w:rPr>
        <w:t>生效</w:t>
      </w:r>
      <w:r>
        <w:rPr>
          <w:rFonts w:hint="eastAsia"/>
          <w:color w:val="auto"/>
          <w:szCs w:val="21"/>
          <w:highlight w:val="none"/>
        </w:rPr>
        <w:t>，</w:t>
      </w:r>
      <w:r>
        <w:rPr>
          <w:rFonts w:hint="eastAsia"/>
          <w:color w:val="auto"/>
          <w:szCs w:val="21"/>
          <w:highlight w:val="none"/>
          <w:lang w:val="en-US" w:eastAsia="zh-CN"/>
        </w:rPr>
        <w:t>授权应当提供书面授权委托书。</w:t>
      </w:r>
    </w:p>
    <w:p w14:paraId="233D3C58">
      <w:pPr>
        <w:spacing w:line="360" w:lineRule="auto"/>
        <w:ind w:right="0" w:firstLine="480" w:firstLineChars="200"/>
        <w:rPr>
          <w:color w:val="auto"/>
          <w:szCs w:val="21"/>
          <w:highlight w:val="none"/>
        </w:rPr>
      </w:pPr>
      <w:r>
        <w:rPr>
          <w:rFonts w:hint="eastAsia"/>
          <w:color w:val="auto"/>
          <w:szCs w:val="21"/>
          <w:highlight w:val="none"/>
          <w:lang w:val="en-US" w:eastAsia="zh-CN"/>
        </w:rPr>
        <w:t>10.3</w:t>
      </w:r>
      <w:r>
        <w:rPr>
          <w:color w:val="auto"/>
          <w:szCs w:val="21"/>
          <w:highlight w:val="none"/>
        </w:rPr>
        <w:t>本合同有效期</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lang w:val="en-US" w:eastAsia="zh-CN"/>
        </w:rPr>
        <w:t>年</w:t>
      </w:r>
      <w:r>
        <w:rPr>
          <w:rFonts w:hint="eastAsia"/>
          <w:color w:val="auto"/>
          <w:szCs w:val="21"/>
          <w:highlight w:val="none"/>
          <w:u w:val="single"/>
          <w:lang w:val="en-US" w:eastAsia="zh-CN"/>
        </w:rPr>
        <w:t xml:space="preserve">   </w:t>
      </w:r>
      <w:r>
        <w:rPr>
          <w:rFonts w:hint="eastAsia"/>
          <w:color w:val="auto"/>
          <w:szCs w:val="21"/>
          <w:highlight w:val="none"/>
          <w:lang w:val="en-US" w:eastAsia="zh-CN"/>
        </w:rPr>
        <w:t>月</w:t>
      </w:r>
      <w:r>
        <w:rPr>
          <w:rFonts w:hint="eastAsia"/>
          <w:color w:val="auto"/>
          <w:szCs w:val="21"/>
          <w:highlight w:val="none"/>
          <w:u w:val="single"/>
          <w:lang w:val="en-US" w:eastAsia="zh-CN"/>
        </w:rPr>
        <w:t xml:space="preserve">   </w:t>
      </w:r>
      <w:r>
        <w:rPr>
          <w:rFonts w:hint="eastAsia"/>
          <w:color w:val="auto"/>
          <w:szCs w:val="21"/>
          <w:highlight w:val="none"/>
          <w:lang w:val="en-US" w:eastAsia="zh-CN"/>
        </w:rPr>
        <w:t>日至</w:t>
      </w:r>
      <w:r>
        <w:rPr>
          <w:rFonts w:hint="eastAsia"/>
          <w:color w:val="auto"/>
          <w:szCs w:val="21"/>
          <w:highlight w:val="none"/>
          <w:u w:val="single"/>
          <w:lang w:val="en-US" w:eastAsia="zh-CN"/>
        </w:rPr>
        <w:t xml:space="preserve">    </w:t>
      </w:r>
      <w:r>
        <w:rPr>
          <w:rFonts w:hint="eastAsia"/>
          <w:color w:val="auto"/>
          <w:szCs w:val="21"/>
          <w:highlight w:val="none"/>
          <w:lang w:val="en-US" w:eastAsia="zh-CN"/>
        </w:rPr>
        <w:t>年</w:t>
      </w:r>
      <w:r>
        <w:rPr>
          <w:rFonts w:hint="eastAsia"/>
          <w:color w:val="auto"/>
          <w:szCs w:val="21"/>
          <w:highlight w:val="none"/>
          <w:u w:val="single"/>
          <w:lang w:val="en-US" w:eastAsia="zh-CN"/>
        </w:rPr>
        <w:t xml:space="preserve">   </w:t>
      </w:r>
      <w:r>
        <w:rPr>
          <w:rFonts w:hint="eastAsia"/>
          <w:color w:val="auto"/>
          <w:szCs w:val="21"/>
          <w:highlight w:val="none"/>
          <w:lang w:val="en-US" w:eastAsia="zh-CN"/>
        </w:rPr>
        <w:t>月</w:t>
      </w:r>
      <w:r>
        <w:rPr>
          <w:rFonts w:hint="eastAsia"/>
          <w:color w:val="auto"/>
          <w:szCs w:val="21"/>
          <w:highlight w:val="none"/>
          <w:u w:val="single"/>
          <w:lang w:val="en-US" w:eastAsia="zh-CN"/>
        </w:rPr>
        <w:t xml:space="preserve">   </w:t>
      </w:r>
      <w:r>
        <w:rPr>
          <w:rFonts w:hint="eastAsia"/>
          <w:color w:val="auto"/>
          <w:szCs w:val="21"/>
          <w:highlight w:val="none"/>
          <w:lang w:val="en-US" w:eastAsia="zh-CN"/>
        </w:rPr>
        <w:t>日</w:t>
      </w:r>
      <w:r>
        <w:rPr>
          <w:color w:val="auto"/>
          <w:szCs w:val="21"/>
          <w:highlight w:val="none"/>
        </w:rPr>
        <w:t>。</w:t>
      </w:r>
    </w:p>
    <w:p w14:paraId="75BB01A1">
      <w:pPr>
        <w:spacing w:line="360" w:lineRule="auto"/>
        <w:ind w:right="0" w:firstLine="480" w:firstLineChars="200"/>
        <w:rPr>
          <w:rFonts w:hint="default"/>
          <w:color w:val="auto"/>
          <w:szCs w:val="21"/>
          <w:highlight w:val="none"/>
          <w:lang w:val="en-US" w:eastAsia="zh-CN"/>
        </w:rPr>
      </w:pPr>
      <w:r>
        <w:rPr>
          <w:rFonts w:hint="eastAsia"/>
          <w:color w:val="auto"/>
          <w:szCs w:val="21"/>
          <w:highlight w:val="none"/>
          <w:lang w:val="en-US" w:eastAsia="zh-CN"/>
        </w:rPr>
        <w:t>10.4</w:t>
      </w:r>
      <w:r>
        <w:rPr>
          <w:rFonts w:hint="default"/>
          <w:color w:val="auto"/>
          <w:szCs w:val="21"/>
          <w:highlight w:val="none"/>
        </w:rPr>
        <w:t>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0C82AA08">
      <w:pPr>
        <w:spacing w:line="360" w:lineRule="auto"/>
        <w:ind w:right="0" w:firstLine="482" w:firstLineChars="200"/>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11.保密条款</w:t>
      </w:r>
    </w:p>
    <w:p w14:paraId="7BD071B3">
      <w:pPr>
        <w:numPr>
          <w:ilvl w:val="0"/>
          <w:numId w:val="0"/>
        </w:numPr>
        <w:spacing w:line="360" w:lineRule="auto"/>
        <w:ind w:right="0" w:rightChars="0" w:firstLine="480" w:firstLineChars="200"/>
        <w:rPr>
          <w:color w:val="auto"/>
          <w:highlight w:val="none"/>
        </w:rPr>
      </w:pPr>
      <w:r>
        <w:rPr>
          <w:rFonts w:hint="eastAsia"/>
          <w:color w:val="auto"/>
          <w:highlight w:val="none"/>
          <w:lang w:val="en-US" w:eastAsia="zh-CN"/>
        </w:rPr>
        <w:t>11.1乙方应签订《保密协议》，乙</w:t>
      </w:r>
      <w:r>
        <w:rPr>
          <w:color w:val="auto"/>
          <w:highlight w:val="none"/>
        </w:rPr>
        <w:t>方应对在合同签订和履行过程中知悉的</w:t>
      </w:r>
      <w:r>
        <w:rPr>
          <w:rFonts w:hint="eastAsia"/>
          <w:color w:val="auto"/>
          <w:highlight w:val="none"/>
          <w:lang w:val="en-US" w:eastAsia="zh-CN"/>
        </w:rPr>
        <w:t>甲</w:t>
      </w:r>
      <w:r>
        <w:rPr>
          <w:color w:val="auto"/>
          <w:highlight w:val="none"/>
        </w:rPr>
        <w:t>方</w:t>
      </w:r>
      <w:r>
        <w:rPr>
          <w:rFonts w:hint="eastAsia"/>
          <w:color w:val="auto"/>
          <w:highlight w:val="none"/>
          <w:lang w:val="en-US" w:eastAsia="zh-CN"/>
        </w:rPr>
        <w:t>国家秘密、工作秘密、内部信息、</w:t>
      </w:r>
      <w:r>
        <w:rPr>
          <w:color w:val="auto"/>
          <w:highlight w:val="none"/>
        </w:rPr>
        <w:t>商业秘密、技术信息、经营信息等予以保密，未经</w:t>
      </w:r>
      <w:r>
        <w:rPr>
          <w:rFonts w:hint="eastAsia"/>
          <w:color w:val="auto"/>
          <w:highlight w:val="none"/>
          <w:lang w:val="en-US" w:eastAsia="zh-CN"/>
        </w:rPr>
        <w:t>甲</w:t>
      </w:r>
      <w:r>
        <w:rPr>
          <w:color w:val="auto"/>
          <w:highlight w:val="none"/>
        </w:rPr>
        <w:t>方书面同意，不得向任何第三方披露或使用。</w:t>
      </w:r>
      <w:r>
        <w:rPr>
          <w:rFonts w:hint="eastAsia"/>
          <w:color w:val="auto"/>
          <w:highlight w:val="none"/>
          <w:lang w:eastAsia="zh-CN"/>
        </w:rPr>
        <w:t>保密条款、保密协议在合同履行完成后，依旧有效</w:t>
      </w:r>
      <w:r>
        <w:rPr>
          <w:color w:val="auto"/>
          <w:highlight w:val="none"/>
        </w:rPr>
        <w:t>。</w:t>
      </w:r>
    </w:p>
    <w:p w14:paraId="6E0683FA">
      <w:pPr>
        <w:numPr>
          <w:ilvl w:val="0"/>
          <w:numId w:val="0"/>
        </w:numPr>
        <w:spacing w:line="360" w:lineRule="auto"/>
        <w:ind w:right="0" w:rightChars="0" w:firstLine="480" w:firstLineChars="200"/>
        <w:rPr>
          <w:rFonts w:hint="eastAsia"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11.2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002B1C08">
      <w:pPr>
        <w:numPr>
          <w:ilvl w:val="0"/>
          <w:numId w:val="0"/>
        </w:numPr>
        <w:spacing w:line="360" w:lineRule="auto"/>
        <w:ind w:right="0" w:rightChars="0" w:firstLine="480" w:firstLineChars="200"/>
        <w:rPr>
          <w:rFonts w:hint="eastAsia"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11.3本合同保密条款永久有效，不因合同的无效、被撤销、</w:t>
      </w:r>
      <w:r>
        <w:rPr>
          <w:rFonts w:hint="eastAsia" w:ascii="Times New Roman" w:hAnsi="Times New Roman" w:cs="Times New Roman"/>
          <w:b w:val="0"/>
          <w:bCs w:val="0"/>
          <w:color w:val="auto"/>
          <w:highlight w:val="none"/>
          <w:u w:val="none"/>
          <w:lang w:val="en-US" w:eastAsia="zh-CN"/>
        </w:rPr>
        <w:t>被解</w:t>
      </w:r>
      <w:r>
        <w:rPr>
          <w:rFonts w:hint="eastAsia" w:ascii="Times New Roman" w:hAnsi="Times New Roman" w:cs="Times New Roman"/>
          <w:color w:val="auto"/>
          <w:highlight w:val="none"/>
          <w:u w:val="none"/>
          <w:lang w:val="en-US" w:eastAsia="zh-CN"/>
        </w:rPr>
        <w:t>除或终止而丧失法律效力。</w:t>
      </w:r>
    </w:p>
    <w:p w14:paraId="3590CC35">
      <w:pPr>
        <w:numPr>
          <w:ilvl w:val="0"/>
          <w:numId w:val="0"/>
        </w:numPr>
        <w:spacing w:line="360" w:lineRule="auto"/>
        <w:ind w:right="0" w:rightChars="0" w:firstLine="482" w:firstLineChars="200"/>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12.反商业贿赂条款</w:t>
      </w:r>
    </w:p>
    <w:p w14:paraId="0BFF7D67">
      <w:pPr>
        <w:numPr>
          <w:ilvl w:val="0"/>
          <w:numId w:val="0"/>
        </w:numPr>
        <w:spacing w:line="360" w:lineRule="auto"/>
        <w:ind w:right="0" w:rightChars="0" w:firstLine="48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12.1乙方承诺不得进行任何形式的行贿及其他不正当交易行为。乙方严禁为牟取利益向甲方赠送礼品、现金、样品等任何形式的利益，造成的损失由乙方承担，且甲方有权解除合同并要求乙方支付相当于合同总金额20%的违约金。</w:t>
      </w:r>
    </w:p>
    <w:p w14:paraId="7A4741CD">
      <w:pPr>
        <w:numPr>
          <w:ilvl w:val="0"/>
          <w:numId w:val="0"/>
        </w:numPr>
        <w:spacing w:line="360" w:lineRule="auto"/>
        <w:ind w:right="0" w:rightChars="0" w:firstLine="480" w:firstLineChars="200"/>
        <w:rPr>
          <w:rFonts w:hint="default"/>
          <w:b w:val="0"/>
          <w:bCs w:val="0"/>
          <w:color w:val="auto"/>
          <w:szCs w:val="21"/>
          <w:highlight w:val="none"/>
          <w:lang w:val="en-US" w:eastAsia="zh-CN"/>
        </w:rPr>
      </w:pPr>
      <w:r>
        <w:rPr>
          <w:rFonts w:hint="eastAsia"/>
          <w:b w:val="0"/>
          <w:bCs w:val="0"/>
          <w:color w:val="auto"/>
          <w:szCs w:val="21"/>
          <w:highlight w:val="none"/>
          <w:lang w:val="en-US" w:eastAsia="zh-CN"/>
        </w:rPr>
        <w:t>12.2</w:t>
      </w:r>
      <w:r>
        <w:rPr>
          <w:rFonts w:hint="default"/>
          <w:b w:val="0"/>
          <w:bCs w:val="0"/>
          <w:color w:val="auto"/>
          <w:szCs w:val="21"/>
          <w:highlight w:val="none"/>
          <w:lang w:val="en-US" w:eastAsia="zh-CN"/>
        </w:rPr>
        <w:t>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06BFD261">
      <w:pPr>
        <w:numPr>
          <w:ilvl w:val="0"/>
          <w:numId w:val="0"/>
        </w:numPr>
        <w:spacing w:line="360" w:lineRule="auto"/>
        <w:ind w:right="0" w:rightChars="0" w:firstLine="480" w:firstLineChars="200"/>
        <w:rPr>
          <w:rFonts w:hint="default"/>
          <w:b w:val="0"/>
          <w:bCs w:val="0"/>
          <w:color w:val="auto"/>
          <w:szCs w:val="21"/>
          <w:highlight w:val="none"/>
          <w:lang w:val="en-US" w:eastAsia="zh-CN"/>
        </w:rPr>
      </w:pPr>
      <w:r>
        <w:rPr>
          <w:rFonts w:hint="eastAsia"/>
          <w:b w:val="0"/>
          <w:bCs w:val="0"/>
          <w:color w:val="auto"/>
          <w:szCs w:val="21"/>
          <w:highlight w:val="none"/>
          <w:lang w:val="en-US" w:eastAsia="zh-CN"/>
        </w:rPr>
        <w:t>12.3</w:t>
      </w:r>
      <w:r>
        <w:rPr>
          <w:rFonts w:hint="default"/>
          <w:b w:val="0"/>
          <w:bCs w:val="0"/>
          <w:color w:val="auto"/>
          <w:szCs w:val="21"/>
          <w:highlight w:val="none"/>
          <w:lang w:val="en-US" w:eastAsia="zh-CN"/>
        </w:rPr>
        <w:t>如有甲方工作人员向乙方索取贿赂的，乙方有义务及时向甲方</w:t>
      </w:r>
      <w:r>
        <w:rPr>
          <w:rFonts w:hint="eastAsia"/>
          <w:b w:val="0"/>
          <w:bCs w:val="0"/>
          <w:color w:val="auto"/>
          <w:szCs w:val="21"/>
          <w:highlight w:val="none"/>
          <w:lang w:val="en-US" w:eastAsia="zh-CN"/>
        </w:rPr>
        <w:t>告知</w:t>
      </w:r>
      <w:r>
        <w:rPr>
          <w:rFonts w:hint="default"/>
          <w:b w:val="0"/>
          <w:bCs w:val="0"/>
          <w:color w:val="auto"/>
          <w:szCs w:val="21"/>
          <w:highlight w:val="none"/>
          <w:lang w:val="en-US" w:eastAsia="zh-CN"/>
        </w:rPr>
        <w:t>，并提供相关证据。乙方承诺已充分了解并严格遵守甲方《反商业贿赂管理制度》及相关规定，乙方违反本条规定的，甲方有权扣除合同总金额</w:t>
      </w:r>
      <w:r>
        <w:rPr>
          <w:rFonts w:hint="eastAsia"/>
          <w:b w:val="0"/>
          <w:bCs w:val="0"/>
          <w:color w:val="auto"/>
          <w:szCs w:val="21"/>
          <w:highlight w:val="none"/>
          <w:lang w:val="en-US" w:eastAsia="zh-CN"/>
        </w:rPr>
        <w:t>5</w:t>
      </w:r>
      <w:r>
        <w:rPr>
          <w:rFonts w:hint="default"/>
          <w:b w:val="0"/>
          <w:bCs w:val="0"/>
          <w:color w:val="auto"/>
          <w:szCs w:val="21"/>
          <w:highlight w:val="none"/>
          <w:lang w:val="en-US" w:eastAsia="zh-CN"/>
        </w:rPr>
        <w:t>%作为违约金，并保留追究法律责任的权利。</w:t>
      </w:r>
    </w:p>
    <w:p w14:paraId="4F3EA47E">
      <w:pPr>
        <w:spacing w:line="360" w:lineRule="auto"/>
        <w:ind w:right="0" w:firstLine="48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lang w:val="en-US" w:eastAsia="zh-CN"/>
        </w:rPr>
        <w:t>13.</w:t>
      </w:r>
      <w:r>
        <w:rPr>
          <w:rFonts w:hint="eastAsia" w:ascii="黑体" w:hAnsi="黑体" w:eastAsia="黑体" w:cs="黑体"/>
          <w:b/>
          <w:bCs/>
          <w:color w:val="auto"/>
          <w:szCs w:val="21"/>
          <w:highlight w:val="none"/>
        </w:rPr>
        <w:t>其他约定事项</w:t>
      </w:r>
    </w:p>
    <w:p w14:paraId="03AC98A2">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13.1.若本合同中任何条款被认定为无效或不可执行，该条款的无效性不影响其他条款的效力，特别是已履行部分的价款结算条款效力。</w:t>
      </w:r>
    </w:p>
    <w:p w14:paraId="4D03AAE9">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13.2乙方具有签订和履行本合同所需要的一切权利、资质和资格，不因本合同的签订和履行而侵害任何第三方的权利或利益。</w:t>
      </w:r>
    </w:p>
    <w:p w14:paraId="7104182A">
      <w:pPr>
        <w:numPr>
          <w:ilvl w:val="0"/>
          <w:numId w:val="0"/>
        </w:numPr>
        <w:spacing w:line="360" w:lineRule="auto"/>
        <w:ind w:right="0" w:rightChars="0" w:firstLine="480" w:firstLineChars="200"/>
        <w:rPr>
          <w:rFonts w:hint="eastAsia"/>
          <w:color w:val="auto"/>
          <w:szCs w:val="21"/>
          <w:highlight w:val="none"/>
          <w:lang w:val="en-US" w:eastAsia="zh-CN"/>
        </w:rPr>
      </w:pPr>
      <w:r>
        <w:rPr>
          <w:rFonts w:hint="eastAsia"/>
          <w:color w:val="auto"/>
          <w:szCs w:val="21"/>
          <w:highlight w:val="none"/>
          <w:lang w:val="en-US" w:eastAsia="zh-CN"/>
        </w:rPr>
        <w:t>13.3乙方不存在已经发生或正在发生的对签订和履行本合同能力可能产生影响的诉讼、仲裁等各类案件，不存在已经启动但尚未终结的行政程序、司法程序或其他法律程序。如乙方违反本</w:t>
      </w:r>
      <w:r>
        <w:rPr>
          <w:rFonts w:hint="eastAsia"/>
          <w:color w:val="auto"/>
          <w:szCs w:val="21"/>
          <w:highlight w:val="none"/>
          <w:lang w:val="en-US" w:eastAsia="zh-CN"/>
        </w:rPr>
        <w:t>条款的陈述与保证，应向甲方支付相当于合同总金额10%的违约金，并赔偿甲方因此遭受的全部损失（包括但不限于直接损失、间接损失、律师、保全保险、鉴定评估、调查取证、交通送达等全部费用），且甲方有权从乙方其他合同款项中直接扣减相关费用。</w:t>
      </w:r>
    </w:p>
    <w:p w14:paraId="5B617679">
      <w:pPr>
        <w:numPr>
          <w:ilvl w:val="0"/>
          <w:numId w:val="0"/>
        </w:numPr>
        <w:spacing w:line="360" w:lineRule="auto"/>
        <w:ind w:right="0" w:rightChars="0" w:firstLine="480" w:firstLineChars="200"/>
        <w:rPr>
          <w:rFonts w:hint="eastAsia"/>
          <w:color w:val="auto"/>
          <w:szCs w:val="21"/>
          <w:highlight w:val="none"/>
          <w:lang w:eastAsia="zh-CN"/>
        </w:rPr>
      </w:pPr>
      <w:r>
        <w:rPr>
          <w:rFonts w:hint="eastAsia"/>
          <w:color w:val="auto"/>
          <w:szCs w:val="21"/>
          <w:highlight w:val="none"/>
          <w:lang w:val="en-US" w:eastAsia="zh-CN"/>
        </w:rPr>
        <w:t>13.4未经对方书面同意，任何一方合同当事人不得转让（抵</w:t>
      </w:r>
      <w:r>
        <w:rPr>
          <w:rFonts w:hint="eastAsia"/>
          <w:color w:val="auto"/>
          <w:szCs w:val="21"/>
          <w:highlight w:val="none"/>
          <w:lang w:val="en-US" w:eastAsia="zh-CN"/>
        </w:rPr>
        <w:t>押）本合同项下任何权利和义务。</w:t>
      </w:r>
    </w:p>
    <w:p w14:paraId="2A230E50">
      <w:pPr>
        <w:spacing w:line="360" w:lineRule="auto"/>
        <w:ind w:right="0" w:firstLine="480" w:firstLineChars="200"/>
        <w:rPr>
          <w:rFonts w:hint="eastAsia"/>
          <w:color w:val="auto"/>
          <w:szCs w:val="21"/>
          <w:highlight w:val="none"/>
        </w:rPr>
      </w:pPr>
      <w:r>
        <w:rPr>
          <w:rFonts w:hint="eastAsia"/>
          <w:color w:val="auto"/>
          <w:szCs w:val="21"/>
          <w:highlight w:val="none"/>
          <w:lang w:val="en-US" w:eastAsia="zh-CN"/>
        </w:rPr>
        <w:t>13.5</w:t>
      </w:r>
      <w:r>
        <w:rPr>
          <w:rFonts w:hint="eastAsia"/>
          <w:color w:val="auto"/>
          <w:szCs w:val="21"/>
          <w:highlight w:val="none"/>
        </w:rPr>
        <w:t>本合同的任何变更、修改或补充，须经双方协商一致</w:t>
      </w:r>
      <w:r>
        <w:rPr>
          <w:rFonts w:hint="eastAsia"/>
          <w:color w:val="auto"/>
          <w:szCs w:val="21"/>
          <w:highlight w:val="none"/>
          <w:lang w:val="en-US" w:eastAsia="zh-CN"/>
        </w:rPr>
        <w:t>同意</w:t>
      </w:r>
      <w:r>
        <w:rPr>
          <w:rFonts w:hint="eastAsia"/>
          <w:color w:val="auto"/>
          <w:szCs w:val="21"/>
          <w:highlight w:val="none"/>
        </w:rPr>
        <w:t>并</w:t>
      </w:r>
      <w:r>
        <w:rPr>
          <w:rFonts w:hint="eastAsia"/>
          <w:color w:val="auto"/>
          <w:szCs w:val="21"/>
          <w:highlight w:val="none"/>
        </w:rPr>
        <w:t>签订书面</w:t>
      </w:r>
      <w:r>
        <w:rPr>
          <w:rFonts w:hint="eastAsia"/>
          <w:color w:val="auto"/>
          <w:szCs w:val="21"/>
          <w:highlight w:val="none"/>
          <w:lang w:val="en-US" w:eastAsia="zh-CN"/>
        </w:rPr>
        <w:t>补充</w:t>
      </w:r>
      <w:r>
        <w:rPr>
          <w:rFonts w:hint="eastAsia"/>
          <w:color w:val="auto"/>
          <w:szCs w:val="21"/>
          <w:highlight w:val="none"/>
        </w:rPr>
        <w:t>协议，否则不发生法律效力。</w:t>
      </w:r>
    </w:p>
    <w:p w14:paraId="4665FFAF">
      <w:pPr>
        <w:spacing w:line="360" w:lineRule="auto"/>
        <w:ind w:right="0" w:firstLine="480" w:firstLineChars="200"/>
        <w:rPr>
          <w:rFonts w:hint="eastAsia"/>
          <w:color w:val="auto"/>
          <w:szCs w:val="21"/>
          <w:highlight w:val="none"/>
          <w:lang w:val="en-US" w:eastAsia="zh-CN"/>
        </w:rPr>
      </w:pPr>
      <w:r>
        <w:rPr>
          <w:rFonts w:hint="eastAsia"/>
          <w:color w:val="auto"/>
          <w:szCs w:val="21"/>
          <w:highlight w:val="none"/>
          <w:lang w:val="en-US" w:eastAsia="zh-CN"/>
        </w:rPr>
        <w:t>13.6本合同附件包括但不限于与本合同有关的</w:t>
      </w:r>
      <w:r>
        <w:rPr>
          <w:rFonts w:hint="eastAsia"/>
          <w:b w:val="0"/>
          <w:bCs w:val="0"/>
          <w:color w:val="auto"/>
          <w:szCs w:val="21"/>
          <w:highlight w:val="none"/>
          <w:lang w:val="en-US" w:eastAsia="zh-CN"/>
        </w:rPr>
        <w:t>补充协议、</w:t>
      </w:r>
      <w:r>
        <w:rPr>
          <w:b w:val="0"/>
          <w:bCs w:val="0"/>
          <w:color w:val="auto"/>
          <w:szCs w:val="21"/>
          <w:highlight w:val="none"/>
        </w:rPr>
        <w:t>投标</w:t>
      </w:r>
      <w:r>
        <w:rPr>
          <w:rFonts w:hint="eastAsia"/>
          <w:b w:val="0"/>
          <w:bCs w:val="0"/>
          <w:color w:val="auto"/>
          <w:szCs w:val="21"/>
          <w:highlight w:val="none"/>
          <w:lang w:eastAsia="zh-CN"/>
        </w:rPr>
        <w:t>（</w:t>
      </w:r>
      <w:r>
        <w:rPr>
          <w:rFonts w:hint="eastAsia"/>
          <w:b w:val="0"/>
          <w:bCs w:val="0"/>
          <w:color w:val="auto"/>
          <w:szCs w:val="21"/>
          <w:highlight w:val="none"/>
          <w:lang w:val="en-US" w:eastAsia="zh-CN"/>
        </w:rPr>
        <w:t>响应</w:t>
      </w:r>
      <w:r>
        <w:rPr>
          <w:rFonts w:hint="eastAsia"/>
          <w:b w:val="0"/>
          <w:bCs w:val="0"/>
          <w:color w:val="auto"/>
          <w:szCs w:val="21"/>
          <w:highlight w:val="none"/>
          <w:lang w:eastAsia="zh-CN"/>
        </w:rPr>
        <w:t>）</w:t>
      </w:r>
      <w:r>
        <w:rPr>
          <w:b w:val="0"/>
          <w:bCs w:val="0"/>
          <w:color w:val="auto"/>
          <w:szCs w:val="21"/>
          <w:highlight w:val="none"/>
        </w:rPr>
        <w:t>文</w:t>
      </w:r>
      <w:r>
        <w:rPr>
          <w:color w:val="auto"/>
          <w:szCs w:val="21"/>
          <w:highlight w:val="none"/>
        </w:rPr>
        <w:t>件、答疑附件、</w:t>
      </w:r>
      <w:r>
        <w:rPr>
          <w:rFonts w:hint="eastAsia"/>
          <w:color w:val="auto"/>
          <w:szCs w:val="21"/>
          <w:highlight w:val="none"/>
          <w:lang w:val="en-US" w:eastAsia="zh-CN"/>
        </w:rPr>
        <w:t>澄清文件、《</w:t>
      </w:r>
      <w:r>
        <w:rPr>
          <w:color w:val="auto"/>
          <w:szCs w:val="21"/>
          <w:highlight w:val="none"/>
        </w:rPr>
        <w:t>供货承诺书</w:t>
      </w:r>
      <w:r>
        <w:rPr>
          <w:rFonts w:hint="eastAsia"/>
          <w:color w:val="auto"/>
          <w:szCs w:val="21"/>
          <w:highlight w:val="none"/>
          <w:lang w:val="en-US" w:eastAsia="zh-CN"/>
        </w:rPr>
        <w:t>》</w:t>
      </w:r>
      <w:r>
        <w:rPr>
          <w:color w:val="auto"/>
          <w:szCs w:val="21"/>
          <w:highlight w:val="none"/>
        </w:rPr>
        <w:t>《食品安全承诺书》</w:t>
      </w:r>
      <w:r>
        <w:rPr>
          <w:rFonts w:hint="eastAsia"/>
          <w:color w:val="auto"/>
          <w:szCs w:val="21"/>
          <w:highlight w:val="none"/>
          <w:lang w:eastAsia="zh-CN"/>
        </w:rPr>
        <w:t>《</w:t>
      </w:r>
      <w:r>
        <w:rPr>
          <w:rFonts w:hint="eastAsia"/>
          <w:color w:val="auto"/>
          <w:szCs w:val="21"/>
          <w:highlight w:val="none"/>
          <w:lang w:val="en-US" w:eastAsia="zh-CN"/>
        </w:rPr>
        <w:t>保密协议</w:t>
      </w:r>
      <w:r>
        <w:rPr>
          <w:rFonts w:hint="eastAsia"/>
          <w:color w:val="auto"/>
          <w:szCs w:val="21"/>
          <w:highlight w:val="none"/>
          <w:lang w:eastAsia="zh-CN"/>
        </w:rPr>
        <w:t>》</w:t>
      </w:r>
      <w:r>
        <w:rPr>
          <w:rFonts w:hint="eastAsia"/>
          <w:color w:val="auto"/>
          <w:szCs w:val="21"/>
          <w:highlight w:val="none"/>
          <w:lang w:val="en-US" w:eastAsia="zh-CN"/>
        </w:rPr>
        <w:t>《质量标准》等，与本合同具有同等法律效力。</w:t>
      </w:r>
    </w:p>
    <w:p w14:paraId="6B90FE22">
      <w:pPr>
        <w:spacing w:line="360" w:lineRule="auto"/>
        <w:ind w:right="0" w:firstLine="48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13.7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54428A71">
      <w:pPr>
        <w:spacing w:line="360" w:lineRule="auto"/>
        <w:ind w:right="0" w:firstLine="480" w:firstLineChars="200"/>
        <w:rPr>
          <w:rFonts w:hint="default"/>
          <w:b w:val="0"/>
          <w:bCs w:val="0"/>
          <w:color w:val="auto"/>
          <w:szCs w:val="21"/>
          <w:highlight w:val="none"/>
          <w:lang w:val="en-US" w:eastAsia="zh-CN"/>
        </w:rPr>
      </w:pPr>
      <w:r>
        <w:rPr>
          <w:rFonts w:hint="eastAsia"/>
          <w:b w:val="0"/>
          <w:bCs w:val="0"/>
          <w:color w:val="auto"/>
          <w:szCs w:val="21"/>
          <w:highlight w:val="none"/>
          <w:lang w:val="en-US" w:eastAsia="zh-CN"/>
        </w:rPr>
        <w:t>13.8</w:t>
      </w:r>
      <w:r>
        <w:rPr>
          <w:rFonts w:hint="default"/>
          <w:b w:val="0"/>
          <w:bCs w:val="0"/>
          <w:color w:val="auto"/>
          <w:szCs w:val="21"/>
          <w:highlight w:val="none"/>
          <w:lang w:val="en-US" w:eastAsia="zh-CN"/>
        </w:rPr>
        <w:t>本合同未尽事宜，由甲方单方解释并制定补充规定，补充规定与本合同具有同等法律效力。</w:t>
      </w:r>
    </w:p>
    <w:p w14:paraId="325B6985">
      <w:pPr>
        <w:spacing w:line="360" w:lineRule="auto"/>
        <w:ind w:right="0" w:firstLine="480" w:firstLineChars="200"/>
        <w:rPr>
          <w:rFonts w:hint="default"/>
          <w:b w:val="0"/>
          <w:bCs w:val="0"/>
          <w:color w:val="auto"/>
          <w:szCs w:val="21"/>
          <w:highlight w:val="none"/>
          <w:lang w:val="en-US" w:eastAsia="zh-CN"/>
        </w:rPr>
      </w:pPr>
      <w:r>
        <w:rPr>
          <w:rFonts w:hint="default"/>
          <w:b w:val="0"/>
          <w:bCs w:val="0"/>
          <w:color w:val="auto"/>
          <w:szCs w:val="21"/>
          <w:highlight w:val="none"/>
          <w:lang w:val="en-US" w:eastAsia="zh-CN"/>
        </w:rPr>
        <w:t>13.</w:t>
      </w:r>
      <w:r>
        <w:rPr>
          <w:rFonts w:hint="eastAsia"/>
          <w:b w:val="0"/>
          <w:bCs w:val="0"/>
          <w:color w:val="auto"/>
          <w:szCs w:val="21"/>
          <w:highlight w:val="none"/>
          <w:lang w:val="en-US" w:eastAsia="zh-CN"/>
        </w:rPr>
        <w:t>9</w:t>
      </w:r>
      <w:r>
        <w:rPr>
          <w:rFonts w:hint="default"/>
          <w:b w:val="0"/>
          <w:bCs w:val="0"/>
          <w:color w:val="auto"/>
          <w:szCs w:val="21"/>
          <w:highlight w:val="none"/>
          <w:lang w:val="en-US" w:eastAsia="zh-CN"/>
        </w:rPr>
        <w:t>本合同条款标题仅为方便阅读而设，不影响条款内容的解释。</w:t>
      </w:r>
    </w:p>
    <w:p w14:paraId="349686BC">
      <w:pPr>
        <w:spacing w:line="360" w:lineRule="auto"/>
        <w:ind w:right="0" w:firstLine="482" w:firstLineChars="200"/>
        <w:rPr>
          <w:b/>
          <w:bCs/>
          <w:color w:val="auto"/>
          <w:szCs w:val="21"/>
          <w:highlight w:val="none"/>
        </w:rPr>
      </w:pPr>
      <w:r>
        <w:rPr>
          <w:b/>
          <w:bCs/>
          <w:color w:val="auto"/>
          <w:szCs w:val="21"/>
          <w:highlight w:val="none"/>
        </w:rPr>
        <w:t>（以下无正文，为本合同签署页</w:t>
      </w:r>
      <w:r>
        <w:rPr>
          <w:rFonts w:hint="eastAsia"/>
          <w:b/>
          <w:bCs/>
          <w:color w:val="auto"/>
          <w:szCs w:val="21"/>
          <w:highlight w:val="none"/>
          <w:lang w:eastAsia="zh-CN"/>
        </w:rPr>
        <w:t>！</w:t>
      </w:r>
      <w:r>
        <w:rPr>
          <w:b/>
          <w:bCs/>
          <w:color w:val="auto"/>
          <w:szCs w:val="21"/>
          <w:highlight w:val="none"/>
        </w:rPr>
        <w:t>）</w:t>
      </w:r>
    </w:p>
    <w:p w14:paraId="57F8D317">
      <w:pPr>
        <w:spacing w:line="360" w:lineRule="auto"/>
        <w:ind w:right="0"/>
        <w:rPr>
          <w:color w:val="auto"/>
          <w:szCs w:val="21"/>
          <w:highlight w:val="none"/>
        </w:rPr>
      </w:pPr>
    </w:p>
    <w:p w14:paraId="199E3456">
      <w:pPr>
        <w:spacing w:line="360" w:lineRule="auto"/>
        <w:ind w:right="0"/>
        <w:rPr>
          <w:color w:val="auto"/>
          <w:szCs w:val="21"/>
          <w:highlight w:val="none"/>
        </w:rPr>
      </w:pPr>
    </w:p>
    <w:p w14:paraId="0009CD6D">
      <w:pPr>
        <w:spacing w:line="360" w:lineRule="auto"/>
        <w:ind w:right="0"/>
        <w:rPr>
          <w:color w:val="auto"/>
          <w:szCs w:val="21"/>
          <w:highlight w:val="none"/>
        </w:rPr>
      </w:pPr>
    </w:p>
    <w:p w14:paraId="6EAD9151">
      <w:pPr>
        <w:spacing w:line="360" w:lineRule="auto"/>
        <w:ind w:right="0"/>
        <w:rPr>
          <w:color w:val="auto"/>
          <w:szCs w:val="21"/>
          <w:highlight w:val="none"/>
        </w:rPr>
      </w:pPr>
    </w:p>
    <w:tbl>
      <w:tblPr>
        <w:tblStyle w:val="31"/>
        <w:tblW w:w="869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9"/>
        <w:gridCol w:w="288"/>
        <w:gridCol w:w="4392"/>
      </w:tblGrid>
      <w:tr w14:paraId="6E65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019" w:type="dxa"/>
            <w:vAlign w:val="center"/>
          </w:tcPr>
          <w:p w14:paraId="2BCFEC33">
            <w:pPr>
              <w:ind w:right="0"/>
              <w:rPr>
                <w:color w:val="auto"/>
                <w:szCs w:val="24"/>
                <w:highlight w:val="none"/>
              </w:rPr>
            </w:pPr>
            <w:r>
              <w:rPr>
                <w:color w:val="auto"/>
                <w:szCs w:val="24"/>
                <w:highlight w:val="none"/>
              </w:rPr>
              <w:t>甲方（盖章）</w:t>
            </w:r>
            <w:r>
              <w:rPr>
                <w:rFonts w:hint="eastAsia"/>
                <w:color w:val="auto"/>
                <w:szCs w:val="24"/>
                <w:highlight w:val="none"/>
                <w:lang w:eastAsia="zh-CN"/>
              </w:rPr>
              <w:t>：</w:t>
            </w:r>
          </w:p>
        </w:tc>
        <w:tc>
          <w:tcPr>
            <w:tcW w:w="288" w:type="dxa"/>
            <w:vAlign w:val="center"/>
          </w:tcPr>
          <w:p w14:paraId="6096482F">
            <w:pPr>
              <w:ind w:right="0"/>
              <w:rPr>
                <w:color w:val="auto"/>
                <w:szCs w:val="24"/>
                <w:highlight w:val="none"/>
              </w:rPr>
            </w:pPr>
          </w:p>
        </w:tc>
        <w:tc>
          <w:tcPr>
            <w:tcW w:w="4392" w:type="dxa"/>
            <w:vAlign w:val="center"/>
          </w:tcPr>
          <w:p w14:paraId="4E1778E9">
            <w:pPr>
              <w:ind w:right="0"/>
              <w:rPr>
                <w:color w:val="auto"/>
                <w:szCs w:val="24"/>
                <w:highlight w:val="none"/>
              </w:rPr>
            </w:pPr>
            <w:r>
              <w:rPr>
                <w:rFonts w:hint="eastAsia"/>
                <w:color w:val="auto"/>
                <w:szCs w:val="24"/>
                <w:highlight w:val="none"/>
              </w:rPr>
              <w:t>乙</w:t>
            </w:r>
            <w:r>
              <w:rPr>
                <w:color w:val="auto"/>
                <w:szCs w:val="24"/>
                <w:highlight w:val="none"/>
              </w:rPr>
              <w:t>方（盖章）：</w:t>
            </w:r>
          </w:p>
        </w:tc>
      </w:tr>
      <w:tr w14:paraId="516F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019" w:type="dxa"/>
            <w:vAlign w:val="center"/>
          </w:tcPr>
          <w:p w14:paraId="07C6239B">
            <w:pPr>
              <w:ind w:right="0"/>
              <w:rPr>
                <w:color w:val="auto"/>
                <w:szCs w:val="24"/>
                <w:highlight w:val="none"/>
              </w:rPr>
            </w:pPr>
            <w:r>
              <w:rPr>
                <w:rFonts w:hint="eastAsia"/>
                <w:color w:val="auto"/>
                <w:szCs w:val="24"/>
                <w:highlight w:val="none"/>
                <w:lang w:val="en-US" w:eastAsia="zh-CN"/>
              </w:rPr>
              <w:t>法定代表人</w:t>
            </w:r>
            <w:r>
              <w:rPr>
                <w:color w:val="auto"/>
                <w:szCs w:val="24"/>
                <w:highlight w:val="none"/>
              </w:rPr>
              <w:t>或授权代表（</w:t>
            </w:r>
            <w:r>
              <w:rPr>
                <w:rFonts w:hint="eastAsia"/>
                <w:color w:val="auto"/>
                <w:szCs w:val="24"/>
                <w:highlight w:val="none"/>
                <w:lang w:val="en-US" w:eastAsia="zh-CN"/>
              </w:rPr>
              <w:t>签名</w:t>
            </w:r>
            <w:r>
              <w:rPr>
                <w:color w:val="auto"/>
                <w:szCs w:val="24"/>
                <w:highlight w:val="none"/>
              </w:rPr>
              <w:t>）</w:t>
            </w:r>
            <w:r>
              <w:rPr>
                <w:color w:val="auto"/>
                <w:szCs w:val="24"/>
                <w:highlight w:val="none"/>
              </w:rPr>
              <w:t>：</w:t>
            </w:r>
          </w:p>
        </w:tc>
        <w:tc>
          <w:tcPr>
            <w:tcW w:w="288" w:type="dxa"/>
            <w:vAlign w:val="center"/>
          </w:tcPr>
          <w:p w14:paraId="7BF0B399">
            <w:pPr>
              <w:ind w:right="0"/>
              <w:rPr>
                <w:color w:val="auto"/>
                <w:szCs w:val="24"/>
                <w:highlight w:val="none"/>
              </w:rPr>
            </w:pPr>
          </w:p>
        </w:tc>
        <w:tc>
          <w:tcPr>
            <w:tcW w:w="4392" w:type="dxa"/>
            <w:vAlign w:val="center"/>
          </w:tcPr>
          <w:p w14:paraId="39736993">
            <w:pPr>
              <w:ind w:right="0"/>
              <w:rPr>
                <w:color w:val="auto"/>
                <w:szCs w:val="24"/>
                <w:highlight w:val="none"/>
              </w:rPr>
            </w:pPr>
            <w:r>
              <w:rPr>
                <w:rFonts w:hint="eastAsia"/>
                <w:color w:val="auto"/>
                <w:szCs w:val="24"/>
                <w:highlight w:val="none"/>
                <w:lang w:val="en-US" w:eastAsia="zh-CN"/>
              </w:rPr>
              <w:t>法定代表人</w:t>
            </w:r>
            <w:r>
              <w:rPr>
                <w:color w:val="auto"/>
                <w:szCs w:val="24"/>
                <w:highlight w:val="none"/>
              </w:rPr>
              <w:t>或授权代表（</w:t>
            </w:r>
            <w:r>
              <w:rPr>
                <w:rFonts w:hint="eastAsia"/>
                <w:color w:val="auto"/>
                <w:szCs w:val="24"/>
                <w:highlight w:val="none"/>
                <w:lang w:val="en-US" w:eastAsia="zh-CN"/>
              </w:rPr>
              <w:t>签名</w:t>
            </w:r>
            <w:r>
              <w:rPr>
                <w:rFonts w:hint="eastAsia"/>
                <w:color w:val="auto"/>
                <w:szCs w:val="24"/>
                <w:highlight w:val="none"/>
                <w:lang w:eastAsia="zh-CN"/>
              </w:rPr>
              <w:t>、</w:t>
            </w:r>
            <w:r>
              <w:rPr>
                <w:rFonts w:hint="eastAsia"/>
                <w:color w:val="auto"/>
                <w:szCs w:val="24"/>
                <w:highlight w:val="none"/>
                <w:lang w:val="en-US" w:eastAsia="zh-CN"/>
              </w:rPr>
              <w:t>捺</w:t>
            </w:r>
            <w:r>
              <w:rPr>
                <w:rFonts w:hint="eastAsia"/>
                <w:color w:val="auto"/>
                <w:szCs w:val="24"/>
                <w:highlight w:val="none"/>
                <w:lang w:eastAsia="zh-CN"/>
              </w:rPr>
              <w:t>手印</w:t>
            </w:r>
            <w:r>
              <w:rPr>
                <w:color w:val="auto"/>
                <w:szCs w:val="24"/>
                <w:highlight w:val="none"/>
              </w:rPr>
              <w:t>）：</w:t>
            </w:r>
          </w:p>
        </w:tc>
      </w:tr>
      <w:tr w14:paraId="711F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2" w:hRule="atLeast"/>
        </w:trPr>
        <w:tc>
          <w:tcPr>
            <w:tcW w:w="4019" w:type="dxa"/>
            <w:vAlign w:val="center"/>
          </w:tcPr>
          <w:p w14:paraId="09FFA8F7">
            <w:pPr>
              <w:ind w:right="0"/>
              <w:rPr>
                <w:color w:val="auto"/>
                <w:szCs w:val="24"/>
                <w:highlight w:val="none"/>
              </w:rPr>
            </w:pPr>
            <w:r>
              <w:rPr>
                <w:rFonts w:hint="eastAsia"/>
                <w:color w:val="auto"/>
                <w:szCs w:val="24"/>
                <w:highlight w:val="none"/>
              </w:rPr>
              <w:t>地址：</w:t>
            </w:r>
          </w:p>
        </w:tc>
        <w:tc>
          <w:tcPr>
            <w:tcW w:w="288" w:type="dxa"/>
            <w:vAlign w:val="center"/>
          </w:tcPr>
          <w:p w14:paraId="048BD1A6">
            <w:pPr>
              <w:ind w:right="0"/>
              <w:rPr>
                <w:color w:val="auto"/>
                <w:szCs w:val="24"/>
                <w:highlight w:val="none"/>
              </w:rPr>
            </w:pPr>
          </w:p>
        </w:tc>
        <w:tc>
          <w:tcPr>
            <w:tcW w:w="4392" w:type="dxa"/>
            <w:vAlign w:val="center"/>
          </w:tcPr>
          <w:p w14:paraId="68483F21">
            <w:pPr>
              <w:ind w:right="0"/>
              <w:rPr>
                <w:rFonts w:hint="eastAsia"/>
                <w:color w:val="auto"/>
                <w:szCs w:val="24"/>
                <w:highlight w:val="none"/>
                <w:lang w:val="en-US" w:eastAsia="zh-CN"/>
              </w:rPr>
            </w:pPr>
            <w:r>
              <w:rPr>
                <w:rFonts w:hint="eastAsia"/>
                <w:color w:val="auto"/>
                <w:szCs w:val="24"/>
                <w:highlight w:val="none"/>
              </w:rPr>
              <w:t>地址：</w:t>
            </w:r>
          </w:p>
          <w:p w14:paraId="5B43A335">
            <w:pPr>
              <w:ind w:right="0"/>
              <w:rPr>
                <w:rFonts w:hint="eastAsia"/>
                <w:color w:val="auto"/>
                <w:szCs w:val="24"/>
                <w:highlight w:val="none"/>
                <w:lang w:val="en-US" w:eastAsia="zh-CN"/>
              </w:rPr>
            </w:pPr>
            <w:r>
              <w:rPr>
                <w:rFonts w:hint="eastAsia"/>
                <w:color w:val="auto"/>
                <w:szCs w:val="24"/>
                <w:highlight w:val="none"/>
                <w:lang w:val="en-US" w:eastAsia="zh-CN"/>
              </w:rPr>
              <w:t>账户：</w:t>
            </w:r>
          </w:p>
          <w:p w14:paraId="1F4F6DFC">
            <w:pPr>
              <w:ind w:right="0"/>
              <w:rPr>
                <w:rFonts w:hint="eastAsia"/>
                <w:color w:val="auto"/>
                <w:szCs w:val="24"/>
                <w:highlight w:val="none"/>
                <w:lang w:val="en-US" w:eastAsia="zh-CN"/>
              </w:rPr>
            </w:pPr>
            <w:r>
              <w:rPr>
                <w:rFonts w:hint="eastAsia"/>
                <w:color w:val="auto"/>
                <w:szCs w:val="24"/>
                <w:highlight w:val="none"/>
                <w:lang w:val="en-US" w:eastAsia="zh-CN"/>
              </w:rPr>
              <w:t>账号：</w:t>
            </w:r>
          </w:p>
          <w:p w14:paraId="052745FA">
            <w:pPr>
              <w:ind w:right="0"/>
              <w:rPr>
                <w:rFonts w:hint="eastAsia"/>
                <w:color w:val="auto"/>
                <w:szCs w:val="24"/>
                <w:highlight w:val="none"/>
                <w:lang w:val="en-US" w:eastAsia="zh-CN"/>
              </w:rPr>
            </w:pPr>
            <w:r>
              <w:rPr>
                <w:rFonts w:hint="eastAsia"/>
                <w:color w:val="auto"/>
                <w:szCs w:val="24"/>
                <w:highlight w:val="none"/>
                <w:lang w:val="en-US" w:eastAsia="zh-CN"/>
              </w:rPr>
              <w:t>邮箱：</w:t>
            </w:r>
          </w:p>
          <w:p w14:paraId="29704BDC">
            <w:pPr>
              <w:ind w:right="0"/>
              <w:rPr>
                <w:rFonts w:hint="eastAsia"/>
                <w:color w:val="auto"/>
                <w:szCs w:val="24"/>
                <w:highlight w:val="none"/>
                <w:lang w:val="en-US" w:eastAsia="zh-CN"/>
              </w:rPr>
            </w:pPr>
            <w:r>
              <w:rPr>
                <w:rFonts w:hint="eastAsia"/>
                <w:color w:val="auto"/>
                <w:szCs w:val="24"/>
                <w:highlight w:val="none"/>
                <w:lang w:val="en-US" w:eastAsia="zh-CN"/>
              </w:rPr>
              <w:t>微信：</w:t>
            </w:r>
          </w:p>
          <w:p w14:paraId="056B841E">
            <w:pPr>
              <w:ind w:right="0"/>
              <w:rPr>
                <w:rFonts w:hint="eastAsia"/>
                <w:color w:val="auto"/>
                <w:szCs w:val="24"/>
                <w:highlight w:val="none"/>
                <w:lang w:val="en-US" w:eastAsia="zh-CN"/>
              </w:rPr>
            </w:pPr>
            <w:r>
              <w:rPr>
                <w:rFonts w:hint="eastAsia"/>
                <w:color w:val="auto"/>
                <w:szCs w:val="24"/>
                <w:highlight w:val="none"/>
                <w:lang w:val="en-US" w:eastAsia="zh-CN"/>
              </w:rPr>
              <w:t>开户行信息：</w:t>
            </w:r>
          </w:p>
          <w:p w14:paraId="5B819C34">
            <w:pPr>
              <w:ind w:right="0"/>
              <w:rPr>
                <w:rFonts w:hint="eastAsia"/>
                <w:color w:val="auto"/>
                <w:szCs w:val="24"/>
                <w:highlight w:val="none"/>
                <w:lang w:val="en-US" w:eastAsia="zh-CN"/>
              </w:rPr>
            </w:pPr>
            <w:r>
              <w:rPr>
                <w:rFonts w:hint="eastAsia"/>
                <w:color w:val="auto"/>
                <w:szCs w:val="24"/>
                <w:highlight w:val="none"/>
                <w:lang w:val="en-US" w:eastAsia="zh-CN"/>
              </w:rPr>
              <w:t>统</w:t>
            </w:r>
            <w:r>
              <w:rPr>
                <w:rFonts w:hint="eastAsia"/>
                <w:color w:val="auto"/>
                <w:szCs w:val="24"/>
                <w:highlight w:val="none"/>
                <w:lang w:val="en-US" w:eastAsia="zh-CN"/>
              </w:rPr>
              <w:t>一社会信</w:t>
            </w:r>
            <w:r>
              <w:rPr>
                <w:rFonts w:hint="eastAsia"/>
                <w:color w:val="auto"/>
                <w:szCs w:val="24"/>
                <w:highlight w:val="none"/>
                <w:lang w:val="en-US" w:eastAsia="zh-CN"/>
              </w:rPr>
              <w:t>用代码：</w:t>
            </w:r>
          </w:p>
        </w:tc>
      </w:tr>
      <w:tr w14:paraId="46EF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019" w:type="dxa"/>
            <w:vAlign w:val="center"/>
          </w:tcPr>
          <w:p w14:paraId="60FFD983">
            <w:pPr>
              <w:ind w:right="0"/>
              <w:rPr>
                <w:rFonts w:hint="eastAsia"/>
                <w:color w:val="auto"/>
                <w:szCs w:val="24"/>
                <w:highlight w:val="none"/>
                <w:lang w:val="en-US" w:eastAsia="zh-CN"/>
              </w:rPr>
            </w:pPr>
            <w:r>
              <w:rPr>
                <w:rFonts w:hint="eastAsia"/>
                <w:color w:val="auto"/>
                <w:szCs w:val="24"/>
                <w:highlight w:val="none"/>
                <w:lang w:val="en-US" w:eastAsia="zh-CN"/>
              </w:rPr>
              <w:t>联系人：</w:t>
            </w:r>
          </w:p>
          <w:p w14:paraId="78CEB658">
            <w:pPr>
              <w:ind w:right="0"/>
              <w:rPr>
                <w:rFonts w:hint="eastAsia"/>
                <w:color w:val="auto"/>
                <w:szCs w:val="24"/>
                <w:highlight w:val="none"/>
              </w:rPr>
            </w:pPr>
            <w:r>
              <w:rPr>
                <w:rFonts w:hint="eastAsia"/>
                <w:color w:val="auto"/>
                <w:szCs w:val="24"/>
                <w:highlight w:val="none"/>
              </w:rPr>
              <w:t>电话：</w:t>
            </w:r>
          </w:p>
        </w:tc>
        <w:tc>
          <w:tcPr>
            <w:tcW w:w="288" w:type="dxa"/>
            <w:vAlign w:val="center"/>
          </w:tcPr>
          <w:p w14:paraId="791195B3">
            <w:pPr>
              <w:ind w:right="0"/>
              <w:rPr>
                <w:color w:val="auto"/>
                <w:szCs w:val="24"/>
                <w:highlight w:val="none"/>
              </w:rPr>
            </w:pPr>
          </w:p>
          <w:p w14:paraId="6E642F5F">
            <w:pPr>
              <w:rPr>
                <w:color w:val="auto"/>
                <w:highlight w:val="none"/>
              </w:rPr>
            </w:pPr>
          </w:p>
        </w:tc>
        <w:tc>
          <w:tcPr>
            <w:tcW w:w="4392" w:type="dxa"/>
            <w:vAlign w:val="center"/>
          </w:tcPr>
          <w:p w14:paraId="640A7FDE">
            <w:pPr>
              <w:ind w:right="0"/>
              <w:rPr>
                <w:rFonts w:hint="eastAsia"/>
                <w:color w:val="auto"/>
                <w:szCs w:val="24"/>
                <w:highlight w:val="none"/>
                <w:lang w:val="en-US" w:eastAsia="zh-CN"/>
              </w:rPr>
            </w:pPr>
            <w:r>
              <w:rPr>
                <w:rFonts w:hint="eastAsia"/>
                <w:color w:val="auto"/>
                <w:szCs w:val="24"/>
                <w:highlight w:val="none"/>
                <w:lang w:val="en-US" w:eastAsia="zh-CN"/>
              </w:rPr>
              <w:t>联系人：</w:t>
            </w:r>
          </w:p>
          <w:p w14:paraId="07FD2A9B">
            <w:pPr>
              <w:ind w:right="0"/>
              <w:rPr>
                <w:rFonts w:hint="eastAsia" w:eastAsia="宋体"/>
                <w:color w:val="auto"/>
                <w:szCs w:val="24"/>
                <w:highlight w:val="none"/>
                <w:lang w:val="en-US" w:eastAsia="zh-CN"/>
              </w:rPr>
            </w:pPr>
            <w:r>
              <w:rPr>
                <w:rFonts w:hint="eastAsia"/>
                <w:color w:val="auto"/>
                <w:szCs w:val="24"/>
                <w:highlight w:val="none"/>
              </w:rPr>
              <w:t>电话：</w:t>
            </w:r>
            <w:r>
              <w:rPr>
                <w:rFonts w:hint="eastAsia"/>
                <w:color w:val="auto"/>
                <w:szCs w:val="24"/>
                <w:highlight w:val="none"/>
                <w:lang w:val="en-US" w:eastAsia="zh-CN"/>
              </w:rPr>
              <w:t xml:space="preserve">           座机：</w:t>
            </w:r>
          </w:p>
        </w:tc>
      </w:tr>
      <w:tr w14:paraId="2DCA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019" w:type="dxa"/>
            <w:vAlign w:val="center"/>
          </w:tcPr>
          <w:p w14:paraId="0C6E7E35">
            <w:pPr>
              <w:ind w:right="0"/>
              <w:rPr>
                <w:color w:val="auto"/>
                <w:szCs w:val="24"/>
                <w:highlight w:val="none"/>
              </w:rPr>
            </w:pPr>
            <w:r>
              <w:rPr>
                <w:rFonts w:hint="eastAsia"/>
                <w:color w:val="auto"/>
                <w:szCs w:val="24"/>
                <w:highlight w:val="none"/>
              </w:rPr>
              <w:t>日期：</w:t>
            </w:r>
            <w:r>
              <w:rPr>
                <w:rFonts w:hint="eastAsia"/>
                <w:color w:val="auto"/>
                <w:szCs w:val="24"/>
                <w:highlight w:val="none"/>
                <w:lang w:val="en-US" w:eastAsia="zh-CN"/>
              </w:rPr>
              <w:t xml:space="preserve">   </w:t>
            </w:r>
            <w:r>
              <w:rPr>
                <w:rFonts w:hint="eastAsia"/>
                <w:color w:val="auto"/>
                <w:szCs w:val="24"/>
                <w:highlight w:val="none"/>
              </w:rPr>
              <w:t>年</w:t>
            </w:r>
            <w:r>
              <w:rPr>
                <w:rFonts w:hint="eastAsia"/>
                <w:color w:val="auto"/>
                <w:szCs w:val="24"/>
                <w:highlight w:val="none"/>
                <w:lang w:val="en-US" w:eastAsia="zh-CN"/>
              </w:rPr>
              <w:t xml:space="preserve">   </w:t>
            </w:r>
            <w:r>
              <w:rPr>
                <w:rFonts w:hint="eastAsia"/>
                <w:color w:val="auto"/>
                <w:szCs w:val="24"/>
                <w:highlight w:val="none"/>
              </w:rPr>
              <w:t>月</w:t>
            </w:r>
            <w:r>
              <w:rPr>
                <w:rFonts w:hint="eastAsia"/>
                <w:color w:val="auto"/>
                <w:szCs w:val="24"/>
                <w:highlight w:val="none"/>
                <w:lang w:val="en-US" w:eastAsia="zh-CN"/>
              </w:rPr>
              <w:t xml:space="preserve">  </w:t>
            </w:r>
            <w:r>
              <w:rPr>
                <w:rFonts w:hint="eastAsia"/>
                <w:color w:val="auto"/>
                <w:szCs w:val="24"/>
                <w:highlight w:val="none"/>
              </w:rPr>
              <w:t xml:space="preserve"> 日</w:t>
            </w:r>
          </w:p>
        </w:tc>
        <w:tc>
          <w:tcPr>
            <w:tcW w:w="288" w:type="dxa"/>
            <w:vAlign w:val="center"/>
          </w:tcPr>
          <w:p w14:paraId="2785F40C">
            <w:pPr>
              <w:ind w:right="0"/>
              <w:rPr>
                <w:color w:val="auto"/>
                <w:szCs w:val="24"/>
                <w:highlight w:val="none"/>
              </w:rPr>
            </w:pPr>
          </w:p>
        </w:tc>
        <w:tc>
          <w:tcPr>
            <w:tcW w:w="4392" w:type="dxa"/>
            <w:vAlign w:val="center"/>
          </w:tcPr>
          <w:p w14:paraId="7B20AF57">
            <w:pPr>
              <w:ind w:right="0"/>
              <w:rPr>
                <w:color w:val="auto"/>
                <w:szCs w:val="24"/>
                <w:highlight w:val="none"/>
              </w:rPr>
            </w:pPr>
            <w:r>
              <w:rPr>
                <w:rFonts w:hint="eastAsia"/>
                <w:color w:val="auto"/>
                <w:szCs w:val="24"/>
                <w:highlight w:val="none"/>
              </w:rPr>
              <w:t>日期：</w:t>
            </w:r>
            <w:r>
              <w:rPr>
                <w:rFonts w:hint="eastAsia"/>
                <w:color w:val="auto"/>
                <w:szCs w:val="24"/>
                <w:highlight w:val="none"/>
                <w:lang w:val="en-US" w:eastAsia="zh-CN"/>
              </w:rPr>
              <w:t xml:space="preserve">   </w:t>
            </w:r>
            <w:r>
              <w:rPr>
                <w:rFonts w:hint="eastAsia"/>
                <w:color w:val="auto"/>
                <w:szCs w:val="24"/>
                <w:highlight w:val="none"/>
              </w:rPr>
              <w:t>年</w:t>
            </w:r>
            <w:r>
              <w:rPr>
                <w:rFonts w:hint="eastAsia"/>
                <w:color w:val="auto"/>
                <w:szCs w:val="24"/>
                <w:highlight w:val="none"/>
                <w:lang w:val="en-US" w:eastAsia="zh-CN"/>
              </w:rPr>
              <w:t xml:space="preserve">   </w:t>
            </w:r>
            <w:r>
              <w:rPr>
                <w:rFonts w:hint="eastAsia"/>
                <w:color w:val="auto"/>
                <w:szCs w:val="24"/>
                <w:highlight w:val="none"/>
              </w:rPr>
              <w:t xml:space="preserve">月 </w:t>
            </w:r>
            <w:r>
              <w:rPr>
                <w:rFonts w:hint="eastAsia"/>
                <w:color w:val="auto"/>
                <w:szCs w:val="24"/>
                <w:highlight w:val="none"/>
                <w:lang w:val="en-US" w:eastAsia="zh-CN"/>
              </w:rPr>
              <w:t xml:space="preserve">   </w:t>
            </w:r>
            <w:r>
              <w:rPr>
                <w:rFonts w:hint="eastAsia"/>
                <w:color w:val="auto"/>
                <w:szCs w:val="24"/>
                <w:highlight w:val="none"/>
              </w:rPr>
              <w:t>日</w:t>
            </w:r>
          </w:p>
        </w:tc>
      </w:tr>
    </w:tbl>
    <w:p w14:paraId="33377AA3">
      <w:pPr>
        <w:spacing w:line="360" w:lineRule="auto"/>
        <w:rPr>
          <w:rFonts w:hint="eastAsia" w:ascii="宋体" w:hAnsi="宋体" w:eastAsia="宋体" w:cs="宋体"/>
          <w:color w:val="auto"/>
          <w:sz w:val="28"/>
          <w:szCs w:val="28"/>
          <w:highlight w:val="none"/>
        </w:rPr>
      </w:pPr>
    </w:p>
    <w:p w14:paraId="7084B738">
      <w:pPr>
        <w:spacing w:line="360" w:lineRule="auto"/>
        <w:rPr>
          <w:rFonts w:hint="eastAsia" w:ascii="宋体" w:hAnsi="宋体" w:eastAsia="宋体" w:cs="宋体"/>
          <w:color w:val="auto"/>
          <w:sz w:val="28"/>
          <w:szCs w:val="28"/>
          <w:highlight w:val="none"/>
        </w:rPr>
      </w:pPr>
    </w:p>
    <w:p w14:paraId="71BA98B2">
      <w:pPr>
        <w:spacing w:line="360" w:lineRule="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w:t>
      </w:r>
    </w:p>
    <w:p w14:paraId="2D4B975E">
      <w:pPr>
        <w:spacing w:line="360" w:lineRule="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《保密协议》</w:t>
      </w:r>
    </w:p>
    <w:p w14:paraId="0AB4E430">
      <w:pPr>
        <w:spacing w:line="360" w:lineRule="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《廉洁承诺书》</w:t>
      </w:r>
    </w:p>
    <w:p w14:paraId="5EDF00B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5C1BF72">
      <w:pPr>
        <w:pStyle w:val="4"/>
        <w:bidi w:val="0"/>
        <w:rPr>
          <w:rFonts w:hint="eastAsia" w:ascii="仿宋" w:hAnsi="仿宋" w:eastAsia="仿宋" w:cs="仿宋"/>
          <w:b/>
          <w:bCs/>
          <w:color w:val="auto"/>
          <w:kern w:val="0"/>
          <w:szCs w:val="44"/>
          <w:highlight w:val="none"/>
          <w:lang w:eastAsia="zh-CN"/>
        </w:rPr>
      </w:pPr>
      <w:bookmarkStart w:id="62" w:name="_Toc22960"/>
      <w:r>
        <w:rPr>
          <w:rFonts w:hint="eastAsia"/>
          <w:color w:val="auto"/>
          <w:highlight w:val="none"/>
          <w:lang w:eastAsia="zh-CN"/>
        </w:rPr>
        <w:t>保密协议</w:t>
      </w:r>
    </w:p>
    <w:p w14:paraId="7B0C0772">
      <w:pPr>
        <w:widowControl/>
        <w:adjustRightInd w:val="0"/>
        <w:snapToGrid w:val="0"/>
        <w:spacing w:line="420" w:lineRule="exact"/>
        <w:jc w:val="center"/>
        <w:rPr>
          <w:rFonts w:hint="eastAsia" w:ascii="仿宋" w:hAnsi="仿宋" w:eastAsia="仿宋" w:cs="仿宋"/>
          <w:b/>
          <w:bCs/>
          <w:color w:val="auto"/>
          <w:kern w:val="0"/>
          <w:sz w:val="44"/>
          <w:szCs w:val="44"/>
          <w:highlight w:val="none"/>
          <w:lang w:eastAsia="zh-CN"/>
        </w:rPr>
      </w:pPr>
    </w:p>
    <w:p w14:paraId="08E8D87A">
      <w:pPr>
        <w:widowControl/>
        <w:adjustRightInd w:val="0"/>
        <w:snapToGrid w:val="0"/>
        <w:spacing w:line="6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甲方：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法定代表人：</w:t>
      </w:r>
    </w:p>
    <w:p w14:paraId="5F185453">
      <w:pPr>
        <w:widowControl/>
        <w:adjustRightInd w:val="0"/>
        <w:snapToGrid w:val="0"/>
        <w:spacing w:line="60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乙方：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法定代表人：</w:t>
      </w:r>
    </w:p>
    <w:p w14:paraId="64F2450F">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在业务协商及合作过程中，甲方将向乙方披露或乙方将从甲方处知悉保密信息。为保护甲方的合法权益，经平等自愿协商一致，甲乙双方特就保密事宜签订本协议共同遵照履行。</w:t>
      </w:r>
    </w:p>
    <w:p w14:paraId="62F690EC">
      <w:pPr>
        <w:widowControl/>
        <w:adjustRightInd w:val="0"/>
        <w:snapToGrid w:val="0"/>
        <w:spacing w:line="520" w:lineRule="exact"/>
        <w:ind w:firstLine="470"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第一条  保密信息</w:t>
      </w:r>
    </w:p>
    <w:p w14:paraId="56CB0E0F">
      <w:pPr>
        <w:widowControl/>
        <w:adjustRightInd w:val="0"/>
        <w:snapToGrid w:val="0"/>
        <w:spacing w:line="52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本协议所称保密信息为甲乙双方在洽谈、协商或合作中，乙方知晓甲方的</w:t>
      </w:r>
      <w:r>
        <w:rPr>
          <w:rFonts w:hint="eastAsia" w:ascii="宋体" w:hAnsi="宋体" w:eastAsia="宋体" w:cs="宋体"/>
          <w:bCs/>
          <w:color w:val="auto"/>
          <w:kern w:val="0"/>
          <w:sz w:val="24"/>
          <w:szCs w:val="24"/>
          <w:highlight w:val="none"/>
          <w:lang w:eastAsia="zh-CN"/>
        </w:rPr>
        <w:t>任何工作秘密信息，包括但不限于</w:t>
      </w:r>
      <w:r>
        <w:rPr>
          <w:rFonts w:hint="eastAsia" w:ascii="宋体" w:hAnsi="宋体" w:eastAsia="宋体" w:cs="宋体"/>
          <w:bCs/>
          <w:color w:val="auto"/>
          <w:kern w:val="0"/>
          <w:sz w:val="24"/>
          <w:szCs w:val="24"/>
          <w:highlight w:val="none"/>
        </w:rPr>
        <w:t>以下信息：</w:t>
      </w:r>
    </w:p>
    <w:p w14:paraId="05D814B6">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1.押犯信息：人数、罪名等。</w:t>
      </w:r>
    </w:p>
    <w:p w14:paraId="692F8B63">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2.场所信息：建筑物、场所</w:t>
      </w:r>
      <w:r>
        <w:rPr>
          <w:rFonts w:hint="eastAsia" w:ascii="宋体" w:hAnsi="宋体" w:cs="宋体"/>
          <w:color w:val="auto"/>
          <w:kern w:val="0"/>
          <w:sz w:val="24"/>
          <w:szCs w:val="24"/>
          <w:highlight w:val="none"/>
          <w:lang w:eastAsia="zh-CN"/>
        </w:rPr>
        <w:t>布局</w:t>
      </w:r>
      <w:r>
        <w:rPr>
          <w:rFonts w:hint="eastAsia" w:ascii="宋体" w:hAnsi="宋体" w:eastAsia="宋体" w:cs="宋体"/>
          <w:color w:val="auto"/>
          <w:kern w:val="0"/>
          <w:sz w:val="24"/>
          <w:szCs w:val="24"/>
          <w:highlight w:val="none"/>
        </w:rPr>
        <w:t>等。</w:t>
      </w:r>
    </w:p>
    <w:p w14:paraId="69B9DE38">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3.警戒信息：现场能见的警力、安防设施等。</w:t>
      </w:r>
    </w:p>
    <w:p w14:paraId="447B1D5E">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4.甲方与乙方所洽谈、协商或合作事宜本身及相关内容。</w:t>
      </w:r>
    </w:p>
    <w:p w14:paraId="268623FD">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5.甲方依照法律规定或者有关协议的约定对外承担保密义务的事项。</w:t>
      </w:r>
    </w:p>
    <w:p w14:paraId="1ABB8028">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6.甲方尚未对外公开披露的信息。</w:t>
      </w:r>
    </w:p>
    <w:p w14:paraId="0AC4D96D">
      <w:pPr>
        <w:widowControl/>
        <w:adjustRightInd w:val="0"/>
        <w:snapToGrid w:val="0"/>
        <w:spacing w:line="520" w:lineRule="exact"/>
        <w:ind w:firstLine="470"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第二条  保密义务 </w:t>
      </w:r>
    </w:p>
    <w:p w14:paraId="153A1655">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color w:val="auto"/>
          <w:kern w:val="0"/>
          <w:sz w:val="24"/>
          <w:szCs w:val="24"/>
          <w:highlight w:val="none"/>
        </w:rPr>
        <w:t>乙方应当严格遵守保密义务，禁止将保密信息对外披露、公布或泄露。</w:t>
      </w:r>
    </w:p>
    <w:p w14:paraId="6B0059BE">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kern w:val="0"/>
          <w:sz w:val="24"/>
          <w:szCs w:val="24"/>
          <w:highlight w:val="none"/>
        </w:rPr>
        <w:t xml:space="preserve">乙方应采取一切合理且不低于乙方对其自身类似保密信息所采取的措施来保护甲方向其披露的保密信息，以防止保密信息被盗窃及/或泄露、未经授权的使用、因任何第三人的疏忽导致保密信息的泄露。 </w:t>
      </w:r>
    </w:p>
    <w:p w14:paraId="3D4ACD2B">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color w:val="auto"/>
          <w:kern w:val="0"/>
          <w:sz w:val="24"/>
          <w:szCs w:val="24"/>
          <w:highlight w:val="none"/>
        </w:rPr>
        <w:t xml:space="preserve">乙方保证其在合作中有必要知晓保密信息的雇员及关联方，受到与本协议同等严格保密义务的约束。 </w:t>
      </w:r>
    </w:p>
    <w:p w14:paraId="682D1930">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4.</w:t>
      </w:r>
      <w:r>
        <w:rPr>
          <w:rFonts w:hint="eastAsia" w:ascii="宋体" w:hAnsi="宋体" w:eastAsia="宋体" w:cs="宋体"/>
          <w:color w:val="auto"/>
          <w:kern w:val="0"/>
          <w:sz w:val="24"/>
          <w:szCs w:val="24"/>
          <w:highlight w:val="none"/>
        </w:rPr>
        <w:t xml:space="preserve">无论因为何种原因导致甲乙双方合作目的未予实现，乙方应当在甲方通知之日起3日内返还并销毁其所获取的所有保密信息，不得以任何理由和方式保留。 </w:t>
      </w:r>
    </w:p>
    <w:p w14:paraId="72865F87">
      <w:pPr>
        <w:widowControl/>
        <w:adjustRightInd w:val="0"/>
        <w:snapToGrid w:val="0"/>
        <w:spacing w:line="520" w:lineRule="exact"/>
        <w:ind w:firstLine="470"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第三条 保密期限 </w:t>
      </w:r>
    </w:p>
    <w:p w14:paraId="6CDAE8FD">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color w:val="auto"/>
          <w:kern w:val="0"/>
          <w:sz w:val="24"/>
          <w:szCs w:val="24"/>
          <w:highlight w:val="none"/>
        </w:rPr>
        <w:t xml:space="preserve">本协议项下的保密期限，自本协议签订生效之日起至保密信息被甲方依法公开披露或成为公开信息之日止。 </w:t>
      </w:r>
    </w:p>
    <w:p w14:paraId="0A41C863">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kern w:val="0"/>
          <w:sz w:val="24"/>
          <w:szCs w:val="24"/>
          <w:highlight w:val="none"/>
        </w:rPr>
        <w:t xml:space="preserve">不论以何种方式解除或终止甲乙双方之间的合作事宜已经及/或将要签署的协议，本保密协议仍然有效，直至相关保密信息被甲方依法公开披露或成为公开信息。 </w:t>
      </w:r>
    </w:p>
    <w:p w14:paraId="1B43D1F5">
      <w:pPr>
        <w:widowControl/>
        <w:adjustRightInd w:val="0"/>
        <w:snapToGrid w:val="0"/>
        <w:spacing w:line="520" w:lineRule="exact"/>
        <w:ind w:firstLine="470"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第四条 违约责任 </w:t>
      </w:r>
    </w:p>
    <w:p w14:paraId="1D93308C">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color w:val="auto"/>
          <w:kern w:val="0"/>
          <w:sz w:val="24"/>
          <w:szCs w:val="24"/>
          <w:highlight w:val="none"/>
        </w:rPr>
        <w:t xml:space="preserve">.乙方未遵守本协议约定的保密义务，应向甲方承担违约责任。 </w:t>
      </w:r>
    </w:p>
    <w:p w14:paraId="5F295C84">
      <w:pPr>
        <w:widowControl/>
        <w:adjustRightInd w:val="0"/>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kern w:val="0"/>
          <w:sz w:val="24"/>
          <w:szCs w:val="24"/>
          <w:highlight w:val="none"/>
        </w:rPr>
        <w:t>.乙方因其违约行为而致使甲方遭受追责的，乙方应承担全部责任。</w:t>
      </w:r>
    </w:p>
    <w:p w14:paraId="4752FFB3">
      <w:pPr>
        <w:widowControl/>
        <w:adjustRightInd w:val="0"/>
        <w:snapToGrid w:val="0"/>
        <w:spacing w:line="520" w:lineRule="exact"/>
        <w:ind w:firstLine="470"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第五条 附则 </w:t>
      </w:r>
    </w:p>
    <w:p w14:paraId="54281103">
      <w:pPr>
        <w:widowControl/>
        <w:adjustRightInd w:val="0"/>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color w:val="auto"/>
          <w:kern w:val="0"/>
          <w:sz w:val="24"/>
          <w:szCs w:val="24"/>
          <w:highlight w:val="none"/>
        </w:rPr>
        <w:t xml:space="preserve">本协议经双方签字盖章生效。 </w:t>
      </w:r>
    </w:p>
    <w:p w14:paraId="0664A30F">
      <w:pPr>
        <w:widowControl/>
        <w:adjustRightInd w:val="0"/>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kern w:val="0"/>
          <w:sz w:val="24"/>
          <w:szCs w:val="24"/>
          <w:highlight w:val="none"/>
        </w:rPr>
        <w:t>本协议一式两份，双方各持一份；各份具有同等法律效力。</w:t>
      </w:r>
    </w:p>
    <w:p w14:paraId="5D2F2BD8">
      <w:pPr>
        <w:widowControl/>
        <w:adjustRightInd w:val="0"/>
        <w:snapToGrid w:val="0"/>
        <w:spacing w:line="520" w:lineRule="exact"/>
        <w:rPr>
          <w:rFonts w:hint="eastAsia" w:ascii="宋体" w:hAnsi="宋体" w:eastAsia="宋体" w:cs="宋体"/>
          <w:color w:val="auto"/>
          <w:kern w:val="0"/>
          <w:sz w:val="24"/>
          <w:szCs w:val="24"/>
          <w:highlight w:val="none"/>
        </w:rPr>
      </w:pPr>
    </w:p>
    <w:p w14:paraId="66BF7452">
      <w:pPr>
        <w:widowControl/>
        <w:adjustRightInd w:val="0"/>
        <w:snapToGrid w:val="0"/>
        <w:spacing w:line="520" w:lineRule="exact"/>
        <w:rPr>
          <w:rFonts w:hint="eastAsia" w:ascii="宋体" w:hAnsi="宋体" w:eastAsia="宋体" w:cs="宋体"/>
          <w:color w:val="auto"/>
          <w:kern w:val="0"/>
          <w:sz w:val="24"/>
          <w:szCs w:val="24"/>
          <w:highlight w:val="none"/>
        </w:rPr>
      </w:pPr>
    </w:p>
    <w:p w14:paraId="7DF5B8AD">
      <w:pPr>
        <w:widowControl/>
        <w:adjustRightInd w:val="0"/>
        <w:snapToGrid w:val="0"/>
        <w:spacing w:line="52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甲方</w:t>
      </w:r>
      <w:r>
        <w:rPr>
          <w:rFonts w:hint="eastAsia" w:ascii="宋体" w:hAnsi="宋体" w:eastAsia="宋体" w:cs="宋体"/>
          <w:color w:val="auto"/>
          <w:kern w:val="0"/>
          <w:sz w:val="24"/>
          <w:szCs w:val="24"/>
          <w:highlight w:val="none"/>
        </w:rPr>
        <w:t xml:space="preserve">（盖章）：                      </w:t>
      </w:r>
      <w:r>
        <w:rPr>
          <w:rFonts w:hint="eastAsia" w:ascii="宋体" w:hAnsi="宋体" w:eastAsia="宋体" w:cs="宋体"/>
          <w:b/>
          <w:color w:val="auto"/>
          <w:kern w:val="0"/>
          <w:sz w:val="24"/>
          <w:szCs w:val="24"/>
          <w:highlight w:val="none"/>
        </w:rPr>
        <w:t>乙方</w:t>
      </w:r>
      <w:r>
        <w:rPr>
          <w:rFonts w:hint="eastAsia" w:ascii="宋体" w:hAnsi="宋体" w:eastAsia="宋体" w:cs="宋体"/>
          <w:color w:val="auto"/>
          <w:kern w:val="0"/>
          <w:sz w:val="24"/>
          <w:szCs w:val="24"/>
          <w:highlight w:val="none"/>
        </w:rPr>
        <w:t xml:space="preserve">（签章）： </w:t>
      </w:r>
    </w:p>
    <w:p w14:paraId="25157D46">
      <w:pPr>
        <w:widowControl/>
        <w:adjustRightInd w:val="0"/>
        <w:snapToGrid w:val="0"/>
        <w:spacing w:line="5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                 </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法定代表人：</w:t>
      </w:r>
    </w:p>
    <w:p w14:paraId="3392AA5E">
      <w:pPr>
        <w:widowControl/>
        <w:adjustRightInd w:val="0"/>
        <w:snapToGrid w:val="0"/>
        <w:spacing w:line="520" w:lineRule="exact"/>
        <w:rPr>
          <w:rFonts w:hint="eastAsia" w:ascii="仿宋_GB2312" w:hAnsi="仿宋" w:eastAsia="仿宋_GB2312" w:cs="仿宋"/>
          <w:color w:val="auto"/>
          <w:sz w:val="24"/>
          <w:szCs w:val="24"/>
          <w:highlight w:val="none"/>
        </w:rPr>
      </w:pPr>
      <w:r>
        <w:rPr>
          <w:rFonts w:hint="eastAsia" w:ascii="宋体" w:hAnsi="宋体" w:eastAsia="宋体" w:cs="宋体"/>
          <w:color w:val="auto"/>
          <w:kern w:val="0"/>
          <w:sz w:val="24"/>
          <w:szCs w:val="24"/>
          <w:highlight w:val="none"/>
        </w:rPr>
        <w:t>日期：                              日期：</w:t>
      </w:r>
    </w:p>
    <w:p w14:paraId="35F91CC0">
      <w:pPr>
        <w:pStyle w:val="12"/>
        <w:spacing w:line="280" w:lineRule="auto"/>
        <w:rPr>
          <w:rFonts w:hint="eastAsia" w:ascii="宋体" w:hAnsi="宋体" w:eastAsia="宋体" w:cs="宋体"/>
          <w:color w:val="auto"/>
          <w:highlight w:val="none"/>
        </w:rPr>
      </w:pPr>
    </w:p>
    <w:p w14:paraId="7338A54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175A751">
      <w:pPr>
        <w:pStyle w:val="4"/>
        <w:bidi w:val="0"/>
        <w:rPr>
          <w:rFonts w:hint="eastAsia" w:ascii="方正小标宋简体" w:eastAsia="方正小标宋简体"/>
          <w:color w:val="auto"/>
          <w:szCs w:val="32"/>
          <w:highlight w:val="none"/>
        </w:rPr>
      </w:pPr>
      <w:r>
        <w:rPr>
          <w:rFonts w:hint="eastAsia"/>
          <w:color w:val="auto"/>
          <w:highlight w:val="none"/>
        </w:rPr>
        <w:t>廉洁承诺书</w:t>
      </w:r>
    </w:p>
    <w:p w14:paraId="154E6F8A">
      <w:pPr>
        <w:jc w:val="center"/>
        <w:rPr>
          <w:rFonts w:hint="eastAsia" w:ascii="宋体" w:hAnsi="宋体" w:eastAsia="宋体" w:cs="宋体"/>
          <w:color w:val="auto"/>
          <w:sz w:val="24"/>
          <w:szCs w:val="24"/>
          <w:highlight w:val="none"/>
        </w:rPr>
      </w:pPr>
    </w:p>
    <w:p w14:paraId="38105EEB">
      <w:pPr>
        <w:spacing w:line="660" w:lineRule="exact"/>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为进一步加强廉洁自律建设，增强物资供应商在供应过程中遵纪守法的自觉性，从思想源头上杜绝违规违纪事件的发生，特制定供应商廉洁承诺相关规定：</w:t>
      </w:r>
    </w:p>
    <w:p w14:paraId="486924AD">
      <w:pPr>
        <w:spacing w:line="660" w:lineRule="exact"/>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一、在业务往来中，须严格遵守监狱有关的规章制度和廉洁从业规定，坚持公平、公开、公正、诚实信用的原则，决不损害监狱的利益;</w:t>
      </w:r>
    </w:p>
    <w:p w14:paraId="45611DD2">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二、不向监狱方工作人员提供礼金、有价证券、微信红包、贵重物品、各类礼物和好处费、感谢费等；</w:t>
      </w:r>
    </w:p>
    <w:p w14:paraId="038E589D">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三、不为监狱方工作人员报销任何应由监狱方或个人承担的费用；</w:t>
      </w:r>
    </w:p>
    <w:p w14:paraId="68D82FC3">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四、不请监狱方工作人员参加可能影响正常履行公职的娱乐和</w:t>
      </w:r>
      <w:r>
        <w:rPr>
          <w:rFonts w:hint="eastAsia" w:ascii="宋体" w:hAnsi="宋体" w:cs="宋体"/>
          <w:color w:val="auto"/>
          <w:sz w:val="24"/>
          <w:szCs w:val="24"/>
          <w:highlight w:val="none"/>
          <w:lang w:eastAsia="zh-CN"/>
        </w:rPr>
        <w:t>其他消费</w:t>
      </w:r>
      <w:r>
        <w:rPr>
          <w:rFonts w:hint="eastAsia" w:ascii="宋体" w:hAnsi="宋体" w:eastAsia="宋体" w:cs="宋体"/>
          <w:color w:val="auto"/>
          <w:sz w:val="24"/>
          <w:szCs w:val="24"/>
          <w:highlight w:val="none"/>
        </w:rPr>
        <w:t>活动；</w:t>
      </w:r>
    </w:p>
    <w:p w14:paraId="7E6F35C6">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五、不接受监狱方工作人员要求、暗示为其个人或亲属日常生活、消费提供方便；</w:t>
      </w:r>
    </w:p>
    <w:p w14:paraId="761D6072">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六、不与监狱方工作人员有目的私下接触，不一对一谈业务；</w:t>
      </w:r>
    </w:p>
    <w:p w14:paraId="5FAAC6F3">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七、遵守监狱的保密规定，不与罪犯私下进行接触，不</w:t>
      </w:r>
      <w:r>
        <w:rPr>
          <w:rFonts w:hint="eastAsia" w:ascii="宋体" w:hAnsi="宋体" w:cs="宋体"/>
          <w:color w:val="auto"/>
          <w:sz w:val="24"/>
          <w:szCs w:val="24"/>
          <w:highlight w:val="none"/>
          <w:lang w:eastAsia="zh-CN"/>
        </w:rPr>
        <w:t>作为</w:t>
      </w:r>
      <w:r>
        <w:rPr>
          <w:rFonts w:hint="eastAsia" w:ascii="宋体" w:hAnsi="宋体" w:eastAsia="宋体" w:cs="宋体"/>
          <w:color w:val="auto"/>
          <w:sz w:val="24"/>
          <w:szCs w:val="24"/>
          <w:highlight w:val="none"/>
        </w:rPr>
        <w:t>其捎带物品等</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不利于罪犯监管改造的行为；</w:t>
      </w:r>
    </w:p>
    <w:p w14:paraId="6FF21FB2">
      <w:pPr>
        <w:spacing w:line="6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若发现供应商违反承诺，经监狱监督部门认定违规事实后，报监狱党委研究不支付相应比例的供货款，或从供货单位交纳的履约保证金中扣除相应部分；若供应商的行为致使监狱方工作人员违规或违法的，报请监狱党委审议后，将供应商列入监狱供应商黑名单。</w:t>
      </w:r>
    </w:p>
    <w:p w14:paraId="5B75CDED">
      <w:pPr>
        <w:spacing w:line="7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承诺单位及法人代表（或委托人）：</w:t>
      </w:r>
    </w:p>
    <w:p w14:paraId="6E0DB334">
      <w:pPr>
        <w:spacing w:line="700" w:lineRule="exact"/>
        <w:ind w:firstLine="4080" w:firstLineChars="17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DA55A9">
      <w:pPr>
        <w:rPr>
          <w:rFonts w:hint="eastAsia" w:ascii="宋体" w:hAnsi="宋体" w:eastAsia="宋体" w:cs="宋体"/>
          <w:color w:val="auto"/>
          <w:sz w:val="24"/>
          <w:szCs w:val="24"/>
          <w:highlight w:val="none"/>
        </w:rPr>
      </w:pPr>
    </w:p>
    <w:p w14:paraId="221A285F">
      <w:pPr>
        <w:rPr>
          <w:rFonts w:hint="eastAsia" w:ascii="宋体" w:hAnsi="宋体" w:eastAsia="宋体" w:cs="宋体"/>
          <w:color w:val="auto"/>
          <w:highlight w:val="none"/>
        </w:rPr>
      </w:pPr>
      <w:bookmarkStart w:id="63" w:name="_Toc29221"/>
      <w:r>
        <w:rPr>
          <w:rFonts w:hint="eastAsia" w:ascii="宋体" w:hAnsi="宋体" w:eastAsia="宋体" w:cs="宋体"/>
          <w:color w:val="auto"/>
          <w:highlight w:val="none"/>
        </w:rPr>
        <w:br w:type="page"/>
      </w:r>
    </w:p>
    <w:bookmarkEnd w:id="62"/>
    <w:bookmarkEnd w:id="63"/>
    <w:p w14:paraId="3B8FDC1F">
      <w:pPr>
        <w:pStyle w:val="3"/>
        <w:bidi w:val="0"/>
        <w:rPr>
          <w:rFonts w:hint="eastAsia" w:ascii="宋体" w:hAnsi="宋体" w:eastAsia="宋体" w:cs="宋体"/>
          <w:color w:val="auto"/>
          <w:highlight w:val="none"/>
        </w:rPr>
      </w:pPr>
      <w:bookmarkStart w:id="64" w:name="_Toc6670"/>
      <w:bookmarkStart w:id="65" w:name="_Toc26175"/>
      <w:r>
        <w:rPr>
          <w:rFonts w:hint="eastAsia" w:ascii="宋体" w:hAnsi="宋体" w:eastAsia="宋体" w:cs="宋体"/>
          <w:color w:val="auto"/>
          <w:highlight w:val="none"/>
        </w:rPr>
        <w:t>第五章 采购需求</w:t>
      </w:r>
    </w:p>
    <w:p w14:paraId="1983D42E">
      <w:pPr>
        <w:pStyle w:val="4"/>
        <w:bidi w:val="0"/>
        <w:jc w:val="left"/>
        <w:rPr>
          <w:rFonts w:hint="default"/>
          <w:color w:val="auto"/>
          <w:highlight w:val="none"/>
          <w:lang w:val="en-US" w:eastAsia="zh-CN"/>
        </w:rPr>
      </w:pPr>
      <w:r>
        <w:rPr>
          <w:rFonts w:hint="eastAsia"/>
          <w:color w:val="auto"/>
          <w:highlight w:val="none"/>
          <w:lang w:val="en-US" w:eastAsia="zh-CN"/>
        </w:rPr>
        <w:t>一、项目概况</w:t>
      </w:r>
    </w:p>
    <w:p w14:paraId="0D95B5B3">
      <w:pPr>
        <w:bidi w:val="0"/>
        <w:ind w:left="0" w:leftChars="0" w:firstLine="48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项目名称：福海某某单位2026年度大宗生活物资采购。</w:t>
      </w:r>
    </w:p>
    <w:p w14:paraId="44EE3154">
      <w:pPr>
        <w:bidi w:val="0"/>
        <w:ind w:left="0" w:leftChars="0" w:firstLine="480" w:firstLineChars="200"/>
        <w:rPr>
          <w:rFonts w:hint="eastAsia"/>
          <w:color w:val="auto"/>
          <w:highlight w:val="none"/>
          <w:lang w:eastAsia="zh-CN"/>
        </w:rPr>
      </w:pPr>
      <w:r>
        <w:rPr>
          <w:rFonts w:hint="eastAsia"/>
          <w:color w:val="auto"/>
          <w:highlight w:val="none"/>
          <w:lang w:val="en-US" w:eastAsia="zh-CN"/>
        </w:rPr>
        <w:t>2、项目编号：</w:t>
      </w:r>
      <w:r>
        <w:rPr>
          <w:rFonts w:hint="eastAsia" w:ascii="宋体" w:hAnsi="宋体" w:eastAsia="宋体" w:cs="宋体"/>
          <w:color w:val="auto"/>
          <w:sz w:val="24"/>
          <w:szCs w:val="24"/>
          <w:highlight w:val="none"/>
          <w:lang w:eastAsia="zh-CN"/>
        </w:rPr>
        <w:t>XJL-ZB-2026-31</w:t>
      </w:r>
    </w:p>
    <w:p w14:paraId="6C2652DB">
      <w:pPr>
        <w:bidi w:val="0"/>
        <w:ind w:left="0" w:leftChars="0" w:firstLine="480" w:firstLineChars="200"/>
        <w:rPr>
          <w:rFonts w:hint="eastAsia"/>
          <w:color w:val="auto"/>
          <w:highlight w:val="none"/>
          <w:lang w:val="en-US" w:eastAsia="zh-CN"/>
        </w:rPr>
      </w:pPr>
      <w:r>
        <w:rPr>
          <w:rFonts w:hint="eastAsia"/>
          <w:color w:val="auto"/>
          <w:highlight w:val="none"/>
          <w:lang w:val="en-US" w:eastAsia="zh-CN"/>
        </w:rPr>
        <w:t>3、预算金额（元）：11520000.00</w:t>
      </w:r>
    </w:p>
    <w:p w14:paraId="3B3E1F66">
      <w:pPr>
        <w:bidi w:val="0"/>
        <w:ind w:left="0" w:leftChars="0" w:firstLine="480" w:firstLineChars="200"/>
        <w:rPr>
          <w:rFonts w:hint="default"/>
          <w:color w:val="auto"/>
          <w:highlight w:val="none"/>
          <w:lang w:val="en-US" w:eastAsia="zh-CN"/>
        </w:rPr>
      </w:pPr>
      <w:r>
        <w:rPr>
          <w:rFonts w:hint="eastAsia"/>
          <w:color w:val="auto"/>
          <w:highlight w:val="none"/>
          <w:lang w:val="en-US" w:eastAsia="zh-CN"/>
        </w:rPr>
        <w:t>4、需求清单：</w:t>
      </w:r>
    </w:p>
    <w:p w14:paraId="22D6E405">
      <w:pPr>
        <w:pStyle w:val="5"/>
        <w:bidi w:val="0"/>
        <w:jc w:val="left"/>
        <w:rPr>
          <w:rFonts w:hint="default"/>
          <w:color w:val="auto"/>
          <w:highlight w:val="none"/>
          <w:lang w:val="en-US" w:eastAsia="zh-CN"/>
        </w:rPr>
      </w:pPr>
      <w:r>
        <w:rPr>
          <w:rFonts w:hint="eastAsia"/>
          <w:color w:val="auto"/>
          <w:highlight w:val="none"/>
          <w:lang w:val="en-US" w:eastAsia="zh-CN"/>
        </w:rPr>
        <w:t>标项1</w:t>
      </w:r>
    </w:p>
    <w:tbl>
      <w:tblPr>
        <w:tblStyle w:val="30"/>
        <w:tblW w:w="99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31"/>
        <w:gridCol w:w="1196"/>
        <w:gridCol w:w="1500"/>
        <w:gridCol w:w="1005"/>
        <w:gridCol w:w="1260"/>
        <w:gridCol w:w="1050"/>
        <w:gridCol w:w="1997"/>
        <w:gridCol w:w="755"/>
      </w:tblGrid>
      <w:tr w14:paraId="1CCF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8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0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E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4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54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C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7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21DC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blHead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0C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蛋禽肉类</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9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EE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白条鸡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46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新鲜、每只2.5kg以上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C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切块规格3x3cm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67E4">
            <w:pPr>
              <w:jc w:val="center"/>
              <w:rPr>
                <w:rFonts w:hint="eastAsia" w:ascii="宋体" w:hAnsi="宋体" w:eastAsia="宋体" w:cs="宋体"/>
                <w:i w:val="0"/>
                <w:iCs w:val="0"/>
                <w:color w:val="auto"/>
                <w:sz w:val="21"/>
                <w:szCs w:val="21"/>
                <w:highlight w:val="none"/>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0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CE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24B4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84CA">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F3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8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4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A14">
            <w:pPr>
              <w:jc w:val="center"/>
              <w:rPr>
                <w:rFonts w:hint="eastAsia" w:ascii="宋体" w:hAnsi="宋体" w:eastAsia="宋体" w:cs="宋体"/>
                <w:i w:val="0"/>
                <w:iCs w:val="0"/>
                <w:color w:val="auto"/>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9014">
            <w:pPr>
              <w:jc w:val="center"/>
              <w:rPr>
                <w:rFonts w:hint="eastAsia" w:ascii="宋体" w:hAnsi="宋体" w:eastAsia="宋体" w:cs="宋体"/>
                <w:i w:val="0"/>
                <w:iCs w:val="0"/>
                <w:color w:val="auto"/>
                <w:sz w:val="21"/>
                <w:szCs w:val="21"/>
                <w:highlight w:val="none"/>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B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D680">
            <w:pPr>
              <w:jc w:val="center"/>
              <w:rPr>
                <w:rFonts w:hint="eastAsia" w:ascii="宋体" w:hAnsi="宋体" w:eastAsia="宋体" w:cs="宋体"/>
                <w:i w:val="0"/>
                <w:iCs w:val="0"/>
                <w:color w:val="auto"/>
                <w:sz w:val="21"/>
                <w:szCs w:val="21"/>
                <w:highlight w:val="none"/>
                <w:u w:val="none"/>
              </w:rPr>
            </w:pPr>
          </w:p>
        </w:tc>
      </w:tr>
    </w:tbl>
    <w:p w14:paraId="72CD7EB1">
      <w:pPr>
        <w:rPr>
          <w:rFonts w:hint="eastAsia"/>
          <w:color w:val="auto"/>
          <w:highlight w:val="none"/>
          <w:lang w:val="en-US" w:eastAsia="zh-CN"/>
        </w:rPr>
      </w:pPr>
    </w:p>
    <w:p w14:paraId="7A0533F6">
      <w:pPr>
        <w:pStyle w:val="5"/>
        <w:bidi w:val="0"/>
        <w:jc w:val="left"/>
        <w:rPr>
          <w:rFonts w:hint="default"/>
          <w:color w:val="auto"/>
          <w:highlight w:val="none"/>
          <w:lang w:val="en-US" w:eastAsia="zh-CN"/>
        </w:rPr>
      </w:pPr>
      <w:r>
        <w:rPr>
          <w:rFonts w:hint="eastAsia"/>
          <w:color w:val="auto"/>
          <w:highlight w:val="none"/>
          <w:lang w:val="en-US" w:eastAsia="zh-CN"/>
        </w:rPr>
        <w:t>标项2</w:t>
      </w:r>
    </w:p>
    <w:tbl>
      <w:tblPr>
        <w:tblStyle w:val="30"/>
        <w:tblW w:w="99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31"/>
        <w:gridCol w:w="1339"/>
        <w:gridCol w:w="1387"/>
        <w:gridCol w:w="975"/>
        <w:gridCol w:w="1500"/>
        <w:gridCol w:w="1290"/>
        <w:gridCol w:w="1517"/>
        <w:gridCol w:w="755"/>
      </w:tblGrid>
      <w:tr w14:paraId="1D8F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2E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0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D9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8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B9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B4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32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F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A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0962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1D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肉类</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41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牛前腿肉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3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新鲜、剔骨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F8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A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切块规格12x12x40cm，肥肉率不高于10%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0CFB">
            <w:pPr>
              <w:jc w:val="center"/>
              <w:rPr>
                <w:rFonts w:hint="eastAsia" w:ascii="宋体" w:hAnsi="宋体" w:eastAsia="宋体" w:cs="宋体"/>
                <w:i w:val="0"/>
                <w:iCs w:val="0"/>
                <w:color w:val="auto"/>
                <w:sz w:val="21"/>
                <w:szCs w:val="21"/>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8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6E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r>
      <w:tr w14:paraId="0D7C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AD0B">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B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2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牛后腿肉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1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新鲜、剔骨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5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切块规格12x12x40cm,，肥肉率不高于5%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B65C">
            <w:pPr>
              <w:jc w:val="center"/>
              <w:rPr>
                <w:rFonts w:hint="eastAsia" w:ascii="宋体" w:hAnsi="宋体" w:eastAsia="宋体" w:cs="宋体"/>
                <w:i w:val="0"/>
                <w:iCs w:val="0"/>
                <w:color w:val="auto"/>
                <w:sz w:val="21"/>
                <w:szCs w:val="21"/>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C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2CCE">
            <w:pPr>
              <w:jc w:val="center"/>
              <w:rPr>
                <w:rFonts w:hint="eastAsia" w:ascii="宋体" w:hAnsi="宋体" w:eastAsia="宋体" w:cs="宋体"/>
                <w:i w:val="0"/>
                <w:iCs w:val="0"/>
                <w:color w:val="auto"/>
                <w:sz w:val="21"/>
                <w:szCs w:val="21"/>
                <w:highlight w:val="none"/>
                <w:u w:val="none"/>
              </w:rPr>
            </w:pPr>
          </w:p>
        </w:tc>
      </w:tr>
      <w:tr w14:paraId="08A0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9ED7">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A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A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9CBD">
            <w:pPr>
              <w:jc w:val="center"/>
              <w:rPr>
                <w:rFonts w:hint="eastAsia" w:ascii="宋体" w:hAnsi="宋体" w:eastAsia="宋体" w:cs="宋体"/>
                <w:i w:val="0"/>
                <w:iCs w:val="0"/>
                <w:color w:val="auto"/>
                <w:sz w:val="21"/>
                <w:szCs w:val="21"/>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C8CA">
            <w:pPr>
              <w:jc w:val="center"/>
              <w:rPr>
                <w:rFonts w:hint="eastAsia" w:ascii="宋体" w:hAnsi="宋体" w:eastAsia="宋体" w:cs="宋体"/>
                <w:i w:val="0"/>
                <w:iCs w:val="0"/>
                <w:color w:val="auto"/>
                <w:sz w:val="21"/>
                <w:szCs w:val="21"/>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0CE1">
            <w:pPr>
              <w:jc w:val="center"/>
              <w:rPr>
                <w:rFonts w:hint="eastAsia" w:ascii="宋体" w:hAnsi="宋体" w:eastAsia="宋体" w:cs="宋体"/>
                <w:i w:val="0"/>
                <w:iCs w:val="0"/>
                <w:color w:val="auto"/>
                <w:sz w:val="21"/>
                <w:szCs w:val="21"/>
                <w:highlight w:val="none"/>
                <w:u w:val="none"/>
              </w:rPr>
            </w:pPr>
          </w:p>
        </w:tc>
      </w:tr>
    </w:tbl>
    <w:p w14:paraId="2688AA22">
      <w:pPr>
        <w:pStyle w:val="5"/>
        <w:bidi w:val="0"/>
        <w:jc w:val="left"/>
        <w:rPr>
          <w:rFonts w:hint="default"/>
          <w:color w:val="auto"/>
          <w:highlight w:val="none"/>
          <w:lang w:val="en-US" w:eastAsia="zh-CN"/>
        </w:rPr>
      </w:pPr>
      <w:r>
        <w:rPr>
          <w:rFonts w:hint="eastAsia"/>
          <w:color w:val="auto"/>
          <w:highlight w:val="none"/>
          <w:lang w:val="en-US" w:eastAsia="zh-CN"/>
        </w:rPr>
        <w:t>标项3</w:t>
      </w:r>
    </w:p>
    <w:tbl>
      <w:tblPr>
        <w:tblStyle w:val="30"/>
        <w:tblW w:w="991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1"/>
        <w:gridCol w:w="431"/>
        <w:gridCol w:w="1339"/>
        <w:gridCol w:w="1970"/>
        <w:gridCol w:w="691"/>
        <w:gridCol w:w="1581"/>
        <w:gridCol w:w="1581"/>
        <w:gridCol w:w="846"/>
        <w:gridCol w:w="755"/>
      </w:tblGrid>
      <w:tr w14:paraId="3088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blHeader/>
        </w:trPr>
        <w:tc>
          <w:tcPr>
            <w:tcW w:w="721" w:type="dxa"/>
            <w:shd w:val="clear" w:color="auto" w:fill="auto"/>
            <w:vAlign w:val="center"/>
          </w:tcPr>
          <w:p w14:paraId="029AFB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shd w:val="clear" w:color="auto" w:fill="auto"/>
            <w:vAlign w:val="center"/>
          </w:tcPr>
          <w:p w14:paraId="6DBB21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9" w:type="dxa"/>
            <w:shd w:val="clear" w:color="auto" w:fill="auto"/>
            <w:vAlign w:val="center"/>
          </w:tcPr>
          <w:p w14:paraId="7BD11A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970" w:type="dxa"/>
            <w:shd w:val="clear" w:color="auto" w:fill="auto"/>
            <w:vAlign w:val="center"/>
          </w:tcPr>
          <w:p w14:paraId="3FA39C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691" w:type="dxa"/>
            <w:shd w:val="clear" w:color="auto" w:fill="auto"/>
            <w:vAlign w:val="center"/>
          </w:tcPr>
          <w:p w14:paraId="22501A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1581" w:type="dxa"/>
            <w:shd w:val="clear" w:color="auto" w:fill="auto"/>
            <w:vAlign w:val="center"/>
          </w:tcPr>
          <w:p w14:paraId="76F81F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1581" w:type="dxa"/>
            <w:shd w:val="clear" w:color="auto" w:fill="auto"/>
            <w:vAlign w:val="center"/>
          </w:tcPr>
          <w:p w14:paraId="69EED8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846" w:type="dxa"/>
            <w:shd w:val="clear" w:color="auto" w:fill="auto"/>
            <w:vAlign w:val="center"/>
          </w:tcPr>
          <w:p w14:paraId="520D53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shd w:val="clear" w:color="auto" w:fill="auto"/>
            <w:vAlign w:val="center"/>
          </w:tcPr>
          <w:p w14:paraId="66A20D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555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blHeader/>
        </w:trPr>
        <w:tc>
          <w:tcPr>
            <w:tcW w:w="721" w:type="dxa"/>
            <w:vMerge w:val="restart"/>
            <w:shd w:val="clear" w:color="auto" w:fill="auto"/>
            <w:vAlign w:val="center"/>
          </w:tcPr>
          <w:p w14:paraId="4B348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蔬菜、水果类</w:t>
            </w:r>
          </w:p>
        </w:tc>
        <w:tc>
          <w:tcPr>
            <w:tcW w:w="431" w:type="dxa"/>
            <w:shd w:val="clear" w:color="auto" w:fill="auto"/>
            <w:vAlign w:val="center"/>
          </w:tcPr>
          <w:p w14:paraId="4566D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39" w:type="dxa"/>
            <w:shd w:val="clear" w:color="auto" w:fill="auto"/>
            <w:vAlign w:val="center"/>
          </w:tcPr>
          <w:p w14:paraId="6A979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蔬菜（含冬菜）</w:t>
            </w:r>
          </w:p>
        </w:tc>
        <w:tc>
          <w:tcPr>
            <w:tcW w:w="1970" w:type="dxa"/>
            <w:shd w:val="clear" w:color="auto" w:fill="auto"/>
            <w:vAlign w:val="center"/>
          </w:tcPr>
          <w:p w14:paraId="172CEC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时令、新鲜、土豆直径≥8cm；胡萝卜直径≥5cm，长度≥15cm；洋葱直径≥7cm；青萝卜长度≥20cm，单个重量300-450g；大葱粗度（直径）≥2cm，葱白≥25cm；白菜单颗重量≥5kg；包包菜单颗重量≥5kg</w:t>
            </w:r>
          </w:p>
        </w:tc>
        <w:tc>
          <w:tcPr>
            <w:tcW w:w="691" w:type="dxa"/>
            <w:shd w:val="clear" w:color="auto" w:fill="auto"/>
            <w:vAlign w:val="center"/>
          </w:tcPr>
          <w:p w14:paraId="660B9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581" w:type="dxa"/>
            <w:shd w:val="clear" w:color="auto" w:fill="auto"/>
            <w:vAlign w:val="center"/>
          </w:tcPr>
          <w:p w14:paraId="3152EF1C">
            <w:pPr>
              <w:jc w:val="center"/>
              <w:rPr>
                <w:rFonts w:hint="eastAsia" w:ascii="宋体" w:hAnsi="宋体" w:eastAsia="宋体" w:cs="宋体"/>
                <w:i w:val="0"/>
                <w:iCs w:val="0"/>
                <w:color w:val="auto"/>
                <w:sz w:val="21"/>
                <w:szCs w:val="21"/>
                <w:highlight w:val="none"/>
                <w:u w:val="none"/>
              </w:rPr>
            </w:pPr>
          </w:p>
        </w:tc>
        <w:tc>
          <w:tcPr>
            <w:tcW w:w="1581" w:type="dxa"/>
            <w:shd w:val="clear" w:color="auto" w:fill="auto"/>
            <w:vAlign w:val="center"/>
          </w:tcPr>
          <w:p w14:paraId="0AFD00E7">
            <w:pPr>
              <w:jc w:val="center"/>
              <w:rPr>
                <w:rFonts w:hint="eastAsia" w:ascii="宋体" w:hAnsi="宋体" w:eastAsia="宋体" w:cs="宋体"/>
                <w:i w:val="0"/>
                <w:iCs w:val="0"/>
                <w:color w:val="auto"/>
                <w:sz w:val="21"/>
                <w:szCs w:val="21"/>
                <w:highlight w:val="none"/>
                <w:u w:val="none"/>
              </w:rPr>
            </w:pPr>
          </w:p>
        </w:tc>
        <w:tc>
          <w:tcPr>
            <w:tcW w:w="846" w:type="dxa"/>
            <w:shd w:val="clear" w:color="auto" w:fill="auto"/>
            <w:vAlign w:val="center"/>
          </w:tcPr>
          <w:p w14:paraId="07369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restart"/>
            <w:shd w:val="clear" w:color="auto" w:fill="auto"/>
            <w:vAlign w:val="center"/>
          </w:tcPr>
          <w:p w14:paraId="2B60D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r>
      <w:tr w14:paraId="7617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blHeader/>
        </w:trPr>
        <w:tc>
          <w:tcPr>
            <w:tcW w:w="721" w:type="dxa"/>
            <w:vMerge w:val="continue"/>
            <w:shd w:val="clear" w:color="auto" w:fill="auto"/>
            <w:vAlign w:val="center"/>
          </w:tcPr>
          <w:p w14:paraId="1FC8DEB6">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72E4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39" w:type="dxa"/>
            <w:shd w:val="clear" w:color="auto" w:fill="auto"/>
            <w:vAlign w:val="center"/>
          </w:tcPr>
          <w:p w14:paraId="32EF3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水果</w:t>
            </w:r>
          </w:p>
        </w:tc>
        <w:tc>
          <w:tcPr>
            <w:tcW w:w="1970" w:type="dxa"/>
            <w:shd w:val="clear" w:color="auto" w:fill="auto"/>
            <w:vAlign w:val="center"/>
          </w:tcPr>
          <w:p w14:paraId="1E626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时令、新鲜、苹果单果重量≥200g，果径≥8cm；梨子单果重量≥100g，果径≥6cm；香蕉长度15-20cm</w:t>
            </w:r>
          </w:p>
        </w:tc>
        <w:tc>
          <w:tcPr>
            <w:tcW w:w="691" w:type="dxa"/>
            <w:shd w:val="clear" w:color="auto" w:fill="auto"/>
            <w:vAlign w:val="center"/>
          </w:tcPr>
          <w:p w14:paraId="1DBD4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581" w:type="dxa"/>
            <w:shd w:val="clear" w:color="auto" w:fill="auto"/>
            <w:vAlign w:val="center"/>
          </w:tcPr>
          <w:p w14:paraId="42385231">
            <w:pPr>
              <w:jc w:val="center"/>
              <w:rPr>
                <w:rFonts w:hint="eastAsia" w:ascii="宋体" w:hAnsi="宋体" w:eastAsia="宋体" w:cs="宋体"/>
                <w:i w:val="0"/>
                <w:iCs w:val="0"/>
                <w:color w:val="auto"/>
                <w:sz w:val="21"/>
                <w:szCs w:val="21"/>
                <w:highlight w:val="none"/>
                <w:u w:val="none"/>
              </w:rPr>
            </w:pPr>
          </w:p>
        </w:tc>
        <w:tc>
          <w:tcPr>
            <w:tcW w:w="1581" w:type="dxa"/>
            <w:shd w:val="clear" w:color="auto" w:fill="auto"/>
            <w:vAlign w:val="center"/>
          </w:tcPr>
          <w:p w14:paraId="0F7C0A22">
            <w:pPr>
              <w:jc w:val="center"/>
              <w:rPr>
                <w:rFonts w:hint="eastAsia" w:ascii="宋体" w:hAnsi="宋体" w:eastAsia="宋体" w:cs="宋体"/>
                <w:i w:val="0"/>
                <w:iCs w:val="0"/>
                <w:color w:val="auto"/>
                <w:sz w:val="21"/>
                <w:szCs w:val="21"/>
                <w:highlight w:val="none"/>
                <w:u w:val="none"/>
              </w:rPr>
            </w:pPr>
          </w:p>
        </w:tc>
        <w:tc>
          <w:tcPr>
            <w:tcW w:w="846" w:type="dxa"/>
            <w:shd w:val="clear" w:color="auto" w:fill="auto"/>
            <w:vAlign w:val="center"/>
          </w:tcPr>
          <w:p w14:paraId="4BAF3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08C90071">
            <w:pPr>
              <w:jc w:val="center"/>
              <w:rPr>
                <w:rFonts w:hint="eastAsia" w:ascii="宋体" w:hAnsi="宋体" w:eastAsia="宋体" w:cs="宋体"/>
                <w:i w:val="0"/>
                <w:iCs w:val="0"/>
                <w:color w:val="auto"/>
                <w:sz w:val="21"/>
                <w:szCs w:val="21"/>
                <w:highlight w:val="none"/>
                <w:u w:val="none"/>
              </w:rPr>
            </w:pPr>
          </w:p>
        </w:tc>
      </w:tr>
    </w:tbl>
    <w:p w14:paraId="3167A28C">
      <w:pPr>
        <w:pStyle w:val="5"/>
        <w:bidi w:val="0"/>
        <w:jc w:val="left"/>
        <w:rPr>
          <w:rFonts w:hint="default"/>
          <w:color w:val="auto"/>
          <w:highlight w:val="none"/>
          <w:lang w:val="en-US" w:eastAsia="zh-CN"/>
        </w:rPr>
      </w:pPr>
      <w:r>
        <w:rPr>
          <w:rFonts w:hint="eastAsia"/>
          <w:color w:val="auto"/>
          <w:highlight w:val="none"/>
          <w:lang w:val="en-US" w:eastAsia="zh-CN"/>
        </w:rPr>
        <w:t>标项4</w:t>
      </w:r>
    </w:p>
    <w:tbl>
      <w:tblPr>
        <w:tblStyle w:val="30"/>
        <w:tblW w:w="99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31"/>
        <w:gridCol w:w="1339"/>
        <w:gridCol w:w="1552"/>
        <w:gridCol w:w="840"/>
        <w:gridCol w:w="1350"/>
        <w:gridCol w:w="1260"/>
        <w:gridCol w:w="1667"/>
        <w:gridCol w:w="755"/>
      </w:tblGrid>
      <w:tr w14:paraId="19AF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0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0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A9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8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D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E0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0F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1E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AD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0ED0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898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粮油类</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B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5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一级粳米</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1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25公斤/袋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4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60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碎米率不高于12.5%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A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GB/T1354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B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18CA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DC80">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5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F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二级粳米</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9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25公斤/袋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7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C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碎米率不高于15%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6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GB/T1354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7D40">
            <w:pPr>
              <w:jc w:val="center"/>
              <w:rPr>
                <w:rFonts w:hint="eastAsia" w:ascii="宋体" w:hAnsi="宋体" w:eastAsia="宋体" w:cs="宋体"/>
                <w:i w:val="0"/>
                <w:iCs w:val="0"/>
                <w:color w:val="auto"/>
                <w:sz w:val="21"/>
                <w:szCs w:val="21"/>
                <w:highlight w:val="none"/>
                <w:u w:val="none"/>
              </w:rPr>
            </w:pPr>
          </w:p>
        </w:tc>
      </w:tr>
      <w:tr w14:paraId="03CE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B828">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C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标准粉</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0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25公斤/袋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1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DFE2">
            <w:pPr>
              <w:jc w:val="center"/>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4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GB/T1355-2021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EEC9">
            <w:pPr>
              <w:jc w:val="center"/>
              <w:rPr>
                <w:rFonts w:hint="eastAsia" w:ascii="宋体" w:hAnsi="宋体" w:eastAsia="宋体" w:cs="宋体"/>
                <w:i w:val="0"/>
                <w:iCs w:val="0"/>
                <w:color w:val="auto"/>
                <w:sz w:val="21"/>
                <w:szCs w:val="21"/>
                <w:highlight w:val="none"/>
                <w:u w:val="none"/>
              </w:rPr>
            </w:pPr>
          </w:p>
        </w:tc>
      </w:tr>
      <w:tr w14:paraId="1E99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F314">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精制粉</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B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25公斤/袋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5F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灰分含量≤0.70%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GB/T1355-2021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8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4EEB">
            <w:pPr>
              <w:jc w:val="center"/>
              <w:rPr>
                <w:rFonts w:hint="eastAsia" w:ascii="宋体" w:hAnsi="宋体" w:eastAsia="宋体" w:cs="宋体"/>
                <w:i w:val="0"/>
                <w:iCs w:val="0"/>
                <w:color w:val="auto"/>
                <w:sz w:val="21"/>
                <w:szCs w:val="21"/>
                <w:highlight w:val="none"/>
                <w:u w:val="none"/>
              </w:rPr>
            </w:pPr>
          </w:p>
        </w:tc>
      </w:tr>
      <w:tr w14:paraId="33B3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A064">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8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菜籽油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7AF1">
            <w:pPr>
              <w:jc w:val="center"/>
              <w:rPr>
                <w:rFonts w:hint="eastAsia" w:ascii="宋体" w:hAnsi="宋体" w:eastAsia="宋体" w:cs="宋体"/>
                <w:i w:val="0"/>
                <w:iCs w:val="0"/>
                <w:color w:val="auto"/>
                <w:sz w:val="21"/>
                <w:szCs w:val="21"/>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F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3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100%菜籽油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511">
            <w:pPr>
              <w:jc w:val="center"/>
              <w:rPr>
                <w:rFonts w:hint="eastAsia" w:ascii="宋体" w:hAnsi="宋体" w:eastAsia="宋体" w:cs="宋体"/>
                <w:i w:val="0"/>
                <w:iCs w:val="0"/>
                <w:color w:val="auto"/>
                <w:sz w:val="21"/>
                <w:szCs w:val="21"/>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8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1AAC9">
            <w:pPr>
              <w:jc w:val="center"/>
              <w:rPr>
                <w:rFonts w:hint="eastAsia" w:ascii="宋体" w:hAnsi="宋体" w:eastAsia="宋体" w:cs="宋体"/>
                <w:i w:val="0"/>
                <w:iCs w:val="0"/>
                <w:color w:val="auto"/>
                <w:sz w:val="21"/>
                <w:szCs w:val="21"/>
                <w:highlight w:val="none"/>
                <w:u w:val="none"/>
              </w:rPr>
            </w:pPr>
          </w:p>
        </w:tc>
      </w:tr>
      <w:tr w14:paraId="47C6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34D1">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3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二级调和油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1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8A63">
            <w:pPr>
              <w:jc w:val="center"/>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2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GB/T40851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E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 </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D2CA">
            <w:pPr>
              <w:jc w:val="center"/>
              <w:rPr>
                <w:rFonts w:hint="eastAsia" w:ascii="宋体" w:hAnsi="宋体" w:eastAsia="宋体" w:cs="宋体"/>
                <w:i w:val="0"/>
                <w:iCs w:val="0"/>
                <w:color w:val="auto"/>
                <w:sz w:val="21"/>
                <w:szCs w:val="21"/>
                <w:highlight w:val="none"/>
                <w:u w:val="none"/>
              </w:rPr>
            </w:pPr>
          </w:p>
        </w:tc>
      </w:tr>
    </w:tbl>
    <w:p w14:paraId="5EBF01D8">
      <w:pPr>
        <w:pStyle w:val="5"/>
        <w:bidi w:val="0"/>
        <w:jc w:val="left"/>
        <w:rPr>
          <w:rFonts w:hint="default"/>
          <w:color w:val="auto"/>
          <w:highlight w:val="none"/>
          <w:lang w:val="en-US" w:eastAsia="zh-CN"/>
        </w:rPr>
      </w:pPr>
      <w:r>
        <w:rPr>
          <w:rFonts w:hint="eastAsia"/>
          <w:color w:val="auto"/>
          <w:highlight w:val="none"/>
          <w:lang w:val="en-US" w:eastAsia="zh-CN"/>
        </w:rPr>
        <w:t>标项5</w:t>
      </w:r>
    </w:p>
    <w:tbl>
      <w:tblPr>
        <w:tblStyle w:val="30"/>
        <w:tblW w:w="991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1"/>
        <w:gridCol w:w="431"/>
        <w:gridCol w:w="1339"/>
        <w:gridCol w:w="1147"/>
        <w:gridCol w:w="975"/>
        <w:gridCol w:w="1185"/>
        <w:gridCol w:w="1365"/>
        <w:gridCol w:w="1997"/>
        <w:gridCol w:w="755"/>
      </w:tblGrid>
      <w:tr w14:paraId="0D7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shd w:val="clear" w:color="auto" w:fill="auto"/>
            <w:vAlign w:val="center"/>
          </w:tcPr>
          <w:p w14:paraId="4BAECC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shd w:val="clear" w:color="auto" w:fill="auto"/>
            <w:vAlign w:val="center"/>
          </w:tcPr>
          <w:p w14:paraId="22190A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9" w:type="dxa"/>
            <w:shd w:val="clear" w:color="auto" w:fill="auto"/>
            <w:vAlign w:val="center"/>
          </w:tcPr>
          <w:p w14:paraId="586723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147" w:type="dxa"/>
            <w:shd w:val="clear" w:color="auto" w:fill="auto"/>
            <w:vAlign w:val="center"/>
          </w:tcPr>
          <w:p w14:paraId="349BBC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975" w:type="dxa"/>
            <w:shd w:val="clear" w:color="auto" w:fill="auto"/>
            <w:vAlign w:val="center"/>
          </w:tcPr>
          <w:p w14:paraId="1BE39E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1185" w:type="dxa"/>
            <w:shd w:val="clear" w:color="auto" w:fill="auto"/>
            <w:vAlign w:val="center"/>
          </w:tcPr>
          <w:p w14:paraId="05BCC3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1365" w:type="dxa"/>
            <w:shd w:val="clear" w:color="auto" w:fill="auto"/>
            <w:vAlign w:val="center"/>
          </w:tcPr>
          <w:p w14:paraId="3D8B05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1997" w:type="dxa"/>
            <w:shd w:val="clear" w:color="auto" w:fill="auto"/>
            <w:vAlign w:val="center"/>
          </w:tcPr>
          <w:p w14:paraId="188651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shd w:val="clear" w:color="auto" w:fill="auto"/>
            <w:vAlign w:val="center"/>
          </w:tcPr>
          <w:p w14:paraId="5DB9FC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6D14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restart"/>
            <w:shd w:val="clear" w:color="auto" w:fill="auto"/>
            <w:vAlign w:val="center"/>
          </w:tcPr>
          <w:p w14:paraId="18AA8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副食品类</w:t>
            </w:r>
          </w:p>
        </w:tc>
        <w:tc>
          <w:tcPr>
            <w:tcW w:w="431" w:type="dxa"/>
            <w:shd w:val="clear" w:color="auto" w:fill="auto"/>
            <w:vAlign w:val="center"/>
          </w:tcPr>
          <w:p w14:paraId="235CB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9" w:type="dxa"/>
            <w:shd w:val="clear" w:color="auto" w:fill="auto"/>
            <w:vAlign w:val="center"/>
          </w:tcPr>
          <w:p w14:paraId="3B95A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花椒</w:t>
            </w:r>
          </w:p>
        </w:tc>
        <w:tc>
          <w:tcPr>
            <w:tcW w:w="1147" w:type="dxa"/>
            <w:shd w:val="clear" w:color="auto" w:fill="auto"/>
            <w:vAlign w:val="center"/>
          </w:tcPr>
          <w:p w14:paraId="5AD7A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c>
          <w:tcPr>
            <w:tcW w:w="975" w:type="dxa"/>
            <w:shd w:val="clear" w:color="auto" w:fill="auto"/>
            <w:vAlign w:val="center"/>
          </w:tcPr>
          <w:p w14:paraId="76533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4C7106D5">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00CD3668">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50CA0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restart"/>
            <w:shd w:val="clear" w:color="auto" w:fill="auto"/>
            <w:vAlign w:val="center"/>
          </w:tcPr>
          <w:p w14:paraId="6E43B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12E0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784B082">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906B4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9" w:type="dxa"/>
            <w:shd w:val="clear" w:color="auto" w:fill="auto"/>
            <w:vAlign w:val="center"/>
          </w:tcPr>
          <w:p w14:paraId="46FBA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白糖</w:t>
            </w:r>
          </w:p>
        </w:tc>
        <w:tc>
          <w:tcPr>
            <w:tcW w:w="1147" w:type="dxa"/>
            <w:shd w:val="clear" w:color="auto" w:fill="auto"/>
            <w:vAlign w:val="center"/>
          </w:tcPr>
          <w:p w14:paraId="1FEF450F">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6C8EE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10A5DD60">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4C0139D">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4D5B1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5FA08BBB">
            <w:pPr>
              <w:jc w:val="center"/>
              <w:rPr>
                <w:rFonts w:hint="eastAsia" w:ascii="宋体" w:hAnsi="宋体" w:eastAsia="宋体" w:cs="宋体"/>
                <w:i w:val="0"/>
                <w:iCs w:val="0"/>
                <w:color w:val="auto"/>
                <w:sz w:val="21"/>
                <w:szCs w:val="21"/>
                <w:highlight w:val="none"/>
                <w:u w:val="none"/>
              </w:rPr>
            </w:pPr>
          </w:p>
        </w:tc>
      </w:tr>
      <w:tr w14:paraId="3DA7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B01ECAB">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6D569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39" w:type="dxa"/>
            <w:shd w:val="clear" w:color="auto" w:fill="auto"/>
            <w:vAlign w:val="center"/>
          </w:tcPr>
          <w:p w14:paraId="47F533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玉米面</w:t>
            </w:r>
          </w:p>
        </w:tc>
        <w:tc>
          <w:tcPr>
            <w:tcW w:w="1147" w:type="dxa"/>
            <w:shd w:val="clear" w:color="auto" w:fill="auto"/>
            <w:vAlign w:val="center"/>
          </w:tcPr>
          <w:p w14:paraId="6F487CBD">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317A24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54F71244">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D69285E">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1124B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65DF89CE">
            <w:pPr>
              <w:jc w:val="center"/>
              <w:rPr>
                <w:rFonts w:hint="eastAsia" w:ascii="宋体" w:hAnsi="宋体" w:eastAsia="宋体" w:cs="宋体"/>
                <w:i w:val="0"/>
                <w:iCs w:val="0"/>
                <w:color w:val="auto"/>
                <w:sz w:val="21"/>
                <w:szCs w:val="21"/>
                <w:highlight w:val="none"/>
                <w:u w:val="none"/>
              </w:rPr>
            </w:pPr>
          </w:p>
        </w:tc>
      </w:tr>
      <w:tr w14:paraId="366A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47BA58D9">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01DF5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39" w:type="dxa"/>
            <w:shd w:val="clear" w:color="auto" w:fill="auto"/>
            <w:vAlign w:val="center"/>
          </w:tcPr>
          <w:p w14:paraId="04CCC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八角</w:t>
            </w:r>
          </w:p>
        </w:tc>
        <w:tc>
          <w:tcPr>
            <w:tcW w:w="1147" w:type="dxa"/>
            <w:shd w:val="clear" w:color="auto" w:fill="auto"/>
            <w:vAlign w:val="center"/>
          </w:tcPr>
          <w:p w14:paraId="0F5DB7C5">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017E4A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010613B8">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ED8D3CF">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06981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0D3A7D75">
            <w:pPr>
              <w:jc w:val="center"/>
              <w:rPr>
                <w:rFonts w:hint="eastAsia" w:ascii="宋体" w:hAnsi="宋体" w:eastAsia="宋体" w:cs="宋体"/>
                <w:i w:val="0"/>
                <w:iCs w:val="0"/>
                <w:color w:val="auto"/>
                <w:sz w:val="21"/>
                <w:szCs w:val="21"/>
                <w:highlight w:val="none"/>
                <w:u w:val="none"/>
              </w:rPr>
            </w:pPr>
          </w:p>
        </w:tc>
      </w:tr>
      <w:tr w14:paraId="7FF2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5FD030B4">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17267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39" w:type="dxa"/>
            <w:shd w:val="clear" w:color="auto" w:fill="auto"/>
            <w:vAlign w:val="center"/>
          </w:tcPr>
          <w:p w14:paraId="6CEF73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绿豆</w:t>
            </w:r>
          </w:p>
        </w:tc>
        <w:tc>
          <w:tcPr>
            <w:tcW w:w="1147" w:type="dxa"/>
            <w:shd w:val="clear" w:color="auto" w:fill="auto"/>
            <w:vAlign w:val="center"/>
          </w:tcPr>
          <w:p w14:paraId="18B0F175">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22147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B651EAE">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032E01E">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281117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75F77290">
            <w:pPr>
              <w:jc w:val="center"/>
              <w:rPr>
                <w:rFonts w:hint="eastAsia" w:ascii="宋体" w:hAnsi="宋体" w:eastAsia="宋体" w:cs="宋体"/>
                <w:i w:val="0"/>
                <w:iCs w:val="0"/>
                <w:color w:val="auto"/>
                <w:sz w:val="21"/>
                <w:szCs w:val="21"/>
                <w:highlight w:val="none"/>
                <w:u w:val="none"/>
              </w:rPr>
            </w:pPr>
          </w:p>
        </w:tc>
      </w:tr>
      <w:tr w14:paraId="5514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1AD658CF">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3E2DB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39" w:type="dxa"/>
            <w:shd w:val="clear" w:color="auto" w:fill="auto"/>
            <w:vAlign w:val="center"/>
          </w:tcPr>
          <w:p w14:paraId="0211E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黄豆</w:t>
            </w:r>
          </w:p>
        </w:tc>
        <w:tc>
          <w:tcPr>
            <w:tcW w:w="1147" w:type="dxa"/>
            <w:shd w:val="clear" w:color="auto" w:fill="auto"/>
            <w:vAlign w:val="center"/>
          </w:tcPr>
          <w:p w14:paraId="59A20F4C">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11A12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6A8E07D3">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74972BC">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45193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7B649235">
            <w:pPr>
              <w:jc w:val="center"/>
              <w:rPr>
                <w:rFonts w:hint="eastAsia" w:ascii="宋体" w:hAnsi="宋体" w:eastAsia="宋体" w:cs="宋体"/>
                <w:i w:val="0"/>
                <w:iCs w:val="0"/>
                <w:color w:val="auto"/>
                <w:sz w:val="21"/>
                <w:szCs w:val="21"/>
                <w:highlight w:val="none"/>
                <w:u w:val="none"/>
              </w:rPr>
            </w:pPr>
          </w:p>
        </w:tc>
      </w:tr>
      <w:tr w14:paraId="07C6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4F797751">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DC62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39" w:type="dxa"/>
            <w:shd w:val="clear" w:color="auto" w:fill="auto"/>
            <w:vAlign w:val="center"/>
          </w:tcPr>
          <w:p w14:paraId="00CA9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花生米</w:t>
            </w:r>
          </w:p>
        </w:tc>
        <w:tc>
          <w:tcPr>
            <w:tcW w:w="1147" w:type="dxa"/>
            <w:shd w:val="clear" w:color="auto" w:fill="auto"/>
            <w:vAlign w:val="center"/>
          </w:tcPr>
          <w:p w14:paraId="5C14E84C">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01681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30378E5">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E7F8D81">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09DB7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3D72583C">
            <w:pPr>
              <w:jc w:val="center"/>
              <w:rPr>
                <w:rFonts w:hint="eastAsia" w:ascii="宋体" w:hAnsi="宋体" w:eastAsia="宋体" w:cs="宋体"/>
                <w:i w:val="0"/>
                <w:iCs w:val="0"/>
                <w:color w:val="auto"/>
                <w:sz w:val="21"/>
                <w:szCs w:val="21"/>
                <w:highlight w:val="none"/>
                <w:u w:val="none"/>
              </w:rPr>
            </w:pPr>
          </w:p>
        </w:tc>
      </w:tr>
      <w:tr w14:paraId="797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52A3A7C">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D938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39" w:type="dxa"/>
            <w:shd w:val="clear" w:color="auto" w:fill="auto"/>
            <w:vAlign w:val="center"/>
          </w:tcPr>
          <w:p w14:paraId="78D6EF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小米</w:t>
            </w:r>
          </w:p>
        </w:tc>
        <w:tc>
          <w:tcPr>
            <w:tcW w:w="1147" w:type="dxa"/>
            <w:shd w:val="clear" w:color="auto" w:fill="auto"/>
            <w:vAlign w:val="center"/>
          </w:tcPr>
          <w:p w14:paraId="48C385CE">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106C8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25655045">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4AFB221">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4EE3F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7018C617">
            <w:pPr>
              <w:jc w:val="center"/>
              <w:rPr>
                <w:rFonts w:hint="eastAsia" w:ascii="宋体" w:hAnsi="宋体" w:eastAsia="宋体" w:cs="宋体"/>
                <w:i w:val="0"/>
                <w:iCs w:val="0"/>
                <w:color w:val="auto"/>
                <w:sz w:val="21"/>
                <w:szCs w:val="21"/>
                <w:highlight w:val="none"/>
                <w:u w:val="none"/>
              </w:rPr>
            </w:pPr>
          </w:p>
        </w:tc>
      </w:tr>
      <w:tr w14:paraId="4E47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18D6A93">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2257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39" w:type="dxa"/>
            <w:shd w:val="clear" w:color="auto" w:fill="auto"/>
            <w:vAlign w:val="center"/>
          </w:tcPr>
          <w:p w14:paraId="5FD66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红小豆</w:t>
            </w:r>
          </w:p>
        </w:tc>
        <w:tc>
          <w:tcPr>
            <w:tcW w:w="1147" w:type="dxa"/>
            <w:shd w:val="clear" w:color="auto" w:fill="auto"/>
            <w:vAlign w:val="center"/>
          </w:tcPr>
          <w:p w14:paraId="642E0B3F">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361BF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2F4E1D5">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1F47F64">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62993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51862B7A">
            <w:pPr>
              <w:jc w:val="center"/>
              <w:rPr>
                <w:rFonts w:hint="eastAsia" w:ascii="宋体" w:hAnsi="宋体" w:eastAsia="宋体" w:cs="宋体"/>
                <w:i w:val="0"/>
                <w:iCs w:val="0"/>
                <w:color w:val="auto"/>
                <w:sz w:val="21"/>
                <w:szCs w:val="21"/>
                <w:highlight w:val="none"/>
                <w:u w:val="none"/>
              </w:rPr>
            </w:pPr>
          </w:p>
        </w:tc>
      </w:tr>
      <w:tr w14:paraId="5377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3B55B90">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2C65E6A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339" w:type="dxa"/>
            <w:shd w:val="clear" w:color="auto" w:fill="auto"/>
            <w:vAlign w:val="center"/>
          </w:tcPr>
          <w:p w14:paraId="19708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黑米</w:t>
            </w:r>
          </w:p>
        </w:tc>
        <w:tc>
          <w:tcPr>
            <w:tcW w:w="1147" w:type="dxa"/>
            <w:shd w:val="clear" w:color="auto" w:fill="auto"/>
            <w:vAlign w:val="center"/>
          </w:tcPr>
          <w:p w14:paraId="534A53BE">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6D0CE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831832E">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2E88E473">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3932A6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2A6DA24F">
            <w:pPr>
              <w:jc w:val="center"/>
              <w:rPr>
                <w:rFonts w:hint="eastAsia" w:ascii="宋体" w:hAnsi="宋体" w:eastAsia="宋体" w:cs="宋体"/>
                <w:i w:val="0"/>
                <w:iCs w:val="0"/>
                <w:color w:val="auto"/>
                <w:sz w:val="21"/>
                <w:szCs w:val="21"/>
                <w:highlight w:val="none"/>
                <w:u w:val="none"/>
              </w:rPr>
            </w:pPr>
          </w:p>
        </w:tc>
      </w:tr>
      <w:tr w14:paraId="4395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2CA84DBB">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223F4BB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1339" w:type="dxa"/>
            <w:shd w:val="clear" w:color="auto" w:fill="auto"/>
            <w:vAlign w:val="center"/>
          </w:tcPr>
          <w:p w14:paraId="18A44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葡萄干</w:t>
            </w:r>
          </w:p>
        </w:tc>
        <w:tc>
          <w:tcPr>
            <w:tcW w:w="1147" w:type="dxa"/>
            <w:shd w:val="clear" w:color="auto" w:fill="auto"/>
            <w:vAlign w:val="center"/>
          </w:tcPr>
          <w:p w14:paraId="6D3D2459">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66672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1C9EDA28">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5243213E">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4E9E5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22ED8A16">
            <w:pPr>
              <w:jc w:val="center"/>
              <w:rPr>
                <w:rFonts w:hint="eastAsia" w:ascii="宋体" w:hAnsi="宋体" w:eastAsia="宋体" w:cs="宋体"/>
                <w:i w:val="0"/>
                <w:iCs w:val="0"/>
                <w:color w:val="auto"/>
                <w:sz w:val="21"/>
                <w:szCs w:val="21"/>
                <w:highlight w:val="none"/>
                <w:u w:val="none"/>
              </w:rPr>
            </w:pPr>
          </w:p>
        </w:tc>
      </w:tr>
      <w:tr w14:paraId="41C7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9C45638">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349DB4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1339" w:type="dxa"/>
            <w:shd w:val="clear" w:color="auto" w:fill="auto"/>
            <w:vAlign w:val="center"/>
          </w:tcPr>
          <w:p w14:paraId="3EF50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糯米</w:t>
            </w:r>
          </w:p>
        </w:tc>
        <w:tc>
          <w:tcPr>
            <w:tcW w:w="1147" w:type="dxa"/>
            <w:shd w:val="clear" w:color="auto" w:fill="auto"/>
            <w:vAlign w:val="center"/>
          </w:tcPr>
          <w:p w14:paraId="4C1C4696">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5EFAD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3982F25C">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2EC385CC">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1CBB5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50295330">
            <w:pPr>
              <w:jc w:val="center"/>
              <w:rPr>
                <w:rFonts w:hint="eastAsia" w:ascii="宋体" w:hAnsi="宋体" w:eastAsia="宋体" w:cs="宋体"/>
                <w:i w:val="0"/>
                <w:iCs w:val="0"/>
                <w:color w:val="auto"/>
                <w:sz w:val="21"/>
                <w:szCs w:val="21"/>
                <w:highlight w:val="none"/>
                <w:u w:val="none"/>
              </w:rPr>
            </w:pPr>
          </w:p>
        </w:tc>
      </w:tr>
      <w:tr w14:paraId="60C3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10EF3952">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334B44A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1339" w:type="dxa"/>
            <w:shd w:val="clear" w:color="auto" w:fill="auto"/>
            <w:vAlign w:val="center"/>
          </w:tcPr>
          <w:p w14:paraId="6B3C6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芝麻</w:t>
            </w:r>
          </w:p>
        </w:tc>
        <w:tc>
          <w:tcPr>
            <w:tcW w:w="1147" w:type="dxa"/>
            <w:shd w:val="clear" w:color="auto" w:fill="auto"/>
            <w:vAlign w:val="center"/>
          </w:tcPr>
          <w:p w14:paraId="6DAE1956">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08A0A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5A3ECFA4">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394334A4">
            <w:pPr>
              <w:jc w:val="center"/>
              <w:rPr>
                <w:rFonts w:hint="eastAsia" w:ascii="宋体" w:hAnsi="宋体" w:eastAsia="宋体" w:cs="宋体"/>
                <w:i w:val="0"/>
                <w:iCs w:val="0"/>
                <w:color w:val="auto"/>
                <w:sz w:val="21"/>
                <w:szCs w:val="21"/>
                <w:highlight w:val="none"/>
                <w:u w:val="none"/>
              </w:rPr>
            </w:pPr>
          </w:p>
        </w:tc>
        <w:tc>
          <w:tcPr>
            <w:tcW w:w="1997" w:type="dxa"/>
            <w:shd w:val="clear" w:color="auto" w:fill="auto"/>
            <w:vAlign w:val="center"/>
          </w:tcPr>
          <w:p w14:paraId="617EE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vMerge w:val="continue"/>
            <w:shd w:val="clear" w:color="auto" w:fill="auto"/>
            <w:vAlign w:val="center"/>
          </w:tcPr>
          <w:p w14:paraId="66DEAF3A">
            <w:pPr>
              <w:jc w:val="center"/>
              <w:rPr>
                <w:rFonts w:hint="eastAsia" w:ascii="宋体" w:hAnsi="宋体" w:eastAsia="宋体" w:cs="宋体"/>
                <w:i w:val="0"/>
                <w:iCs w:val="0"/>
                <w:color w:val="auto"/>
                <w:sz w:val="21"/>
                <w:szCs w:val="21"/>
                <w:highlight w:val="none"/>
                <w:u w:val="none"/>
              </w:rPr>
            </w:pPr>
          </w:p>
        </w:tc>
      </w:tr>
      <w:tr w14:paraId="6683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37A6C7C">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7A7E42B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w:t>
            </w:r>
          </w:p>
        </w:tc>
        <w:tc>
          <w:tcPr>
            <w:tcW w:w="1339" w:type="dxa"/>
            <w:shd w:val="clear" w:color="auto" w:fill="auto"/>
            <w:vAlign w:val="center"/>
          </w:tcPr>
          <w:p w14:paraId="0D5ED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食用碱</w:t>
            </w:r>
          </w:p>
        </w:tc>
        <w:tc>
          <w:tcPr>
            <w:tcW w:w="1147" w:type="dxa"/>
            <w:shd w:val="clear" w:color="auto" w:fill="auto"/>
            <w:vAlign w:val="center"/>
          </w:tcPr>
          <w:p w14:paraId="70AAE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40kg/件</w:t>
            </w:r>
          </w:p>
        </w:tc>
        <w:tc>
          <w:tcPr>
            <w:tcW w:w="975" w:type="dxa"/>
            <w:shd w:val="clear" w:color="auto" w:fill="auto"/>
            <w:vAlign w:val="center"/>
          </w:tcPr>
          <w:p w14:paraId="12D00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185" w:type="dxa"/>
            <w:shd w:val="clear" w:color="auto" w:fill="auto"/>
            <w:vAlign w:val="center"/>
          </w:tcPr>
          <w:p w14:paraId="1DABCE64">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AF49A9B">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20DB2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55" w:type="dxa"/>
            <w:vMerge w:val="continue"/>
            <w:shd w:val="clear" w:color="auto" w:fill="auto"/>
            <w:vAlign w:val="center"/>
          </w:tcPr>
          <w:p w14:paraId="05E0562F">
            <w:pPr>
              <w:jc w:val="center"/>
              <w:rPr>
                <w:rFonts w:hint="eastAsia" w:ascii="宋体" w:hAnsi="宋体" w:eastAsia="宋体" w:cs="宋体"/>
                <w:i w:val="0"/>
                <w:iCs w:val="0"/>
                <w:color w:val="auto"/>
                <w:sz w:val="21"/>
                <w:szCs w:val="21"/>
                <w:highlight w:val="none"/>
                <w:u w:val="none"/>
              </w:rPr>
            </w:pPr>
          </w:p>
        </w:tc>
      </w:tr>
      <w:tr w14:paraId="1044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2AC8A2C">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1B05DF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w:t>
            </w:r>
          </w:p>
        </w:tc>
        <w:tc>
          <w:tcPr>
            <w:tcW w:w="1339" w:type="dxa"/>
            <w:shd w:val="clear" w:color="auto" w:fill="auto"/>
            <w:vAlign w:val="center"/>
          </w:tcPr>
          <w:p w14:paraId="074DE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食用盐</w:t>
            </w:r>
          </w:p>
        </w:tc>
        <w:tc>
          <w:tcPr>
            <w:tcW w:w="1147" w:type="dxa"/>
            <w:shd w:val="clear" w:color="auto" w:fill="auto"/>
            <w:vAlign w:val="center"/>
          </w:tcPr>
          <w:p w14:paraId="729E16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20kg/件</w:t>
            </w:r>
          </w:p>
        </w:tc>
        <w:tc>
          <w:tcPr>
            <w:tcW w:w="975" w:type="dxa"/>
            <w:shd w:val="clear" w:color="auto" w:fill="auto"/>
            <w:vAlign w:val="center"/>
          </w:tcPr>
          <w:p w14:paraId="378E6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185" w:type="dxa"/>
            <w:shd w:val="clear" w:color="auto" w:fill="auto"/>
            <w:vAlign w:val="center"/>
          </w:tcPr>
          <w:p w14:paraId="53344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加碘</w:t>
            </w:r>
          </w:p>
        </w:tc>
        <w:tc>
          <w:tcPr>
            <w:tcW w:w="1365" w:type="dxa"/>
            <w:shd w:val="clear" w:color="auto" w:fill="auto"/>
            <w:vAlign w:val="center"/>
          </w:tcPr>
          <w:p w14:paraId="64BD1111">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401BA6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5" w:type="dxa"/>
            <w:vMerge w:val="continue"/>
            <w:shd w:val="clear" w:color="auto" w:fill="auto"/>
            <w:vAlign w:val="center"/>
          </w:tcPr>
          <w:p w14:paraId="1D6CA606">
            <w:pPr>
              <w:jc w:val="center"/>
              <w:rPr>
                <w:rFonts w:hint="eastAsia" w:ascii="宋体" w:hAnsi="宋体" w:eastAsia="宋体" w:cs="宋体"/>
                <w:i w:val="0"/>
                <w:iCs w:val="0"/>
                <w:color w:val="auto"/>
                <w:sz w:val="21"/>
                <w:szCs w:val="21"/>
                <w:highlight w:val="none"/>
                <w:u w:val="none"/>
              </w:rPr>
            </w:pPr>
          </w:p>
        </w:tc>
      </w:tr>
      <w:tr w14:paraId="3D52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6EDBA150">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D9A80F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339" w:type="dxa"/>
            <w:shd w:val="clear" w:color="auto" w:fill="auto"/>
            <w:vAlign w:val="center"/>
          </w:tcPr>
          <w:p w14:paraId="3FD63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大粒盐</w:t>
            </w:r>
          </w:p>
        </w:tc>
        <w:tc>
          <w:tcPr>
            <w:tcW w:w="1147" w:type="dxa"/>
            <w:shd w:val="clear" w:color="auto" w:fill="auto"/>
            <w:vAlign w:val="center"/>
          </w:tcPr>
          <w:p w14:paraId="350D1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20kg/件</w:t>
            </w:r>
          </w:p>
        </w:tc>
        <w:tc>
          <w:tcPr>
            <w:tcW w:w="975" w:type="dxa"/>
            <w:shd w:val="clear" w:color="auto" w:fill="auto"/>
            <w:vAlign w:val="center"/>
          </w:tcPr>
          <w:p w14:paraId="66840F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185" w:type="dxa"/>
            <w:shd w:val="clear" w:color="auto" w:fill="auto"/>
            <w:vAlign w:val="center"/>
          </w:tcPr>
          <w:p w14:paraId="5352443B">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390EF84">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01E64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5" w:type="dxa"/>
            <w:vMerge w:val="continue"/>
            <w:shd w:val="clear" w:color="auto" w:fill="auto"/>
            <w:vAlign w:val="center"/>
          </w:tcPr>
          <w:p w14:paraId="48D88A01">
            <w:pPr>
              <w:jc w:val="center"/>
              <w:rPr>
                <w:rFonts w:hint="eastAsia" w:ascii="宋体" w:hAnsi="宋体" w:eastAsia="宋体" w:cs="宋体"/>
                <w:i w:val="0"/>
                <w:iCs w:val="0"/>
                <w:color w:val="auto"/>
                <w:sz w:val="21"/>
                <w:szCs w:val="21"/>
                <w:highlight w:val="none"/>
                <w:u w:val="none"/>
              </w:rPr>
            </w:pPr>
          </w:p>
        </w:tc>
      </w:tr>
      <w:tr w14:paraId="0612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ED345F5">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16EFB4C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1339" w:type="dxa"/>
            <w:shd w:val="clear" w:color="auto" w:fill="auto"/>
            <w:vAlign w:val="center"/>
          </w:tcPr>
          <w:p w14:paraId="21EA1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天然木耳</w:t>
            </w:r>
          </w:p>
        </w:tc>
        <w:tc>
          <w:tcPr>
            <w:tcW w:w="1147" w:type="dxa"/>
            <w:shd w:val="clear" w:color="auto" w:fill="auto"/>
            <w:vAlign w:val="center"/>
          </w:tcPr>
          <w:p w14:paraId="4BAB0FA5">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4415E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C3F1B12">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5732712F">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43A95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55" w:type="dxa"/>
            <w:vMerge w:val="continue"/>
            <w:shd w:val="clear" w:color="auto" w:fill="auto"/>
            <w:vAlign w:val="center"/>
          </w:tcPr>
          <w:p w14:paraId="5964A3F4">
            <w:pPr>
              <w:jc w:val="center"/>
              <w:rPr>
                <w:rFonts w:hint="eastAsia" w:ascii="宋体" w:hAnsi="宋体" w:eastAsia="宋体" w:cs="宋体"/>
                <w:i w:val="0"/>
                <w:iCs w:val="0"/>
                <w:color w:val="auto"/>
                <w:sz w:val="21"/>
                <w:szCs w:val="21"/>
                <w:highlight w:val="none"/>
                <w:u w:val="none"/>
              </w:rPr>
            </w:pPr>
          </w:p>
        </w:tc>
      </w:tr>
      <w:tr w14:paraId="31CE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4C002DFD">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E5F18D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1339" w:type="dxa"/>
            <w:shd w:val="clear" w:color="auto" w:fill="auto"/>
            <w:vAlign w:val="center"/>
          </w:tcPr>
          <w:p w14:paraId="5ACD6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干海带</w:t>
            </w:r>
          </w:p>
        </w:tc>
        <w:tc>
          <w:tcPr>
            <w:tcW w:w="1147" w:type="dxa"/>
            <w:shd w:val="clear" w:color="auto" w:fill="auto"/>
            <w:vAlign w:val="center"/>
          </w:tcPr>
          <w:p w14:paraId="28C3E9C3">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57589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170BF0F7">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3EF0245">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46C06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5" w:type="dxa"/>
            <w:vMerge w:val="continue"/>
            <w:shd w:val="clear" w:color="auto" w:fill="auto"/>
            <w:vAlign w:val="center"/>
          </w:tcPr>
          <w:p w14:paraId="1F8A7CDD">
            <w:pPr>
              <w:jc w:val="center"/>
              <w:rPr>
                <w:rFonts w:hint="eastAsia" w:ascii="宋体" w:hAnsi="宋体" w:eastAsia="宋体" w:cs="宋体"/>
                <w:i w:val="0"/>
                <w:iCs w:val="0"/>
                <w:color w:val="auto"/>
                <w:sz w:val="21"/>
                <w:szCs w:val="21"/>
                <w:highlight w:val="none"/>
                <w:u w:val="none"/>
              </w:rPr>
            </w:pPr>
          </w:p>
        </w:tc>
      </w:tr>
      <w:tr w14:paraId="3726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2F11CE23">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620669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1339" w:type="dxa"/>
            <w:shd w:val="clear" w:color="auto" w:fill="auto"/>
            <w:vAlign w:val="center"/>
          </w:tcPr>
          <w:p w14:paraId="1ECD5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干香菇</w:t>
            </w:r>
          </w:p>
        </w:tc>
        <w:tc>
          <w:tcPr>
            <w:tcW w:w="1147" w:type="dxa"/>
            <w:shd w:val="clear" w:color="auto" w:fill="auto"/>
            <w:vAlign w:val="center"/>
          </w:tcPr>
          <w:p w14:paraId="262CB1CF">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308CD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23A8E683">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FE0591B">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2B1AB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55" w:type="dxa"/>
            <w:vMerge w:val="continue"/>
            <w:shd w:val="clear" w:color="auto" w:fill="auto"/>
            <w:vAlign w:val="center"/>
          </w:tcPr>
          <w:p w14:paraId="2BBEFF4F">
            <w:pPr>
              <w:jc w:val="center"/>
              <w:rPr>
                <w:rFonts w:hint="eastAsia" w:ascii="宋体" w:hAnsi="宋体" w:eastAsia="宋体" w:cs="宋体"/>
                <w:i w:val="0"/>
                <w:iCs w:val="0"/>
                <w:color w:val="auto"/>
                <w:sz w:val="21"/>
                <w:szCs w:val="21"/>
                <w:highlight w:val="none"/>
                <w:u w:val="none"/>
              </w:rPr>
            </w:pPr>
          </w:p>
        </w:tc>
      </w:tr>
      <w:tr w14:paraId="649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1965A40">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A78D2C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1339" w:type="dxa"/>
            <w:shd w:val="clear" w:color="auto" w:fill="auto"/>
            <w:vAlign w:val="center"/>
          </w:tcPr>
          <w:p w14:paraId="496844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粉条</w:t>
            </w:r>
          </w:p>
        </w:tc>
        <w:tc>
          <w:tcPr>
            <w:tcW w:w="1147" w:type="dxa"/>
            <w:shd w:val="clear" w:color="auto" w:fill="auto"/>
            <w:vAlign w:val="center"/>
          </w:tcPr>
          <w:p w14:paraId="73A70D5B">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2DF01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1C4A0D29">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78835E4">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12A78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55" w:type="dxa"/>
            <w:vMerge w:val="continue"/>
            <w:shd w:val="clear" w:color="auto" w:fill="auto"/>
            <w:vAlign w:val="center"/>
          </w:tcPr>
          <w:p w14:paraId="774A48CA">
            <w:pPr>
              <w:jc w:val="center"/>
              <w:rPr>
                <w:rFonts w:hint="eastAsia" w:ascii="宋体" w:hAnsi="宋体" w:eastAsia="宋体" w:cs="宋体"/>
                <w:i w:val="0"/>
                <w:iCs w:val="0"/>
                <w:color w:val="auto"/>
                <w:sz w:val="21"/>
                <w:szCs w:val="21"/>
                <w:highlight w:val="none"/>
                <w:u w:val="none"/>
              </w:rPr>
            </w:pPr>
          </w:p>
        </w:tc>
      </w:tr>
      <w:tr w14:paraId="242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1BA5E489">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1837225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1339" w:type="dxa"/>
            <w:shd w:val="clear" w:color="auto" w:fill="auto"/>
            <w:vAlign w:val="center"/>
          </w:tcPr>
          <w:p w14:paraId="4177A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大伏砖茶</w:t>
            </w:r>
          </w:p>
        </w:tc>
        <w:tc>
          <w:tcPr>
            <w:tcW w:w="1147" w:type="dxa"/>
            <w:shd w:val="clear" w:color="auto" w:fill="auto"/>
            <w:vAlign w:val="center"/>
          </w:tcPr>
          <w:p w14:paraId="735D2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1.5kg/块</w:t>
            </w:r>
          </w:p>
        </w:tc>
        <w:tc>
          <w:tcPr>
            <w:tcW w:w="975" w:type="dxa"/>
            <w:shd w:val="clear" w:color="auto" w:fill="auto"/>
            <w:vAlign w:val="center"/>
          </w:tcPr>
          <w:p w14:paraId="5D7A6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85" w:type="dxa"/>
            <w:shd w:val="clear" w:color="auto" w:fill="auto"/>
            <w:vAlign w:val="center"/>
          </w:tcPr>
          <w:p w14:paraId="1BCB6914">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7B1E462D">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49759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55" w:type="dxa"/>
            <w:vMerge w:val="continue"/>
            <w:shd w:val="clear" w:color="auto" w:fill="auto"/>
            <w:vAlign w:val="center"/>
          </w:tcPr>
          <w:p w14:paraId="266B8D45">
            <w:pPr>
              <w:jc w:val="center"/>
              <w:rPr>
                <w:rFonts w:hint="eastAsia" w:ascii="宋体" w:hAnsi="宋体" w:eastAsia="宋体" w:cs="宋体"/>
                <w:i w:val="0"/>
                <w:iCs w:val="0"/>
                <w:color w:val="auto"/>
                <w:sz w:val="21"/>
                <w:szCs w:val="21"/>
                <w:highlight w:val="none"/>
                <w:u w:val="none"/>
              </w:rPr>
            </w:pPr>
          </w:p>
        </w:tc>
      </w:tr>
      <w:tr w14:paraId="3D35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606FE94E">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72EBCDF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1339" w:type="dxa"/>
            <w:shd w:val="clear" w:color="auto" w:fill="auto"/>
            <w:vAlign w:val="center"/>
          </w:tcPr>
          <w:p w14:paraId="416B4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发酵粉</w:t>
            </w:r>
          </w:p>
        </w:tc>
        <w:tc>
          <w:tcPr>
            <w:tcW w:w="1147" w:type="dxa"/>
            <w:shd w:val="clear" w:color="auto" w:fill="auto"/>
            <w:vAlign w:val="center"/>
          </w:tcPr>
          <w:p w14:paraId="40FA0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20包*0.5kg/件</w:t>
            </w:r>
          </w:p>
        </w:tc>
        <w:tc>
          <w:tcPr>
            <w:tcW w:w="975" w:type="dxa"/>
            <w:shd w:val="clear" w:color="auto" w:fill="auto"/>
            <w:vAlign w:val="center"/>
          </w:tcPr>
          <w:p w14:paraId="2B8FCD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185" w:type="dxa"/>
            <w:shd w:val="clear" w:color="auto" w:fill="auto"/>
            <w:vAlign w:val="center"/>
          </w:tcPr>
          <w:p w14:paraId="17DED0E9">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B8E4FE5">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5C25F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755" w:type="dxa"/>
            <w:vMerge w:val="continue"/>
            <w:shd w:val="clear" w:color="auto" w:fill="auto"/>
            <w:vAlign w:val="center"/>
          </w:tcPr>
          <w:p w14:paraId="340C32D7">
            <w:pPr>
              <w:jc w:val="center"/>
              <w:rPr>
                <w:rFonts w:hint="eastAsia" w:ascii="宋体" w:hAnsi="宋体" w:eastAsia="宋体" w:cs="宋体"/>
                <w:i w:val="0"/>
                <w:iCs w:val="0"/>
                <w:color w:val="auto"/>
                <w:sz w:val="21"/>
                <w:szCs w:val="21"/>
                <w:highlight w:val="none"/>
                <w:u w:val="none"/>
              </w:rPr>
            </w:pPr>
          </w:p>
        </w:tc>
      </w:tr>
      <w:tr w14:paraId="2E66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4A03960E">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AC81A4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1339" w:type="dxa"/>
            <w:shd w:val="clear" w:color="auto" w:fill="auto"/>
            <w:vAlign w:val="center"/>
          </w:tcPr>
          <w:p w14:paraId="0EF9C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紫菜</w:t>
            </w:r>
          </w:p>
        </w:tc>
        <w:tc>
          <w:tcPr>
            <w:tcW w:w="1147" w:type="dxa"/>
            <w:shd w:val="clear" w:color="auto" w:fill="auto"/>
            <w:vAlign w:val="center"/>
          </w:tcPr>
          <w:p w14:paraId="1BB74155">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41ABB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9D90447">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786DFBD3">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0AF69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55" w:type="dxa"/>
            <w:vMerge w:val="continue"/>
            <w:shd w:val="clear" w:color="auto" w:fill="auto"/>
            <w:vAlign w:val="center"/>
          </w:tcPr>
          <w:p w14:paraId="2A037C68">
            <w:pPr>
              <w:jc w:val="center"/>
              <w:rPr>
                <w:rFonts w:hint="eastAsia" w:ascii="宋体" w:hAnsi="宋体" w:eastAsia="宋体" w:cs="宋体"/>
                <w:i w:val="0"/>
                <w:iCs w:val="0"/>
                <w:color w:val="auto"/>
                <w:sz w:val="21"/>
                <w:szCs w:val="21"/>
                <w:highlight w:val="none"/>
                <w:u w:val="none"/>
              </w:rPr>
            </w:pPr>
          </w:p>
        </w:tc>
      </w:tr>
      <w:tr w14:paraId="11AA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06C7338F">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7A0EB1C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24</w:t>
            </w:r>
          </w:p>
        </w:tc>
        <w:tc>
          <w:tcPr>
            <w:tcW w:w="1339" w:type="dxa"/>
            <w:shd w:val="clear" w:color="auto" w:fill="auto"/>
            <w:vAlign w:val="center"/>
          </w:tcPr>
          <w:p w14:paraId="75CD2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腐竹</w:t>
            </w:r>
          </w:p>
        </w:tc>
        <w:tc>
          <w:tcPr>
            <w:tcW w:w="1147" w:type="dxa"/>
            <w:shd w:val="clear" w:color="auto" w:fill="auto"/>
            <w:vAlign w:val="center"/>
          </w:tcPr>
          <w:p w14:paraId="7D44AEC1">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7474B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5D3BF2FF">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79A9363A">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26375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55" w:type="dxa"/>
            <w:vMerge w:val="continue"/>
            <w:shd w:val="clear" w:color="auto" w:fill="auto"/>
            <w:vAlign w:val="center"/>
          </w:tcPr>
          <w:p w14:paraId="5DDA74F3">
            <w:pPr>
              <w:jc w:val="center"/>
              <w:rPr>
                <w:rFonts w:hint="eastAsia" w:ascii="宋体" w:hAnsi="宋体" w:eastAsia="宋体" w:cs="宋体"/>
                <w:i w:val="0"/>
                <w:iCs w:val="0"/>
                <w:color w:val="auto"/>
                <w:sz w:val="21"/>
                <w:szCs w:val="21"/>
                <w:highlight w:val="none"/>
                <w:u w:val="none"/>
              </w:rPr>
            </w:pPr>
          </w:p>
        </w:tc>
      </w:tr>
      <w:tr w14:paraId="7570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4141067B">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62082F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1339" w:type="dxa"/>
            <w:shd w:val="clear" w:color="auto" w:fill="auto"/>
            <w:vAlign w:val="center"/>
          </w:tcPr>
          <w:p w14:paraId="1A231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w:t>
            </w:r>
          </w:p>
        </w:tc>
        <w:tc>
          <w:tcPr>
            <w:tcW w:w="1147" w:type="dxa"/>
            <w:shd w:val="clear" w:color="auto" w:fill="auto"/>
            <w:vAlign w:val="center"/>
          </w:tcPr>
          <w:p w14:paraId="3A0DC862">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1924C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336EE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红花醋</w:t>
            </w:r>
          </w:p>
        </w:tc>
        <w:tc>
          <w:tcPr>
            <w:tcW w:w="1365" w:type="dxa"/>
            <w:shd w:val="clear" w:color="auto" w:fill="auto"/>
            <w:vAlign w:val="center"/>
          </w:tcPr>
          <w:p w14:paraId="122A6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GB31644</w:t>
            </w:r>
          </w:p>
        </w:tc>
        <w:tc>
          <w:tcPr>
            <w:tcW w:w="1997" w:type="dxa"/>
            <w:shd w:val="clear" w:color="auto" w:fill="auto"/>
            <w:noWrap/>
            <w:vAlign w:val="center"/>
          </w:tcPr>
          <w:p w14:paraId="2FBE5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5" w:type="dxa"/>
            <w:vMerge w:val="continue"/>
            <w:shd w:val="clear" w:color="auto" w:fill="auto"/>
            <w:vAlign w:val="center"/>
          </w:tcPr>
          <w:p w14:paraId="0ED7F22C">
            <w:pPr>
              <w:jc w:val="center"/>
              <w:rPr>
                <w:rFonts w:hint="eastAsia" w:ascii="宋体" w:hAnsi="宋体" w:eastAsia="宋体" w:cs="宋体"/>
                <w:i w:val="0"/>
                <w:iCs w:val="0"/>
                <w:color w:val="auto"/>
                <w:sz w:val="21"/>
                <w:szCs w:val="21"/>
                <w:highlight w:val="none"/>
                <w:u w:val="none"/>
              </w:rPr>
            </w:pPr>
          </w:p>
        </w:tc>
      </w:tr>
      <w:tr w14:paraId="6FA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940AA62">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B633E2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26</w:t>
            </w:r>
          </w:p>
        </w:tc>
        <w:tc>
          <w:tcPr>
            <w:tcW w:w="1339" w:type="dxa"/>
            <w:shd w:val="clear" w:color="auto" w:fill="auto"/>
            <w:vAlign w:val="center"/>
          </w:tcPr>
          <w:p w14:paraId="39721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酱油</w:t>
            </w:r>
          </w:p>
        </w:tc>
        <w:tc>
          <w:tcPr>
            <w:tcW w:w="1147" w:type="dxa"/>
            <w:shd w:val="clear" w:color="auto" w:fill="auto"/>
            <w:vAlign w:val="center"/>
          </w:tcPr>
          <w:p w14:paraId="5DA5D78E">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33303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00259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酿造</w:t>
            </w:r>
          </w:p>
        </w:tc>
        <w:tc>
          <w:tcPr>
            <w:tcW w:w="1365" w:type="dxa"/>
            <w:shd w:val="clear" w:color="auto" w:fill="auto"/>
            <w:vAlign w:val="center"/>
          </w:tcPr>
          <w:p w14:paraId="3F2E06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GB31644</w:t>
            </w:r>
          </w:p>
        </w:tc>
        <w:tc>
          <w:tcPr>
            <w:tcW w:w="1997" w:type="dxa"/>
            <w:shd w:val="clear" w:color="auto" w:fill="auto"/>
            <w:noWrap/>
            <w:vAlign w:val="center"/>
          </w:tcPr>
          <w:p w14:paraId="2738C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5" w:type="dxa"/>
            <w:vMerge w:val="continue"/>
            <w:shd w:val="clear" w:color="auto" w:fill="auto"/>
            <w:vAlign w:val="center"/>
          </w:tcPr>
          <w:p w14:paraId="2A3C14E8">
            <w:pPr>
              <w:jc w:val="center"/>
              <w:rPr>
                <w:rFonts w:hint="eastAsia" w:ascii="宋体" w:hAnsi="宋体" w:eastAsia="宋体" w:cs="宋体"/>
                <w:i w:val="0"/>
                <w:iCs w:val="0"/>
                <w:color w:val="auto"/>
                <w:sz w:val="21"/>
                <w:szCs w:val="21"/>
                <w:highlight w:val="none"/>
                <w:u w:val="none"/>
              </w:rPr>
            </w:pPr>
          </w:p>
        </w:tc>
      </w:tr>
      <w:tr w14:paraId="49B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05BDE4D">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7714DB0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27</w:t>
            </w:r>
          </w:p>
        </w:tc>
        <w:tc>
          <w:tcPr>
            <w:tcW w:w="1339" w:type="dxa"/>
            <w:shd w:val="clear" w:color="auto" w:fill="auto"/>
            <w:vAlign w:val="center"/>
          </w:tcPr>
          <w:p w14:paraId="537D0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w:t>
            </w:r>
          </w:p>
        </w:tc>
        <w:tc>
          <w:tcPr>
            <w:tcW w:w="1147" w:type="dxa"/>
            <w:shd w:val="clear" w:color="auto" w:fill="auto"/>
            <w:vAlign w:val="center"/>
          </w:tcPr>
          <w:p w14:paraId="2E47C02F">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07C86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799E595">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964415A">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33A04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755" w:type="dxa"/>
            <w:vMerge w:val="continue"/>
            <w:shd w:val="clear" w:color="auto" w:fill="auto"/>
            <w:vAlign w:val="center"/>
          </w:tcPr>
          <w:p w14:paraId="02E4BF30">
            <w:pPr>
              <w:jc w:val="center"/>
              <w:rPr>
                <w:rFonts w:hint="eastAsia" w:ascii="宋体" w:hAnsi="宋体" w:eastAsia="宋体" w:cs="宋体"/>
                <w:i w:val="0"/>
                <w:iCs w:val="0"/>
                <w:color w:val="auto"/>
                <w:sz w:val="21"/>
                <w:szCs w:val="21"/>
                <w:highlight w:val="none"/>
                <w:u w:val="none"/>
              </w:rPr>
            </w:pPr>
          </w:p>
        </w:tc>
      </w:tr>
      <w:tr w14:paraId="12C0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01036AA5">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2DE7035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28</w:t>
            </w:r>
          </w:p>
        </w:tc>
        <w:tc>
          <w:tcPr>
            <w:tcW w:w="1339" w:type="dxa"/>
            <w:shd w:val="clear" w:color="auto" w:fill="auto"/>
            <w:vAlign w:val="center"/>
          </w:tcPr>
          <w:p w14:paraId="49657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黑豆</w:t>
            </w:r>
          </w:p>
        </w:tc>
        <w:tc>
          <w:tcPr>
            <w:tcW w:w="1147" w:type="dxa"/>
            <w:shd w:val="clear" w:color="auto" w:fill="auto"/>
            <w:vAlign w:val="center"/>
          </w:tcPr>
          <w:p w14:paraId="54CD7413">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27FE7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2B79C79">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861B424">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02CE68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55" w:type="dxa"/>
            <w:vMerge w:val="continue"/>
            <w:shd w:val="clear" w:color="auto" w:fill="auto"/>
            <w:vAlign w:val="center"/>
          </w:tcPr>
          <w:p w14:paraId="5A5255E0">
            <w:pPr>
              <w:jc w:val="center"/>
              <w:rPr>
                <w:rFonts w:hint="eastAsia" w:ascii="宋体" w:hAnsi="宋体" w:eastAsia="宋体" w:cs="宋体"/>
                <w:i w:val="0"/>
                <w:iCs w:val="0"/>
                <w:color w:val="auto"/>
                <w:sz w:val="21"/>
                <w:szCs w:val="21"/>
                <w:highlight w:val="none"/>
                <w:u w:val="none"/>
              </w:rPr>
            </w:pPr>
          </w:p>
        </w:tc>
      </w:tr>
      <w:tr w14:paraId="3790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5DE14D71">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931C60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1339" w:type="dxa"/>
            <w:shd w:val="clear" w:color="auto" w:fill="auto"/>
            <w:vAlign w:val="center"/>
          </w:tcPr>
          <w:p w14:paraId="2A343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玉米碴子</w:t>
            </w:r>
          </w:p>
        </w:tc>
        <w:tc>
          <w:tcPr>
            <w:tcW w:w="1147" w:type="dxa"/>
            <w:shd w:val="clear" w:color="auto" w:fill="auto"/>
            <w:vAlign w:val="center"/>
          </w:tcPr>
          <w:p w14:paraId="60F9BBD4">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14CA7E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185" w:type="dxa"/>
            <w:shd w:val="clear" w:color="auto" w:fill="auto"/>
            <w:vAlign w:val="center"/>
          </w:tcPr>
          <w:p w14:paraId="216E5C9C">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768CEA1">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1897C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5" w:type="dxa"/>
            <w:vMerge w:val="continue"/>
            <w:shd w:val="clear" w:color="auto" w:fill="auto"/>
            <w:vAlign w:val="center"/>
          </w:tcPr>
          <w:p w14:paraId="619AA82D">
            <w:pPr>
              <w:jc w:val="center"/>
              <w:rPr>
                <w:rFonts w:hint="eastAsia" w:ascii="宋体" w:hAnsi="宋体" w:eastAsia="宋体" w:cs="宋体"/>
                <w:i w:val="0"/>
                <w:iCs w:val="0"/>
                <w:color w:val="auto"/>
                <w:sz w:val="21"/>
                <w:szCs w:val="21"/>
                <w:highlight w:val="none"/>
                <w:u w:val="none"/>
              </w:rPr>
            </w:pPr>
          </w:p>
        </w:tc>
      </w:tr>
      <w:tr w14:paraId="56D5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37B8F21">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6D1C022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1339" w:type="dxa"/>
            <w:shd w:val="clear" w:color="auto" w:fill="auto"/>
            <w:vAlign w:val="center"/>
          </w:tcPr>
          <w:p w14:paraId="586C7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咸鸭蛋</w:t>
            </w:r>
          </w:p>
        </w:tc>
        <w:tc>
          <w:tcPr>
            <w:tcW w:w="1147" w:type="dxa"/>
            <w:shd w:val="clear" w:color="auto" w:fill="auto"/>
            <w:vAlign w:val="center"/>
          </w:tcPr>
          <w:p w14:paraId="4D2E9DD7">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2CD34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85" w:type="dxa"/>
            <w:shd w:val="clear" w:color="auto" w:fill="auto"/>
            <w:vAlign w:val="center"/>
          </w:tcPr>
          <w:p w14:paraId="1EBF3B3F">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7C1DB030">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509C7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55" w:type="dxa"/>
            <w:vMerge w:val="continue"/>
            <w:shd w:val="clear" w:color="auto" w:fill="auto"/>
            <w:vAlign w:val="center"/>
          </w:tcPr>
          <w:p w14:paraId="5B4328E8">
            <w:pPr>
              <w:jc w:val="center"/>
              <w:rPr>
                <w:rFonts w:hint="eastAsia" w:ascii="宋体" w:hAnsi="宋体" w:eastAsia="宋体" w:cs="宋体"/>
                <w:i w:val="0"/>
                <w:iCs w:val="0"/>
                <w:color w:val="auto"/>
                <w:sz w:val="21"/>
                <w:szCs w:val="21"/>
                <w:highlight w:val="none"/>
                <w:u w:val="none"/>
              </w:rPr>
            </w:pPr>
          </w:p>
        </w:tc>
      </w:tr>
      <w:tr w14:paraId="0E65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030D1A9E">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6E28F89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1339" w:type="dxa"/>
            <w:shd w:val="clear" w:color="auto" w:fill="auto"/>
            <w:vAlign w:val="center"/>
          </w:tcPr>
          <w:p w14:paraId="2C6EA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袋装</w:t>
            </w:r>
            <w:r>
              <w:rPr>
                <w:rFonts w:hint="eastAsia" w:ascii="宋体" w:hAnsi="宋体" w:eastAsia="宋体" w:cs="宋体"/>
                <w:i w:val="0"/>
                <w:iCs w:val="0"/>
                <w:color w:val="auto"/>
                <w:kern w:val="0"/>
                <w:sz w:val="21"/>
                <w:szCs w:val="21"/>
                <w:highlight w:val="none"/>
                <w:u w:val="none"/>
                <w:lang w:val="en-US" w:eastAsia="zh-CN" w:bidi="ar"/>
              </w:rPr>
              <w:t>卤蛋</w:t>
            </w:r>
          </w:p>
        </w:tc>
        <w:tc>
          <w:tcPr>
            <w:tcW w:w="1147" w:type="dxa"/>
            <w:shd w:val="clear" w:color="auto" w:fill="auto"/>
            <w:vAlign w:val="center"/>
          </w:tcPr>
          <w:p w14:paraId="2CF22548">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2EBCA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85" w:type="dxa"/>
            <w:shd w:val="clear" w:color="auto" w:fill="auto"/>
            <w:vAlign w:val="center"/>
          </w:tcPr>
          <w:p w14:paraId="054AC0B2">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122B3C38">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740F4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55" w:type="dxa"/>
            <w:vMerge w:val="continue"/>
            <w:shd w:val="clear" w:color="auto" w:fill="auto"/>
            <w:vAlign w:val="center"/>
          </w:tcPr>
          <w:p w14:paraId="0CCBEFB0">
            <w:pPr>
              <w:jc w:val="center"/>
              <w:rPr>
                <w:rFonts w:hint="eastAsia" w:ascii="宋体" w:hAnsi="宋体" w:eastAsia="宋体" w:cs="宋体"/>
                <w:i w:val="0"/>
                <w:iCs w:val="0"/>
                <w:color w:val="auto"/>
                <w:sz w:val="21"/>
                <w:szCs w:val="21"/>
                <w:highlight w:val="none"/>
                <w:u w:val="none"/>
              </w:rPr>
            </w:pPr>
          </w:p>
        </w:tc>
      </w:tr>
      <w:tr w14:paraId="58B1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571DF2D3">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26DC7BB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32</w:t>
            </w:r>
          </w:p>
        </w:tc>
        <w:tc>
          <w:tcPr>
            <w:tcW w:w="1339" w:type="dxa"/>
            <w:shd w:val="clear" w:color="auto" w:fill="auto"/>
            <w:vAlign w:val="center"/>
          </w:tcPr>
          <w:p w14:paraId="126EF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干桂圆</w:t>
            </w:r>
          </w:p>
        </w:tc>
        <w:tc>
          <w:tcPr>
            <w:tcW w:w="1147" w:type="dxa"/>
            <w:shd w:val="clear" w:color="auto" w:fill="auto"/>
            <w:vAlign w:val="center"/>
          </w:tcPr>
          <w:p w14:paraId="226CBB0F">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58530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51BDFAD5">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7384714D">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52A74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55" w:type="dxa"/>
            <w:vMerge w:val="continue"/>
            <w:shd w:val="clear" w:color="auto" w:fill="auto"/>
            <w:vAlign w:val="center"/>
          </w:tcPr>
          <w:p w14:paraId="016660F5">
            <w:pPr>
              <w:jc w:val="center"/>
              <w:rPr>
                <w:rFonts w:hint="eastAsia" w:ascii="宋体" w:hAnsi="宋体" w:eastAsia="宋体" w:cs="宋体"/>
                <w:i w:val="0"/>
                <w:iCs w:val="0"/>
                <w:color w:val="auto"/>
                <w:sz w:val="21"/>
                <w:szCs w:val="21"/>
                <w:highlight w:val="none"/>
                <w:u w:val="none"/>
              </w:rPr>
            </w:pPr>
          </w:p>
        </w:tc>
      </w:tr>
      <w:tr w14:paraId="6433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34FA059">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3F2B3BB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33</w:t>
            </w:r>
          </w:p>
        </w:tc>
        <w:tc>
          <w:tcPr>
            <w:tcW w:w="1339" w:type="dxa"/>
            <w:shd w:val="clear" w:color="auto" w:fill="auto"/>
            <w:vAlign w:val="center"/>
          </w:tcPr>
          <w:p w14:paraId="75D36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榨菜</w:t>
            </w:r>
          </w:p>
        </w:tc>
        <w:tc>
          <w:tcPr>
            <w:tcW w:w="1147" w:type="dxa"/>
            <w:shd w:val="clear" w:color="auto" w:fill="auto"/>
            <w:vAlign w:val="center"/>
          </w:tcPr>
          <w:p w14:paraId="23B42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200包*40克/件</w:t>
            </w:r>
          </w:p>
        </w:tc>
        <w:tc>
          <w:tcPr>
            <w:tcW w:w="975" w:type="dxa"/>
            <w:shd w:val="clear" w:color="auto" w:fill="auto"/>
            <w:vAlign w:val="center"/>
          </w:tcPr>
          <w:p w14:paraId="0018A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185" w:type="dxa"/>
            <w:shd w:val="clear" w:color="auto" w:fill="auto"/>
            <w:vAlign w:val="center"/>
          </w:tcPr>
          <w:p w14:paraId="469F6344">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8342BA0">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5DD18C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55" w:type="dxa"/>
            <w:vMerge w:val="continue"/>
            <w:shd w:val="clear" w:color="auto" w:fill="auto"/>
            <w:vAlign w:val="center"/>
          </w:tcPr>
          <w:p w14:paraId="0735EE65">
            <w:pPr>
              <w:jc w:val="center"/>
              <w:rPr>
                <w:rFonts w:hint="eastAsia" w:ascii="宋体" w:hAnsi="宋体" w:eastAsia="宋体" w:cs="宋体"/>
                <w:i w:val="0"/>
                <w:iCs w:val="0"/>
                <w:color w:val="auto"/>
                <w:sz w:val="21"/>
                <w:szCs w:val="21"/>
                <w:highlight w:val="none"/>
                <w:u w:val="none"/>
              </w:rPr>
            </w:pPr>
          </w:p>
        </w:tc>
      </w:tr>
      <w:tr w14:paraId="360C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6B923C34">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249328B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34</w:t>
            </w:r>
          </w:p>
        </w:tc>
        <w:tc>
          <w:tcPr>
            <w:tcW w:w="1339" w:type="dxa"/>
            <w:shd w:val="clear" w:color="auto" w:fill="auto"/>
            <w:vAlign w:val="center"/>
          </w:tcPr>
          <w:p w14:paraId="4CABB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银耳</w:t>
            </w:r>
          </w:p>
        </w:tc>
        <w:tc>
          <w:tcPr>
            <w:tcW w:w="1147" w:type="dxa"/>
            <w:shd w:val="clear" w:color="auto" w:fill="auto"/>
            <w:vAlign w:val="center"/>
          </w:tcPr>
          <w:p w14:paraId="383A2B2E">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480CE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39AED6CD">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88EBF38">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1112F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55" w:type="dxa"/>
            <w:vMerge w:val="continue"/>
            <w:shd w:val="clear" w:color="auto" w:fill="auto"/>
            <w:vAlign w:val="center"/>
          </w:tcPr>
          <w:p w14:paraId="10EA8BD8">
            <w:pPr>
              <w:jc w:val="center"/>
              <w:rPr>
                <w:rFonts w:hint="eastAsia" w:ascii="宋体" w:hAnsi="宋体" w:eastAsia="宋体" w:cs="宋体"/>
                <w:i w:val="0"/>
                <w:iCs w:val="0"/>
                <w:color w:val="auto"/>
                <w:sz w:val="21"/>
                <w:szCs w:val="21"/>
                <w:highlight w:val="none"/>
                <w:u w:val="none"/>
              </w:rPr>
            </w:pPr>
          </w:p>
        </w:tc>
      </w:tr>
      <w:tr w14:paraId="0FE5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749992B">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059776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35</w:t>
            </w:r>
          </w:p>
        </w:tc>
        <w:tc>
          <w:tcPr>
            <w:tcW w:w="1339" w:type="dxa"/>
            <w:shd w:val="clear" w:color="auto" w:fill="auto"/>
            <w:vAlign w:val="center"/>
          </w:tcPr>
          <w:p w14:paraId="3DB93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枸杞</w:t>
            </w:r>
          </w:p>
        </w:tc>
        <w:tc>
          <w:tcPr>
            <w:tcW w:w="1147" w:type="dxa"/>
            <w:shd w:val="clear" w:color="auto" w:fill="auto"/>
            <w:vAlign w:val="center"/>
          </w:tcPr>
          <w:p w14:paraId="37B9F747">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00D4B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6E6C5DBB">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2DE622A">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68B10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5" w:type="dxa"/>
            <w:vMerge w:val="continue"/>
            <w:shd w:val="clear" w:color="auto" w:fill="auto"/>
            <w:vAlign w:val="center"/>
          </w:tcPr>
          <w:p w14:paraId="739A100D">
            <w:pPr>
              <w:jc w:val="center"/>
              <w:rPr>
                <w:rFonts w:hint="eastAsia" w:ascii="宋体" w:hAnsi="宋体" w:eastAsia="宋体" w:cs="宋体"/>
                <w:i w:val="0"/>
                <w:iCs w:val="0"/>
                <w:color w:val="auto"/>
                <w:sz w:val="21"/>
                <w:szCs w:val="21"/>
                <w:highlight w:val="none"/>
                <w:u w:val="none"/>
              </w:rPr>
            </w:pPr>
          </w:p>
        </w:tc>
      </w:tr>
      <w:tr w14:paraId="030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D734D69">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179F0E6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36</w:t>
            </w:r>
          </w:p>
        </w:tc>
        <w:tc>
          <w:tcPr>
            <w:tcW w:w="1339" w:type="dxa"/>
            <w:shd w:val="clear" w:color="auto" w:fill="auto"/>
            <w:vAlign w:val="center"/>
          </w:tcPr>
          <w:p w14:paraId="40363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豆瓣酱</w:t>
            </w:r>
          </w:p>
        </w:tc>
        <w:tc>
          <w:tcPr>
            <w:tcW w:w="1147" w:type="dxa"/>
            <w:shd w:val="clear" w:color="auto" w:fill="auto"/>
            <w:vAlign w:val="center"/>
          </w:tcPr>
          <w:p w14:paraId="2BD81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5kg/桶</w:t>
            </w:r>
          </w:p>
        </w:tc>
        <w:tc>
          <w:tcPr>
            <w:tcW w:w="975" w:type="dxa"/>
            <w:shd w:val="clear" w:color="auto" w:fill="auto"/>
            <w:vAlign w:val="center"/>
          </w:tcPr>
          <w:p w14:paraId="221A2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85" w:type="dxa"/>
            <w:shd w:val="clear" w:color="auto" w:fill="auto"/>
            <w:vAlign w:val="center"/>
          </w:tcPr>
          <w:p w14:paraId="5751B202">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3E1A4C01">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64B04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5" w:type="dxa"/>
            <w:vMerge w:val="continue"/>
            <w:shd w:val="clear" w:color="auto" w:fill="auto"/>
            <w:vAlign w:val="center"/>
          </w:tcPr>
          <w:p w14:paraId="42A63FAB">
            <w:pPr>
              <w:jc w:val="center"/>
              <w:rPr>
                <w:rFonts w:hint="eastAsia" w:ascii="宋体" w:hAnsi="宋体" w:eastAsia="宋体" w:cs="宋体"/>
                <w:i w:val="0"/>
                <w:iCs w:val="0"/>
                <w:color w:val="auto"/>
                <w:sz w:val="21"/>
                <w:szCs w:val="21"/>
                <w:highlight w:val="none"/>
                <w:u w:val="none"/>
              </w:rPr>
            </w:pPr>
          </w:p>
        </w:tc>
      </w:tr>
      <w:tr w14:paraId="6BDD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02E9C818">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4DF148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37</w:t>
            </w:r>
          </w:p>
        </w:tc>
        <w:tc>
          <w:tcPr>
            <w:tcW w:w="1339" w:type="dxa"/>
            <w:shd w:val="clear" w:color="auto" w:fill="auto"/>
            <w:vAlign w:val="center"/>
          </w:tcPr>
          <w:p w14:paraId="091A5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虾皮</w:t>
            </w:r>
          </w:p>
        </w:tc>
        <w:tc>
          <w:tcPr>
            <w:tcW w:w="1147" w:type="dxa"/>
            <w:shd w:val="clear" w:color="auto" w:fill="auto"/>
            <w:vAlign w:val="center"/>
          </w:tcPr>
          <w:p w14:paraId="6BF79864">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201AD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42810061">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5D843176">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66374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55" w:type="dxa"/>
            <w:vMerge w:val="continue"/>
            <w:shd w:val="clear" w:color="auto" w:fill="auto"/>
            <w:vAlign w:val="center"/>
          </w:tcPr>
          <w:p w14:paraId="69EE6354">
            <w:pPr>
              <w:jc w:val="center"/>
              <w:rPr>
                <w:rFonts w:hint="eastAsia" w:ascii="宋体" w:hAnsi="宋体" w:eastAsia="宋体" w:cs="宋体"/>
                <w:i w:val="0"/>
                <w:iCs w:val="0"/>
                <w:color w:val="auto"/>
                <w:sz w:val="21"/>
                <w:szCs w:val="21"/>
                <w:highlight w:val="none"/>
                <w:u w:val="none"/>
              </w:rPr>
            </w:pPr>
          </w:p>
        </w:tc>
      </w:tr>
      <w:tr w14:paraId="597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6DDF5156">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7C4D14F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38</w:t>
            </w:r>
          </w:p>
        </w:tc>
        <w:tc>
          <w:tcPr>
            <w:tcW w:w="1339" w:type="dxa"/>
            <w:shd w:val="clear" w:color="auto" w:fill="auto"/>
            <w:vAlign w:val="center"/>
          </w:tcPr>
          <w:p w14:paraId="0FD8D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松花蛋</w:t>
            </w:r>
          </w:p>
        </w:tc>
        <w:tc>
          <w:tcPr>
            <w:tcW w:w="1147" w:type="dxa"/>
            <w:shd w:val="clear" w:color="auto" w:fill="auto"/>
            <w:vAlign w:val="center"/>
          </w:tcPr>
          <w:p w14:paraId="4411E3FC">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62B6F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85" w:type="dxa"/>
            <w:shd w:val="clear" w:color="auto" w:fill="auto"/>
            <w:vAlign w:val="center"/>
          </w:tcPr>
          <w:p w14:paraId="6904F7DA">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097EFD10">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0E34D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55" w:type="dxa"/>
            <w:vMerge w:val="continue"/>
            <w:shd w:val="clear" w:color="auto" w:fill="auto"/>
            <w:vAlign w:val="center"/>
          </w:tcPr>
          <w:p w14:paraId="137EB71F">
            <w:pPr>
              <w:jc w:val="center"/>
              <w:rPr>
                <w:rFonts w:hint="eastAsia" w:ascii="宋体" w:hAnsi="宋体" w:eastAsia="宋体" w:cs="宋体"/>
                <w:i w:val="0"/>
                <w:iCs w:val="0"/>
                <w:color w:val="auto"/>
                <w:sz w:val="21"/>
                <w:szCs w:val="21"/>
                <w:highlight w:val="none"/>
                <w:u w:val="none"/>
              </w:rPr>
            </w:pPr>
          </w:p>
        </w:tc>
      </w:tr>
      <w:tr w14:paraId="2F27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429AE5DA">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10B3D35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39</w:t>
            </w:r>
          </w:p>
        </w:tc>
        <w:tc>
          <w:tcPr>
            <w:tcW w:w="1339" w:type="dxa"/>
            <w:shd w:val="clear" w:color="auto" w:fill="auto"/>
            <w:vAlign w:val="center"/>
          </w:tcPr>
          <w:p w14:paraId="1124C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燕麦片</w:t>
            </w:r>
          </w:p>
        </w:tc>
        <w:tc>
          <w:tcPr>
            <w:tcW w:w="1147" w:type="dxa"/>
            <w:shd w:val="clear" w:color="auto" w:fill="FFFFFF"/>
            <w:vAlign w:val="center"/>
          </w:tcPr>
          <w:p w14:paraId="6B93AF03">
            <w:pPr>
              <w:jc w:val="center"/>
              <w:rPr>
                <w:rFonts w:hint="eastAsia" w:ascii="宋体" w:hAnsi="宋体" w:eastAsia="宋体" w:cs="宋体"/>
                <w:i w:val="0"/>
                <w:iCs w:val="0"/>
                <w:color w:val="auto"/>
                <w:sz w:val="21"/>
                <w:szCs w:val="21"/>
                <w:highlight w:val="none"/>
                <w:u w:val="none"/>
              </w:rPr>
            </w:pPr>
          </w:p>
        </w:tc>
        <w:tc>
          <w:tcPr>
            <w:tcW w:w="975" w:type="dxa"/>
            <w:shd w:val="clear" w:color="auto" w:fill="FFFFFF"/>
            <w:vAlign w:val="center"/>
          </w:tcPr>
          <w:p w14:paraId="08770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FFFFFF"/>
            <w:vAlign w:val="center"/>
          </w:tcPr>
          <w:p w14:paraId="4BC1AA96">
            <w:pPr>
              <w:jc w:val="center"/>
              <w:rPr>
                <w:rFonts w:hint="eastAsia" w:ascii="宋体" w:hAnsi="宋体" w:eastAsia="宋体" w:cs="宋体"/>
                <w:i w:val="0"/>
                <w:iCs w:val="0"/>
                <w:color w:val="auto"/>
                <w:sz w:val="21"/>
                <w:szCs w:val="21"/>
                <w:highlight w:val="none"/>
                <w:u w:val="none"/>
              </w:rPr>
            </w:pPr>
          </w:p>
        </w:tc>
        <w:tc>
          <w:tcPr>
            <w:tcW w:w="1365" w:type="dxa"/>
            <w:shd w:val="clear" w:color="auto" w:fill="FFFFFF"/>
            <w:vAlign w:val="center"/>
          </w:tcPr>
          <w:p w14:paraId="007A0B5D">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478DE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55" w:type="dxa"/>
            <w:vMerge w:val="continue"/>
            <w:shd w:val="clear" w:color="auto" w:fill="auto"/>
            <w:vAlign w:val="center"/>
          </w:tcPr>
          <w:p w14:paraId="6C2925EF">
            <w:pPr>
              <w:jc w:val="center"/>
              <w:rPr>
                <w:rFonts w:hint="eastAsia" w:ascii="宋体" w:hAnsi="宋体" w:eastAsia="宋体" w:cs="宋体"/>
                <w:i w:val="0"/>
                <w:iCs w:val="0"/>
                <w:color w:val="auto"/>
                <w:sz w:val="21"/>
                <w:szCs w:val="21"/>
                <w:highlight w:val="none"/>
                <w:u w:val="none"/>
              </w:rPr>
            </w:pPr>
          </w:p>
        </w:tc>
      </w:tr>
      <w:tr w14:paraId="7992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8320003">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542F4A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w:t>
            </w:r>
          </w:p>
        </w:tc>
        <w:tc>
          <w:tcPr>
            <w:tcW w:w="1339" w:type="dxa"/>
            <w:shd w:val="clear" w:color="auto" w:fill="auto"/>
            <w:vAlign w:val="center"/>
          </w:tcPr>
          <w:p w14:paraId="60571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速食</w:t>
            </w:r>
            <w:r>
              <w:rPr>
                <w:rFonts w:hint="eastAsia" w:ascii="宋体" w:hAnsi="宋体" w:eastAsia="宋体" w:cs="宋体"/>
                <w:i w:val="0"/>
                <w:iCs w:val="0"/>
                <w:color w:val="auto"/>
                <w:kern w:val="0"/>
                <w:sz w:val="21"/>
                <w:szCs w:val="21"/>
                <w:highlight w:val="none"/>
                <w:u w:val="none"/>
                <w:lang w:val="en-US" w:eastAsia="zh-CN" w:bidi="ar"/>
              </w:rPr>
              <w:t>粽子</w:t>
            </w:r>
          </w:p>
        </w:tc>
        <w:tc>
          <w:tcPr>
            <w:tcW w:w="1147" w:type="dxa"/>
            <w:shd w:val="clear" w:color="auto" w:fill="auto"/>
            <w:vAlign w:val="center"/>
          </w:tcPr>
          <w:p w14:paraId="2D490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60克/个</w:t>
            </w:r>
          </w:p>
        </w:tc>
        <w:tc>
          <w:tcPr>
            <w:tcW w:w="975" w:type="dxa"/>
            <w:shd w:val="clear" w:color="auto" w:fill="FFFFFF"/>
            <w:vAlign w:val="center"/>
          </w:tcPr>
          <w:p w14:paraId="0EDB3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85" w:type="dxa"/>
            <w:shd w:val="clear" w:color="auto" w:fill="FFFFFF"/>
            <w:vAlign w:val="center"/>
          </w:tcPr>
          <w:p w14:paraId="14AD16FF">
            <w:pPr>
              <w:jc w:val="center"/>
              <w:rPr>
                <w:rFonts w:hint="eastAsia" w:ascii="宋体" w:hAnsi="宋体" w:eastAsia="宋体" w:cs="宋体"/>
                <w:i w:val="0"/>
                <w:iCs w:val="0"/>
                <w:color w:val="auto"/>
                <w:sz w:val="21"/>
                <w:szCs w:val="21"/>
                <w:highlight w:val="none"/>
                <w:u w:val="none"/>
              </w:rPr>
            </w:pPr>
          </w:p>
        </w:tc>
        <w:tc>
          <w:tcPr>
            <w:tcW w:w="1365" w:type="dxa"/>
            <w:shd w:val="clear" w:color="auto" w:fill="FFFFFF"/>
            <w:vAlign w:val="center"/>
          </w:tcPr>
          <w:p w14:paraId="5C355CE3">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43093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55" w:type="dxa"/>
            <w:vMerge w:val="continue"/>
            <w:shd w:val="clear" w:color="auto" w:fill="auto"/>
            <w:vAlign w:val="center"/>
          </w:tcPr>
          <w:p w14:paraId="70B30EAF">
            <w:pPr>
              <w:jc w:val="center"/>
              <w:rPr>
                <w:rFonts w:hint="eastAsia" w:ascii="宋体" w:hAnsi="宋体" w:eastAsia="宋体" w:cs="宋体"/>
                <w:i w:val="0"/>
                <w:iCs w:val="0"/>
                <w:color w:val="auto"/>
                <w:sz w:val="21"/>
                <w:szCs w:val="21"/>
                <w:highlight w:val="none"/>
                <w:u w:val="none"/>
              </w:rPr>
            </w:pPr>
          </w:p>
        </w:tc>
      </w:tr>
      <w:tr w14:paraId="1D3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26607F1E">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6413655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41</w:t>
            </w:r>
          </w:p>
        </w:tc>
        <w:tc>
          <w:tcPr>
            <w:tcW w:w="1339" w:type="dxa"/>
            <w:shd w:val="clear" w:color="auto" w:fill="auto"/>
            <w:vAlign w:val="center"/>
          </w:tcPr>
          <w:p w14:paraId="6E100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速食</w:t>
            </w:r>
            <w:r>
              <w:rPr>
                <w:rFonts w:hint="eastAsia" w:ascii="宋体" w:hAnsi="宋体" w:eastAsia="宋体" w:cs="宋体"/>
                <w:i w:val="0"/>
                <w:iCs w:val="0"/>
                <w:color w:val="auto"/>
                <w:kern w:val="0"/>
                <w:sz w:val="21"/>
                <w:szCs w:val="21"/>
                <w:highlight w:val="none"/>
                <w:u w:val="none"/>
                <w:lang w:val="en-US" w:eastAsia="zh-CN" w:bidi="ar"/>
              </w:rPr>
              <w:t>元宵</w:t>
            </w:r>
          </w:p>
        </w:tc>
        <w:tc>
          <w:tcPr>
            <w:tcW w:w="1147" w:type="dxa"/>
            <w:shd w:val="clear" w:color="auto" w:fill="auto"/>
            <w:vAlign w:val="center"/>
          </w:tcPr>
          <w:p w14:paraId="487DC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454克/袋</w:t>
            </w:r>
          </w:p>
        </w:tc>
        <w:tc>
          <w:tcPr>
            <w:tcW w:w="975" w:type="dxa"/>
            <w:shd w:val="clear" w:color="auto" w:fill="auto"/>
            <w:vAlign w:val="center"/>
          </w:tcPr>
          <w:p w14:paraId="5083B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185" w:type="dxa"/>
            <w:shd w:val="clear" w:color="auto" w:fill="auto"/>
            <w:vAlign w:val="center"/>
          </w:tcPr>
          <w:p w14:paraId="59C1AFC1">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44BB4D59">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27807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55" w:type="dxa"/>
            <w:vMerge w:val="continue"/>
            <w:shd w:val="clear" w:color="auto" w:fill="auto"/>
            <w:vAlign w:val="center"/>
          </w:tcPr>
          <w:p w14:paraId="60E1327C">
            <w:pPr>
              <w:jc w:val="center"/>
              <w:rPr>
                <w:rFonts w:hint="eastAsia" w:ascii="宋体" w:hAnsi="宋体" w:eastAsia="宋体" w:cs="宋体"/>
                <w:i w:val="0"/>
                <w:iCs w:val="0"/>
                <w:color w:val="auto"/>
                <w:sz w:val="21"/>
                <w:szCs w:val="21"/>
                <w:highlight w:val="none"/>
                <w:u w:val="none"/>
              </w:rPr>
            </w:pPr>
          </w:p>
        </w:tc>
      </w:tr>
      <w:tr w14:paraId="06C5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0319E306">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4BC595F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42</w:t>
            </w:r>
          </w:p>
        </w:tc>
        <w:tc>
          <w:tcPr>
            <w:tcW w:w="1339" w:type="dxa"/>
            <w:shd w:val="clear" w:color="auto" w:fill="auto"/>
            <w:vAlign w:val="center"/>
          </w:tcPr>
          <w:p w14:paraId="60FAB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红糖</w:t>
            </w:r>
          </w:p>
        </w:tc>
        <w:tc>
          <w:tcPr>
            <w:tcW w:w="1147" w:type="dxa"/>
            <w:shd w:val="clear" w:color="auto" w:fill="auto"/>
            <w:vAlign w:val="center"/>
          </w:tcPr>
          <w:p w14:paraId="3DF08952">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60E76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19D292BF">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2C5FEC9A">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0238D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55" w:type="dxa"/>
            <w:vMerge w:val="continue"/>
            <w:shd w:val="clear" w:color="auto" w:fill="auto"/>
            <w:vAlign w:val="center"/>
          </w:tcPr>
          <w:p w14:paraId="5C3CEC8F">
            <w:pPr>
              <w:jc w:val="center"/>
              <w:rPr>
                <w:rFonts w:hint="eastAsia" w:ascii="宋体" w:hAnsi="宋体" w:eastAsia="宋体" w:cs="宋体"/>
                <w:i w:val="0"/>
                <w:iCs w:val="0"/>
                <w:color w:val="auto"/>
                <w:sz w:val="21"/>
                <w:szCs w:val="21"/>
                <w:highlight w:val="none"/>
                <w:u w:val="none"/>
              </w:rPr>
            </w:pPr>
          </w:p>
        </w:tc>
      </w:tr>
      <w:tr w14:paraId="4A82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0C446872">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516E89E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43</w:t>
            </w:r>
          </w:p>
        </w:tc>
        <w:tc>
          <w:tcPr>
            <w:tcW w:w="1339" w:type="dxa"/>
            <w:shd w:val="clear" w:color="auto" w:fill="auto"/>
            <w:vAlign w:val="center"/>
          </w:tcPr>
          <w:p w14:paraId="571BF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炒瓜子</w:t>
            </w:r>
          </w:p>
        </w:tc>
        <w:tc>
          <w:tcPr>
            <w:tcW w:w="1147" w:type="dxa"/>
            <w:shd w:val="clear" w:color="auto" w:fill="auto"/>
            <w:vAlign w:val="center"/>
          </w:tcPr>
          <w:p w14:paraId="68D68BDE">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37D4F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4EAD8F1">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0528A97E">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2F43A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55" w:type="dxa"/>
            <w:vMerge w:val="continue"/>
            <w:shd w:val="clear" w:color="auto" w:fill="auto"/>
            <w:vAlign w:val="center"/>
          </w:tcPr>
          <w:p w14:paraId="20105D94">
            <w:pPr>
              <w:jc w:val="center"/>
              <w:rPr>
                <w:rFonts w:hint="eastAsia" w:ascii="宋体" w:hAnsi="宋体" w:eastAsia="宋体" w:cs="宋体"/>
                <w:i w:val="0"/>
                <w:iCs w:val="0"/>
                <w:color w:val="auto"/>
                <w:sz w:val="21"/>
                <w:szCs w:val="21"/>
                <w:highlight w:val="none"/>
                <w:u w:val="none"/>
              </w:rPr>
            </w:pPr>
          </w:p>
        </w:tc>
      </w:tr>
      <w:tr w14:paraId="030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70D07FF8">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775F79A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44</w:t>
            </w:r>
          </w:p>
        </w:tc>
        <w:tc>
          <w:tcPr>
            <w:tcW w:w="1339" w:type="dxa"/>
            <w:shd w:val="clear" w:color="auto" w:fill="auto"/>
            <w:vAlign w:val="center"/>
          </w:tcPr>
          <w:p w14:paraId="10C68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带壳炒花生</w:t>
            </w:r>
          </w:p>
        </w:tc>
        <w:tc>
          <w:tcPr>
            <w:tcW w:w="1147" w:type="dxa"/>
            <w:shd w:val="clear" w:color="auto" w:fill="auto"/>
            <w:vAlign w:val="center"/>
          </w:tcPr>
          <w:p w14:paraId="35100019">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747DF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5D724B90">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6C1DD4AF">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2611E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55" w:type="dxa"/>
            <w:vMerge w:val="continue"/>
            <w:shd w:val="clear" w:color="auto" w:fill="auto"/>
            <w:vAlign w:val="center"/>
          </w:tcPr>
          <w:p w14:paraId="12AA0D4A">
            <w:pPr>
              <w:jc w:val="center"/>
              <w:rPr>
                <w:rFonts w:hint="eastAsia" w:ascii="宋体" w:hAnsi="宋体" w:eastAsia="宋体" w:cs="宋体"/>
                <w:i w:val="0"/>
                <w:iCs w:val="0"/>
                <w:color w:val="auto"/>
                <w:sz w:val="21"/>
                <w:szCs w:val="21"/>
                <w:highlight w:val="none"/>
                <w:u w:val="none"/>
              </w:rPr>
            </w:pPr>
          </w:p>
        </w:tc>
      </w:tr>
      <w:tr w14:paraId="3C0E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trPr>
        <w:tc>
          <w:tcPr>
            <w:tcW w:w="721" w:type="dxa"/>
            <w:vMerge w:val="continue"/>
            <w:shd w:val="clear" w:color="auto" w:fill="auto"/>
            <w:vAlign w:val="center"/>
          </w:tcPr>
          <w:p w14:paraId="3E1C54E7">
            <w:pPr>
              <w:jc w:val="center"/>
              <w:rPr>
                <w:rFonts w:hint="eastAsia" w:ascii="宋体" w:hAnsi="宋体" w:eastAsia="宋体" w:cs="宋体"/>
                <w:i w:val="0"/>
                <w:iCs w:val="0"/>
                <w:color w:val="auto"/>
                <w:sz w:val="21"/>
                <w:szCs w:val="21"/>
                <w:highlight w:val="none"/>
                <w:u w:val="none"/>
              </w:rPr>
            </w:pPr>
          </w:p>
        </w:tc>
        <w:tc>
          <w:tcPr>
            <w:tcW w:w="431" w:type="dxa"/>
            <w:shd w:val="clear" w:color="auto" w:fill="auto"/>
            <w:vAlign w:val="center"/>
          </w:tcPr>
          <w:p w14:paraId="017322C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45</w:t>
            </w:r>
          </w:p>
        </w:tc>
        <w:tc>
          <w:tcPr>
            <w:tcW w:w="1339" w:type="dxa"/>
            <w:shd w:val="clear" w:color="auto" w:fill="auto"/>
            <w:vAlign w:val="center"/>
          </w:tcPr>
          <w:p w14:paraId="77ED5A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混合糖果</w:t>
            </w:r>
          </w:p>
        </w:tc>
        <w:tc>
          <w:tcPr>
            <w:tcW w:w="1147" w:type="dxa"/>
            <w:shd w:val="clear" w:color="auto" w:fill="auto"/>
            <w:vAlign w:val="center"/>
          </w:tcPr>
          <w:p w14:paraId="07DD2579">
            <w:pPr>
              <w:jc w:val="center"/>
              <w:rPr>
                <w:rFonts w:hint="eastAsia" w:ascii="宋体" w:hAnsi="宋体" w:eastAsia="宋体" w:cs="宋体"/>
                <w:i w:val="0"/>
                <w:iCs w:val="0"/>
                <w:color w:val="auto"/>
                <w:sz w:val="21"/>
                <w:szCs w:val="21"/>
                <w:highlight w:val="none"/>
                <w:u w:val="none"/>
              </w:rPr>
            </w:pPr>
          </w:p>
        </w:tc>
        <w:tc>
          <w:tcPr>
            <w:tcW w:w="975" w:type="dxa"/>
            <w:shd w:val="clear" w:color="auto" w:fill="auto"/>
            <w:vAlign w:val="center"/>
          </w:tcPr>
          <w:p w14:paraId="5D890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5" w:type="dxa"/>
            <w:shd w:val="clear" w:color="auto" w:fill="auto"/>
            <w:vAlign w:val="center"/>
          </w:tcPr>
          <w:p w14:paraId="7611BE5A">
            <w:pPr>
              <w:jc w:val="center"/>
              <w:rPr>
                <w:rFonts w:hint="eastAsia" w:ascii="宋体" w:hAnsi="宋体" w:eastAsia="宋体" w:cs="宋体"/>
                <w:i w:val="0"/>
                <w:iCs w:val="0"/>
                <w:color w:val="auto"/>
                <w:sz w:val="21"/>
                <w:szCs w:val="21"/>
                <w:highlight w:val="none"/>
                <w:u w:val="none"/>
              </w:rPr>
            </w:pPr>
          </w:p>
        </w:tc>
        <w:tc>
          <w:tcPr>
            <w:tcW w:w="1365" w:type="dxa"/>
            <w:shd w:val="clear" w:color="auto" w:fill="auto"/>
            <w:vAlign w:val="center"/>
          </w:tcPr>
          <w:p w14:paraId="72F034E0">
            <w:pPr>
              <w:jc w:val="center"/>
              <w:rPr>
                <w:rFonts w:hint="eastAsia" w:ascii="宋体" w:hAnsi="宋体" w:eastAsia="宋体" w:cs="宋体"/>
                <w:i w:val="0"/>
                <w:iCs w:val="0"/>
                <w:color w:val="auto"/>
                <w:sz w:val="21"/>
                <w:szCs w:val="21"/>
                <w:highlight w:val="none"/>
                <w:u w:val="none"/>
              </w:rPr>
            </w:pPr>
          </w:p>
        </w:tc>
        <w:tc>
          <w:tcPr>
            <w:tcW w:w="1997" w:type="dxa"/>
            <w:shd w:val="clear" w:color="auto" w:fill="auto"/>
            <w:noWrap/>
            <w:vAlign w:val="center"/>
          </w:tcPr>
          <w:p w14:paraId="51E0B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55" w:type="dxa"/>
            <w:vMerge w:val="continue"/>
            <w:shd w:val="clear" w:color="auto" w:fill="auto"/>
            <w:vAlign w:val="center"/>
          </w:tcPr>
          <w:p w14:paraId="2E0BE77A">
            <w:pPr>
              <w:jc w:val="center"/>
              <w:rPr>
                <w:rFonts w:hint="eastAsia" w:ascii="宋体" w:hAnsi="宋体" w:eastAsia="宋体" w:cs="宋体"/>
                <w:i w:val="0"/>
                <w:iCs w:val="0"/>
                <w:color w:val="auto"/>
                <w:sz w:val="21"/>
                <w:szCs w:val="21"/>
                <w:highlight w:val="none"/>
                <w:u w:val="none"/>
              </w:rPr>
            </w:pPr>
          </w:p>
        </w:tc>
      </w:tr>
    </w:tbl>
    <w:p w14:paraId="7AC97C1E">
      <w:pPr>
        <w:pStyle w:val="5"/>
        <w:bidi w:val="0"/>
        <w:jc w:val="left"/>
        <w:rPr>
          <w:rFonts w:hint="default"/>
          <w:color w:val="auto"/>
          <w:highlight w:val="none"/>
          <w:lang w:val="en-US" w:eastAsia="zh-CN"/>
        </w:rPr>
      </w:pPr>
      <w:r>
        <w:rPr>
          <w:rFonts w:hint="eastAsia"/>
          <w:color w:val="auto"/>
          <w:highlight w:val="none"/>
          <w:lang w:val="en-US" w:eastAsia="zh-CN"/>
        </w:rPr>
        <w:t>标项6</w:t>
      </w:r>
    </w:p>
    <w:tbl>
      <w:tblPr>
        <w:tblStyle w:val="30"/>
        <w:tblW w:w="99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31"/>
        <w:gridCol w:w="1339"/>
        <w:gridCol w:w="1970"/>
        <w:gridCol w:w="691"/>
        <w:gridCol w:w="1021"/>
        <w:gridCol w:w="2141"/>
        <w:gridCol w:w="846"/>
        <w:gridCol w:w="755"/>
      </w:tblGrid>
      <w:tr w14:paraId="730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24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79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5E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5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C1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F2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B6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FE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F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6E50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804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奶类</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332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1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200g*20包/件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95A6">
            <w:pPr>
              <w:jc w:val="center"/>
              <w:rPr>
                <w:rFonts w:hint="eastAsia" w:ascii="宋体" w:hAnsi="宋体" w:eastAsia="宋体" w:cs="宋体"/>
                <w:i w:val="0"/>
                <w:iCs w:val="0"/>
                <w:color w:val="auto"/>
                <w:sz w:val="21"/>
                <w:szCs w:val="21"/>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GB25190-2010食品安全国家标准灭菌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B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 </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E2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2D3E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7A98">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1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A4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9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120g/杯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5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E6D">
            <w:pPr>
              <w:jc w:val="center"/>
              <w:rPr>
                <w:rFonts w:hint="eastAsia" w:ascii="宋体" w:hAnsi="宋体" w:eastAsia="宋体" w:cs="宋体"/>
                <w:i w:val="0"/>
                <w:iCs w:val="0"/>
                <w:color w:val="auto"/>
                <w:sz w:val="21"/>
                <w:szCs w:val="21"/>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7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GB19302-2010食品安全国家标准灭菌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2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E221">
            <w:pPr>
              <w:jc w:val="center"/>
              <w:rPr>
                <w:rFonts w:hint="eastAsia" w:ascii="宋体" w:hAnsi="宋体" w:eastAsia="宋体" w:cs="宋体"/>
                <w:i w:val="0"/>
                <w:iCs w:val="0"/>
                <w:color w:val="auto"/>
                <w:sz w:val="21"/>
                <w:szCs w:val="21"/>
                <w:highlight w:val="none"/>
                <w:u w:val="none"/>
              </w:rPr>
            </w:pPr>
          </w:p>
        </w:tc>
      </w:tr>
      <w:tr w14:paraId="775E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30C5">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6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FA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奶粉</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5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500克/包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C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E3C">
            <w:pPr>
              <w:jc w:val="center"/>
              <w:rPr>
                <w:rFonts w:hint="eastAsia" w:ascii="宋体" w:hAnsi="宋体" w:eastAsia="宋体" w:cs="宋体"/>
                <w:i w:val="0"/>
                <w:iCs w:val="0"/>
                <w:color w:val="auto"/>
                <w:sz w:val="21"/>
                <w:szCs w:val="21"/>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1BB">
            <w:pPr>
              <w:jc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60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 </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42C4">
            <w:pPr>
              <w:jc w:val="center"/>
              <w:rPr>
                <w:rFonts w:hint="eastAsia" w:ascii="宋体" w:hAnsi="宋体" w:eastAsia="宋体" w:cs="宋体"/>
                <w:i w:val="0"/>
                <w:iCs w:val="0"/>
                <w:color w:val="auto"/>
                <w:sz w:val="21"/>
                <w:szCs w:val="21"/>
                <w:highlight w:val="none"/>
                <w:u w:val="none"/>
              </w:rPr>
            </w:pPr>
          </w:p>
        </w:tc>
      </w:tr>
      <w:tr w14:paraId="1326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33EE">
            <w:pPr>
              <w:jc w:val="center"/>
              <w:rPr>
                <w:rFonts w:hint="eastAsia" w:ascii="宋体" w:hAnsi="宋体" w:eastAsia="宋体" w:cs="宋体"/>
                <w:i w:val="0"/>
                <w:iCs w:val="0"/>
                <w:color w:val="auto"/>
                <w:sz w:val="21"/>
                <w:szCs w:val="21"/>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1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9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奶茶粉</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4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900g*12包/件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4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07AE">
            <w:pPr>
              <w:jc w:val="center"/>
              <w:rPr>
                <w:rFonts w:hint="eastAsia" w:ascii="宋体" w:hAnsi="宋体" w:eastAsia="宋体" w:cs="宋体"/>
                <w:i w:val="0"/>
                <w:iCs w:val="0"/>
                <w:color w:val="auto"/>
                <w:sz w:val="21"/>
                <w:szCs w:val="21"/>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055">
            <w:pPr>
              <w:jc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250.00</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8C1C">
            <w:pPr>
              <w:jc w:val="center"/>
              <w:rPr>
                <w:rFonts w:hint="eastAsia" w:ascii="宋体" w:hAnsi="宋体" w:eastAsia="宋体" w:cs="宋体"/>
                <w:i w:val="0"/>
                <w:iCs w:val="0"/>
                <w:color w:val="auto"/>
                <w:sz w:val="21"/>
                <w:szCs w:val="21"/>
                <w:highlight w:val="none"/>
                <w:u w:val="none"/>
              </w:rPr>
            </w:pPr>
          </w:p>
        </w:tc>
      </w:tr>
    </w:tbl>
    <w:p w14:paraId="7EBE77C4">
      <w:pPr>
        <w:pStyle w:val="5"/>
        <w:bidi w:val="0"/>
        <w:jc w:val="left"/>
        <w:rPr>
          <w:rFonts w:hint="default"/>
          <w:color w:val="auto"/>
          <w:highlight w:val="none"/>
          <w:lang w:val="en-US" w:eastAsia="zh-CN"/>
        </w:rPr>
      </w:pPr>
      <w:r>
        <w:rPr>
          <w:rFonts w:hint="eastAsia"/>
          <w:color w:val="auto"/>
          <w:highlight w:val="none"/>
          <w:lang w:val="en-US" w:eastAsia="zh-CN"/>
        </w:rPr>
        <w:t>标项7</w:t>
      </w:r>
    </w:p>
    <w:tbl>
      <w:tblPr>
        <w:tblStyle w:val="30"/>
        <w:tblW w:w="99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431"/>
        <w:gridCol w:w="1339"/>
        <w:gridCol w:w="1970"/>
        <w:gridCol w:w="691"/>
        <w:gridCol w:w="1306"/>
        <w:gridCol w:w="1080"/>
        <w:gridCol w:w="1622"/>
        <w:gridCol w:w="755"/>
      </w:tblGrid>
      <w:tr w14:paraId="68D1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5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8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D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F4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6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6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F3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执行标准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1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本年度最高限价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A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预算金额（万元）</w:t>
            </w:r>
          </w:p>
        </w:tc>
      </w:tr>
      <w:tr w14:paraId="14A2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水产类</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CD7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F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鲜白鲢鱼</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A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3kg以上，刮鳞、去内脏、切块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3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D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切块规格5x5cm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5089">
            <w:pPr>
              <w:jc w:val="center"/>
              <w:rPr>
                <w:rFonts w:hint="eastAsia" w:ascii="宋体" w:hAnsi="宋体" w:eastAsia="宋体" w:cs="宋体"/>
                <w:i w:val="0"/>
                <w:iCs w:val="0"/>
                <w:color w:val="auto"/>
                <w:sz w:val="21"/>
                <w:szCs w:val="21"/>
                <w:highlight w:val="none"/>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依据北园春市场当日中间价报下浮率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C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bl>
    <w:p w14:paraId="0A0B51D7">
      <w:pPr>
        <w:rPr>
          <w:rFonts w:hint="eastAsia" w:ascii="宋体" w:hAnsi="宋体" w:eastAsia="宋体" w:cs="宋体"/>
          <w:color w:val="auto"/>
          <w:highlight w:val="none"/>
        </w:rPr>
      </w:pPr>
    </w:p>
    <w:p w14:paraId="7B156E90">
      <w:pPr>
        <w:pStyle w:val="4"/>
        <w:bidi w:val="0"/>
        <w:jc w:val="left"/>
        <w:rPr>
          <w:rFonts w:hint="default"/>
          <w:color w:val="auto"/>
          <w:highlight w:val="none"/>
          <w:lang w:val="en-US" w:eastAsia="zh-CN"/>
        </w:rPr>
      </w:pPr>
      <w:r>
        <w:rPr>
          <w:rFonts w:hint="eastAsia"/>
          <w:color w:val="auto"/>
          <w:highlight w:val="none"/>
          <w:lang w:val="en-US" w:eastAsia="zh-CN"/>
        </w:rPr>
        <w:t>二、质量要求</w:t>
      </w:r>
    </w:p>
    <w:p w14:paraId="3C3C8C32">
      <w:pPr>
        <w:bidi w:val="0"/>
        <w:ind w:left="0" w:leftChars="0" w:firstLine="482" w:firstLineChars="200"/>
        <w:rPr>
          <w:rFonts w:hint="eastAsia"/>
          <w:color w:val="auto"/>
          <w:highlight w:val="none"/>
          <w:lang w:val="en-US" w:eastAsia="zh-CN"/>
        </w:rPr>
      </w:pPr>
      <w:r>
        <w:rPr>
          <w:rFonts w:hint="eastAsia"/>
          <w:b/>
          <w:bCs/>
          <w:color w:val="auto"/>
          <w:highlight w:val="none"/>
          <w:lang w:val="en-US" w:eastAsia="zh-CN"/>
        </w:rPr>
        <w:t>1..质量要求</w:t>
      </w:r>
      <w:r>
        <w:rPr>
          <w:rFonts w:hint="eastAsia"/>
          <w:color w:val="auto"/>
          <w:highlight w:val="none"/>
          <w:lang w:val="en-US" w:eastAsia="zh-CN"/>
        </w:rPr>
        <w:t>：产品质量符合《中华人民共和国食品安全法》《中华人民共和国食品安全法实施条例》《餐饮服务食品安全监督管理法》《中华人民共和国农产品质量安全法》《中华人民共和国产品质量法》以及省、市及行业相关法律法规的规定，符合行业主管部门发布的规定、标准、规范。配送产品来源合法、质检合格符合国家现行相关卫生、质检、检疫标准；保证所供产品为非转基因产品及其制品，蔬菜等产品农药残留必须低于国家标准，中标供应商须承诺按采购人要求的产品参数提供产品并保证供货，供货时须提供厂家的出厂合格证明及相关检验或检疫合格证明，所有食品必须保证质量，不得出现缺斤短两、腐烂、变质、过期、以次充好等情况。供应商提供的货物，必须符合双方确认的企业标准，企业标准没有要求的，必须符合国家或行业标准，上述标准都没有要求的，应当符合国家相关食品安全要求及招标人实际使用之目的。严禁使用临期及过期产品，一经发现有临期或过期产品的，中标供应商应按市场单价的10倍乘以实际数量得出的总价向采购人赔偿。</w:t>
      </w:r>
    </w:p>
    <w:p w14:paraId="05D8D345">
      <w:pPr>
        <w:bidi w:val="0"/>
        <w:ind w:left="0" w:leftChars="0" w:firstLine="482" w:firstLineChars="200"/>
        <w:rPr>
          <w:rFonts w:hint="eastAsia"/>
          <w:b/>
          <w:bCs/>
          <w:color w:val="auto"/>
          <w:highlight w:val="none"/>
          <w:lang w:val="en-US" w:eastAsia="zh-CN"/>
        </w:rPr>
      </w:pPr>
      <w:r>
        <w:rPr>
          <w:rFonts w:hint="eastAsia"/>
          <w:b/>
          <w:bCs/>
          <w:color w:val="auto"/>
          <w:highlight w:val="none"/>
          <w:lang w:val="en-US" w:eastAsia="zh-CN"/>
        </w:rPr>
        <w:t>2.食材要求：</w:t>
      </w:r>
    </w:p>
    <w:p w14:paraId="7B459F50">
      <w:pPr>
        <w:bidi w:val="0"/>
        <w:ind w:left="0" w:leftChars="0" w:firstLine="480" w:firstLineChars="200"/>
        <w:rPr>
          <w:rFonts w:hint="default"/>
          <w:color w:val="auto"/>
          <w:highlight w:val="none"/>
          <w:lang w:val="en-US" w:eastAsia="zh-CN"/>
        </w:rPr>
      </w:pPr>
      <w:r>
        <w:rPr>
          <w:rFonts w:hint="eastAsia"/>
          <w:color w:val="auto"/>
          <w:highlight w:val="none"/>
          <w:lang w:val="en-US" w:eastAsia="zh-CN"/>
        </w:rPr>
        <w:t>（1）白条鸡</w:t>
      </w:r>
      <w:r>
        <w:rPr>
          <w:rFonts w:hint="default"/>
          <w:color w:val="auto"/>
          <w:highlight w:val="none"/>
          <w:lang w:val="en-US" w:eastAsia="zh-CN"/>
        </w:rPr>
        <w:t>：新鲜、每只2.5kg以上</w:t>
      </w:r>
      <w:r>
        <w:rPr>
          <w:rFonts w:hint="eastAsia"/>
          <w:color w:val="auto"/>
          <w:highlight w:val="none"/>
          <w:lang w:val="en-US" w:eastAsia="zh-CN"/>
        </w:rPr>
        <w:t>，切块规格3x3cm；</w:t>
      </w:r>
      <w:r>
        <w:rPr>
          <w:rFonts w:hint="default"/>
          <w:color w:val="auto"/>
          <w:highlight w:val="none"/>
          <w:lang w:val="en-US" w:eastAsia="zh-CN"/>
        </w:rPr>
        <w:t>配送的渠道来源正规可溯，禽类的表皮光滑，新鲜肥嫩，无内脏，呈现出家禽原有的自然颜色，肌肉切面有光泽，表皮微湿润，不粘手。皮肤呈淡白色，具有该家禽特有的气味；脂肪色白、稍带淡黄色有光泽、无异味；肌肉结实而有弹性，有特殊香味。</w:t>
      </w:r>
    </w:p>
    <w:p w14:paraId="0D8BF302">
      <w:pPr>
        <w:bidi w:val="0"/>
        <w:ind w:left="0" w:leftChars="0" w:firstLine="480" w:firstLineChars="200"/>
        <w:rPr>
          <w:rFonts w:hint="default" w:ascii="Times New Roman" w:hAnsi="Times New Roman" w:eastAsia="宋体"/>
          <w:color w:val="auto"/>
          <w:highlight w:val="none"/>
          <w:lang w:val="en-US" w:eastAsia="zh-CN"/>
        </w:rPr>
      </w:pPr>
      <w:r>
        <w:rPr>
          <w:rFonts w:hint="default" w:ascii="Times New Roman" w:hAnsi="Times New Roman" w:eastAsia="宋体"/>
          <w:color w:val="auto"/>
          <w:highlight w:val="none"/>
          <w:lang w:val="en-US" w:eastAsia="zh-CN"/>
        </w:rPr>
        <w:t>鸡蛋：新鲜</w:t>
      </w:r>
      <w:r>
        <w:rPr>
          <w:rFonts w:hint="eastAsia" w:ascii="Times New Roman" w:hAnsi="Times New Roman" w:eastAsia="宋体"/>
          <w:color w:val="auto"/>
          <w:highlight w:val="none"/>
          <w:lang w:val="en-US" w:eastAsia="zh-CN"/>
        </w:rPr>
        <w:t>，</w:t>
      </w:r>
      <w:r>
        <w:rPr>
          <w:rFonts w:hint="default" w:ascii="Times New Roman" w:hAnsi="Times New Roman" w:eastAsia="宋体"/>
          <w:color w:val="auto"/>
          <w:highlight w:val="none"/>
          <w:lang w:val="en-US" w:eastAsia="zh-CN"/>
        </w:rPr>
        <w:t>蛋壳清洁完整，色泽鲜明，无破损、裂纹，无霉斑，灯光透视时，整个蛋呈桔黄色至橙红色，蛋黄不见或略见阴影，没有霉味、酸味，臭味等不良气味，打开后蛋黄凸起、完整、有韧性，蛋白澄清、透明、稀稠分明，无异味。</w:t>
      </w:r>
    </w:p>
    <w:p w14:paraId="78108720">
      <w:pPr>
        <w:numPr>
          <w:ilvl w:val="0"/>
          <w:numId w:val="0"/>
        </w:numPr>
        <w:bidi w:val="0"/>
        <w:ind w:left="0" w:leftChars="0" w:firstLine="480" w:firstLineChars="200"/>
        <w:rPr>
          <w:rFonts w:hint="eastAsia" w:ascii="Times New Roman" w:hAnsi="Times New Roman" w:eastAsia="宋体"/>
          <w:color w:val="auto"/>
          <w:highlight w:val="none"/>
          <w:lang w:val="en-US" w:eastAsia="zh-CN"/>
        </w:rPr>
      </w:pPr>
      <w:r>
        <w:rPr>
          <w:rFonts w:hint="eastAsia" w:ascii="Times New Roman" w:hAnsi="Times New Roman" w:eastAsia="宋体" w:cstheme="minorBidi"/>
          <w:color w:val="auto"/>
          <w:kern w:val="2"/>
          <w:sz w:val="24"/>
          <w:szCs w:val="24"/>
          <w:highlight w:val="none"/>
          <w:lang w:val="en-US" w:eastAsia="zh-CN" w:bidi="ar-SA"/>
        </w:rPr>
        <w:t>（2）</w:t>
      </w:r>
      <w:r>
        <w:rPr>
          <w:rFonts w:hint="eastAsia" w:ascii="Times New Roman" w:hAnsi="Times New Roman" w:eastAsia="宋体"/>
          <w:color w:val="auto"/>
          <w:highlight w:val="none"/>
          <w:lang w:val="en-US" w:eastAsia="zh-CN"/>
        </w:rPr>
        <w:t>牛肉类：牛前腿肉新鲜、剔骨，切块规格12x12x40cm，肥肉率不高于10%；牛后腿肉新鲜、剔骨，切块规格12x12x40cm,，肥肉率不高于5%；配送的牛肉渠道来源正规可溯，肉类来源于正规肉联厂，肉呈均匀的红色，有光泽，肉质紧密，有坚实感，肉的表面及切面微湿润，肉质紧密、、有弹性，不粘手，脂肪洁白，无注水。瘦肉呈均匀的鲜红色或深红色、有光泽，脂肪呈乳白色或微黄色。具有牛肉正常气味，无异味，瘦肉切面纹理清晰，皮下脂肪适度、均匀、形态丰满。</w:t>
      </w:r>
    </w:p>
    <w:p w14:paraId="7D9C7B3F">
      <w:pPr>
        <w:pStyle w:val="12"/>
        <w:numPr>
          <w:ilvl w:val="0"/>
          <w:numId w:val="0"/>
        </w:numPr>
        <w:ind w:left="0" w:leftChars="0" w:firstLine="480" w:firstLineChars="200"/>
        <w:rPr>
          <w:rFonts w:hint="default" w:ascii="Times New Roman" w:hAnsi="Times New Roman" w:eastAsia="宋体" w:cstheme="minorBidi"/>
          <w:color w:val="auto"/>
          <w:kern w:val="2"/>
          <w:sz w:val="24"/>
          <w:szCs w:val="24"/>
          <w:highlight w:val="none"/>
          <w:lang w:val="en-US" w:eastAsia="zh-CN" w:bidi="ar-SA"/>
        </w:rPr>
      </w:pPr>
      <w:r>
        <w:rPr>
          <w:rFonts w:hint="default" w:ascii="Times New Roman" w:hAnsi="Times New Roman" w:eastAsia="宋体" w:cstheme="minorBidi"/>
          <w:color w:val="auto"/>
          <w:kern w:val="2"/>
          <w:sz w:val="24"/>
          <w:szCs w:val="24"/>
          <w:highlight w:val="none"/>
          <w:lang w:val="en-US" w:eastAsia="zh-CN" w:bidi="ar-SA"/>
        </w:rPr>
        <w:t>羊肝：新鲜</w:t>
      </w:r>
      <w:r>
        <w:rPr>
          <w:rFonts w:hint="eastAsia" w:ascii="Times New Roman" w:hAnsi="Times New Roman" w:eastAsia="宋体" w:cstheme="minorBidi"/>
          <w:color w:val="auto"/>
          <w:kern w:val="2"/>
          <w:sz w:val="24"/>
          <w:szCs w:val="24"/>
          <w:highlight w:val="none"/>
          <w:lang w:val="en-US" w:eastAsia="zh-CN" w:bidi="ar-SA"/>
        </w:rPr>
        <w:t>；</w:t>
      </w:r>
      <w:r>
        <w:rPr>
          <w:rFonts w:hint="default" w:ascii="Times New Roman" w:hAnsi="Times New Roman" w:eastAsia="宋体" w:cstheme="minorBidi"/>
          <w:color w:val="auto"/>
          <w:kern w:val="2"/>
          <w:sz w:val="24"/>
          <w:szCs w:val="24"/>
          <w:highlight w:val="none"/>
          <w:lang w:val="en-US" w:eastAsia="zh-CN" w:bidi="ar-SA"/>
        </w:rPr>
        <w:t>色泽呈紫红色或棕红色，有光泽，无霉斑、变色或发黑现象，组织形态质地柔软、有弹性，无破损、淤血、结节或病变组织，气味具有羊肝固有气味，无腐臭、酸败或刺激性异味。屠宰后需经预冷排酸处理（0-4℃，12-24小时），去除胆囊及筋膜等杂质，切割整齐无碎屑。禁止使用福尔马林、过氧化氢等非食用物质保鲜或漂白。产品交付时剩余保质期不得少于总保质期的2/3；每批次羊肝需提供完整溯源信息，包括养殖区域、屠宰日期、检疫合格证明编号、运输及储存记录、第三方检测机构出具的兽药残留及微生物检测报告。供应商需签署《食品安全承诺书》，承诺不使用病死、毒死或死因不明的羊肝脏。</w:t>
      </w:r>
    </w:p>
    <w:p w14:paraId="5E0D438F">
      <w:pPr>
        <w:numPr>
          <w:ilvl w:val="0"/>
          <w:numId w:val="0"/>
        </w:numPr>
        <w:spacing w:line="520" w:lineRule="exact"/>
        <w:ind w:firstLine="560" w:firstLineChars="0"/>
        <w:jc w:val="both"/>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3）蔬菜水果：蔬菜（含冬菜）应满足时令、新鲜、土豆直径≥8cm；胡萝卜直径≥5cm，长度≥15cm；洋葱直径≥7cm；青萝卜长度≥20cm，单个重量300-450g；大葱粗度（直径）≥2cm，葱白≥25cm；白菜单颗重量≥5kg；包包菜单颗重量≥5kg；水果应满足时令、新鲜、苹果单果重量≥200g，果径≥8cm；梨子单果重量≥100g，果径≥6cm；香蕉长度15-20cm。由以下几点检验优劣：从色泽看，各种蔬菜水果都应具有本品种固有的颜色，大多数有发亮的光泽，以此显示成熟度及鲜嫩程度；从气味看，多数蔬菜水果具有清馨、甘辛香、甜酸香等气味，可凭嗅觉识别 不同品种的质量，不允许有腐烂变质的亚硝酸盐味和其他异常气味；从滋味看，因品种不同而各异，多数蔬菜水果滋味甘淡、甜酸、清爽鲜美，如失去本品种原有的滋味即为异常；从形态看，应尽量避免由于客观因素而造成的各种非正常、不新鲜的蔬菜瓜果，例如萎蔫、枯塌、损伤、病变、虫害侵蚀等引起的形态异常等。</w:t>
      </w:r>
    </w:p>
    <w:p w14:paraId="2DD39FC9">
      <w:pPr>
        <w:numPr>
          <w:ilvl w:val="0"/>
          <w:numId w:val="0"/>
        </w:numPr>
        <w:spacing w:line="520" w:lineRule="exact"/>
        <w:ind w:firstLine="560" w:firstLineChars="0"/>
        <w:jc w:val="both"/>
        <w:rPr>
          <w:rFonts w:hint="default"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4）米：米类执行GB/T1354-2018标准，一级粳米碎米率不高于12.5%，二级粳米碎米率不高于15%。由以下几点检验优劣：粒形：米粒形均匀、整齐、重量大没有碎米和爆腰米的品质较好，相反则差；(碎米是指米的体积在整粒的2/3以下的米；爆腰米为米粒上有裂纹的米，易碎、品味较差)；米的腹白：米粒上呈乳白色的部分叫腹白，没有腹白的米，体积小、硬度低、易碎、蛋白质含量低，品质差；米的硬度米能承担机械力的程度叫米的硬度，凡是硬度大的米品质就高；硬度小的米，品质就差，易成碎米；新鲜度：米的品质检验除上述三种外，对其新鲜度和卫生状况的检查是最主要的方面。新鲜的米有清香味和光泽，无米糠和其它杂质、无虫草害、无异味、无霉味，用手摸时滑爽、干燥；而陈米则颜色暗淡无光、染有虫害痕迹，甚至发霉、粘连粘块，煮熟食用质感粗糙、口味差。</w:t>
      </w:r>
    </w:p>
    <w:p w14:paraId="2E765F01">
      <w:pPr>
        <w:pStyle w:val="12"/>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面：面类执行GB/T1355-2021标准，精制粉的灰分含量≤0.70%。由以下几点检验优劣：外观呈白色或微黄色，色泽均匀一致，无发霉、结块现象，无杂质、异物，无异味；新鲜的面粉有正常气味，颜色较淡，如果带有腐败味，霉味， 颜色发深的面粉则是陈面粉；安全指标，重金属含量：铅（以Pb计）≤0.5mg/kg，镉（以Cd计）≤0.1mg/kg，汞（以Hg计）≤0.02mg/kg，砷（以As计）≤0.5mg/kg，符合GB 2762-2022标准。真菌毒素限量：脱氧雪腐镰刀菌烯醇（DON）≤1000μg/kg，符合GB 2761-2021《食品安全国家标准 食品中真菌毒素限量》。</w:t>
      </w:r>
    </w:p>
    <w:p w14:paraId="5170A86E">
      <w:pPr>
        <w:ind w:left="0" w:leftChars="0" w:firstLine="480" w:firstLineChars="200"/>
        <w:rPr>
          <w:rFonts w:hint="default"/>
          <w:color w:val="auto"/>
          <w:highlight w:val="none"/>
          <w:lang w:val="en-US" w:eastAsia="zh-CN"/>
        </w:rPr>
      </w:pPr>
      <w:r>
        <w:rPr>
          <w:rFonts w:hint="eastAsia" w:ascii="Times New Roman" w:hAnsi="Times New Roman" w:eastAsia="宋体" w:cstheme="minorBidi"/>
          <w:color w:val="auto"/>
          <w:kern w:val="2"/>
          <w:sz w:val="24"/>
          <w:szCs w:val="24"/>
          <w:highlight w:val="none"/>
          <w:lang w:val="en-US" w:eastAsia="zh-CN" w:bidi="ar-SA"/>
        </w:rPr>
        <w:t>油：菜籽油为100%菜籽油，二级调和油执行GB/T40851标准。各类食用油应色泽好，透明度高，无浑浊，无沉淀和悬浮物，粘度小，无分层现象，气味正常，无酸臭异味。严格执行国家相关质量标准及卫生安全标准，色泽、气味、霉变、真菌毒素、重金属污染物、农药等严格控制在国家标准范围内。</w:t>
      </w:r>
    </w:p>
    <w:p w14:paraId="48A1AD5B">
      <w:pPr>
        <w:pStyle w:val="12"/>
        <w:numPr>
          <w:ilvl w:val="0"/>
          <w:numId w:val="0"/>
        </w:numPr>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5）对于中标供应商到货应对照合同检查所送物资品牌、规格是否符合要求，对有包装的食品，检查包装是否完整，有无破损，查看食品包装标签应符合《食品安全国家标准预包装食品标签通则》、强制标示内容：包括食品名称、配料表、净含量、规格、生产者(或)经销者的名称、地址和联系方式、生产日期和保质期、贮存条件、食品生产许可证编号、产品标准代号、质量（品质）等级等内容。通过食品质量感官鉴别包装内产品及无包装产品，依靠视觉、嗅觉、味觉、触觉等鉴定食品的外观形态、色泽、气味、滋味和硬度(稠度)是否符合质量要求。</w:t>
      </w:r>
    </w:p>
    <w:p w14:paraId="17DD9CBF">
      <w:pPr>
        <w:pStyle w:val="12"/>
        <w:numPr>
          <w:ilvl w:val="0"/>
          <w:numId w:val="0"/>
        </w:numPr>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调料：花椒等级不得低于二级；食用盐为加碘食用盐；醋为红花醋，执行GB31644标准；酱油为酿造酱油，执行GB31644标准；</w:t>
      </w:r>
    </w:p>
    <w:p w14:paraId="7E887462">
      <w:pPr>
        <w:pStyle w:val="12"/>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干货：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招标人有权拒绝接受。</w:t>
      </w:r>
    </w:p>
    <w:p w14:paraId="418000E6">
      <w:pPr>
        <w:numPr>
          <w:ilvl w:val="0"/>
          <w:numId w:val="0"/>
        </w:numPr>
        <w:bidi w:val="0"/>
        <w:ind w:left="0" w:leftChars="0" w:firstLine="480" w:firstLineChars="200"/>
        <w:rPr>
          <w:rFonts w:hint="default"/>
          <w:color w:val="auto"/>
          <w:highlight w:val="none"/>
          <w:lang w:val="en-US" w:eastAsia="zh-CN"/>
        </w:rPr>
      </w:pPr>
      <w:r>
        <w:rPr>
          <w:rFonts w:hint="eastAsia" w:ascii="Times New Roman" w:hAnsi="Times New Roman" w:eastAsia="宋体" w:cstheme="minorBidi"/>
          <w:color w:val="auto"/>
          <w:kern w:val="2"/>
          <w:sz w:val="24"/>
          <w:szCs w:val="24"/>
          <w:highlight w:val="none"/>
          <w:lang w:val="en-US" w:eastAsia="zh-CN" w:bidi="ar-SA"/>
        </w:rPr>
        <w:t>（6）</w:t>
      </w:r>
      <w:r>
        <w:rPr>
          <w:rFonts w:hint="eastAsia"/>
          <w:color w:val="auto"/>
          <w:highlight w:val="none"/>
          <w:lang w:val="en-US" w:eastAsia="zh-CN"/>
        </w:rPr>
        <w:t>牛奶及奶制品应采用食品级无菌包装材料，符合GB 4806系列食品安全国家标准。外包装需标注产品名称、配料表、生产日期、保质期、贮存条件、生产许可证编号等完整信息。每批次产品需随车提供第三方检测机构出具的合格报告。供应商需承诺不使用含三聚氰胺、黄曲霉毒素等违禁物质。</w:t>
      </w:r>
    </w:p>
    <w:p w14:paraId="3F332B65">
      <w:pPr>
        <w:numPr>
          <w:ilvl w:val="0"/>
          <w:numId w:val="0"/>
        </w:numPr>
        <w:bidi w:val="0"/>
        <w:ind w:left="0" w:leftChars="0" w:firstLine="480" w:firstLineChars="200"/>
        <w:rPr>
          <w:rFonts w:hint="eastAsia"/>
          <w:color w:val="auto"/>
          <w:highlight w:val="none"/>
          <w:lang w:val="en-US" w:eastAsia="zh-CN"/>
        </w:rPr>
      </w:pPr>
      <w:r>
        <w:rPr>
          <w:rFonts w:hint="eastAsia"/>
          <w:color w:val="auto"/>
          <w:highlight w:val="none"/>
          <w:lang w:val="en-US" w:eastAsia="zh-CN"/>
        </w:rPr>
        <w:t>牛奶：应按GB25190-2010食品安全国家标准灭菌；</w:t>
      </w:r>
    </w:p>
    <w:p w14:paraId="5EB53815">
      <w:pPr>
        <w:pStyle w:val="12"/>
        <w:ind w:left="0" w:leftChars="0" w:firstLine="480" w:firstLineChars="200"/>
        <w:rPr>
          <w:rFonts w:hint="default"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酸奶：应按GB25190-2010食品安全国家标准灭菌；不得提供复原乳制作产品，风味发酵乳添加物含量不超过20%，不得使用人工合成甜味剂</w:t>
      </w:r>
    </w:p>
    <w:p w14:paraId="7349C5C2">
      <w:pPr>
        <w:rPr>
          <w:rFonts w:hint="default"/>
          <w:color w:val="auto"/>
          <w:highlight w:val="none"/>
          <w:lang w:val="en-US" w:eastAsia="zh-CN"/>
        </w:rPr>
      </w:pPr>
      <w:r>
        <w:rPr>
          <w:rFonts w:hint="eastAsia"/>
          <w:color w:val="auto"/>
          <w:highlight w:val="none"/>
          <w:lang w:val="en-US" w:eastAsia="zh-CN"/>
        </w:rPr>
        <w:t>（7）白鲢鱼：新鲜，3kg以上，刮鳞、去内脏、切块，切块规格5x5cm；不得使用冻品交货。</w:t>
      </w:r>
    </w:p>
    <w:p w14:paraId="5B6E1FC7">
      <w:pPr>
        <w:pStyle w:val="4"/>
        <w:bidi w:val="0"/>
        <w:jc w:val="left"/>
        <w:rPr>
          <w:rFonts w:hint="eastAsia"/>
          <w:color w:val="auto"/>
          <w:highlight w:val="none"/>
          <w:lang w:val="en-US" w:eastAsia="zh-CN"/>
        </w:rPr>
      </w:pPr>
      <w:r>
        <w:rPr>
          <w:rFonts w:hint="eastAsia"/>
          <w:color w:val="auto"/>
          <w:highlight w:val="none"/>
          <w:lang w:val="en-US" w:eastAsia="zh-CN"/>
        </w:rPr>
        <w:t>三、配送服务标准及要求</w:t>
      </w:r>
    </w:p>
    <w:p w14:paraId="6B20A481">
      <w:pPr>
        <w:bidi w:val="0"/>
        <w:ind w:left="0" w:leftChars="0" w:firstLine="480" w:firstLineChars="200"/>
        <w:rPr>
          <w:rFonts w:hint="eastAsia"/>
          <w:color w:val="auto"/>
          <w:highlight w:val="none"/>
          <w:lang w:val="en-US" w:eastAsia="zh-CN"/>
        </w:rPr>
      </w:pPr>
      <w:r>
        <w:rPr>
          <w:rFonts w:hint="eastAsia"/>
          <w:color w:val="auto"/>
          <w:highlight w:val="none"/>
          <w:lang w:val="en-US" w:eastAsia="zh-CN"/>
        </w:rPr>
        <w:t>1.</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所有供货需提供发票、货源检测报告等能证明源发地的文件，根据此文件能追溯源头。配送要求供货时有固定的配送人员，如遇特殊情况，需向采购人报备并提交说明文件。供应商所提供的货物必须符合卫生标准和营养要求、无毒、无害、具有良好的感官性状以及满足招标人的要求，每次送交的所有货品都要注明来源。否则，采购人有权退货</w:t>
      </w:r>
      <w:r>
        <w:rPr>
          <w:rFonts w:hint="eastAsia"/>
          <w:color w:val="auto"/>
          <w:highlight w:val="none"/>
          <w:lang w:val="en-US" w:eastAsia="zh-CN"/>
        </w:rPr>
        <w:t>，</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必须在2日内内予以退还补货。</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在每一次送货时，要将肉菜等的卫生检验报告和货物供货清单随同交到采购人指定的负责人手中。每次送货，供应商应委派一名专门负责人，负责货物的运输、过秤、存放，并协助采购人验收货品，货品的品种和重量以采购人验收的结果为准。配送人员身体健康，无传染性疾病，需持有公共卫生从业人员健康证，做到持证上岗。</w:t>
      </w:r>
    </w:p>
    <w:p w14:paraId="69294986">
      <w:pPr>
        <w:bidi w:val="0"/>
        <w:ind w:left="0" w:leftChars="0" w:firstLine="480" w:firstLineChars="200"/>
        <w:rPr>
          <w:rFonts w:hint="eastAsia"/>
          <w:color w:val="auto"/>
          <w:highlight w:val="none"/>
          <w:lang w:val="en-US" w:eastAsia="zh-CN"/>
        </w:rPr>
      </w:pPr>
      <w:r>
        <w:rPr>
          <w:rFonts w:hint="eastAsia"/>
          <w:color w:val="auto"/>
          <w:highlight w:val="none"/>
          <w:lang w:val="en-US" w:eastAsia="zh-CN"/>
        </w:rPr>
        <w:t>2.采购人将对</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提供的商品不定期进行质量检验、抽查，如有发现缺斤少两、质量检验检疫不合格或不符合国家相关标准的将扣除</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当月总货款的30%作为违约金，违约金采购人将直接扣除；</w:t>
      </w:r>
    </w:p>
    <w:p w14:paraId="4DCDA7B9">
      <w:pPr>
        <w:bidi w:val="0"/>
        <w:ind w:left="0" w:leftChars="0"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不得将中标项目转让或分包给他人，否则采购人有权单方终止协议，由此产生的一切经济损失由</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自行承担。</w:t>
      </w:r>
    </w:p>
    <w:p w14:paraId="0E946E0A">
      <w:pPr>
        <w:bidi w:val="0"/>
        <w:ind w:left="0" w:leftChars="0" w:firstLine="480" w:firstLineChars="200"/>
        <w:rPr>
          <w:rFonts w:hint="eastAsia"/>
          <w:color w:val="auto"/>
          <w:highlight w:val="none"/>
          <w:lang w:val="en-US" w:eastAsia="zh-CN"/>
        </w:rPr>
      </w:pPr>
      <w:r>
        <w:rPr>
          <w:rFonts w:hint="eastAsia"/>
          <w:color w:val="auto"/>
          <w:highlight w:val="none"/>
          <w:lang w:val="en-US" w:eastAsia="zh-CN"/>
        </w:rPr>
        <w:t>4.</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在协议履行期间内保证对招标人的货物供应，若成交后反悔或不能履行协议的，采购人有权单方终止协议，由此产生的一切经济损失由</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 xml:space="preserve">商自行承担。 </w:t>
      </w:r>
    </w:p>
    <w:p w14:paraId="6D69DC35">
      <w:pPr>
        <w:bidi w:val="0"/>
        <w:ind w:left="0" w:leftChars="0" w:firstLine="480" w:firstLineChars="200"/>
        <w:rPr>
          <w:rFonts w:hint="eastAsia"/>
          <w:color w:val="auto"/>
          <w:highlight w:val="none"/>
          <w:lang w:val="en-US" w:eastAsia="zh-CN"/>
        </w:rPr>
      </w:pPr>
      <w:r>
        <w:rPr>
          <w:rFonts w:hint="eastAsia"/>
          <w:color w:val="auto"/>
          <w:highlight w:val="none"/>
          <w:lang w:val="en-US" w:eastAsia="zh-CN"/>
        </w:rPr>
        <w:t>5.</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应保证配送货物品种、数量的准确性，并以采购人的验货数量为准；</w:t>
      </w:r>
    </w:p>
    <w:p w14:paraId="1D52383A">
      <w:pPr>
        <w:bidi w:val="0"/>
        <w:ind w:left="0" w:leftChars="0" w:firstLine="480" w:firstLineChars="200"/>
        <w:rPr>
          <w:rFonts w:hint="eastAsia"/>
          <w:color w:val="auto"/>
          <w:highlight w:val="none"/>
          <w:lang w:val="en-US" w:eastAsia="zh-CN"/>
        </w:rPr>
      </w:pPr>
      <w:r>
        <w:rPr>
          <w:rFonts w:hint="eastAsia"/>
          <w:color w:val="auto"/>
          <w:highlight w:val="none"/>
          <w:lang w:val="en-US" w:eastAsia="zh-CN"/>
        </w:rPr>
        <w:t>6.</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每次随供货提供送货清单，供双方验货后签名确认；</w:t>
      </w:r>
    </w:p>
    <w:p w14:paraId="2E3FE9DD">
      <w:pPr>
        <w:bidi w:val="0"/>
        <w:ind w:left="0" w:leftChars="0" w:firstLine="480" w:firstLineChars="200"/>
        <w:rPr>
          <w:rFonts w:hint="eastAsia"/>
          <w:color w:val="auto"/>
          <w:highlight w:val="none"/>
          <w:lang w:val="en-US" w:eastAsia="zh-CN"/>
        </w:rPr>
      </w:pPr>
      <w:r>
        <w:rPr>
          <w:rFonts w:hint="eastAsia"/>
          <w:color w:val="auto"/>
          <w:highlight w:val="none"/>
          <w:lang w:val="en-US" w:eastAsia="zh-CN"/>
        </w:rPr>
        <w:t>7.对不符合质量要求的货品，采购人有权退货或要求配送方按要求更换符合质量标准的货，并照价赔偿，超过3次解除合同，不予退还履约保证金。</w:t>
      </w:r>
    </w:p>
    <w:p w14:paraId="06D5BE2A">
      <w:pPr>
        <w:bidi w:val="0"/>
        <w:ind w:left="0" w:leftChars="0" w:firstLine="480" w:firstLineChars="200"/>
        <w:rPr>
          <w:rFonts w:hint="eastAsia"/>
          <w:color w:val="auto"/>
          <w:highlight w:val="none"/>
          <w:lang w:val="en-US" w:eastAsia="zh-CN"/>
        </w:rPr>
      </w:pPr>
      <w:r>
        <w:rPr>
          <w:rFonts w:hint="eastAsia"/>
          <w:color w:val="auto"/>
          <w:highlight w:val="none"/>
          <w:lang w:val="en-US" w:eastAsia="zh-CN"/>
        </w:rPr>
        <w:t>8.常规配送每月4次。其他配送：接到采购人通知后，3日内必须</w:t>
      </w:r>
      <w:r>
        <w:rPr>
          <w:rFonts w:hint="eastAsia"/>
          <w:color w:val="auto"/>
          <w:highlight w:val="none"/>
          <w:lang w:val="en-US" w:eastAsia="zh-CN"/>
        </w:rPr>
        <w:t>送达甲方指定地点。</w:t>
      </w:r>
    </w:p>
    <w:p w14:paraId="2F64513F">
      <w:pPr>
        <w:bidi w:val="0"/>
        <w:ind w:left="0" w:leftChars="0" w:firstLine="480" w:firstLineChars="200"/>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9.乙方保证所供货物质量新鲜，由保质期约定的货品，乙方配送的货品质保期应在80%以上，否则甲方有权按照不符合合同约定要求退换货物。（例：如保质期为10个月的，供货时剩余的质保期应当大于或等于8个月）。</w:t>
      </w:r>
    </w:p>
    <w:p w14:paraId="7CC35492">
      <w:pPr>
        <w:bidi w:val="0"/>
        <w:ind w:left="0" w:leftChars="0" w:firstLine="480" w:firstLineChars="200"/>
        <w:rPr>
          <w:rFonts w:hint="eastAsia"/>
          <w:color w:val="auto"/>
          <w:highlight w:val="none"/>
          <w:lang w:val="en-US" w:eastAsia="zh-CN"/>
        </w:rPr>
      </w:pPr>
      <w:r>
        <w:rPr>
          <w:rFonts w:hint="eastAsia"/>
          <w:color w:val="auto"/>
          <w:highlight w:val="none"/>
          <w:lang w:val="en-US" w:eastAsia="zh-CN"/>
        </w:rPr>
        <w:t>10.如因</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所送货物造成食物中毒等事故，</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val="en-US" w:eastAsia="zh-CN"/>
        </w:rPr>
        <w:t>应承担全部责任，立即终止合同协议，同时通过法律途径追究责任；</w:t>
      </w:r>
    </w:p>
    <w:p w14:paraId="3C70C2CA">
      <w:pPr>
        <w:bidi w:val="0"/>
        <w:ind w:left="0" w:leftChars="0" w:firstLine="480" w:firstLineChars="200"/>
        <w:rPr>
          <w:rFonts w:hint="eastAsia"/>
          <w:color w:val="auto"/>
          <w:highlight w:val="none"/>
          <w:lang w:eastAsia="zh-CN"/>
        </w:rPr>
      </w:pPr>
      <w:r>
        <w:rPr>
          <w:rFonts w:hint="eastAsia"/>
          <w:color w:val="auto"/>
          <w:highlight w:val="none"/>
          <w:lang w:val="en-US" w:eastAsia="zh-CN"/>
        </w:rPr>
        <w:t>11.</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eastAsia="zh-CN"/>
        </w:rPr>
        <w:t>负责货物运输费用，运输过程中的一切风险均由</w:t>
      </w:r>
      <w:r>
        <w:rPr>
          <w:rFonts w:hint="eastAsia" w:ascii="Times New Roman" w:hAnsi="Times New Roman" w:eastAsia="宋体" w:cstheme="minorBidi"/>
          <w:color w:val="auto"/>
          <w:kern w:val="2"/>
          <w:sz w:val="24"/>
          <w:szCs w:val="24"/>
          <w:highlight w:val="none"/>
          <w:lang w:val="en-US" w:eastAsia="zh-CN" w:bidi="ar-SA"/>
        </w:rPr>
        <w:t>中标供应商</w:t>
      </w:r>
      <w:r>
        <w:rPr>
          <w:rFonts w:hint="eastAsia"/>
          <w:color w:val="auto"/>
          <w:highlight w:val="none"/>
          <w:lang w:eastAsia="zh-CN"/>
        </w:rPr>
        <w:t>自行承担责任，在运输过程中造成食品污染，</w:t>
      </w:r>
      <w:r>
        <w:rPr>
          <w:rFonts w:hint="eastAsia"/>
          <w:color w:val="auto"/>
          <w:highlight w:val="none"/>
          <w:lang w:val="en-US" w:eastAsia="zh-CN"/>
        </w:rPr>
        <w:t>采购人</w:t>
      </w:r>
      <w:r>
        <w:rPr>
          <w:rFonts w:hint="eastAsia"/>
          <w:color w:val="auto"/>
          <w:highlight w:val="none"/>
          <w:lang w:eastAsia="zh-CN"/>
        </w:rPr>
        <w:t>可以无条件退货及终止合同。</w:t>
      </w:r>
    </w:p>
    <w:p w14:paraId="2F7A30C0">
      <w:pPr>
        <w:pStyle w:val="4"/>
        <w:bidi w:val="0"/>
        <w:jc w:val="left"/>
        <w:rPr>
          <w:rFonts w:hint="default"/>
          <w:color w:val="auto"/>
          <w:highlight w:val="none"/>
          <w:lang w:val="en-US" w:eastAsia="zh-CN"/>
        </w:rPr>
      </w:pPr>
      <w:r>
        <w:rPr>
          <w:rFonts w:hint="eastAsia"/>
          <w:color w:val="auto"/>
          <w:highlight w:val="none"/>
          <w:lang w:val="en-US" w:eastAsia="zh-CN"/>
        </w:rPr>
        <w:t>四、其他要求</w:t>
      </w:r>
    </w:p>
    <w:p w14:paraId="526F2FAC">
      <w:pPr>
        <w:pStyle w:val="12"/>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1.采购人支付货款项前，中标供应商应提供符合采购人财务做账要求的正规增值税发票(并提供发票查验单)，否则，采购人有权拒付款项且不承担违约责任。</w:t>
      </w:r>
    </w:p>
    <w:p w14:paraId="735339E7">
      <w:pPr>
        <w:pStyle w:val="12"/>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2.采购人、中标供应商双方签订协议之后，按月进行货款结算。如遇节假日采购人财务扎帐等特殊情况，结账日期依次顺延。</w:t>
      </w:r>
    </w:p>
    <w:p w14:paraId="660E22BD">
      <w:pPr>
        <w:pStyle w:val="12"/>
        <w:ind w:left="0" w:leftChars="0" w:firstLine="480" w:firstLineChars="200"/>
        <w:rPr>
          <w:rFonts w:hint="eastAsia"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3.采购人通知中标供应商结算货款时，中标供应商需认真核对结算清单和送货单，双方就当次货款结算完毕且中标供应商开具货款正规发票后即视为中标供应商对该期货款结算金额认可无异议。从发票开具之日起，中标供应商再发现当期货款存在错算、漏算的情况，采购人不予补付任何货款，产生的损失由中标供应商自行承担。</w:t>
      </w:r>
    </w:p>
    <w:p w14:paraId="657A777A">
      <w:pPr>
        <w:pStyle w:val="12"/>
        <w:ind w:left="0" w:leftChars="0" w:firstLine="480" w:firstLineChars="200"/>
        <w:rPr>
          <w:rFonts w:hint="default" w:ascii="Times New Roman" w:hAnsi="Times New Roman" w:eastAsia="宋体" w:cstheme="minorBidi"/>
          <w:color w:val="auto"/>
          <w:kern w:val="2"/>
          <w:sz w:val="24"/>
          <w:szCs w:val="24"/>
          <w:highlight w:val="none"/>
          <w:lang w:val="en-US" w:eastAsia="zh-CN" w:bidi="ar-SA"/>
        </w:rPr>
      </w:pPr>
      <w:r>
        <w:rPr>
          <w:rFonts w:hint="eastAsia" w:ascii="Times New Roman" w:hAnsi="Times New Roman" w:eastAsia="宋体" w:cstheme="minorBidi"/>
          <w:color w:val="auto"/>
          <w:kern w:val="2"/>
          <w:sz w:val="24"/>
          <w:szCs w:val="24"/>
          <w:highlight w:val="none"/>
          <w:lang w:val="en-US" w:eastAsia="zh-CN" w:bidi="ar-SA"/>
        </w:rPr>
        <w:t>4.合同一经签订必须无条件履行合同和相关需求，并按照保密要求签订保密协议。</w:t>
      </w:r>
    </w:p>
    <w:p w14:paraId="595F5CB7">
      <w:pPr>
        <w:pStyle w:val="12"/>
        <w:rPr>
          <w:rFonts w:hint="eastAsia"/>
          <w:color w:val="auto"/>
          <w:highlight w:val="none"/>
          <w:lang w:val="en-US" w:eastAsia="zh-CN"/>
        </w:rPr>
      </w:pPr>
    </w:p>
    <w:p w14:paraId="568110AE">
      <w:pPr>
        <w:bidi w:val="0"/>
        <w:rPr>
          <w:rFonts w:hint="eastAsia"/>
          <w:color w:val="auto"/>
          <w:highlight w:val="none"/>
          <w:lang w:val="en-US" w:eastAsia="zh-CN"/>
        </w:rPr>
      </w:pPr>
      <w:r>
        <w:rPr>
          <w:rFonts w:hint="eastAsia"/>
          <w:color w:val="auto"/>
          <w:highlight w:val="none"/>
          <w:lang w:val="en-US" w:eastAsia="zh-CN"/>
        </w:rPr>
        <w:t>注：</w:t>
      </w:r>
    </w:p>
    <w:p w14:paraId="51E181C5">
      <w:pPr>
        <w:bidi w:val="0"/>
        <w:rPr>
          <w:rFonts w:hint="eastAsia"/>
          <w:color w:val="auto"/>
          <w:highlight w:val="none"/>
          <w:lang w:val="en-US" w:eastAsia="zh-CN"/>
        </w:rPr>
      </w:pPr>
      <w:r>
        <w:rPr>
          <w:rFonts w:hint="eastAsia"/>
          <w:color w:val="auto"/>
          <w:highlight w:val="none"/>
          <w:lang w:val="en-US" w:eastAsia="zh-CN"/>
        </w:rPr>
        <w:t>1、本项目按实际采购量进行结算。</w:t>
      </w:r>
    </w:p>
    <w:p w14:paraId="259CBC09">
      <w:pPr>
        <w:bidi w:val="0"/>
        <w:rPr>
          <w:rFonts w:hint="eastAsia" w:ascii="宋体" w:hAnsi="宋体" w:eastAsia="宋体" w:cs="宋体"/>
          <w:color w:val="auto"/>
          <w:highlight w:val="none"/>
        </w:rPr>
      </w:pPr>
      <w:r>
        <w:rPr>
          <w:rFonts w:hint="eastAsia"/>
          <w:color w:val="auto"/>
          <w:highlight w:val="none"/>
          <w:lang w:val="en-US" w:eastAsia="zh-CN"/>
        </w:rPr>
        <w:t>2、所有报价均为食材送到采购人指定地点的所有费用，包括但不限于：食材采购、包装、配送、装卸、管理、运输、人工、利润、税费等所有相关费用。</w:t>
      </w:r>
    </w:p>
    <w:p w14:paraId="171717F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4CD778">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第六章 评标方法和标准</w:t>
      </w:r>
      <w:bookmarkEnd w:id="64"/>
      <w:bookmarkEnd w:id="65"/>
    </w:p>
    <w:p w14:paraId="43A510F8">
      <w:pPr>
        <w:pStyle w:val="4"/>
        <w:bidi w:val="0"/>
        <w:rPr>
          <w:rFonts w:hint="eastAsia" w:ascii="宋体" w:hAnsi="宋体" w:eastAsia="宋体" w:cs="宋体"/>
          <w:color w:val="auto"/>
          <w:highlight w:val="none"/>
        </w:rPr>
      </w:pPr>
      <w:bookmarkStart w:id="66" w:name="_Toc3412"/>
      <w:bookmarkStart w:id="67" w:name="_Toc4098"/>
      <w:r>
        <w:rPr>
          <w:rFonts w:hint="eastAsia" w:ascii="宋体" w:hAnsi="宋体" w:eastAsia="宋体" w:cs="宋体"/>
          <w:color w:val="auto"/>
          <w:highlight w:val="none"/>
        </w:rPr>
        <w:t>一、评标方法</w:t>
      </w:r>
      <w:bookmarkEnd w:id="66"/>
      <w:bookmarkEnd w:id="67"/>
    </w:p>
    <w:p w14:paraId="121F1027">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bidi="ar"/>
        </w:rPr>
        <w:t>本项目采用综合评分法是指投标文件满足招标文件全部实质性要求，且按照评审因素的量化指标评审得分最高的投标人为中标候选人的评标方法。</w:t>
      </w:r>
    </w:p>
    <w:p w14:paraId="018B73B6">
      <w:pPr>
        <w:pStyle w:val="4"/>
        <w:bidi w:val="0"/>
        <w:rPr>
          <w:rFonts w:hint="eastAsia" w:ascii="宋体" w:hAnsi="宋体" w:eastAsia="宋体" w:cs="宋体"/>
          <w:color w:val="auto"/>
          <w:highlight w:val="none"/>
          <w:lang w:val="en-US" w:eastAsia="zh-CN"/>
        </w:rPr>
      </w:pPr>
      <w:bookmarkStart w:id="68" w:name="_Toc22445"/>
      <w:bookmarkStart w:id="69" w:name="_Toc509318020"/>
      <w:bookmarkStart w:id="70" w:name="_Toc19513"/>
      <w:bookmarkStart w:id="71" w:name="_Toc26426"/>
      <w:bookmarkStart w:id="72" w:name="_Toc492286392"/>
      <w:bookmarkStart w:id="73" w:name="_Toc386"/>
      <w:bookmarkStart w:id="74" w:name="_Toc4452"/>
      <w:bookmarkStart w:id="75" w:name="_Toc9688"/>
      <w:r>
        <w:rPr>
          <w:rFonts w:hint="eastAsia" w:ascii="宋体" w:hAnsi="宋体" w:eastAsia="宋体" w:cs="宋体"/>
          <w:color w:val="auto"/>
          <w:highlight w:val="none"/>
        </w:rPr>
        <w:t>二、资格审查</w:t>
      </w:r>
      <w:bookmarkEnd w:id="68"/>
      <w:bookmarkEnd w:id="69"/>
      <w:bookmarkEnd w:id="70"/>
      <w:bookmarkEnd w:id="71"/>
      <w:bookmarkEnd w:id="72"/>
      <w:bookmarkEnd w:id="73"/>
      <w:r>
        <w:rPr>
          <w:rFonts w:hint="eastAsia" w:ascii="宋体" w:hAnsi="宋体" w:eastAsia="宋体" w:cs="宋体"/>
          <w:color w:val="auto"/>
          <w:highlight w:val="none"/>
          <w:lang w:val="en-US" w:eastAsia="zh-CN"/>
        </w:rPr>
        <w:t>标准</w:t>
      </w:r>
      <w:bookmarkEnd w:id="74"/>
      <w:bookmarkEnd w:id="75"/>
    </w:p>
    <w:tbl>
      <w:tblPr>
        <w:tblStyle w:val="30"/>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521"/>
        <w:gridCol w:w="1542"/>
        <w:gridCol w:w="2143"/>
        <w:gridCol w:w="4301"/>
        <w:gridCol w:w="410"/>
        <w:gridCol w:w="15"/>
        <w:gridCol w:w="395"/>
      </w:tblGrid>
      <w:tr w14:paraId="3B4D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55" w:hRule="atLeast"/>
        </w:trPr>
        <w:tc>
          <w:tcPr>
            <w:tcW w:w="521" w:type="dxa"/>
            <w:vMerge w:val="restart"/>
            <w:vAlign w:val="center"/>
          </w:tcPr>
          <w:p w14:paraId="4DF74E96">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542" w:type="dxa"/>
            <w:vMerge w:val="restart"/>
            <w:vAlign w:val="center"/>
          </w:tcPr>
          <w:p w14:paraId="794F077E">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类型</w:t>
            </w:r>
          </w:p>
        </w:tc>
        <w:tc>
          <w:tcPr>
            <w:tcW w:w="2143" w:type="dxa"/>
            <w:vMerge w:val="restart"/>
            <w:vAlign w:val="center"/>
          </w:tcPr>
          <w:p w14:paraId="7BCE6171">
            <w:pP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审查要求</w:t>
            </w:r>
          </w:p>
        </w:tc>
        <w:tc>
          <w:tcPr>
            <w:tcW w:w="4301" w:type="dxa"/>
            <w:vMerge w:val="restart"/>
            <w:vAlign w:val="center"/>
          </w:tcPr>
          <w:p w14:paraId="25B184BA">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要求说明</w:t>
            </w:r>
          </w:p>
        </w:tc>
        <w:tc>
          <w:tcPr>
            <w:tcW w:w="820" w:type="dxa"/>
            <w:gridSpan w:val="3"/>
            <w:vAlign w:val="center"/>
          </w:tcPr>
          <w:p w14:paraId="7190718C">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评审意见</w:t>
            </w:r>
          </w:p>
        </w:tc>
      </w:tr>
      <w:tr w14:paraId="555A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8" w:hRule="atLeast"/>
        </w:trPr>
        <w:tc>
          <w:tcPr>
            <w:tcW w:w="521" w:type="dxa"/>
            <w:vMerge w:val="continue"/>
            <w:vAlign w:val="center"/>
          </w:tcPr>
          <w:p w14:paraId="0DDEEE87">
            <w:pPr>
              <w:widowControl/>
              <w:spacing w:line="340" w:lineRule="exact"/>
              <w:jc w:val="center"/>
              <w:rPr>
                <w:rFonts w:hint="eastAsia" w:ascii="宋体" w:hAnsi="宋体" w:eastAsia="宋体" w:cs="宋体"/>
                <w:color w:val="auto"/>
                <w:kern w:val="0"/>
                <w:sz w:val="24"/>
                <w:szCs w:val="24"/>
                <w:highlight w:val="none"/>
              </w:rPr>
            </w:pPr>
          </w:p>
        </w:tc>
        <w:tc>
          <w:tcPr>
            <w:tcW w:w="1542" w:type="dxa"/>
            <w:vMerge w:val="continue"/>
            <w:vAlign w:val="center"/>
          </w:tcPr>
          <w:p w14:paraId="4092D193">
            <w:pPr>
              <w:widowControl/>
              <w:spacing w:line="340" w:lineRule="exact"/>
              <w:jc w:val="center"/>
              <w:rPr>
                <w:rFonts w:hint="eastAsia" w:ascii="宋体" w:hAnsi="宋体" w:eastAsia="宋体" w:cs="宋体"/>
                <w:color w:val="auto"/>
                <w:kern w:val="0"/>
                <w:sz w:val="24"/>
                <w:szCs w:val="24"/>
                <w:highlight w:val="none"/>
              </w:rPr>
            </w:pPr>
          </w:p>
        </w:tc>
        <w:tc>
          <w:tcPr>
            <w:tcW w:w="2143" w:type="dxa"/>
            <w:vMerge w:val="continue"/>
            <w:vAlign w:val="center"/>
          </w:tcPr>
          <w:p w14:paraId="53AB928F">
            <w:pPr>
              <w:widowControl/>
              <w:spacing w:line="340" w:lineRule="exact"/>
              <w:rPr>
                <w:rFonts w:hint="eastAsia" w:ascii="宋体" w:hAnsi="宋体" w:eastAsia="宋体" w:cs="宋体"/>
                <w:color w:val="auto"/>
                <w:kern w:val="0"/>
                <w:sz w:val="24"/>
                <w:szCs w:val="24"/>
                <w:highlight w:val="none"/>
              </w:rPr>
            </w:pPr>
          </w:p>
        </w:tc>
        <w:tc>
          <w:tcPr>
            <w:tcW w:w="4301" w:type="dxa"/>
            <w:vMerge w:val="continue"/>
            <w:vAlign w:val="center"/>
          </w:tcPr>
          <w:p w14:paraId="5B570AE1">
            <w:pPr>
              <w:widowControl/>
              <w:spacing w:line="340" w:lineRule="exact"/>
              <w:jc w:val="center"/>
              <w:rPr>
                <w:rFonts w:hint="eastAsia" w:ascii="宋体" w:hAnsi="宋体" w:eastAsia="宋体" w:cs="宋体"/>
                <w:color w:val="auto"/>
                <w:kern w:val="0"/>
                <w:sz w:val="24"/>
                <w:szCs w:val="24"/>
                <w:highlight w:val="none"/>
              </w:rPr>
            </w:pPr>
          </w:p>
        </w:tc>
        <w:tc>
          <w:tcPr>
            <w:tcW w:w="425" w:type="dxa"/>
            <w:gridSpan w:val="2"/>
            <w:vAlign w:val="center"/>
          </w:tcPr>
          <w:p w14:paraId="4036F92C">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395" w:type="dxa"/>
            <w:vAlign w:val="center"/>
          </w:tcPr>
          <w:p w14:paraId="6ED863F2">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r>
      <w:tr w14:paraId="27A5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trPr>
        <w:tc>
          <w:tcPr>
            <w:tcW w:w="521" w:type="dxa"/>
            <w:vAlign w:val="center"/>
          </w:tcPr>
          <w:p w14:paraId="51E9C9EE">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42" w:type="dxa"/>
            <w:vAlign w:val="center"/>
          </w:tcPr>
          <w:p w14:paraId="4577395B">
            <w:pPr>
              <w:widowControl/>
              <w:spacing w:line="340" w:lineRule="exact"/>
              <w:ind w:right="134" w:rightChars="56"/>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基本</w:t>
            </w:r>
            <w:r>
              <w:rPr>
                <w:rFonts w:hint="eastAsia" w:ascii="宋体" w:hAnsi="宋体" w:eastAsia="宋体" w:cs="宋体"/>
                <w:color w:val="auto"/>
                <w:kern w:val="0"/>
                <w:sz w:val="24"/>
                <w:szCs w:val="24"/>
                <w:highlight w:val="none"/>
                <w:lang w:val="en-US" w:eastAsia="zh-CN"/>
              </w:rPr>
              <w:t>资格要求</w:t>
            </w:r>
          </w:p>
        </w:tc>
        <w:tc>
          <w:tcPr>
            <w:tcW w:w="6444" w:type="dxa"/>
            <w:gridSpan w:val="2"/>
            <w:vAlign w:val="center"/>
          </w:tcPr>
          <w:p w14:paraId="1A9C5C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满足《中华人民共和国政府采购法》第二十二条规定：</w:t>
            </w:r>
          </w:p>
          <w:p w14:paraId="1A217B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（1）具有独立承担民事责任的能力（企业法人须提供“营业执照”、</w:t>
            </w:r>
            <w:r>
              <w:rPr>
                <w:rFonts w:hint="eastAsia" w:ascii="宋体" w:hAnsi="宋体" w:eastAsia="宋体" w:cs="宋体"/>
                <w:color w:val="auto"/>
                <w:sz w:val="24"/>
                <w:szCs w:val="24"/>
                <w:highlight w:val="none"/>
                <w:lang w:val="en-US" w:eastAsia="zh-CN"/>
              </w:rPr>
              <w:t>开户银行许可证</w:t>
            </w:r>
            <w:r>
              <w:rPr>
                <w:rFonts w:hint="eastAsia" w:ascii="宋体" w:hAnsi="宋体" w:eastAsia="宋体" w:cs="宋体"/>
                <w:color w:val="auto"/>
                <w:sz w:val="24"/>
                <w:szCs w:val="24"/>
                <w:highlight w:val="none"/>
                <w:lang w:val="en-US" w:eastAsia="zh-CN"/>
              </w:rPr>
              <w:t>；事业单位须提供“法人登记书”；军队单位不作要求；营业执照经营范围包含本次招标内容）；</w:t>
            </w:r>
          </w:p>
          <w:p w14:paraId="443406D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（2）具有良好的商业信誉和健全的财务会计制度（须提供2024年财务审计报告或本单位出具的财务报表，新成立单位提供成立至今任意</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个月财务报表</w:t>
            </w:r>
            <w:r>
              <w:rPr>
                <w:rFonts w:hint="eastAsia" w:ascii="宋体" w:hAnsi="宋体" w:cs="宋体"/>
                <w:color w:val="auto"/>
                <w:sz w:val="24"/>
                <w:szCs w:val="24"/>
                <w:highlight w:val="none"/>
                <w:lang w:val="en-US" w:eastAsia="zh-CN"/>
              </w:rPr>
              <w:t>，成立不满3个月的提供成立至今财务报表或情况说明</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提供相关证明材料或承诺函</w:t>
            </w:r>
            <w:r>
              <w:rPr>
                <w:rFonts w:hint="eastAsia" w:ascii="宋体" w:hAnsi="宋体" w:eastAsia="宋体" w:cs="宋体"/>
                <w:color w:val="auto"/>
                <w:sz w:val="24"/>
                <w:szCs w:val="24"/>
                <w:highlight w:val="none"/>
                <w:lang w:val="en-US" w:eastAsia="zh-CN"/>
              </w:rPr>
              <w:t>；</w:t>
            </w:r>
          </w:p>
          <w:p w14:paraId="6B4CE7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（3）具有履行合同所必需的设备和专业技术能力（提供</w:t>
            </w:r>
            <w:r>
              <w:rPr>
                <w:rFonts w:hint="eastAsia" w:ascii="宋体" w:hAnsi="宋体" w:cs="宋体"/>
                <w:color w:val="auto"/>
                <w:sz w:val="24"/>
                <w:szCs w:val="24"/>
                <w:highlight w:val="none"/>
                <w:lang w:val="en-US" w:eastAsia="zh-CN"/>
              </w:rPr>
              <w:t>相关证明材料或承诺函</w:t>
            </w:r>
            <w:r>
              <w:rPr>
                <w:rFonts w:hint="eastAsia" w:ascii="宋体" w:hAnsi="宋体" w:eastAsia="宋体" w:cs="宋体"/>
                <w:color w:val="auto"/>
                <w:sz w:val="24"/>
                <w:szCs w:val="24"/>
                <w:highlight w:val="none"/>
                <w:lang w:val="en-US" w:eastAsia="zh-CN"/>
              </w:rPr>
              <w:t>）；</w:t>
            </w:r>
          </w:p>
          <w:p w14:paraId="6D421D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（4）有依法缴纳税收和社会保障资金的良好记录（提供2025年</w:t>
            </w:r>
            <w:r>
              <w:rPr>
                <w:rFonts w:hint="eastAsia" w:ascii="宋体" w:hAnsi="宋体" w:cs="宋体"/>
                <w:color w:val="auto"/>
                <w:sz w:val="24"/>
                <w:szCs w:val="24"/>
                <w:highlight w:val="none"/>
                <w:lang w:val="en-US" w:eastAsia="zh-CN"/>
              </w:rPr>
              <w:t>1月1日</w:t>
            </w:r>
            <w:r>
              <w:rPr>
                <w:rFonts w:hint="eastAsia" w:ascii="宋体" w:hAnsi="宋体" w:eastAsia="宋体" w:cs="宋体"/>
                <w:color w:val="auto"/>
                <w:sz w:val="24"/>
                <w:szCs w:val="24"/>
                <w:highlight w:val="none"/>
                <w:lang w:val="en-US" w:eastAsia="zh-CN"/>
              </w:rPr>
              <w:t>至今任意6个月依法缴纳税收凭证和缴纳社会保险的凭证，依法免税或不需要缴纳社会保障资金的投标人应提供</w:t>
            </w:r>
            <w:r>
              <w:rPr>
                <w:rFonts w:hint="eastAsia" w:ascii="宋体" w:hAnsi="宋体" w:cs="宋体"/>
                <w:color w:val="auto"/>
                <w:sz w:val="24"/>
                <w:szCs w:val="24"/>
                <w:highlight w:val="none"/>
                <w:lang w:val="en-US" w:eastAsia="zh-CN"/>
              </w:rPr>
              <w:t>相关证明材料或承诺函</w:t>
            </w:r>
            <w:r>
              <w:rPr>
                <w:rFonts w:hint="eastAsia" w:ascii="宋体" w:hAnsi="宋体" w:eastAsia="宋体" w:cs="宋体"/>
                <w:color w:val="auto"/>
                <w:sz w:val="24"/>
                <w:szCs w:val="24"/>
                <w:highlight w:val="none"/>
                <w:lang w:val="en-US" w:eastAsia="zh-CN"/>
              </w:rPr>
              <w:t>）；</w:t>
            </w:r>
          </w:p>
          <w:p w14:paraId="1F4F6E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（5）参加政府采购活动前三年内（不足三年按公司成立时起算），在经营活动中没有重大违法记录（</w:t>
            </w:r>
            <w:r>
              <w:rPr>
                <w:rFonts w:hint="eastAsia" w:ascii="宋体" w:hAnsi="宋体" w:cs="宋体"/>
                <w:color w:val="auto"/>
                <w:sz w:val="24"/>
                <w:szCs w:val="24"/>
                <w:highlight w:val="none"/>
                <w:lang w:val="en-US" w:eastAsia="zh-CN"/>
              </w:rPr>
              <w:t>投标人声明函</w:t>
            </w:r>
            <w:r>
              <w:rPr>
                <w:rFonts w:hint="eastAsia" w:ascii="宋体" w:hAnsi="宋体" w:eastAsia="宋体" w:cs="宋体"/>
                <w:color w:val="auto"/>
                <w:sz w:val="24"/>
                <w:szCs w:val="24"/>
                <w:highlight w:val="none"/>
                <w:lang w:val="en-US" w:eastAsia="zh-CN"/>
              </w:rPr>
              <w:t>）；</w:t>
            </w:r>
          </w:p>
          <w:p w14:paraId="5947F71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tc>
        <w:tc>
          <w:tcPr>
            <w:tcW w:w="425" w:type="dxa"/>
            <w:gridSpan w:val="2"/>
            <w:vAlign w:val="center"/>
          </w:tcPr>
          <w:p w14:paraId="080B07B6">
            <w:pPr>
              <w:widowControl/>
              <w:spacing w:line="340" w:lineRule="exact"/>
              <w:jc w:val="center"/>
              <w:rPr>
                <w:rFonts w:hint="eastAsia" w:ascii="宋体" w:hAnsi="宋体" w:eastAsia="宋体" w:cs="宋体"/>
                <w:color w:val="auto"/>
                <w:kern w:val="0"/>
                <w:sz w:val="24"/>
                <w:szCs w:val="24"/>
                <w:highlight w:val="none"/>
              </w:rPr>
            </w:pPr>
          </w:p>
        </w:tc>
        <w:tc>
          <w:tcPr>
            <w:tcW w:w="395" w:type="dxa"/>
            <w:vAlign w:val="center"/>
          </w:tcPr>
          <w:p w14:paraId="1F52D796">
            <w:pPr>
              <w:widowControl/>
              <w:spacing w:line="340" w:lineRule="exact"/>
              <w:jc w:val="center"/>
              <w:rPr>
                <w:rFonts w:hint="eastAsia" w:ascii="宋体" w:hAnsi="宋体" w:eastAsia="宋体" w:cs="宋体"/>
                <w:color w:val="auto"/>
                <w:kern w:val="0"/>
                <w:sz w:val="24"/>
                <w:szCs w:val="24"/>
                <w:highlight w:val="none"/>
              </w:rPr>
            </w:pPr>
          </w:p>
        </w:tc>
      </w:tr>
      <w:tr w14:paraId="1898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0" w:hRule="atLeast"/>
        </w:trPr>
        <w:tc>
          <w:tcPr>
            <w:tcW w:w="521" w:type="dxa"/>
            <w:vAlign w:val="center"/>
          </w:tcPr>
          <w:p w14:paraId="71B33CD3">
            <w:pPr>
              <w:widowControl/>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1542" w:type="dxa"/>
            <w:vAlign w:val="center"/>
          </w:tcPr>
          <w:p w14:paraId="295402E3">
            <w:pPr>
              <w:widowControl/>
              <w:spacing w:line="340" w:lineRule="exact"/>
              <w:ind w:right="134" w:rightChars="56"/>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6444" w:type="dxa"/>
            <w:gridSpan w:val="2"/>
            <w:vAlign w:val="center"/>
          </w:tcPr>
          <w:p w14:paraId="598C37DD">
            <w:pPr>
              <w:keepNext w:val="0"/>
              <w:keepLines w:val="0"/>
              <w:pageBreakBefore w:val="0"/>
              <w:widowControl/>
              <w:kinsoku/>
              <w:wordWrap/>
              <w:overflowPunct/>
              <w:topLinePunct w:val="0"/>
              <w:autoSpaceDE/>
              <w:autoSpaceDN/>
              <w:bidi w:val="0"/>
              <w:adjustRightInd/>
              <w:snapToGrid/>
              <w:spacing w:line="240" w:lineRule="auto"/>
              <w:ind w:right="134" w:rightChars="56"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标项1、2、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预留采购</w:t>
            </w:r>
            <w:r>
              <w:rPr>
                <w:rFonts w:hint="eastAsia" w:ascii="宋体" w:hAnsi="宋体" w:eastAsia="宋体" w:cs="宋体"/>
                <w:color w:val="auto"/>
                <w:sz w:val="24"/>
                <w:szCs w:val="24"/>
                <w:highlight w:val="none"/>
                <w:lang w:val="en-US" w:eastAsia="zh-CN"/>
              </w:rPr>
              <w:t>标项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预算总额的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%专门面向中小企业采购，其中预留给小微企业的比例为100%</w:t>
            </w:r>
            <w:r>
              <w:rPr>
                <w:rFonts w:hint="eastAsia" w:ascii="宋体" w:hAnsi="宋体" w:eastAsia="宋体" w:cs="宋体"/>
                <w:color w:val="auto"/>
                <w:sz w:val="24"/>
                <w:szCs w:val="24"/>
                <w:highlight w:val="none"/>
                <w:lang w:val="en-US" w:eastAsia="zh-CN"/>
              </w:rPr>
              <w:t>。预留份额通过以下措施进行：</w:t>
            </w:r>
          </w:p>
          <w:p w14:paraId="2A0B8D94">
            <w:pPr>
              <w:keepNext w:val="0"/>
              <w:keepLines w:val="0"/>
              <w:pageBreakBefore w:val="0"/>
              <w:widowControl/>
              <w:kinsoku/>
              <w:wordWrap/>
              <w:overflowPunct/>
              <w:topLinePunct w:val="0"/>
              <w:autoSpaceDE/>
              <w:autoSpaceDN/>
              <w:bidi w:val="0"/>
              <w:adjustRightInd/>
              <w:snapToGrid/>
              <w:spacing w:line="240" w:lineRule="auto"/>
              <w:ind w:right="134" w:rightChars="56"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（1）供应商所提供的货物制造商属于大中型企业的，必须将本项目合同按上述比例分包给一家或者多家小微企业，接受分包合同的小微企业与分包企业之间不得存在直接控股、管理关系。投标时须按格式提供</w:t>
            </w:r>
            <w:r>
              <w:rPr>
                <w:rFonts w:hint="eastAsia" w:ascii="宋体" w:hAnsi="宋体" w:cs="宋体"/>
                <w:color w:val="auto"/>
                <w:sz w:val="24"/>
                <w:szCs w:val="24"/>
                <w:highlight w:val="none"/>
                <w:lang w:val="en-US" w:eastAsia="zh-CN"/>
              </w:rPr>
              <w:t>《拟分包情况说明》</w:t>
            </w:r>
            <w:r>
              <w:rPr>
                <w:rFonts w:hint="eastAsia" w:ascii="宋体" w:hAnsi="宋体" w:eastAsia="宋体" w:cs="宋体"/>
                <w:color w:val="auto"/>
                <w:sz w:val="24"/>
                <w:szCs w:val="24"/>
                <w:highlight w:val="none"/>
                <w:lang w:val="en-US" w:eastAsia="zh-CN"/>
              </w:rPr>
              <w:t>《分包意向协议书》（见投标格式）以及接受分包的供应商的《中小企业声明函》。</w:t>
            </w:r>
          </w:p>
          <w:p w14:paraId="301E4CD2">
            <w:pPr>
              <w:keepNext w:val="0"/>
              <w:keepLines w:val="0"/>
              <w:pageBreakBefore w:val="0"/>
              <w:widowControl/>
              <w:kinsoku/>
              <w:wordWrap/>
              <w:overflowPunct/>
              <w:topLinePunct w:val="0"/>
              <w:autoSpaceDE/>
              <w:autoSpaceDN/>
              <w:bidi w:val="0"/>
              <w:adjustRightInd/>
              <w:snapToGrid/>
              <w:spacing w:line="240" w:lineRule="auto"/>
              <w:ind w:right="134" w:rightChars="56"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（2）供应商所提供的货物制造商属于小微企业的，不得将合同分包给大中型企业；是否合同分包给小微企业不作强制要求，投标时须提交《中小企业声明函》（见投标格式）。</w:t>
            </w:r>
          </w:p>
          <w:p w14:paraId="4C1DCF7A">
            <w:pPr>
              <w:keepNext w:val="0"/>
              <w:keepLines w:val="0"/>
              <w:pageBreakBefore w:val="0"/>
              <w:widowControl/>
              <w:kinsoku/>
              <w:wordWrap/>
              <w:overflowPunct/>
              <w:topLinePunct w:val="0"/>
              <w:autoSpaceDE/>
              <w:autoSpaceDN/>
              <w:bidi w:val="0"/>
              <w:adjustRightInd/>
              <w:snapToGrid/>
              <w:spacing w:line="240" w:lineRule="auto"/>
              <w:ind w:right="134" w:rightChars="56" w:firstLine="480"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上述小微企业指采购标的的制造商。</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中小企业声明函所填制造商需严格核实相关情况，若所填制造商有不符合中小企业声明函填写要求的，中小企业声明函无效</w:t>
            </w:r>
            <w:r>
              <w:rPr>
                <w:rFonts w:hint="eastAsia" w:ascii="宋体" w:hAnsi="宋体" w:eastAsia="宋体" w:cs="宋体"/>
                <w:color w:val="auto"/>
                <w:sz w:val="24"/>
                <w:szCs w:val="24"/>
                <w:highlight w:val="none"/>
                <w:lang w:eastAsia="zh-CN"/>
              </w:rPr>
              <w:t>）</w:t>
            </w:r>
          </w:p>
        </w:tc>
        <w:tc>
          <w:tcPr>
            <w:tcW w:w="425" w:type="dxa"/>
            <w:gridSpan w:val="2"/>
            <w:vAlign w:val="center"/>
          </w:tcPr>
          <w:p w14:paraId="1EA0B967">
            <w:pPr>
              <w:widowControl/>
              <w:spacing w:line="340" w:lineRule="exact"/>
              <w:jc w:val="center"/>
              <w:rPr>
                <w:rFonts w:hint="eastAsia" w:ascii="宋体" w:hAnsi="宋体" w:eastAsia="宋体" w:cs="宋体"/>
                <w:color w:val="auto"/>
                <w:kern w:val="0"/>
                <w:sz w:val="24"/>
                <w:szCs w:val="24"/>
                <w:highlight w:val="none"/>
              </w:rPr>
            </w:pPr>
          </w:p>
        </w:tc>
        <w:tc>
          <w:tcPr>
            <w:tcW w:w="395" w:type="dxa"/>
            <w:vAlign w:val="center"/>
          </w:tcPr>
          <w:p w14:paraId="00CCD24C">
            <w:pPr>
              <w:widowControl/>
              <w:spacing w:line="340" w:lineRule="exact"/>
              <w:jc w:val="center"/>
              <w:rPr>
                <w:rFonts w:hint="eastAsia" w:ascii="宋体" w:hAnsi="宋体" w:eastAsia="宋体" w:cs="宋体"/>
                <w:color w:val="auto"/>
                <w:kern w:val="0"/>
                <w:sz w:val="24"/>
                <w:szCs w:val="24"/>
                <w:highlight w:val="none"/>
              </w:rPr>
            </w:pPr>
          </w:p>
        </w:tc>
      </w:tr>
      <w:tr w14:paraId="739C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7" w:hRule="atLeast"/>
        </w:trPr>
        <w:tc>
          <w:tcPr>
            <w:tcW w:w="521" w:type="dxa"/>
            <w:vMerge w:val="restart"/>
            <w:vAlign w:val="center"/>
          </w:tcPr>
          <w:p w14:paraId="4CB91283">
            <w:pPr>
              <w:widowControl/>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542" w:type="dxa"/>
            <w:vMerge w:val="restart"/>
            <w:vAlign w:val="center"/>
          </w:tcPr>
          <w:p w14:paraId="734D59B5">
            <w:pPr>
              <w:widowControl/>
              <w:spacing w:line="340" w:lineRule="exact"/>
              <w:ind w:right="134" w:rightChars="56"/>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特定资格要求</w:t>
            </w:r>
          </w:p>
        </w:tc>
        <w:tc>
          <w:tcPr>
            <w:tcW w:w="6444" w:type="dxa"/>
            <w:gridSpan w:val="2"/>
            <w:vMerge w:val="restart"/>
            <w:vAlign w:val="center"/>
          </w:tcPr>
          <w:p w14:paraId="5EDB3A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目的政府采购活动。除单一来源采购项目外，为采购项目提供整体设计、规范编制或者项目管理、监理、检测等服务的投标人，不得再参加该采购项目的其他采购活动。（</w:t>
            </w:r>
            <w:r>
              <w:rPr>
                <w:rFonts w:hint="eastAsia" w:ascii="宋体" w:hAnsi="宋体" w:cs="宋体"/>
                <w:color w:val="auto"/>
                <w:sz w:val="24"/>
                <w:szCs w:val="24"/>
                <w:highlight w:val="none"/>
                <w:lang w:val="en-US" w:eastAsia="zh-CN"/>
              </w:rPr>
              <w:t>投标人声明函</w:t>
            </w:r>
            <w:r>
              <w:rPr>
                <w:rFonts w:hint="eastAsia" w:ascii="宋体" w:hAnsi="宋体" w:eastAsia="宋体" w:cs="宋体"/>
                <w:color w:val="auto"/>
                <w:sz w:val="24"/>
                <w:szCs w:val="24"/>
                <w:highlight w:val="none"/>
                <w:lang w:val="en-US" w:eastAsia="zh-CN"/>
              </w:rPr>
              <w:t>）</w:t>
            </w:r>
          </w:p>
          <w:p w14:paraId="1FCEAD2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被中国政府采购网（www.ccgp.gov.cn）列入政府采购严重违法失信行为记录名单，未被“信用中国”（www.creditchina.gov.cn）列入失信被执行人和重大税收违法失信主体，未被国家企业信用信息公示系统（www.gsxt.gov.cn）列入严重违法失信名单</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本项将</w:t>
            </w:r>
            <w:r>
              <w:rPr>
                <w:rFonts w:hint="eastAsia" w:ascii="宋体" w:hAnsi="宋体" w:cs="宋体"/>
                <w:color w:val="auto"/>
                <w:sz w:val="24"/>
                <w:szCs w:val="24"/>
                <w:highlight w:val="none"/>
                <w:lang w:val="en-US" w:eastAsia="zh-CN"/>
              </w:rPr>
              <w:t>由</w:t>
            </w:r>
            <w:r>
              <w:rPr>
                <w:rFonts w:hint="eastAsia" w:ascii="宋体" w:hAnsi="宋体" w:eastAsia="宋体" w:cs="宋体"/>
                <w:color w:val="auto"/>
                <w:sz w:val="24"/>
                <w:szCs w:val="24"/>
                <w:highlight w:val="none"/>
                <w:lang w:val="en-US" w:eastAsia="zh-CN"/>
              </w:rPr>
              <w:t>代理机构或相关监管人员进行现场查验。）</w:t>
            </w:r>
          </w:p>
          <w:p w14:paraId="016D3A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标项4、标项5、标项6</w:t>
            </w:r>
            <w:r>
              <w:rPr>
                <w:rFonts w:hint="eastAsia" w:ascii="宋体" w:hAnsi="宋体" w:eastAsia="宋体" w:cs="宋体"/>
                <w:color w:val="auto"/>
                <w:sz w:val="24"/>
                <w:szCs w:val="24"/>
                <w:highlight w:val="none"/>
                <w:lang w:val="en-US" w:eastAsia="zh-CN"/>
              </w:rPr>
              <w:t>供应商须具备有效的《食品经营许可证》或《食品生产许可证》或食品安全监督管理部门备案证明。</w:t>
            </w:r>
          </w:p>
        </w:tc>
        <w:tc>
          <w:tcPr>
            <w:tcW w:w="410" w:type="dxa"/>
            <w:vAlign w:val="center"/>
          </w:tcPr>
          <w:p w14:paraId="4665E6AB">
            <w:pPr>
              <w:widowControl/>
              <w:spacing w:line="340" w:lineRule="exact"/>
              <w:jc w:val="center"/>
              <w:rPr>
                <w:rFonts w:hint="eastAsia" w:ascii="宋体" w:hAnsi="宋体" w:eastAsia="宋体" w:cs="宋体"/>
                <w:color w:val="auto"/>
                <w:kern w:val="0"/>
                <w:sz w:val="24"/>
                <w:szCs w:val="24"/>
                <w:highlight w:val="none"/>
              </w:rPr>
            </w:pPr>
          </w:p>
        </w:tc>
        <w:tc>
          <w:tcPr>
            <w:tcW w:w="410" w:type="dxa"/>
            <w:gridSpan w:val="2"/>
            <w:vAlign w:val="center"/>
          </w:tcPr>
          <w:p w14:paraId="5E427714">
            <w:pPr>
              <w:widowControl/>
              <w:spacing w:line="340" w:lineRule="exact"/>
              <w:jc w:val="center"/>
              <w:rPr>
                <w:rFonts w:hint="eastAsia" w:ascii="宋体" w:hAnsi="宋体" w:eastAsia="宋体" w:cs="宋体"/>
                <w:color w:val="auto"/>
                <w:kern w:val="0"/>
                <w:sz w:val="24"/>
                <w:szCs w:val="24"/>
                <w:highlight w:val="none"/>
              </w:rPr>
            </w:pPr>
          </w:p>
        </w:tc>
      </w:tr>
      <w:tr w14:paraId="4E9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7" w:hRule="atLeast"/>
        </w:trPr>
        <w:tc>
          <w:tcPr>
            <w:tcW w:w="521" w:type="dxa"/>
            <w:vMerge w:val="continue"/>
            <w:vAlign w:val="center"/>
          </w:tcPr>
          <w:p w14:paraId="4B22F2CF">
            <w:pPr>
              <w:widowControl/>
              <w:spacing w:line="340" w:lineRule="exact"/>
              <w:jc w:val="center"/>
              <w:rPr>
                <w:color w:val="auto"/>
                <w:highlight w:val="none"/>
              </w:rPr>
            </w:pPr>
          </w:p>
        </w:tc>
        <w:tc>
          <w:tcPr>
            <w:tcW w:w="1542" w:type="dxa"/>
            <w:vMerge w:val="continue"/>
            <w:vAlign w:val="center"/>
          </w:tcPr>
          <w:p w14:paraId="0E2BBB6F">
            <w:pPr>
              <w:widowControl/>
              <w:spacing w:line="340" w:lineRule="exact"/>
              <w:jc w:val="center"/>
              <w:rPr>
                <w:color w:val="auto"/>
                <w:highlight w:val="none"/>
              </w:rPr>
            </w:pPr>
          </w:p>
        </w:tc>
        <w:tc>
          <w:tcPr>
            <w:tcW w:w="6444" w:type="dxa"/>
            <w:gridSpan w:val="2"/>
            <w:vMerge w:val="continue"/>
            <w:vAlign w:val="center"/>
          </w:tcPr>
          <w:p w14:paraId="540F17C1">
            <w:pPr>
              <w:widowControl/>
              <w:spacing w:line="340" w:lineRule="exact"/>
              <w:jc w:val="center"/>
              <w:rPr>
                <w:color w:val="auto"/>
                <w:highlight w:val="none"/>
              </w:rPr>
            </w:pPr>
          </w:p>
        </w:tc>
        <w:tc>
          <w:tcPr>
            <w:tcW w:w="410" w:type="dxa"/>
            <w:vAlign w:val="center"/>
          </w:tcPr>
          <w:p w14:paraId="36310176">
            <w:pPr>
              <w:widowControl/>
              <w:spacing w:line="340" w:lineRule="exact"/>
              <w:jc w:val="center"/>
              <w:rPr>
                <w:color w:val="auto"/>
                <w:highlight w:val="none"/>
              </w:rPr>
            </w:pPr>
          </w:p>
        </w:tc>
        <w:tc>
          <w:tcPr>
            <w:tcW w:w="410" w:type="dxa"/>
            <w:gridSpan w:val="2"/>
            <w:vAlign w:val="center"/>
          </w:tcPr>
          <w:p w14:paraId="0BDF03A7">
            <w:pPr>
              <w:widowControl/>
              <w:spacing w:line="340" w:lineRule="exact"/>
              <w:jc w:val="center"/>
              <w:rPr>
                <w:color w:val="auto"/>
                <w:highlight w:val="none"/>
              </w:rPr>
            </w:pPr>
          </w:p>
        </w:tc>
      </w:tr>
      <w:tr w14:paraId="7F89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7" w:hRule="atLeast"/>
        </w:trPr>
        <w:tc>
          <w:tcPr>
            <w:tcW w:w="521" w:type="dxa"/>
            <w:vMerge w:val="continue"/>
            <w:vAlign w:val="center"/>
          </w:tcPr>
          <w:p w14:paraId="17723902">
            <w:pPr>
              <w:widowControl/>
              <w:spacing w:line="340" w:lineRule="exact"/>
              <w:jc w:val="center"/>
              <w:rPr>
                <w:color w:val="auto"/>
                <w:highlight w:val="none"/>
              </w:rPr>
            </w:pPr>
          </w:p>
        </w:tc>
        <w:tc>
          <w:tcPr>
            <w:tcW w:w="1542" w:type="dxa"/>
            <w:vMerge w:val="continue"/>
            <w:vAlign w:val="center"/>
          </w:tcPr>
          <w:p w14:paraId="216CB0B4">
            <w:pPr>
              <w:widowControl/>
              <w:spacing w:line="340" w:lineRule="exact"/>
              <w:jc w:val="center"/>
              <w:rPr>
                <w:color w:val="auto"/>
                <w:highlight w:val="none"/>
              </w:rPr>
            </w:pPr>
          </w:p>
        </w:tc>
        <w:tc>
          <w:tcPr>
            <w:tcW w:w="6444" w:type="dxa"/>
            <w:gridSpan w:val="2"/>
            <w:vMerge w:val="continue"/>
            <w:vAlign w:val="center"/>
          </w:tcPr>
          <w:p w14:paraId="5312D3DF">
            <w:pPr>
              <w:widowControl/>
              <w:spacing w:line="340" w:lineRule="exact"/>
              <w:jc w:val="center"/>
              <w:rPr>
                <w:color w:val="auto"/>
                <w:highlight w:val="none"/>
              </w:rPr>
            </w:pPr>
          </w:p>
        </w:tc>
        <w:tc>
          <w:tcPr>
            <w:tcW w:w="410" w:type="dxa"/>
            <w:vAlign w:val="center"/>
          </w:tcPr>
          <w:p w14:paraId="5C504BD4">
            <w:pPr>
              <w:widowControl/>
              <w:spacing w:line="340" w:lineRule="exact"/>
              <w:jc w:val="center"/>
              <w:rPr>
                <w:color w:val="auto"/>
                <w:highlight w:val="none"/>
              </w:rPr>
            </w:pPr>
          </w:p>
        </w:tc>
        <w:tc>
          <w:tcPr>
            <w:tcW w:w="410" w:type="dxa"/>
            <w:gridSpan w:val="2"/>
            <w:vAlign w:val="center"/>
          </w:tcPr>
          <w:p w14:paraId="4C93E674">
            <w:pPr>
              <w:widowControl/>
              <w:spacing w:line="340" w:lineRule="exact"/>
              <w:jc w:val="center"/>
              <w:rPr>
                <w:color w:val="auto"/>
                <w:highlight w:val="none"/>
              </w:rPr>
            </w:pPr>
          </w:p>
        </w:tc>
      </w:tr>
      <w:tr w14:paraId="7AE2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7" w:hRule="atLeast"/>
        </w:trPr>
        <w:tc>
          <w:tcPr>
            <w:tcW w:w="521" w:type="dxa"/>
            <w:vMerge w:val="continue"/>
            <w:vAlign w:val="center"/>
          </w:tcPr>
          <w:p w14:paraId="107C018A">
            <w:pPr>
              <w:widowControl/>
              <w:spacing w:line="340" w:lineRule="exact"/>
              <w:jc w:val="center"/>
              <w:rPr>
                <w:color w:val="auto"/>
                <w:highlight w:val="none"/>
              </w:rPr>
            </w:pPr>
          </w:p>
        </w:tc>
        <w:tc>
          <w:tcPr>
            <w:tcW w:w="1542" w:type="dxa"/>
            <w:vMerge w:val="continue"/>
            <w:vAlign w:val="center"/>
          </w:tcPr>
          <w:p w14:paraId="0A9787FB">
            <w:pPr>
              <w:widowControl/>
              <w:spacing w:line="340" w:lineRule="exact"/>
              <w:jc w:val="center"/>
              <w:rPr>
                <w:color w:val="auto"/>
                <w:highlight w:val="none"/>
              </w:rPr>
            </w:pPr>
          </w:p>
        </w:tc>
        <w:tc>
          <w:tcPr>
            <w:tcW w:w="6444" w:type="dxa"/>
            <w:gridSpan w:val="2"/>
            <w:vMerge w:val="continue"/>
            <w:vAlign w:val="center"/>
          </w:tcPr>
          <w:p w14:paraId="0F43D6B7">
            <w:pPr>
              <w:widowControl/>
              <w:spacing w:line="340" w:lineRule="exact"/>
              <w:jc w:val="center"/>
              <w:rPr>
                <w:color w:val="auto"/>
                <w:highlight w:val="none"/>
              </w:rPr>
            </w:pPr>
          </w:p>
        </w:tc>
        <w:tc>
          <w:tcPr>
            <w:tcW w:w="410" w:type="dxa"/>
            <w:vAlign w:val="center"/>
          </w:tcPr>
          <w:p w14:paraId="2EA5D1A2">
            <w:pPr>
              <w:widowControl/>
              <w:spacing w:line="340" w:lineRule="exact"/>
              <w:jc w:val="center"/>
              <w:rPr>
                <w:color w:val="auto"/>
                <w:highlight w:val="none"/>
              </w:rPr>
            </w:pPr>
          </w:p>
        </w:tc>
        <w:tc>
          <w:tcPr>
            <w:tcW w:w="410" w:type="dxa"/>
            <w:gridSpan w:val="2"/>
            <w:vAlign w:val="center"/>
          </w:tcPr>
          <w:p w14:paraId="2B991251">
            <w:pPr>
              <w:widowControl/>
              <w:spacing w:line="340" w:lineRule="exact"/>
              <w:jc w:val="center"/>
              <w:rPr>
                <w:color w:val="auto"/>
                <w:highlight w:val="none"/>
              </w:rPr>
            </w:pPr>
          </w:p>
        </w:tc>
      </w:tr>
      <w:tr w14:paraId="1D4B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05" w:hRule="atLeast"/>
        </w:trPr>
        <w:tc>
          <w:tcPr>
            <w:tcW w:w="521" w:type="dxa"/>
            <w:vAlign w:val="center"/>
          </w:tcPr>
          <w:p w14:paraId="1F899C3C">
            <w:pPr>
              <w:widowControl/>
              <w:spacing w:line="340" w:lineRule="exact"/>
              <w:jc w:val="center"/>
              <w:rPr>
                <w:rFonts w:hint="eastAsia" w:ascii="宋体" w:hAnsi="宋体" w:eastAsia="宋体" w:cs="宋体"/>
                <w:color w:val="auto"/>
                <w:kern w:val="0"/>
                <w:sz w:val="24"/>
                <w:szCs w:val="24"/>
                <w:highlight w:val="none"/>
              </w:rPr>
            </w:pPr>
          </w:p>
        </w:tc>
        <w:tc>
          <w:tcPr>
            <w:tcW w:w="7986" w:type="dxa"/>
            <w:gridSpan w:val="3"/>
            <w:vAlign w:val="center"/>
          </w:tcPr>
          <w:p w14:paraId="0939136A">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 论(通过/不通过)</w:t>
            </w:r>
          </w:p>
        </w:tc>
        <w:tc>
          <w:tcPr>
            <w:tcW w:w="425" w:type="dxa"/>
            <w:gridSpan w:val="2"/>
            <w:vAlign w:val="center"/>
          </w:tcPr>
          <w:p w14:paraId="10CE0E2A">
            <w:pPr>
              <w:widowControl/>
              <w:spacing w:line="340" w:lineRule="exact"/>
              <w:jc w:val="center"/>
              <w:rPr>
                <w:rFonts w:hint="eastAsia" w:ascii="宋体" w:hAnsi="宋体" w:eastAsia="宋体" w:cs="宋体"/>
                <w:color w:val="auto"/>
                <w:kern w:val="0"/>
                <w:sz w:val="24"/>
                <w:szCs w:val="24"/>
                <w:highlight w:val="none"/>
              </w:rPr>
            </w:pPr>
          </w:p>
        </w:tc>
        <w:tc>
          <w:tcPr>
            <w:tcW w:w="395" w:type="dxa"/>
            <w:vAlign w:val="center"/>
          </w:tcPr>
          <w:p w14:paraId="2C8873A3">
            <w:pPr>
              <w:widowControl/>
              <w:spacing w:line="340" w:lineRule="exact"/>
              <w:jc w:val="center"/>
              <w:rPr>
                <w:rFonts w:hint="eastAsia" w:ascii="宋体" w:hAnsi="宋体" w:eastAsia="宋体" w:cs="宋体"/>
                <w:color w:val="auto"/>
                <w:kern w:val="0"/>
                <w:sz w:val="24"/>
                <w:szCs w:val="24"/>
                <w:highlight w:val="none"/>
              </w:rPr>
            </w:pPr>
          </w:p>
        </w:tc>
      </w:tr>
      <w:tr w14:paraId="49EC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04" w:hRule="atLeast"/>
        </w:trPr>
        <w:tc>
          <w:tcPr>
            <w:tcW w:w="9327" w:type="dxa"/>
            <w:gridSpan w:val="7"/>
          </w:tcPr>
          <w:p w14:paraId="62103C94">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14:paraId="17F968DC">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（1）上述各项中用“√”表示通过，“×”表示不通过；</w:t>
            </w:r>
          </w:p>
          <w:p w14:paraId="4950E6E7">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（2）上述各项中如有一项为“×”，则结论为“×”，表示该投标文件中存在重大偏差，不能通过初步评审；须写明原因。</w:t>
            </w:r>
          </w:p>
          <w:p w14:paraId="7B9AA943">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（3）本项内容由</w:t>
            </w:r>
            <w:r>
              <w:rPr>
                <w:rFonts w:hint="eastAsia" w:ascii="宋体" w:hAnsi="宋体" w:eastAsia="宋体" w:cs="宋体"/>
                <w:b/>
                <w:bCs/>
                <w:color w:val="auto"/>
                <w:kern w:val="0"/>
                <w:sz w:val="24"/>
                <w:szCs w:val="24"/>
                <w:highlight w:val="none"/>
              </w:rPr>
              <w:t>采购人</w:t>
            </w:r>
            <w:r>
              <w:rPr>
                <w:rFonts w:hint="eastAsia" w:ascii="宋体" w:hAnsi="宋体" w:eastAsia="宋体" w:cs="宋体"/>
                <w:color w:val="auto"/>
                <w:kern w:val="0"/>
                <w:sz w:val="24"/>
                <w:szCs w:val="24"/>
                <w:highlight w:val="none"/>
              </w:rPr>
              <w:t>完成。</w:t>
            </w:r>
          </w:p>
          <w:p w14:paraId="0AD05F11">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（4）投标人请认真阅读和理解上述内容，避免投标文件中有违背上述审查标准之一的情况发生而造成投标被否决。</w:t>
            </w:r>
          </w:p>
        </w:tc>
      </w:tr>
    </w:tbl>
    <w:p w14:paraId="2C2A4575">
      <w:pPr>
        <w:pStyle w:val="44"/>
        <w:spacing w:line="440" w:lineRule="exact"/>
        <w:ind w:firstLine="480" w:firstLineChars="200"/>
        <w:jc w:val="lef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采购人或采购代理机构依据招标文件，对投标文件中的资格证明文件进行审查，以确定投标人是否具备投标资格，未通过资格审查的投标不进入符合性审查。审查内容如下：</w:t>
      </w:r>
    </w:p>
    <w:p w14:paraId="13B0A1F9">
      <w:pPr>
        <w:rPr>
          <w:rFonts w:hint="eastAsia" w:ascii="宋体" w:hAnsi="宋体" w:eastAsia="宋体" w:cs="宋体"/>
          <w:color w:val="auto"/>
          <w:highlight w:val="none"/>
        </w:rPr>
      </w:pPr>
      <w:bookmarkStart w:id="76" w:name="_Toc492286395"/>
      <w:bookmarkStart w:id="77" w:name="_Toc31761"/>
      <w:bookmarkStart w:id="78" w:name="_Toc509318023"/>
      <w:bookmarkStart w:id="79" w:name="_Toc31767"/>
      <w:r>
        <w:rPr>
          <w:rFonts w:hint="eastAsia" w:ascii="宋体" w:hAnsi="宋体" w:eastAsia="宋体" w:cs="宋体"/>
          <w:color w:val="auto"/>
          <w:highlight w:val="none"/>
        </w:rPr>
        <w:br w:type="page"/>
      </w:r>
    </w:p>
    <w:p w14:paraId="5F653D49">
      <w:pPr>
        <w:pStyle w:val="4"/>
        <w:bidi w:val="0"/>
        <w:rPr>
          <w:rFonts w:hint="eastAsia" w:ascii="宋体" w:hAnsi="宋体" w:eastAsia="宋体" w:cs="宋体"/>
          <w:color w:val="auto"/>
          <w:highlight w:val="none"/>
          <w:lang w:val="en-US" w:eastAsia="zh-CN"/>
        </w:rPr>
      </w:pPr>
      <w:bookmarkStart w:id="80" w:name="_Toc20715"/>
      <w:r>
        <w:rPr>
          <w:rFonts w:hint="eastAsia" w:ascii="宋体" w:hAnsi="宋体" w:eastAsia="宋体" w:cs="宋体"/>
          <w:color w:val="auto"/>
          <w:highlight w:val="none"/>
        </w:rPr>
        <w:t>三、符合性审查</w:t>
      </w:r>
      <w:bookmarkEnd w:id="76"/>
      <w:bookmarkEnd w:id="77"/>
      <w:bookmarkEnd w:id="78"/>
      <w:r>
        <w:rPr>
          <w:rFonts w:hint="eastAsia" w:ascii="宋体" w:hAnsi="宋体" w:eastAsia="宋体" w:cs="宋体"/>
          <w:color w:val="auto"/>
          <w:highlight w:val="none"/>
          <w:lang w:val="en-US" w:eastAsia="zh-CN"/>
        </w:rPr>
        <w:t>标准</w:t>
      </w:r>
      <w:bookmarkEnd w:id="79"/>
      <w:bookmarkEnd w:id="80"/>
    </w:p>
    <w:p w14:paraId="655E1ACC">
      <w:pPr>
        <w:pStyle w:val="44"/>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评标委员会对通过资格审查的合格投标人的投标文件进行符合性审查，未通过符合性审查的投标不进入详细评审。符合性审查记录表如下：</w:t>
      </w:r>
    </w:p>
    <w:tbl>
      <w:tblPr>
        <w:tblStyle w:val="30"/>
        <w:tblW w:w="9463" w:type="dxa"/>
        <w:jc w:val="center"/>
        <w:tblLayout w:type="fixed"/>
        <w:tblCellMar>
          <w:top w:w="0" w:type="dxa"/>
          <w:left w:w="57" w:type="dxa"/>
          <w:bottom w:w="0" w:type="dxa"/>
          <w:right w:w="0" w:type="dxa"/>
        </w:tblCellMar>
      </w:tblPr>
      <w:tblGrid>
        <w:gridCol w:w="533"/>
        <w:gridCol w:w="1620"/>
        <w:gridCol w:w="4518"/>
        <w:gridCol w:w="1927"/>
        <w:gridCol w:w="403"/>
        <w:gridCol w:w="462"/>
      </w:tblGrid>
      <w:tr w14:paraId="6560C6C4">
        <w:tblPrEx>
          <w:tblCellMar>
            <w:top w:w="0" w:type="dxa"/>
            <w:left w:w="57" w:type="dxa"/>
            <w:bottom w:w="0" w:type="dxa"/>
            <w:right w:w="0" w:type="dxa"/>
          </w:tblCellMar>
        </w:tblPrEx>
        <w:trPr>
          <w:trHeight w:val="355" w:hRule="atLeast"/>
          <w:jc w:val="center"/>
        </w:trPr>
        <w:tc>
          <w:tcPr>
            <w:tcW w:w="533" w:type="dxa"/>
            <w:vMerge w:val="restart"/>
            <w:tcBorders>
              <w:top w:val="single" w:color="auto" w:sz="4" w:space="0"/>
              <w:left w:val="single" w:color="auto" w:sz="4" w:space="0"/>
              <w:right w:val="single" w:color="auto" w:sz="4" w:space="0"/>
            </w:tcBorders>
            <w:vAlign w:val="center"/>
          </w:tcPr>
          <w:p w14:paraId="0B4DA577">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20" w:type="dxa"/>
            <w:vMerge w:val="restart"/>
            <w:tcBorders>
              <w:top w:val="single" w:color="auto" w:sz="4" w:space="0"/>
              <w:left w:val="single" w:color="auto" w:sz="4" w:space="0"/>
              <w:right w:val="single" w:color="auto" w:sz="4" w:space="0"/>
            </w:tcBorders>
            <w:vAlign w:val="center"/>
          </w:tcPr>
          <w:p w14:paraId="1F3BA38F">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类型</w:t>
            </w:r>
          </w:p>
        </w:tc>
        <w:tc>
          <w:tcPr>
            <w:tcW w:w="4518" w:type="dxa"/>
            <w:vMerge w:val="restart"/>
            <w:tcBorders>
              <w:top w:val="single" w:color="auto" w:sz="4" w:space="0"/>
              <w:left w:val="single" w:color="auto" w:sz="4" w:space="0"/>
              <w:right w:val="single" w:color="auto" w:sz="4" w:space="0"/>
            </w:tcBorders>
            <w:vAlign w:val="center"/>
          </w:tcPr>
          <w:p w14:paraId="3AF05F78">
            <w:pP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w:t>
            </w:r>
          </w:p>
        </w:tc>
        <w:tc>
          <w:tcPr>
            <w:tcW w:w="1927" w:type="dxa"/>
            <w:vMerge w:val="restart"/>
            <w:tcBorders>
              <w:top w:val="single" w:color="auto" w:sz="4" w:space="0"/>
              <w:left w:val="single" w:color="auto" w:sz="4" w:space="0"/>
              <w:right w:val="single" w:color="auto" w:sz="4" w:space="0"/>
            </w:tcBorders>
            <w:vAlign w:val="center"/>
          </w:tcPr>
          <w:p w14:paraId="65758AAC">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要求说明</w:t>
            </w:r>
          </w:p>
        </w:tc>
        <w:tc>
          <w:tcPr>
            <w:tcW w:w="865" w:type="dxa"/>
            <w:gridSpan w:val="2"/>
            <w:tcBorders>
              <w:top w:val="single" w:color="auto" w:sz="4" w:space="0"/>
              <w:left w:val="nil"/>
              <w:bottom w:val="single" w:color="auto" w:sz="4" w:space="0"/>
              <w:right w:val="single" w:color="auto" w:sz="4" w:space="0"/>
            </w:tcBorders>
            <w:vAlign w:val="center"/>
          </w:tcPr>
          <w:p w14:paraId="0A2B46B9">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评审意见</w:t>
            </w:r>
          </w:p>
        </w:tc>
      </w:tr>
      <w:tr w14:paraId="7A0CDE0C">
        <w:tblPrEx>
          <w:tblCellMar>
            <w:top w:w="0" w:type="dxa"/>
            <w:left w:w="57" w:type="dxa"/>
            <w:bottom w:w="0" w:type="dxa"/>
            <w:right w:w="0" w:type="dxa"/>
          </w:tblCellMar>
        </w:tblPrEx>
        <w:trPr>
          <w:trHeight w:val="498" w:hRule="atLeast"/>
          <w:jc w:val="center"/>
        </w:trPr>
        <w:tc>
          <w:tcPr>
            <w:tcW w:w="533" w:type="dxa"/>
            <w:vMerge w:val="continue"/>
            <w:tcBorders>
              <w:left w:val="single" w:color="auto" w:sz="4" w:space="0"/>
              <w:bottom w:val="single" w:color="000000" w:sz="4" w:space="0"/>
              <w:right w:val="single" w:color="auto" w:sz="4" w:space="0"/>
            </w:tcBorders>
            <w:vAlign w:val="center"/>
          </w:tcPr>
          <w:p w14:paraId="41404903">
            <w:pPr>
              <w:widowControl/>
              <w:spacing w:line="340" w:lineRule="exact"/>
              <w:jc w:val="center"/>
              <w:rPr>
                <w:rFonts w:hint="eastAsia" w:ascii="宋体" w:hAnsi="宋体" w:eastAsia="宋体" w:cs="宋体"/>
                <w:color w:val="auto"/>
                <w:kern w:val="0"/>
                <w:sz w:val="24"/>
                <w:szCs w:val="24"/>
                <w:highlight w:val="none"/>
              </w:rPr>
            </w:pPr>
          </w:p>
        </w:tc>
        <w:tc>
          <w:tcPr>
            <w:tcW w:w="1620" w:type="dxa"/>
            <w:vMerge w:val="continue"/>
            <w:tcBorders>
              <w:left w:val="single" w:color="auto" w:sz="4" w:space="0"/>
              <w:bottom w:val="single" w:color="000000" w:sz="4" w:space="0"/>
              <w:right w:val="single" w:color="auto" w:sz="4" w:space="0"/>
            </w:tcBorders>
            <w:vAlign w:val="center"/>
          </w:tcPr>
          <w:p w14:paraId="7F632ED0">
            <w:pPr>
              <w:widowControl/>
              <w:spacing w:line="340" w:lineRule="exact"/>
              <w:jc w:val="center"/>
              <w:rPr>
                <w:rFonts w:hint="eastAsia" w:ascii="宋体" w:hAnsi="宋体" w:eastAsia="宋体" w:cs="宋体"/>
                <w:color w:val="auto"/>
                <w:kern w:val="0"/>
                <w:sz w:val="24"/>
                <w:szCs w:val="24"/>
                <w:highlight w:val="none"/>
              </w:rPr>
            </w:pPr>
          </w:p>
        </w:tc>
        <w:tc>
          <w:tcPr>
            <w:tcW w:w="4518" w:type="dxa"/>
            <w:vMerge w:val="continue"/>
            <w:tcBorders>
              <w:left w:val="single" w:color="auto" w:sz="4" w:space="0"/>
              <w:bottom w:val="single" w:color="000000" w:sz="4" w:space="0"/>
              <w:right w:val="single" w:color="auto" w:sz="4" w:space="0"/>
            </w:tcBorders>
            <w:vAlign w:val="center"/>
          </w:tcPr>
          <w:p w14:paraId="7FA775FE">
            <w:pPr>
              <w:widowControl/>
              <w:spacing w:line="340" w:lineRule="exact"/>
              <w:rPr>
                <w:rFonts w:hint="eastAsia" w:ascii="宋体" w:hAnsi="宋体" w:eastAsia="宋体" w:cs="宋体"/>
                <w:color w:val="auto"/>
                <w:kern w:val="0"/>
                <w:sz w:val="24"/>
                <w:szCs w:val="24"/>
                <w:highlight w:val="none"/>
              </w:rPr>
            </w:pPr>
          </w:p>
        </w:tc>
        <w:tc>
          <w:tcPr>
            <w:tcW w:w="1927" w:type="dxa"/>
            <w:vMerge w:val="continue"/>
            <w:tcBorders>
              <w:left w:val="single" w:color="auto" w:sz="4" w:space="0"/>
              <w:bottom w:val="single" w:color="000000" w:sz="4" w:space="0"/>
              <w:right w:val="single" w:color="auto" w:sz="4" w:space="0"/>
            </w:tcBorders>
            <w:vAlign w:val="center"/>
          </w:tcPr>
          <w:p w14:paraId="337AE102">
            <w:pPr>
              <w:widowControl/>
              <w:spacing w:line="340" w:lineRule="exact"/>
              <w:jc w:val="center"/>
              <w:rPr>
                <w:rFonts w:hint="eastAsia" w:ascii="宋体" w:hAnsi="宋体" w:eastAsia="宋体" w:cs="宋体"/>
                <w:color w:val="auto"/>
                <w:kern w:val="0"/>
                <w:sz w:val="24"/>
                <w:szCs w:val="24"/>
                <w:highlight w:val="none"/>
              </w:rPr>
            </w:pPr>
          </w:p>
        </w:tc>
        <w:tc>
          <w:tcPr>
            <w:tcW w:w="403" w:type="dxa"/>
            <w:tcBorders>
              <w:top w:val="single" w:color="auto" w:sz="4" w:space="0"/>
              <w:left w:val="nil"/>
              <w:bottom w:val="single" w:color="auto" w:sz="4" w:space="0"/>
              <w:right w:val="single" w:color="auto" w:sz="4" w:space="0"/>
            </w:tcBorders>
            <w:vAlign w:val="center"/>
          </w:tcPr>
          <w:p w14:paraId="5711957D">
            <w:pPr>
              <w:widowControl/>
              <w:spacing w:line="3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462" w:type="dxa"/>
            <w:tcBorders>
              <w:top w:val="single" w:color="auto" w:sz="4" w:space="0"/>
              <w:left w:val="nil"/>
              <w:bottom w:val="single" w:color="auto" w:sz="4" w:space="0"/>
              <w:right w:val="single" w:color="auto" w:sz="4" w:space="0"/>
            </w:tcBorders>
            <w:vAlign w:val="center"/>
          </w:tcPr>
          <w:p w14:paraId="5B25E7AE">
            <w:pPr>
              <w:widowControl/>
              <w:spacing w:line="3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r>
      <w:tr w14:paraId="66CF7EAA">
        <w:tblPrEx>
          <w:tblCellMar>
            <w:top w:w="0" w:type="dxa"/>
            <w:left w:w="57" w:type="dxa"/>
            <w:bottom w:w="0" w:type="dxa"/>
            <w:right w:w="0" w:type="dxa"/>
          </w:tblCellMar>
        </w:tblPrEx>
        <w:trPr>
          <w:trHeight w:val="848" w:hRule="atLeast"/>
          <w:jc w:val="center"/>
        </w:trPr>
        <w:tc>
          <w:tcPr>
            <w:tcW w:w="533" w:type="dxa"/>
            <w:tcBorders>
              <w:top w:val="nil"/>
              <w:left w:val="single" w:color="auto" w:sz="4" w:space="0"/>
              <w:bottom w:val="single" w:color="000000" w:sz="4" w:space="0"/>
              <w:right w:val="single" w:color="auto" w:sz="4" w:space="0"/>
            </w:tcBorders>
            <w:vAlign w:val="center"/>
          </w:tcPr>
          <w:p w14:paraId="3A255298">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20" w:type="dxa"/>
            <w:tcBorders>
              <w:top w:val="nil"/>
              <w:left w:val="single" w:color="auto" w:sz="4" w:space="0"/>
              <w:bottom w:val="single" w:color="000000" w:sz="4" w:space="0"/>
              <w:right w:val="single" w:color="auto" w:sz="4" w:space="0"/>
            </w:tcBorders>
            <w:vAlign w:val="center"/>
          </w:tcPr>
          <w:p w14:paraId="09B2C236">
            <w:pPr>
              <w:keepNext w:val="0"/>
              <w:keepLines w:val="0"/>
              <w:pageBreakBefore w:val="0"/>
              <w:kinsoku/>
              <w:wordWrap/>
              <w:overflowPunct/>
              <w:topLinePunct w:val="0"/>
              <w:bidi w:val="0"/>
              <w:snapToGrid/>
              <w:spacing w:line="360" w:lineRule="exac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投标文件签字和盖章</w:t>
            </w:r>
          </w:p>
        </w:tc>
        <w:tc>
          <w:tcPr>
            <w:tcW w:w="6445" w:type="dxa"/>
            <w:gridSpan w:val="2"/>
            <w:tcBorders>
              <w:top w:val="nil"/>
              <w:left w:val="single" w:color="auto" w:sz="4" w:space="0"/>
              <w:bottom w:val="single" w:color="000000" w:sz="4" w:space="0"/>
              <w:right w:val="single" w:color="auto" w:sz="4" w:space="0"/>
            </w:tcBorders>
            <w:vAlign w:val="center"/>
          </w:tcPr>
          <w:p w14:paraId="46AC3796">
            <w:pPr>
              <w:keepNext w:val="0"/>
              <w:keepLines w:val="0"/>
              <w:pageBreakBefore w:val="0"/>
              <w:kinsoku/>
              <w:wordWrap/>
              <w:overflowPunct/>
              <w:topLinePunct w:val="0"/>
              <w:bidi w:val="0"/>
              <w:snapToGrid/>
              <w:spacing w:line="360" w:lineRule="exact"/>
              <w:ind w:firstLine="20" w:firstLineChars="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kern w:val="0"/>
                <w:sz w:val="24"/>
                <w:szCs w:val="24"/>
                <w:highlight w:val="none"/>
              </w:rPr>
              <w:t>是否按招标文件要求在规定区域逐一加盖单位电子公章和法定代表人电子签名(签章）；</w:t>
            </w:r>
          </w:p>
        </w:tc>
        <w:tc>
          <w:tcPr>
            <w:tcW w:w="403" w:type="dxa"/>
            <w:tcBorders>
              <w:top w:val="nil"/>
              <w:left w:val="nil"/>
              <w:bottom w:val="single" w:color="auto" w:sz="4" w:space="0"/>
              <w:right w:val="single" w:color="auto" w:sz="4" w:space="0"/>
            </w:tcBorders>
            <w:vAlign w:val="center"/>
          </w:tcPr>
          <w:p w14:paraId="656C433C">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493AB455">
            <w:pPr>
              <w:widowControl/>
              <w:spacing w:line="340" w:lineRule="exact"/>
              <w:jc w:val="center"/>
              <w:rPr>
                <w:rFonts w:hint="eastAsia" w:ascii="宋体" w:hAnsi="宋体" w:eastAsia="宋体" w:cs="宋体"/>
                <w:color w:val="auto"/>
                <w:kern w:val="0"/>
                <w:sz w:val="24"/>
                <w:szCs w:val="24"/>
                <w:highlight w:val="none"/>
              </w:rPr>
            </w:pPr>
          </w:p>
        </w:tc>
      </w:tr>
      <w:tr w14:paraId="4327F3B5">
        <w:tblPrEx>
          <w:tblCellMar>
            <w:top w:w="0" w:type="dxa"/>
            <w:left w:w="57" w:type="dxa"/>
            <w:bottom w:w="0" w:type="dxa"/>
            <w:right w:w="0" w:type="dxa"/>
          </w:tblCellMar>
        </w:tblPrEx>
        <w:trPr>
          <w:trHeight w:val="860" w:hRule="atLeast"/>
          <w:jc w:val="center"/>
        </w:trPr>
        <w:tc>
          <w:tcPr>
            <w:tcW w:w="533" w:type="dxa"/>
            <w:tcBorders>
              <w:top w:val="nil"/>
              <w:left w:val="single" w:color="auto" w:sz="4" w:space="0"/>
              <w:bottom w:val="single" w:color="000000" w:sz="4" w:space="0"/>
              <w:right w:val="single" w:color="auto" w:sz="4" w:space="0"/>
            </w:tcBorders>
            <w:vAlign w:val="center"/>
          </w:tcPr>
          <w:p w14:paraId="71C81383">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20" w:type="dxa"/>
            <w:tcBorders>
              <w:top w:val="nil"/>
              <w:left w:val="single" w:color="auto" w:sz="4" w:space="0"/>
              <w:bottom w:val="single" w:color="000000" w:sz="4" w:space="0"/>
              <w:right w:val="single" w:color="auto" w:sz="4" w:space="0"/>
            </w:tcBorders>
            <w:vAlign w:val="center"/>
          </w:tcPr>
          <w:p w14:paraId="60104608">
            <w:pPr>
              <w:widowControl/>
              <w:spacing w:line="340" w:lineRule="exact"/>
              <w:ind w:right="134" w:rightChars="56"/>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6445" w:type="dxa"/>
            <w:gridSpan w:val="2"/>
            <w:tcBorders>
              <w:top w:val="nil"/>
              <w:left w:val="single" w:color="auto" w:sz="4" w:space="0"/>
              <w:bottom w:val="single" w:color="000000" w:sz="4" w:space="0"/>
              <w:right w:val="single" w:color="auto" w:sz="4" w:space="0"/>
            </w:tcBorders>
            <w:vAlign w:val="center"/>
          </w:tcPr>
          <w:p w14:paraId="657A9990">
            <w:pPr>
              <w:widowControl/>
              <w:spacing w:line="340" w:lineRule="exact"/>
              <w:ind w:right="134" w:rightChars="5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其报价未超过采购最高限价，且只有一个有效报价，不得提交选择性报价。</w:t>
            </w:r>
          </w:p>
        </w:tc>
        <w:tc>
          <w:tcPr>
            <w:tcW w:w="403" w:type="dxa"/>
            <w:tcBorders>
              <w:top w:val="nil"/>
              <w:left w:val="nil"/>
              <w:bottom w:val="single" w:color="auto" w:sz="4" w:space="0"/>
              <w:right w:val="single" w:color="auto" w:sz="4" w:space="0"/>
            </w:tcBorders>
            <w:vAlign w:val="center"/>
          </w:tcPr>
          <w:p w14:paraId="441F2DE9">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32EC6E09">
            <w:pPr>
              <w:widowControl/>
              <w:spacing w:line="340" w:lineRule="exact"/>
              <w:jc w:val="center"/>
              <w:rPr>
                <w:rFonts w:hint="eastAsia" w:ascii="宋体" w:hAnsi="宋体" w:eastAsia="宋体" w:cs="宋体"/>
                <w:color w:val="auto"/>
                <w:kern w:val="0"/>
                <w:sz w:val="24"/>
                <w:szCs w:val="24"/>
                <w:highlight w:val="none"/>
              </w:rPr>
            </w:pPr>
          </w:p>
        </w:tc>
      </w:tr>
      <w:tr w14:paraId="2EBFB463">
        <w:tblPrEx>
          <w:tblCellMar>
            <w:top w:w="0" w:type="dxa"/>
            <w:left w:w="57" w:type="dxa"/>
            <w:bottom w:w="0" w:type="dxa"/>
            <w:right w:w="0" w:type="dxa"/>
          </w:tblCellMar>
        </w:tblPrEx>
        <w:trPr>
          <w:trHeight w:val="613" w:hRule="atLeast"/>
          <w:jc w:val="center"/>
        </w:trPr>
        <w:tc>
          <w:tcPr>
            <w:tcW w:w="533" w:type="dxa"/>
            <w:tcBorders>
              <w:top w:val="nil"/>
              <w:left w:val="single" w:color="auto" w:sz="4" w:space="0"/>
              <w:bottom w:val="single" w:color="000000" w:sz="4" w:space="0"/>
              <w:right w:val="single" w:color="auto" w:sz="4" w:space="0"/>
            </w:tcBorders>
            <w:vAlign w:val="center"/>
          </w:tcPr>
          <w:p w14:paraId="5CFE095D">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20" w:type="dxa"/>
            <w:tcBorders>
              <w:top w:val="nil"/>
              <w:left w:val="single" w:color="auto" w:sz="4" w:space="0"/>
              <w:bottom w:val="single" w:color="000000" w:sz="4" w:space="0"/>
              <w:right w:val="single" w:color="auto" w:sz="4" w:space="0"/>
            </w:tcBorders>
            <w:vAlign w:val="center"/>
          </w:tcPr>
          <w:p w14:paraId="7202E12F">
            <w:pPr>
              <w:widowControl/>
              <w:spacing w:line="340" w:lineRule="exact"/>
              <w:ind w:right="134" w:rightChars="56"/>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投标有效期</w:t>
            </w:r>
          </w:p>
        </w:tc>
        <w:tc>
          <w:tcPr>
            <w:tcW w:w="6445" w:type="dxa"/>
            <w:gridSpan w:val="2"/>
            <w:tcBorders>
              <w:top w:val="nil"/>
              <w:left w:val="single" w:color="auto" w:sz="4" w:space="0"/>
              <w:bottom w:val="single" w:color="000000" w:sz="4" w:space="0"/>
              <w:right w:val="single" w:color="auto" w:sz="4" w:space="0"/>
            </w:tcBorders>
            <w:vAlign w:val="center"/>
          </w:tcPr>
          <w:p w14:paraId="57692B1B">
            <w:pPr>
              <w:widowControl/>
              <w:spacing w:line="340" w:lineRule="exact"/>
              <w:ind w:right="134" w:rightChars="5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满足招标文件要求。</w:t>
            </w:r>
          </w:p>
        </w:tc>
        <w:tc>
          <w:tcPr>
            <w:tcW w:w="403" w:type="dxa"/>
            <w:tcBorders>
              <w:top w:val="nil"/>
              <w:left w:val="nil"/>
              <w:bottom w:val="single" w:color="auto" w:sz="4" w:space="0"/>
              <w:right w:val="single" w:color="auto" w:sz="4" w:space="0"/>
            </w:tcBorders>
            <w:vAlign w:val="center"/>
          </w:tcPr>
          <w:p w14:paraId="0A93DB86">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6490B197">
            <w:pPr>
              <w:widowControl/>
              <w:spacing w:line="340" w:lineRule="exact"/>
              <w:jc w:val="center"/>
              <w:rPr>
                <w:rFonts w:hint="eastAsia" w:ascii="宋体" w:hAnsi="宋体" w:eastAsia="宋体" w:cs="宋体"/>
                <w:color w:val="auto"/>
                <w:kern w:val="0"/>
                <w:sz w:val="24"/>
                <w:szCs w:val="24"/>
                <w:highlight w:val="none"/>
              </w:rPr>
            </w:pPr>
          </w:p>
        </w:tc>
      </w:tr>
      <w:tr w14:paraId="6901B115">
        <w:tblPrEx>
          <w:tblCellMar>
            <w:top w:w="0" w:type="dxa"/>
            <w:left w:w="57" w:type="dxa"/>
            <w:bottom w:w="0" w:type="dxa"/>
            <w:right w:w="0" w:type="dxa"/>
          </w:tblCellMar>
        </w:tblPrEx>
        <w:trPr>
          <w:trHeight w:val="613" w:hRule="atLeast"/>
          <w:jc w:val="center"/>
        </w:trPr>
        <w:tc>
          <w:tcPr>
            <w:tcW w:w="533" w:type="dxa"/>
            <w:tcBorders>
              <w:top w:val="nil"/>
              <w:left w:val="single" w:color="auto" w:sz="4" w:space="0"/>
              <w:bottom w:val="single" w:color="000000" w:sz="4" w:space="0"/>
              <w:right w:val="single" w:color="auto" w:sz="4" w:space="0"/>
            </w:tcBorders>
            <w:vAlign w:val="center"/>
          </w:tcPr>
          <w:p w14:paraId="409ED543">
            <w:pPr>
              <w:widowControl/>
              <w:spacing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620" w:type="dxa"/>
            <w:tcBorders>
              <w:top w:val="nil"/>
              <w:left w:val="single" w:color="auto" w:sz="4" w:space="0"/>
              <w:bottom w:val="single" w:color="000000" w:sz="4" w:space="0"/>
              <w:right w:val="single" w:color="auto" w:sz="4" w:space="0"/>
            </w:tcBorders>
            <w:vAlign w:val="center"/>
          </w:tcPr>
          <w:p w14:paraId="49A1ED47">
            <w:pPr>
              <w:widowControl/>
              <w:spacing w:line="340" w:lineRule="exact"/>
              <w:ind w:right="134" w:rightChars="56"/>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kern w:val="0"/>
                <w:sz w:val="24"/>
                <w:szCs w:val="24"/>
                <w:highlight w:val="none"/>
                <w:lang w:val="en-US" w:eastAsia="zh-CN"/>
              </w:rPr>
              <w:t>，供货地点</w:t>
            </w:r>
          </w:p>
        </w:tc>
        <w:tc>
          <w:tcPr>
            <w:tcW w:w="6445" w:type="dxa"/>
            <w:gridSpan w:val="2"/>
            <w:tcBorders>
              <w:top w:val="nil"/>
              <w:left w:val="single" w:color="auto" w:sz="4" w:space="0"/>
              <w:bottom w:val="single" w:color="000000" w:sz="4" w:space="0"/>
              <w:right w:val="single" w:color="auto" w:sz="4" w:space="0"/>
            </w:tcBorders>
            <w:vAlign w:val="center"/>
          </w:tcPr>
          <w:p w14:paraId="5AF263C6">
            <w:pPr>
              <w:widowControl/>
              <w:spacing w:line="340" w:lineRule="exact"/>
              <w:ind w:right="134" w:rightChars="5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满足招标文件要求。</w:t>
            </w:r>
          </w:p>
        </w:tc>
        <w:tc>
          <w:tcPr>
            <w:tcW w:w="403" w:type="dxa"/>
            <w:tcBorders>
              <w:top w:val="nil"/>
              <w:left w:val="nil"/>
              <w:bottom w:val="single" w:color="auto" w:sz="4" w:space="0"/>
              <w:right w:val="single" w:color="auto" w:sz="4" w:space="0"/>
            </w:tcBorders>
            <w:vAlign w:val="center"/>
          </w:tcPr>
          <w:p w14:paraId="151AB6C1">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39AE932E">
            <w:pPr>
              <w:widowControl/>
              <w:spacing w:line="340" w:lineRule="exact"/>
              <w:jc w:val="center"/>
              <w:rPr>
                <w:rFonts w:hint="eastAsia" w:ascii="宋体" w:hAnsi="宋体" w:eastAsia="宋体" w:cs="宋体"/>
                <w:color w:val="auto"/>
                <w:kern w:val="0"/>
                <w:sz w:val="24"/>
                <w:szCs w:val="24"/>
                <w:highlight w:val="none"/>
              </w:rPr>
            </w:pPr>
          </w:p>
        </w:tc>
      </w:tr>
      <w:tr w14:paraId="68AB8C3A">
        <w:tblPrEx>
          <w:tblCellMar>
            <w:top w:w="0" w:type="dxa"/>
            <w:left w:w="57" w:type="dxa"/>
            <w:bottom w:w="0" w:type="dxa"/>
            <w:right w:w="0" w:type="dxa"/>
          </w:tblCellMar>
        </w:tblPrEx>
        <w:trPr>
          <w:trHeight w:val="613" w:hRule="atLeast"/>
          <w:jc w:val="center"/>
        </w:trPr>
        <w:tc>
          <w:tcPr>
            <w:tcW w:w="533" w:type="dxa"/>
            <w:tcBorders>
              <w:top w:val="nil"/>
              <w:left w:val="single" w:color="auto" w:sz="4" w:space="0"/>
              <w:bottom w:val="single" w:color="000000" w:sz="4" w:space="0"/>
              <w:right w:val="single" w:color="auto" w:sz="4" w:space="0"/>
            </w:tcBorders>
            <w:shd w:val="clear" w:color="auto" w:fill="auto"/>
            <w:vAlign w:val="center"/>
          </w:tcPr>
          <w:p w14:paraId="732DB589">
            <w:pPr>
              <w:widowControl/>
              <w:spacing w:line="34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620" w:type="dxa"/>
            <w:tcBorders>
              <w:top w:val="nil"/>
              <w:left w:val="single" w:color="auto" w:sz="4" w:space="0"/>
              <w:bottom w:val="single" w:color="000000" w:sz="4" w:space="0"/>
              <w:right w:val="single" w:color="auto" w:sz="4" w:space="0"/>
            </w:tcBorders>
            <w:vAlign w:val="center"/>
          </w:tcPr>
          <w:p w14:paraId="2E7A335A">
            <w:pPr>
              <w:widowControl/>
              <w:spacing w:line="340" w:lineRule="exact"/>
              <w:ind w:right="134" w:rightChars="56"/>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w:t>
            </w:r>
          </w:p>
        </w:tc>
        <w:tc>
          <w:tcPr>
            <w:tcW w:w="6445" w:type="dxa"/>
            <w:gridSpan w:val="2"/>
            <w:tcBorders>
              <w:top w:val="nil"/>
              <w:left w:val="single" w:color="auto" w:sz="4" w:space="0"/>
              <w:bottom w:val="single" w:color="000000" w:sz="4" w:space="0"/>
              <w:right w:val="single" w:color="auto" w:sz="4" w:space="0"/>
            </w:tcBorders>
            <w:vAlign w:val="center"/>
          </w:tcPr>
          <w:p w14:paraId="76D9CFB4">
            <w:pPr>
              <w:widowControl/>
              <w:spacing w:line="340" w:lineRule="exact"/>
              <w:ind w:right="134" w:rightChars="56"/>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按照投标须知要求金额提交了投标保证金，并提供了投标保证金凭证。</w:t>
            </w:r>
          </w:p>
        </w:tc>
        <w:tc>
          <w:tcPr>
            <w:tcW w:w="403" w:type="dxa"/>
            <w:tcBorders>
              <w:top w:val="nil"/>
              <w:left w:val="nil"/>
              <w:bottom w:val="single" w:color="auto" w:sz="4" w:space="0"/>
              <w:right w:val="single" w:color="auto" w:sz="4" w:space="0"/>
            </w:tcBorders>
            <w:vAlign w:val="center"/>
          </w:tcPr>
          <w:p w14:paraId="6578C974">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20A49415">
            <w:pPr>
              <w:widowControl/>
              <w:spacing w:line="340" w:lineRule="exact"/>
              <w:jc w:val="center"/>
              <w:rPr>
                <w:rFonts w:hint="eastAsia" w:ascii="宋体" w:hAnsi="宋体" w:eastAsia="宋体" w:cs="宋体"/>
                <w:color w:val="auto"/>
                <w:kern w:val="0"/>
                <w:sz w:val="24"/>
                <w:szCs w:val="24"/>
                <w:highlight w:val="none"/>
              </w:rPr>
            </w:pPr>
          </w:p>
        </w:tc>
      </w:tr>
      <w:tr w14:paraId="6F84696A">
        <w:tblPrEx>
          <w:tblCellMar>
            <w:top w:w="0" w:type="dxa"/>
            <w:left w:w="57" w:type="dxa"/>
            <w:bottom w:w="0" w:type="dxa"/>
            <w:right w:w="0" w:type="dxa"/>
          </w:tblCellMar>
        </w:tblPrEx>
        <w:trPr>
          <w:trHeight w:val="613" w:hRule="atLeast"/>
          <w:jc w:val="center"/>
        </w:trPr>
        <w:tc>
          <w:tcPr>
            <w:tcW w:w="533" w:type="dxa"/>
            <w:tcBorders>
              <w:top w:val="nil"/>
              <w:left w:val="single" w:color="auto" w:sz="4" w:space="0"/>
              <w:bottom w:val="single" w:color="000000" w:sz="4" w:space="0"/>
              <w:right w:val="single" w:color="auto" w:sz="4" w:space="0"/>
            </w:tcBorders>
            <w:shd w:val="clear" w:color="auto" w:fill="auto"/>
            <w:vAlign w:val="center"/>
          </w:tcPr>
          <w:p w14:paraId="3FF8DCBE">
            <w:pPr>
              <w:widowControl/>
              <w:spacing w:line="34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620" w:type="dxa"/>
            <w:tcBorders>
              <w:top w:val="nil"/>
              <w:left w:val="single" w:color="auto" w:sz="4" w:space="0"/>
              <w:bottom w:val="single" w:color="000000" w:sz="4" w:space="0"/>
              <w:right w:val="single" w:color="auto" w:sz="4" w:space="0"/>
            </w:tcBorders>
            <w:vAlign w:val="center"/>
          </w:tcPr>
          <w:p w14:paraId="08B9D6EC">
            <w:pPr>
              <w:widowControl/>
              <w:spacing w:line="340" w:lineRule="exact"/>
              <w:ind w:right="134" w:rightChars="56"/>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投标文件的格式 </w:t>
            </w:r>
          </w:p>
        </w:tc>
        <w:tc>
          <w:tcPr>
            <w:tcW w:w="6445" w:type="dxa"/>
            <w:gridSpan w:val="2"/>
            <w:tcBorders>
              <w:top w:val="nil"/>
              <w:left w:val="single" w:color="auto" w:sz="4" w:space="0"/>
              <w:bottom w:val="single" w:color="000000" w:sz="4" w:space="0"/>
              <w:right w:val="single" w:color="auto" w:sz="4" w:space="0"/>
            </w:tcBorders>
            <w:vAlign w:val="center"/>
          </w:tcPr>
          <w:p w14:paraId="5C24CFC8">
            <w:pPr>
              <w:widowControl/>
              <w:spacing w:line="340" w:lineRule="exact"/>
              <w:ind w:right="134" w:rightChars="5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投标文件按招标文件规定格式完整提供。</w:t>
            </w:r>
          </w:p>
        </w:tc>
        <w:tc>
          <w:tcPr>
            <w:tcW w:w="403" w:type="dxa"/>
            <w:tcBorders>
              <w:top w:val="nil"/>
              <w:left w:val="nil"/>
              <w:bottom w:val="single" w:color="auto" w:sz="4" w:space="0"/>
              <w:right w:val="single" w:color="auto" w:sz="4" w:space="0"/>
            </w:tcBorders>
            <w:vAlign w:val="center"/>
          </w:tcPr>
          <w:p w14:paraId="39174B8A">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54A09A3D">
            <w:pPr>
              <w:widowControl/>
              <w:spacing w:line="340" w:lineRule="exact"/>
              <w:jc w:val="center"/>
              <w:rPr>
                <w:rFonts w:hint="eastAsia" w:ascii="宋体" w:hAnsi="宋体" w:eastAsia="宋体" w:cs="宋体"/>
                <w:color w:val="auto"/>
                <w:kern w:val="0"/>
                <w:sz w:val="24"/>
                <w:szCs w:val="24"/>
                <w:highlight w:val="none"/>
              </w:rPr>
            </w:pPr>
          </w:p>
        </w:tc>
      </w:tr>
      <w:tr w14:paraId="3B1F05FA">
        <w:tblPrEx>
          <w:tblCellMar>
            <w:top w:w="0" w:type="dxa"/>
            <w:left w:w="57" w:type="dxa"/>
            <w:bottom w:w="0" w:type="dxa"/>
            <w:right w:w="0" w:type="dxa"/>
          </w:tblCellMar>
        </w:tblPrEx>
        <w:trPr>
          <w:trHeight w:val="613" w:hRule="atLeast"/>
          <w:jc w:val="center"/>
        </w:trPr>
        <w:tc>
          <w:tcPr>
            <w:tcW w:w="533" w:type="dxa"/>
            <w:tcBorders>
              <w:top w:val="nil"/>
              <w:left w:val="single" w:color="auto" w:sz="4" w:space="0"/>
              <w:bottom w:val="single" w:color="000000" w:sz="4" w:space="0"/>
              <w:right w:val="single" w:color="auto" w:sz="4" w:space="0"/>
            </w:tcBorders>
            <w:shd w:val="clear" w:color="auto" w:fill="auto"/>
            <w:vAlign w:val="center"/>
          </w:tcPr>
          <w:p w14:paraId="07FCCA68">
            <w:pPr>
              <w:widowControl/>
              <w:spacing w:line="34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1620" w:type="dxa"/>
            <w:tcBorders>
              <w:top w:val="nil"/>
              <w:left w:val="single" w:color="auto" w:sz="4" w:space="0"/>
              <w:bottom w:val="single" w:color="000000" w:sz="4" w:space="0"/>
              <w:right w:val="single" w:color="auto" w:sz="4" w:space="0"/>
            </w:tcBorders>
            <w:vAlign w:val="center"/>
          </w:tcPr>
          <w:p w14:paraId="34DF1B01">
            <w:pPr>
              <w:widowControl/>
              <w:spacing w:line="340" w:lineRule="exact"/>
              <w:ind w:right="134" w:rightChars="56"/>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投标方案</w:t>
            </w:r>
          </w:p>
        </w:tc>
        <w:tc>
          <w:tcPr>
            <w:tcW w:w="6445" w:type="dxa"/>
            <w:gridSpan w:val="2"/>
            <w:tcBorders>
              <w:top w:val="nil"/>
              <w:left w:val="single" w:color="auto" w:sz="4" w:space="0"/>
              <w:bottom w:val="single" w:color="000000" w:sz="4" w:space="0"/>
              <w:right w:val="single" w:color="auto" w:sz="4" w:space="0"/>
            </w:tcBorders>
            <w:vAlign w:val="center"/>
          </w:tcPr>
          <w:p w14:paraId="4476A4D1">
            <w:pPr>
              <w:widowControl/>
              <w:spacing w:line="340" w:lineRule="exact"/>
              <w:ind w:right="134" w:rightChars="56"/>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只能有一个方案投标，不允许备选方案。</w:t>
            </w:r>
          </w:p>
        </w:tc>
        <w:tc>
          <w:tcPr>
            <w:tcW w:w="403" w:type="dxa"/>
            <w:tcBorders>
              <w:top w:val="nil"/>
              <w:left w:val="nil"/>
              <w:bottom w:val="single" w:color="auto" w:sz="4" w:space="0"/>
              <w:right w:val="single" w:color="auto" w:sz="4" w:space="0"/>
            </w:tcBorders>
            <w:vAlign w:val="center"/>
          </w:tcPr>
          <w:p w14:paraId="5886DF95">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3F07BDA1">
            <w:pPr>
              <w:widowControl/>
              <w:spacing w:line="340" w:lineRule="exact"/>
              <w:jc w:val="center"/>
              <w:rPr>
                <w:rFonts w:hint="eastAsia" w:ascii="宋体" w:hAnsi="宋体" w:eastAsia="宋体" w:cs="宋体"/>
                <w:color w:val="auto"/>
                <w:kern w:val="0"/>
                <w:sz w:val="24"/>
                <w:szCs w:val="24"/>
                <w:highlight w:val="none"/>
              </w:rPr>
            </w:pPr>
          </w:p>
        </w:tc>
      </w:tr>
      <w:tr w14:paraId="5C7351A3">
        <w:tblPrEx>
          <w:tblCellMar>
            <w:top w:w="0" w:type="dxa"/>
            <w:left w:w="57" w:type="dxa"/>
            <w:bottom w:w="0" w:type="dxa"/>
            <w:right w:w="0" w:type="dxa"/>
          </w:tblCellMar>
        </w:tblPrEx>
        <w:trPr>
          <w:trHeight w:val="613" w:hRule="atLeast"/>
          <w:jc w:val="center"/>
        </w:trPr>
        <w:tc>
          <w:tcPr>
            <w:tcW w:w="533" w:type="dxa"/>
            <w:tcBorders>
              <w:top w:val="nil"/>
              <w:left w:val="single" w:color="auto" w:sz="4" w:space="0"/>
              <w:bottom w:val="single" w:color="000000" w:sz="4" w:space="0"/>
              <w:right w:val="single" w:color="auto" w:sz="4" w:space="0"/>
            </w:tcBorders>
            <w:vAlign w:val="center"/>
          </w:tcPr>
          <w:p w14:paraId="2E0C4BF4">
            <w:pPr>
              <w:widowControl/>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620" w:type="dxa"/>
            <w:tcBorders>
              <w:top w:val="nil"/>
              <w:left w:val="single" w:color="auto" w:sz="4" w:space="0"/>
              <w:bottom w:val="single" w:color="000000" w:sz="4" w:space="0"/>
              <w:right w:val="single" w:color="auto" w:sz="4" w:space="0"/>
            </w:tcBorders>
            <w:vAlign w:val="center"/>
          </w:tcPr>
          <w:p w14:paraId="37E745F6">
            <w:pPr>
              <w:widowControl/>
              <w:spacing w:line="340" w:lineRule="exact"/>
              <w:ind w:right="134" w:rightChars="56"/>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w:t>
            </w:r>
          </w:p>
        </w:tc>
        <w:tc>
          <w:tcPr>
            <w:tcW w:w="6445" w:type="dxa"/>
            <w:gridSpan w:val="2"/>
            <w:tcBorders>
              <w:top w:val="nil"/>
              <w:left w:val="single" w:color="auto" w:sz="4" w:space="0"/>
              <w:bottom w:val="single" w:color="000000" w:sz="4" w:space="0"/>
              <w:right w:val="single" w:color="auto" w:sz="4" w:space="0"/>
            </w:tcBorders>
            <w:vAlign w:val="center"/>
          </w:tcPr>
          <w:p w14:paraId="0231BA63">
            <w:pPr>
              <w:widowControl/>
              <w:spacing w:line="340" w:lineRule="exact"/>
              <w:ind w:right="134" w:rightChars="56"/>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投标文件未附有采购人不能接受的附加条件及</w:t>
            </w:r>
            <w:r>
              <w:rPr>
                <w:rFonts w:hint="eastAsia" w:ascii="宋体" w:hAnsi="宋体" w:cs="宋体"/>
                <w:color w:val="auto"/>
                <w:kern w:val="0"/>
                <w:sz w:val="24"/>
                <w:szCs w:val="24"/>
                <w:highlight w:val="none"/>
                <w:lang w:val="en-US" w:eastAsia="zh-CN"/>
              </w:rPr>
              <w:t>法律法规</w:t>
            </w:r>
            <w:r>
              <w:rPr>
                <w:rFonts w:hint="eastAsia" w:ascii="宋体" w:hAnsi="宋体" w:eastAsia="宋体" w:cs="宋体"/>
                <w:color w:val="auto"/>
                <w:kern w:val="0"/>
                <w:sz w:val="24"/>
                <w:szCs w:val="24"/>
                <w:highlight w:val="none"/>
                <w:lang w:val="en-US" w:eastAsia="zh-CN"/>
              </w:rPr>
              <w:t>和招标文件规定的其他无效情形。</w:t>
            </w:r>
          </w:p>
        </w:tc>
        <w:tc>
          <w:tcPr>
            <w:tcW w:w="403" w:type="dxa"/>
            <w:tcBorders>
              <w:top w:val="nil"/>
              <w:left w:val="nil"/>
              <w:bottom w:val="single" w:color="auto" w:sz="4" w:space="0"/>
              <w:right w:val="single" w:color="auto" w:sz="4" w:space="0"/>
            </w:tcBorders>
            <w:vAlign w:val="center"/>
          </w:tcPr>
          <w:p w14:paraId="0B0F198B">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50DBA5E7">
            <w:pPr>
              <w:widowControl/>
              <w:spacing w:line="340" w:lineRule="exact"/>
              <w:jc w:val="center"/>
              <w:rPr>
                <w:rFonts w:hint="eastAsia" w:ascii="宋体" w:hAnsi="宋体" w:eastAsia="宋体" w:cs="宋体"/>
                <w:color w:val="auto"/>
                <w:kern w:val="0"/>
                <w:sz w:val="24"/>
                <w:szCs w:val="24"/>
                <w:highlight w:val="none"/>
              </w:rPr>
            </w:pPr>
          </w:p>
        </w:tc>
      </w:tr>
      <w:tr w14:paraId="1279D929">
        <w:tblPrEx>
          <w:tblCellMar>
            <w:top w:w="0" w:type="dxa"/>
            <w:left w:w="57" w:type="dxa"/>
            <w:bottom w:w="0" w:type="dxa"/>
            <w:right w:w="0" w:type="dxa"/>
          </w:tblCellMar>
        </w:tblPrEx>
        <w:trPr>
          <w:trHeight w:val="505" w:hRule="atLeast"/>
          <w:jc w:val="center"/>
        </w:trPr>
        <w:tc>
          <w:tcPr>
            <w:tcW w:w="533" w:type="dxa"/>
            <w:tcBorders>
              <w:top w:val="nil"/>
              <w:left w:val="single" w:color="auto" w:sz="4" w:space="0"/>
              <w:bottom w:val="single" w:color="auto" w:sz="4" w:space="0"/>
              <w:right w:val="single" w:color="auto" w:sz="4" w:space="0"/>
            </w:tcBorders>
            <w:vAlign w:val="center"/>
          </w:tcPr>
          <w:p w14:paraId="67FFBB7F">
            <w:pPr>
              <w:widowControl/>
              <w:spacing w:line="340" w:lineRule="exact"/>
              <w:jc w:val="center"/>
              <w:rPr>
                <w:rFonts w:hint="eastAsia" w:ascii="宋体" w:hAnsi="宋体" w:eastAsia="宋体" w:cs="宋体"/>
                <w:color w:val="auto"/>
                <w:kern w:val="0"/>
                <w:sz w:val="24"/>
                <w:szCs w:val="24"/>
                <w:highlight w:val="none"/>
              </w:rPr>
            </w:pPr>
          </w:p>
        </w:tc>
        <w:tc>
          <w:tcPr>
            <w:tcW w:w="8065" w:type="dxa"/>
            <w:gridSpan w:val="3"/>
            <w:tcBorders>
              <w:top w:val="single" w:color="auto" w:sz="4" w:space="0"/>
              <w:left w:val="nil"/>
              <w:bottom w:val="single" w:color="auto" w:sz="4" w:space="0"/>
              <w:right w:val="single" w:color="auto" w:sz="4" w:space="0"/>
            </w:tcBorders>
            <w:vAlign w:val="center"/>
          </w:tcPr>
          <w:p w14:paraId="53BB9866">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 论(通过/不通过)</w:t>
            </w:r>
          </w:p>
        </w:tc>
        <w:tc>
          <w:tcPr>
            <w:tcW w:w="403" w:type="dxa"/>
            <w:tcBorders>
              <w:top w:val="nil"/>
              <w:left w:val="nil"/>
              <w:bottom w:val="single" w:color="auto" w:sz="4" w:space="0"/>
              <w:right w:val="single" w:color="auto" w:sz="4" w:space="0"/>
            </w:tcBorders>
            <w:vAlign w:val="center"/>
          </w:tcPr>
          <w:p w14:paraId="37950078">
            <w:pPr>
              <w:widowControl/>
              <w:spacing w:line="340" w:lineRule="exact"/>
              <w:jc w:val="center"/>
              <w:rPr>
                <w:rFonts w:hint="eastAsia" w:ascii="宋体" w:hAnsi="宋体" w:eastAsia="宋体" w:cs="宋体"/>
                <w:color w:val="auto"/>
                <w:kern w:val="0"/>
                <w:sz w:val="24"/>
                <w:szCs w:val="24"/>
                <w:highlight w:val="none"/>
              </w:rPr>
            </w:pPr>
          </w:p>
        </w:tc>
        <w:tc>
          <w:tcPr>
            <w:tcW w:w="462" w:type="dxa"/>
            <w:tcBorders>
              <w:top w:val="nil"/>
              <w:left w:val="nil"/>
              <w:bottom w:val="single" w:color="auto" w:sz="4" w:space="0"/>
              <w:right w:val="single" w:color="auto" w:sz="4" w:space="0"/>
            </w:tcBorders>
            <w:vAlign w:val="center"/>
          </w:tcPr>
          <w:p w14:paraId="51B21714">
            <w:pPr>
              <w:widowControl/>
              <w:spacing w:line="340" w:lineRule="exact"/>
              <w:jc w:val="center"/>
              <w:rPr>
                <w:rFonts w:hint="eastAsia" w:ascii="宋体" w:hAnsi="宋体" w:eastAsia="宋体" w:cs="宋体"/>
                <w:color w:val="auto"/>
                <w:kern w:val="0"/>
                <w:sz w:val="24"/>
                <w:szCs w:val="24"/>
                <w:highlight w:val="none"/>
              </w:rPr>
            </w:pPr>
          </w:p>
        </w:tc>
      </w:tr>
      <w:tr w14:paraId="6D6FCFA7">
        <w:tblPrEx>
          <w:tblCellMar>
            <w:top w:w="0" w:type="dxa"/>
            <w:left w:w="57" w:type="dxa"/>
            <w:bottom w:w="0" w:type="dxa"/>
            <w:right w:w="0" w:type="dxa"/>
          </w:tblCellMar>
        </w:tblPrEx>
        <w:trPr>
          <w:trHeight w:val="505" w:hRule="atLeast"/>
          <w:jc w:val="center"/>
        </w:trPr>
        <w:tc>
          <w:tcPr>
            <w:tcW w:w="9463" w:type="dxa"/>
            <w:gridSpan w:val="6"/>
            <w:tcBorders>
              <w:top w:val="nil"/>
              <w:left w:val="single" w:color="auto" w:sz="4" w:space="0"/>
              <w:bottom w:val="single" w:color="auto" w:sz="4" w:space="0"/>
              <w:right w:val="single" w:color="auto" w:sz="4" w:space="0"/>
            </w:tcBorders>
            <w:vAlign w:val="center"/>
          </w:tcPr>
          <w:p w14:paraId="49A9E966">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14:paraId="4AC23324">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（1）上述各项中用“√”表示通过，“×”表示不通过；</w:t>
            </w:r>
          </w:p>
          <w:p w14:paraId="36F8B809">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（2）上述各项中如有一项为“×”，则结论为“×”，表示该投标文件中存在重大偏差，不能通过初步评审；评委对某一分项评审认为不合格时，必须要写明原因。</w:t>
            </w:r>
          </w:p>
          <w:p w14:paraId="03F7BF54">
            <w:pPr>
              <w:tabs>
                <w:tab w:val="left" w:pos="1642"/>
                <w:tab w:val="left" w:pos="3363"/>
                <w:tab w:val="left" w:pos="3887"/>
                <w:tab w:val="left" w:pos="9649"/>
              </w:tabs>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（3）投标文件最终合格与否，以所有评委的评审意见中少数服从多数为原则定论。</w:t>
            </w:r>
          </w:p>
          <w:p w14:paraId="394EED1B">
            <w:pPr>
              <w:widowControl/>
              <w:spacing w:line="3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（4）投标人请认真阅读和理解上述内容，避免投标文件中有违背上述审查标准之一的情况发生而造成投标被否决。</w:t>
            </w:r>
          </w:p>
        </w:tc>
      </w:tr>
    </w:tbl>
    <w:p w14:paraId="3FCA3923">
      <w:pPr>
        <w:rPr>
          <w:rFonts w:hint="eastAsia" w:ascii="宋体" w:hAnsi="宋体" w:eastAsia="宋体" w:cs="宋体"/>
          <w:color w:val="auto"/>
          <w:highlight w:val="none"/>
        </w:rPr>
      </w:pPr>
      <w:bookmarkStart w:id="81" w:name="_Toc25580"/>
      <w:r>
        <w:rPr>
          <w:rFonts w:hint="eastAsia" w:ascii="宋体" w:hAnsi="宋体" w:eastAsia="宋体" w:cs="宋体"/>
          <w:color w:val="auto"/>
          <w:highlight w:val="none"/>
        </w:rPr>
        <w:br w:type="page"/>
      </w:r>
    </w:p>
    <w:bookmarkEnd w:id="81"/>
    <w:p w14:paraId="23E1A7C4">
      <w:pPr>
        <w:pStyle w:val="4"/>
        <w:numPr>
          <w:ilvl w:val="0"/>
          <w:numId w:val="1"/>
        </w:numPr>
        <w:bidi w:val="0"/>
        <w:ind w:left="-402" w:leftChars="0" w:firstLine="402" w:firstLineChars="0"/>
        <w:rPr>
          <w:rFonts w:hint="eastAsia" w:ascii="宋体" w:hAnsi="宋体" w:eastAsia="宋体" w:cs="宋体"/>
          <w:color w:val="auto"/>
          <w:highlight w:val="none"/>
        </w:rPr>
      </w:pPr>
      <w:bookmarkStart w:id="82" w:name="_Toc18500"/>
      <w:bookmarkStart w:id="83" w:name="_Toc32159"/>
      <w:bookmarkStart w:id="84" w:name="_Toc9223"/>
      <w:r>
        <w:rPr>
          <w:rFonts w:hint="eastAsia" w:ascii="宋体" w:hAnsi="宋体" w:eastAsia="宋体" w:cs="宋体"/>
          <w:color w:val="auto"/>
          <w:highlight w:val="none"/>
        </w:rPr>
        <w:t>详细评审</w:t>
      </w:r>
      <w:bookmarkEnd w:id="82"/>
    </w:p>
    <w:p w14:paraId="26251B06">
      <w:pPr>
        <w:pStyle w:val="12"/>
        <w:spacing w:before="105" w:line="280" w:lineRule="auto"/>
        <w:ind w:left="187" w:right="158" w:firstLine="562"/>
        <w:jc w:val="both"/>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z w:val="28"/>
          <w:szCs w:val="28"/>
          <w:highlight w:val="none"/>
          <w:lang w:eastAsia="zh-CN"/>
        </w:rPr>
        <w:t>符合性评审合格的供应商方可进入详细评审阶段。详细评审分为投标文件</w:t>
      </w:r>
      <w:r>
        <w:rPr>
          <w:rFonts w:hint="eastAsia" w:ascii="宋体" w:hAnsi="宋体" w:eastAsia="宋体" w:cs="宋体"/>
          <w:color w:val="auto"/>
          <w:spacing w:val="8"/>
          <w:sz w:val="28"/>
          <w:szCs w:val="28"/>
          <w:highlight w:val="none"/>
          <w:lang w:eastAsia="zh-CN"/>
        </w:rPr>
        <w:t>商务、技术部分评审和投标报价评审。评分分值设置为：报价部分</w:t>
      </w:r>
      <w:r>
        <w:rPr>
          <w:rFonts w:hint="eastAsia" w:ascii="宋体" w:hAnsi="宋体" w:eastAsia="宋体" w:cs="宋体"/>
          <w:color w:val="auto"/>
          <w:spacing w:val="-47"/>
          <w:sz w:val="28"/>
          <w:szCs w:val="28"/>
          <w:highlight w:val="none"/>
          <w:lang w:val="en-US" w:eastAsia="zh-CN"/>
        </w:rPr>
        <w:t>30</w:t>
      </w:r>
      <w:r>
        <w:rPr>
          <w:rFonts w:hint="eastAsia" w:ascii="宋体" w:hAnsi="宋体" w:eastAsia="宋体" w:cs="宋体"/>
          <w:color w:val="auto"/>
          <w:spacing w:val="8"/>
          <w:sz w:val="28"/>
          <w:szCs w:val="28"/>
          <w:highlight w:val="none"/>
          <w:lang w:eastAsia="zh-CN"/>
        </w:rPr>
        <w:t>分，</w:t>
      </w:r>
      <w:r>
        <w:rPr>
          <w:rFonts w:hint="eastAsia" w:ascii="宋体" w:hAnsi="宋体" w:eastAsia="宋体" w:cs="宋体"/>
          <w:color w:val="auto"/>
          <w:spacing w:val="7"/>
          <w:sz w:val="28"/>
          <w:szCs w:val="28"/>
          <w:highlight w:val="none"/>
          <w:lang w:eastAsia="zh-CN"/>
        </w:rPr>
        <w:t>商务部分</w:t>
      </w:r>
      <w:r>
        <w:rPr>
          <w:rFonts w:hint="eastAsia" w:ascii="宋体" w:hAnsi="宋体" w:eastAsia="宋体" w:cs="宋体"/>
          <w:color w:val="auto"/>
          <w:spacing w:val="7"/>
          <w:sz w:val="28"/>
          <w:szCs w:val="28"/>
          <w:highlight w:val="none"/>
          <w:lang w:val="en-US" w:eastAsia="zh-CN"/>
        </w:rPr>
        <w:t>35</w:t>
      </w:r>
      <w:r>
        <w:rPr>
          <w:rFonts w:hint="eastAsia" w:ascii="宋体" w:hAnsi="宋体" w:eastAsia="宋体" w:cs="宋体"/>
          <w:color w:val="auto"/>
          <w:spacing w:val="-7"/>
          <w:sz w:val="28"/>
          <w:szCs w:val="28"/>
          <w:highlight w:val="none"/>
          <w:lang w:eastAsia="zh-CN"/>
        </w:rPr>
        <w:t>分，技术部分</w:t>
      </w:r>
      <w:r>
        <w:rPr>
          <w:rFonts w:hint="eastAsia" w:ascii="宋体" w:hAnsi="宋体" w:eastAsia="宋体" w:cs="宋体"/>
          <w:color w:val="auto"/>
          <w:spacing w:val="-7"/>
          <w:sz w:val="28"/>
          <w:szCs w:val="28"/>
          <w:highlight w:val="none"/>
          <w:lang w:val="en-US" w:eastAsia="zh-CN"/>
        </w:rPr>
        <w:t>35</w:t>
      </w:r>
      <w:r>
        <w:rPr>
          <w:rFonts w:hint="eastAsia" w:ascii="宋体" w:hAnsi="宋体" w:eastAsia="宋体" w:cs="宋体"/>
          <w:color w:val="auto"/>
          <w:spacing w:val="-7"/>
          <w:sz w:val="28"/>
          <w:szCs w:val="28"/>
          <w:highlight w:val="none"/>
          <w:lang w:eastAsia="zh-CN"/>
        </w:rPr>
        <w:t>分，合计满分100</w:t>
      </w:r>
      <w:r>
        <w:rPr>
          <w:rFonts w:hint="eastAsia" w:ascii="宋体" w:hAnsi="宋体" w:eastAsia="宋体" w:cs="宋体"/>
          <w:color w:val="auto"/>
          <w:spacing w:val="-47"/>
          <w:sz w:val="28"/>
          <w:szCs w:val="28"/>
          <w:highlight w:val="none"/>
          <w:lang w:eastAsia="zh-CN"/>
        </w:rPr>
        <w:t xml:space="preserve"> </w:t>
      </w:r>
      <w:r>
        <w:rPr>
          <w:rFonts w:hint="eastAsia" w:ascii="宋体" w:hAnsi="宋体" w:eastAsia="宋体" w:cs="宋体"/>
          <w:color w:val="auto"/>
          <w:spacing w:val="-7"/>
          <w:sz w:val="28"/>
          <w:szCs w:val="28"/>
          <w:highlight w:val="none"/>
          <w:lang w:eastAsia="zh-CN"/>
        </w:rPr>
        <w:t>分。</w:t>
      </w:r>
    </w:p>
    <w:p w14:paraId="0E667131">
      <w:pPr>
        <w:pStyle w:val="13"/>
        <w:rPr>
          <w:rFonts w:hint="eastAsia"/>
          <w:color w:val="auto"/>
          <w:highlight w:val="none"/>
        </w:rPr>
      </w:pPr>
    </w:p>
    <w:p w14:paraId="5A61F157">
      <w:pPr>
        <w:pStyle w:val="5"/>
        <w:bidi w:val="0"/>
        <w:rPr>
          <w:rFonts w:hint="eastAsia" w:ascii="宋体" w:hAnsi="宋体" w:eastAsia="宋体" w:cs="宋体"/>
          <w:color w:val="auto"/>
          <w:sz w:val="28"/>
          <w:szCs w:val="28"/>
          <w:highlight w:val="none"/>
          <w:lang w:eastAsia="zh-CN"/>
        </w:rPr>
      </w:pPr>
      <w:bookmarkStart w:id="85" w:name="_Toc10264"/>
      <w:bookmarkStart w:id="86" w:name="_Toc28591"/>
      <w:r>
        <w:rPr>
          <w:rFonts w:hint="eastAsia" w:ascii="宋体" w:hAnsi="宋体" w:eastAsia="宋体" w:cs="宋体"/>
          <w:b/>
          <w:bCs/>
          <w:color w:val="auto"/>
          <w:spacing w:val="-6"/>
          <w:sz w:val="28"/>
          <w:szCs w:val="28"/>
          <w:highlight w:val="none"/>
          <w:lang w:eastAsia="zh-CN"/>
        </w:rPr>
        <w:t>报价评审</w:t>
      </w:r>
      <w:bookmarkEnd w:id="85"/>
      <w:r>
        <w:rPr>
          <w:rFonts w:hint="eastAsia" w:ascii="宋体" w:hAnsi="宋体" w:eastAsia="宋体" w:cs="宋体"/>
          <w:b/>
          <w:bCs/>
          <w:color w:val="auto"/>
          <w:spacing w:val="-6"/>
          <w:sz w:val="28"/>
          <w:szCs w:val="28"/>
          <w:highlight w:val="none"/>
          <w:lang w:eastAsia="zh-CN"/>
        </w:rPr>
        <w:t>（</w:t>
      </w:r>
      <w:r>
        <w:rPr>
          <w:rFonts w:hint="eastAsia" w:ascii="宋体" w:hAnsi="宋体" w:eastAsia="宋体" w:cs="宋体"/>
          <w:b/>
          <w:bCs/>
          <w:color w:val="auto"/>
          <w:spacing w:val="-6"/>
          <w:sz w:val="28"/>
          <w:szCs w:val="28"/>
          <w:highlight w:val="none"/>
          <w:lang w:val="en-US" w:eastAsia="zh-CN"/>
        </w:rPr>
        <w:t>3</w:t>
      </w:r>
      <w:r>
        <w:rPr>
          <w:rFonts w:hint="eastAsia" w:ascii="宋体" w:hAnsi="宋体" w:eastAsia="宋体" w:cs="宋体"/>
          <w:b/>
          <w:bCs/>
          <w:color w:val="auto"/>
          <w:spacing w:val="-6"/>
          <w:sz w:val="28"/>
          <w:szCs w:val="28"/>
          <w:highlight w:val="none"/>
          <w:lang w:eastAsia="zh-CN"/>
        </w:rPr>
        <w:t>0分）</w:t>
      </w:r>
      <w:bookmarkEnd w:id="86"/>
    </w:p>
    <w:tbl>
      <w:tblPr>
        <w:tblStyle w:val="78"/>
        <w:tblW w:w="8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136"/>
        <w:gridCol w:w="5762"/>
      </w:tblGrid>
      <w:tr w14:paraId="6154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81" w:type="dxa"/>
            <w:noWrap w:val="0"/>
            <w:vAlign w:val="center"/>
          </w:tcPr>
          <w:p w14:paraId="6B93F9A2">
            <w:pPr>
              <w:pStyle w:val="77"/>
              <w:spacing w:before="46"/>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评审因素</w:t>
            </w:r>
          </w:p>
        </w:tc>
        <w:tc>
          <w:tcPr>
            <w:tcW w:w="1136" w:type="dxa"/>
            <w:noWrap w:val="0"/>
            <w:vAlign w:val="center"/>
          </w:tcPr>
          <w:p w14:paraId="33B6BEF9">
            <w:pPr>
              <w:pStyle w:val="77"/>
              <w:spacing w:before="46"/>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分值</w:t>
            </w:r>
          </w:p>
        </w:tc>
        <w:tc>
          <w:tcPr>
            <w:tcW w:w="5762" w:type="dxa"/>
            <w:noWrap w:val="0"/>
            <w:vAlign w:val="center"/>
          </w:tcPr>
          <w:p w14:paraId="41E3D948">
            <w:pPr>
              <w:pStyle w:val="77"/>
              <w:spacing w:before="46"/>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评分标准</w:t>
            </w:r>
          </w:p>
        </w:tc>
      </w:tr>
      <w:tr w14:paraId="0A3D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0" w:hRule="atLeast"/>
        </w:trPr>
        <w:tc>
          <w:tcPr>
            <w:tcW w:w="1581" w:type="dxa"/>
            <w:noWrap w:val="0"/>
            <w:vAlign w:val="center"/>
          </w:tcPr>
          <w:p w14:paraId="612FE1E5">
            <w:pPr>
              <w:pStyle w:val="77"/>
              <w:spacing w:before="91"/>
              <w:ind w:right="276"/>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价格部分</w:t>
            </w:r>
          </w:p>
        </w:tc>
        <w:tc>
          <w:tcPr>
            <w:tcW w:w="1136" w:type="dxa"/>
            <w:noWrap w:val="0"/>
            <w:vAlign w:val="center"/>
          </w:tcPr>
          <w:p w14:paraId="7468381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5762" w:type="dxa"/>
            <w:noWrap w:val="0"/>
            <w:vAlign w:val="center"/>
          </w:tcPr>
          <w:p w14:paraId="66D1358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满足招标文件要求且投标价格最低的投标报价为评标基准价，其价格分为满分。其他投标人的价格分统一按照下列公式计算:</w:t>
            </w:r>
          </w:p>
          <w:p w14:paraId="165C4F6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761F2F5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（计算分值时，百分比按四舍五入原则，保留小数点后二位数）</w:t>
            </w:r>
          </w:p>
        </w:tc>
      </w:tr>
    </w:tbl>
    <w:p w14:paraId="54C2D904">
      <w:pPr>
        <w:rPr>
          <w:rFonts w:hint="eastAsia" w:ascii="宋体" w:hAnsi="宋体" w:eastAsia="宋体" w:cs="宋体"/>
          <w:color w:val="auto"/>
          <w:highlight w:val="none"/>
          <w:lang w:eastAsia="zh-CN"/>
        </w:rPr>
      </w:pPr>
    </w:p>
    <w:p w14:paraId="5A758E48">
      <w:pPr>
        <w:pStyle w:val="5"/>
        <w:bidi w:val="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7"/>
          <w:sz w:val="28"/>
          <w:szCs w:val="28"/>
          <w:highlight w:val="none"/>
        </w:rPr>
        <w:t>商务评审</w:t>
      </w:r>
      <w:r>
        <w:rPr>
          <w:rFonts w:hint="eastAsia" w:ascii="宋体" w:hAnsi="宋体" w:eastAsia="宋体" w:cs="宋体"/>
          <w:b/>
          <w:bCs/>
          <w:color w:val="auto"/>
          <w:spacing w:val="-7"/>
          <w:sz w:val="28"/>
          <w:szCs w:val="28"/>
          <w:highlight w:val="none"/>
          <w:lang w:eastAsia="zh-CN"/>
        </w:rPr>
        <w:t>（</w:t>
      </w:r>
      <w:r>
        <w:rPr>
          <w:rFonts w:hint="eastAsia" w:ascii="宋体" w:hAnsi="宋体" w:eastAsia="宋体" w:cs="宋体"/>
          <w:b/>
          <w:bCs/>
          <w:color w:val="auto"/>
          <w:spacing w:val="-7"/>
          <w:sz w:val="28"/>
          <w:szCs w:val="28"/>
          <w:highlight w:val="none"/>
          <w:lang w:val="en-US" w:eastAsia="zh-CN"/>
        </w:rPr>
        <w:t>35</w:t>
      </w:r>
      <w:r>
        <w:rPr>
          <w:rFonts w:hint="eastAsia" w:ascii="宋体" w:hAnsi="宋体" w:eastAsia="宋体" w:cs="宋体"/>
          <w:b/>
          <w:bCs/>
          <w:color w:val="auto"/>
          <w:spacing w:val="-7"/>
          <w:sz w:val="28"/>
          <w:szCs w:val="28"/>
          <w:highlight w:val="none"/>
          <w:lang w:eastAsia="zh-CN"/>
        </w:rPr>
        <w:t>分）</w:t>
      </w:r>
    </w:p>
    <w:tbl>
      <w:tblPr>
        <w:tblStyle w:val="3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7"/>
        <w:gridCol w:w="6571"/>
        <w:gridCol w:w="940"/>
      </w:tblGrid>
      <w:tr w14:paraId="662D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14:paraId="6C028C75">
            <w:pPr>
              <w:keepNext w:val="0"/>
              <w:keepLines w:val="0"/>
              <w:pageBreakBefore w:val="0"/>
              <w:widowControl/>
              <w:kinsoku w:val="0"/>
              <w:wordWrap/>
              <w:overflowPunct/>
              <w:topLinePunct w:val="0"/>
              <w:autoSpaceDE w:val="0"/>
              <w:autoSpaceDN w:val="0"/>
              <w:bidi w:val="0"/>
              <w:adjustRightInd w:val="0"/>
              <w:snapToGrid w:val="0"/>
              <w:spacing w:line="440" w:lineRule="exact"/>
              <w:ind w:right="-36" w:rightChars="-15"/>
              <w:jc w:val="center"/>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序号</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7A0874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评审项目</w:t>
            </w:r>
          </w:p>
        </w:tc>
        <w:tc>
          <w:tcPr>
            <w:tcW w:w="6571" w:type="dxa"/>
            <w:tcBorders>
              <w:top w:val="single" w:color="auto" w:sz="4" w:space="0"/>
              <w:left w:val="single" w:color="auto" w:sz="4" w:space="0"/>
              <w:bottom w:val="single" w:color="auto" w:sz="4" w:space="0"/>
              <w:right w:val="single" w:color="auto" w:sz="4" w:space="0"/>
            </w:tcBorders>
            <w:noWrap w:val="0"/>
            <w:vAlign w:val="center"/>
          </w:tcPr>
          <w:p w14:paraId="2772B25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评审细则</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42F0E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6F7C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14:paraId="7A077FD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1151BD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w:t>
            </w:r>
          </w:p>
        </w:tc>
        <w:tc>
          <w:tcPr>
            <w:tcW w:w="6571" w:type="dxa"/>
            <w:tcBorders>
              <w:top w:val="single" w:color="auto" w:sz="4" w:space="0"/>
              <w:left w:val="single" w:color="auto" w:sz="4" w:space="0"/>
              <w:bottom w:val="single" w:color="auto" w:sz="4" w:space="0"/>
              <w:right w:val="single" w:color="auto" w:sz="4" w:space="0"/>
            </w:tcBorders>
            <w:noWrap w:val="0"/>
            <w:vAlign w:val="center"/>
          </w:tcPr>
          <w:p w14:paraId="40B4BF3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拟</w:t>
            </w:r>
            <w:r>
              <w:rPr>
                <w:rFonts w:hint="eastAsia" w:ascii="宋体" w:hAnsi="宋体" w:eastAsia="宋体" w:cs="宋体"/>
                <w:color w:val="auto"/>
                <w:sz w:val="24"/>
                <w:szCs w:val="24"/>
                <w:highlight w:val="none"/>
                <w:lang w:eastAsia="zh-CN"/>
              </w:rPr>
              <w:t>为本项目提供服务团队配置健全（包括项目负责人、</w:t>
            </w:r>
            <w:r>
              <w:rPr>
                <w:rFonts w:hint="eastAsia" w:ascii="宋体" w:hAnsi="宋体" w:eastAsia="宋体" w:cs="宋体"/>
                <w:color w:val="auto"/>
                <w:sz w:val="24"/>
                <w:szCs w:val="24"/>
                <w:highlight w:val="none"/>
                <w:lang w:val="en-US" w:eastAsia="zh-CN"/>
              </w:rPr>
              <w:t>财务人员、</w:t>
            </w:r>
            <w:r>
              <w:rPr>
                <w:rFonts w:hint="eastAsia" w:ascii="宋体" w:hAnsi="宋体" w:eastAsia="宋体" w:cs="宋体"/>
                <w:color w:val="auto"/>
                <w:sz w:val="24"/>
                <w:szCs w:val="24"/>
                <w:highlight w:val="none"/>
                <w:lang w:eastAsia="zh-CN"/>
              </w:rPr>
              <w:t>采购人员、配送人员及其职责分工等），可服务本项目人员不少于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人，每增加1人加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人以下不得分。（须提供拟派人员身份证、有效期内健康证、在本单位</w:t>
            </w:r>
            <w:r>
              <w:rPr>
                <w:rFonts w:hint="eastAsia" w:ascii="宋体" w:hAnsi="宋体" w:eastAsia="宋体" w:cs="宋体"/>
                <w:color w:val="auto"/>
                <w:sz w:val="24"/>
                <w:szCs w:val="24"/>
                <w:highlight w:val="none"/>
                <w:lang w:val="en-US" w:eastAsia="zh-CN"/>
              </w:rPr>
              <w:t>签订的劳动合同、配送司机须提供有效的驾驶证</w:t>
            </w:r>
            <w:r>
              <w:rPr>
                <w:rFonts w:hint="eastAsia" w:ascii="宋体" w:hAnsi="宋体" w:eastAsia="宋体" w:cs="宋体"/>
                <w:color w:val="auto"/>
                <w:sz w:val="24"/>
                <w:szCs w:val="24"/>
                <w:highlight w:val="none"/>
                <w:lang w:eastAsia="zh-CN"/>
              </w:rPr>
              <w:t>；未提供证明材料或者提供的证明材料不符合要求或者提供的证明材料不清晰导致</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专家无法辨认的，不得分。）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C22E02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tc>
      </w:tr>
      <w:tr w14:paraId="5015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14:paraId="605BD40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486615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车辆配备 </w:t>
            </w:r>
          </w:p>
        </w:tc>
        <w:tc>
          <w:tcPr>
            <w:tcW w:w="6571" w:type="dxa"/>
            <w:tcBorders>
              <w:top w:val="single" w:color="auto" w:sz="4" w:space="0"/>
              <w:left w:val="single" w:color="auto" w:sz="4" w:space="0"/>
              <w:bottom w:val="single" w:color="auto" w:sz="4" w:space="0"/>
              <w:right w:val="single" w:color="auto" w:sz="4" w:space="0"/>
            </w:tcBorders>
            <w:noWrap w:val="0"/>
            <w:vAlign w:val="center"/>
          </w:tcPr>
          <w:p w14:paraId="687DCF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供应商拟</w:t>
            </w:r>
            <w:r>
              <w:rPr>
                <w:rFonts w:hint="eastAsia" w:ascii="宋体" w:hAnsi="宋体" w:eastAsia="宋体" w:cs="宋体"/>
                <w:color w:val="auto"/>
                <w:sz w:val="24"/>
                <w:szCs w:val="24"/>
                <w:highlight w:val="none"/>
                <w:lang w:eastAsia="zh-CN"/>
              </w:rPr>
              <w:t>为本项目提供配送车辆（</w:t>
            </w:r>
            <w:r>
              <w:rPr>
                <w:rFonts w:hint="eastAsia" w:ascii="宋体" w:hAnsi="宋体" w:eastAsia="宋体" w:cs="宋体"/>
                <w:color w:val="auto"/>
                <w:sz w:val="24"/>
                <w:szCs w:val="24"/>
                <w:highlight w:val="none"/>
                <w:lang w:val="en-US" w:eastAsia="zh-CN"/>
              </w:rPr>
              <w:t>须为</w:t>
            </w:r>
            <w:r>
              <w:rPr>
                <w:rFonts w:hint="eastAsia" w:ascii="宋体" w:hAnsi="宋体" w:eastAsia="宋体" w:cs="宋体"/>
                <w:color w:val="auto"/>
                <w:sz w:val="24"/>
                <w:szCs w:val="24"/>
                <w:highlight w:val="none"/>
                <w:lang w:eastAsia="zh-CN"/>
              </w:rPr>
              <w:t>满足项目配送需求的货运车辆，为公司或法人所有或租用的国家标准货运车辆），每提供1辆得2分，满分</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14:paraId="2574193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注：所有车辆均须提供正面照片，有效的机动车行驶证，租赁车辆还须提供租赁合同和与租赁合同双方信息一致的付款凭证及发票。</w:t>
            </w:r>
          </w:p>
          <w:p w14:paraId="3F1D360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未提供证明材料或者提供的证明材料不符合要求或者提供的证明材料不清晰导致评审专家无法辨认的，不得分。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099CD7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tc>
      </w:tr>
      <w:tr w14:paraId="56D5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14:paraId="34BBCE3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4608F1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eastAsia="zh-CN"/>
              </w:rPr>
              <w:t>业绩</w:t>
            </w:r>
          </w:p>
        </w:tc>
        <w:tc>
          <w:tcPr>
            <w:tcW w:w="6571" w:type="dxa"/>
            <w:tcBorders>
              <w:top w:val="single" w:color="auto" w:sz="4" w:space="0"/>
              <w:left w:val="single" w:color="auto" w:sz="4" w:space="0"/>
              <w:bottom w:val="single" w:color="auto" w:sz="4" w:space="0"/>
              <w:right w:val="single" w:color="auto" w:sz="4" w:space="0"/>
            </w:tcBorders>
            <w:noWrap w:val="0"/>
            <w:vAlign w:val="center"/>
          </w:tcPr>
          <w:p w14:paraId="184A709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根据供应商近三年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年1月1日至今）</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eastAsia="zh-CN"/>
              </w:rPr>
              <w:t>业绩情况进行评定：每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一个有效业绩加2分，满分1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分，同一项目续签合同的不可重复得分。（</w:t>
            </w:r>
            <w:r>
              <w:rPr>
                <w:rFonts w:hint="eastAsia" w:ascii="宋体" w:hAnsi="宋体" w:eastAsia="宋体" w:cs="宋体"/>
                <w:color w:val="auto"/>
                <w:sz w:val="24"/>
                <w:szCs w:val="24"/>
                <w:highlight w:val="none"/>
                <w:lang w:val="en-US" w:eastAsia="zh-CN"/>
              </w:rPr>
              <w:t>业绩证明资料须</w:t>
            </w:r>
            <w:r>
              <w:rPr>
                <w:rFonts w:hint="eastAsia" w:ascii="宋体" w:hAnsi="宋体" w:eastAsia="宋体" w:cs="宋体"/>
                <w:color w:val="auto"/>
                <w:sz w:val="24"/>
                <w:szCs w:val="24"/>
                <w:highlight w:val="none"/>
                <w:lang w:eastAsia="zh-CN"/>
              </w:rPr>
              <w:t>同时提供合同和中标通知书及发票扫描件&lt;发票应体现具体内容，如发票未体现具体内容，应附清单&gt;，上述材料缺一不可，提供不全或上述材料不清晰不完整无法辨识的本项不得分。）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647F5B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tc>
      </w:tr>
      <w:tr w14:paraId="43E6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14:paraId="5430D25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765EC6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供应产品的来源</w:t>
            </w:r>
          </w:p>
        </w:tc>
        <w:tc>
          <w:tcPr>
            <w:tcW w:w="6571" w:type="dxa"/>
            <w:tcBorders>
              <w:top w:val="single" w:color="auto" w:sz="4" w:space="0"/>
              <w:left w:val="single" w:color="auto" w:sz="4" w:space="0"/>
              <w:bottom w:val="single" w:color="auto" w:sz="4" w:space="0"/>
              <w:right w:val="single" w:color="auto" w:sz="4" w:space="0"/>
            </w:tcBorders>
            <w:noWrap w:val="0"/>
            <w:vAlign w:val="center"/>
          </w:tcPr>
          <w:p w14:paraId="2673AA7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lang w:val="en-US" w:eastAsia="zh-CN"/>
              </w:rPr>
              <w:t>须承诺中标后</w:t>
            </w:r>
            <w:r>
              <w:rPr>
                <w:rFonts w:hint="eastAsia" w:ascii="宋体" w:hAnsi="宋体" w:eastAsia="宋体" w:cs="宋体"/>
                <w:color w:val="auto"/>
                <w:kern w:val="2"/>
                <w:sz w:val="24"/>
                <w:szCs w:val="24"/>
                <w:highlight w:val="none"/>
                <w:lang w:eastAsia="zh-CN"/>
              </w:rPr>
              <w:t>与货源供应商签订有效</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eastAsia="zh-CN"/>
              </w:rPr>
              <w:t>合同，</w:t>
            </w:r>
            <w:r>
              <w:rPr>
                <w:rFonts w:hint="eastAsia" w:ascii="宋体" w:hAnsi="宋体" w:eastAsia="宋体" w:cs="宋体"/>
                <w:color w:val="auto"/>
                <w:kern w:val="2"/>
                <w:sz w:val="24"/>
                <w:szCs w:val="24"/>
                <w:highlight w:val="none"/>
                <w:lang w:val="en-US" w:eastAsia="zh-CN"/>
              </w:rPr>
              <w:t>且</w:t>
            </w:r>
            <w:r>
              <w:rPr>
                <w:rFonts w:hint="eastAsia" w:ascii="宋体" w:hAnsi="宋体" w:eastAsia="宋体" w:cs="宋体"/>
                <w:color w:val="auto"/>
                <w:kern w:val="2"/>
                <w:sz w:val="24"/>
                <w:szCs w:val="24"/>
                <w:highlight w:val="none"/>
                <w:lang w:eastAsia="zh-CN"/>
              </w:rPr>
              <w:t>货源可追溯，且包含所投标</w:t>
            </w:r>
            <w:r>
              <w:rPr>
                <w:rFonts w:hint="eastAsia" w:ascii="宋体" w:hAnsi="宋体" w:eastAsia="宋体" w:cs="宋体"/>
                <w:color w:val="auto"/>
                <w:kern w:val="2"/>
                <w:sz w:val="24"/>
                <w:szCs w:val="24"/>
                <w:highlight w:val="none"/>
                <w:lang w:val="en-US" w:eastAsia="zh-CN"/>
              </w:rPr>
              <w:t>项</w:t>
            </w:r>
            <w:r>
              <w:rPr>
                <w:rFonts w:hint="eastAsia" w:ascii="宋体" w:hAnsi="宋体" w:eastAsia="宋体" w:cs="宋体"/>
                <w:color w:val="auto"/>
                <w:kern w:val="2"/>
                <w:sz w:val="24"/>
                <w:szCs w:val="24"/>
                <w:highlight w:val="none"/>
                <w:lang w:eastAsia="zh-CN"/>
              </w:rPr>
              <w:t>的所有货物品类</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eastAsia="zh-CN"/>
              </w:rPr>
              <w:t>得</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分，提供的供应产品一半</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lang w:eastAsia="zh-CN"/>
              </w:rPr>
              <w:t>以上能够清晰的追溯来源得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分，</w:t>
            </w:r>
            <w:r>
              <w:rPr>
                <w:rFonts w:hint="eastAsia" w:ascii="宋体" w:hAnsi="宋体" w:eastAsia="宋体" w:cs="宋体"/>
                <w:color w:val="auto"/>
                <w:kern w:val="2"/>
                <w:sz w:val="24"/>
                <w:szCs w:val="24"/>
                <w:highlight w:val="none"/>
                <w:lang w:val="en-US" w:eastAsia="zh-CN"/>
              </w:rPr>
              <w:t>提供的一半以下及未提供</w:t>
            </w:r>
            <w:r>
              <w:rPr>
                <w:rFonts w:hint="eastAsia" w:ascii="宋体" w:hAnsi="宋体" w:eastAsia="宋体" w:cs="宋体"/>
                <w:color w:val="auto"/>
                <w:kern w:val="2"/>
                <w:sz w:val="24"/>
                <w:szCs w:val="24"/>
                <w:highlight w:val="none"/>
                <w:lang w:eastAsia="zh-CN"/>
              </w:rPr>
              <w:t>不得分。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42762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2EA0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14:paraId="66B28C4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F12115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食品安全检测能力   </w:t>
            </w:r>
          </w:p>
        </w:tc>
        <w:tc>
          <w:tcPr>
            <w:tcW w:w="6571" w:type="dxa"/>
            <w:tcBorders>
              <w:top w:val="single" w:color="auto" w:sz="4" w:space="0"/>
              <w:left w:val="single" w:color="auto" w:sz="4" w:space="0"/>
              <w:bottom w:val="single" w:color="auto" w:sz="4" w:space="0"/>
              <w:right w:val="single" w:color="auto" w:sz="4" w:space="0"/>
            </w:tcBorders>
            <w:noWrap w:val="0"/>
            <w:vAlign w:val="center"/>
          </w:tcPr>
          <w:p w14:paraId="06C528A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val="en-US" w:eastAsia="zh-CN"/>
              </w:rPr>
              <w:t>须承诺，中标后按采购人要求提供：</w:t>
            </w:r>
            <w:r>
              <w:rPr>
                <w:rFonts w:hint="eastAsia" w:ascii="宋体" w:hAnsi="宋体" w:eastAsia="宋体" w:cs="宋体"/>
                <w:color w:val="auto"/>
                <w:kern w:val="2"/>
                <w:sz w:val="24"/>
                <w:szCs w:val="24"/>
                <w:highlight w:val="none"/>
                <w:lang w:eastAsia="zh-CN"/>
              </w:rPr>
              <w:t>第三方食品检测机构</w:t>
            </w:r>
            <w:r>
              <w:rPr>
                <w:rFonts w:hint="eastAsia" w:ascii="宋体" w:hAnsi="宋体" w:eastAsia="宋体" w:cs="宋体"/>
                <w:color w:val="auto"/>
                <w:kern w:val="2"/>
                <w:sz w:val="24"/>
                <w:szCs w:val="24"/>
                <w:highlight w:val="none"/>
                <w:lang w:val="en-US" w:eastAsia="zh-CN"/>
              </w:rPr>
              <w:t>出具的由供应商送检的实际供货货物的食品检测报告的</w:t>
            </w:r>
            <w:r>
              <w:rPr>
                <w:rFonts w:hint="eastAsia" w:ascii="宋体" w:hAnsi="宋体" w:eastAsia="宋体" w:cs="宋体"/>
                <w:color w:val="auto"/>
                <w:kern w:val="2"/>
                <w:sz w:val="24"/>
                <w:szCs w:val="24"/>
                <w:highlight w:val="none"/>
                <w:lang w:eastAsia="zh-CN"/>
              </w:rPr>
              <w:t>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分，未提供的不得分。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F6652E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tc>
      </w:tr>
    </w:tbl>
    <w:p w14:paraId="54BC4456">
      <w:pPr>
        <w:spacing w:line="108" w:lineRule="exact"/>
        <w:rPr>
          <w:rFonts w:hint="eastAsia" w:ascii="宋体" w:hAnsi="宋体" w:eastAsia="宋体" w:cs="宋体"/>
          <w:color w:val="auto"/>
          <w:sz w:val="9"/>
          <w:highlight w:val="none"/>
        </w:rPr>
      </w:pPr>
    </w:p>
    <w:p w14:paraId="318E45E1">
      <w:pPr>
        <w:pStyle w:val="12"/>
        <w:spacing w:before="91" w:line="217" w:lineRule="auto"/>
        <w:rPr>
          <w:rFonts w:hint="eastAsia" w:ascii="宋体" w:hAnsi="宋体" w:eastAsia="宋体" w:cs="宋体"/>
          <w:b/>
          <w:bCs/>
          <w:color w:val="auto"/>
          <w:spacing w:val="-7"/>
          <w:sz w:val="28"/>
          <w:szCs w:val="28"/>
          <w:highlight w:val="none"/>
        </w:rPr>
      </w:pPr>
    </w:p>
    <w:p w14:paraId="0BEFA38F">
      <w:pPr>
        <w:pStyle w:val="5"/>
        <w:bidi w:val="0"/>
        <w:rPr>
          <w:rFonts w:hint="eastAsia" w:ascii="宋体" w:hAnsi="宋体" w:eastAsia="宋体" w:cs="宋体"/>
          <w:b/>
          <w:bCs/>
          <w:color w:val="auto"/>
          <w:spacing w:val="-7"/>
          <w:sz w:val="28"/>
          <w:szCs w:val="28"/>
          <w:highlight w:val="none"/>
        </w:rPr>
      </w:pPr>
      <w:r>
        <w:rPr>
          <w:rFonts w:hint="eastAsia" w:ascii="宋体" w:hAnsi="宋体" w:eastAsia="宋体" w:cs="宋体"/>
          <w:b/>
          <w:bCs/>
          <w:color w:val="auto"/>
          <w:spacing w:val="-7"/>
          <w:sz w:val="28"/>
          <w:szCs w:val="28"/>
          <w:highlight w:val="none"/>
        </w:rPr>
        <w:t>技术</w:t>
      </w:r>
      <w:r>
        <w:rPr>
          <w:rFonts w:hint="eastAsia" w:ascii="宋体" w:hAnsi="宋体" w:eastAsia="宋体" w:cs="宋体"/>
          <w:b/>
          <w:bCs/>
          <w:color w:val="auto"/>
          <w:spacing w:val="-7"/>
          <w:sz w:val="28"/>
          <w:szCs w:val="28"/>
          <w:highlight w:val="none"/>
          <w:lang w:eastAsia="zh-CN"/>
        </w:rPr>
        <w:t>评审（</w:t>
      </w:r>
      <w:r>
        <w:rPr>
          <w:rFonts w:hint="eastAsia" w:ascii="宋体" w:hAnsi="宋体" w:eastAsia="宋体" w:cs="宋体"/>
          <w:b/>
          <w:bCs/>
          <w:color w:val="auto"/>
          <w:spacing w:val="-7"/>
          <w:sz w:val="28"/>
          <w:szCs w:val="28"/>
          <w:highlight w:val="none"/>
          <w:lang w:val="en-US" w:eastAsia="zh-CN"/>
        </w:rPr>
        <w:t>35</w:t>
      </w:r>
      <w:r>
        <w:rPr>
          <w:rFonts w:hint="eastAsia" w:ascii="宋体" w:hAnsi="宋体" w:eastAsia="宋体" w:cs="宋体"/>
          <w:b/>
          <w:bCs/>
          <w:color w:val="auto"/>
          <w:spacing w:val="-7"/>
          <w:sz w:val="28"/>
          <w:szCs w:val="28"/>
          <w:highlight w:val="none"/>
          <w:lang w:eastAsia="zh-CN"/>
        </w:rPr>
        <w:t>分）</w:t>
      </w:r>
    </w:p>
    <w:tbl>
      <w:tblPr>
        <w:tblStyle w:val="30"/>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597"/>
        <w:gridCol w:w="1342"/>
        <w:gridCol w:w="6621"/>
        <w:gridCol w:w="732"/>
      </w:tblGrid>
      <w:tr w14:paraId="0DD2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597" w:type="dxa"/>
            <w:noWrap w:val="0"/>
            <w:vAlign w:val="center"/>
          </w:tcPr>
          <w:p w14:paraId="22F99DD1">
            <w:pPr>
              <w:keepNext w:val="0"/>
              <w:keepLines w:val="0"/>
              <w:pageBreakBefore w:val="0"/>
              <w:widowControl/>
              <w:kinsoku w:val="0"/>
              <w:wordWrap/>
              <w:overflowPunct/>
              <w:topLinePunct w:val="0"/>
              <w:autoSpaceDE/>
              <w:autoSpaceDN/>
              <w:bidi w:val="0"/>
              <w:adjustRightInd w:val="0"/>
              <w:snapToGrid w:val="0"/>
              <w:spacing w:line="440" w:lineRule="exact"/>
              <w:ind w:right="-134" w:rightChars="-56"/>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序号</w:t>
            </w:r>
          </w:p>
        </w:tc>
        <w:tc>
          <w:tcPr>
            <w:tcW w:w="1342" w:type="dxa"/>
            <w:noWrap w:val="0"/>
            <w:vAlign w:val="center"/>
          </w:tcPr>
          <w:p w14:paraId="19103754">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评审项目</w:t>
            </w:r>
          </w:p>
        </w:tc>
        <w:tc>
          <w:tcPr>
            <w:tcW w:w="6621" w:type="dxa"/>
            <w:noWrap w:val="0"/>
            <w:vAlign w:val="center"/>
          </w:tcPr>
          <w:p w14:paraId="2FB2C40A">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评审细则</w:t>
            </w:r>
          </w:p>
        </w:tc>
        <w:tc>
          <w:tcPr>
            <w:tcW w:w="732" w:type="dxa"/>
            <w:noWrap w:val="0"/>
            <w:vAlign w:val="center"/>
          </w:tcPr>
          <w:p w14:paraId="4BC8D0A2">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分值</w:t>
            </w:r>
          </w:p>
        </w:tc>
      </w:tr>
      <w:tr w14:paraId="43C5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597" w:type="dxa"/>
            <w:noWrap w:val="0"/>
            <w:vAlign w:val="center"/>
          </w:tcPr>
          <w:p w14:paraId="70FB9E7B">
            <w:pPr>
              <w:keepNext w:val="0"/>
              <w:keepLines w:val="0"/>
              <w:pageBreakBefore w:val="0"/>
              <w:widowControl/>
              <w:kinsoku w:val="0"/>
              <w:wordWrap/>
              <w:overflowPunct/>
              <w:topLinePunct w:val="0"/>
              <w:autoSpaceDE/>
              <w:autoSpaceDN/>
              <w:bidi w:val="0"/>
              <w:adjustRightInd w:val="0"/>
              <w:snapToGrid w:val="0"/>
              <w:spacing w:line="440" w:lineRule="exact"/>
              <w:ind w:left="170" w:leftChars="0"/>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1</w:t>
            </w:r>
          </w:p>
        </w:tc>
        <w:tc>
          <w:tcPr>
            <w:tcW w:w="1342" w:type="dxa"/>
            <w:noWrap w:val="0"/>
            <w:vAlign w:val="center"/>
          </w:tcPr>
          <w:p w14:paraId="455B7F6E">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实施方案</w:t>
            </w:r>
          </w:p>
        </w:tc>
        <w:tc>
          <w:tcPr>
            <w:tcW w:w="6621" w:type="dxa"/>
            <w:noWrap w:val="0"/>
            <w:vAlign w:val="center"/>
          </w:tcPr>
          <w:p w14:paraId="0F451A2E">
            <w:pPr>
              <w:keepNext w:val="0"/>
              <w:keepLines w:val="0"/>
              <w:pageBreakBefore w:val="0"/>
              <w:widowControl/>
              <w:kinsoku w:val="0"/>
              <w:wordWrap/>
              <w:overflowPunct/>
              <w:topLinePunct w:val="0"/>
              <w:autoSpaceDE/>
              <w:autoSpaceDN/>
              <w:bidi w:val="0"/>
              <w:adjustRightInd w:val="0"/>
              <w:snapToGrid w:val="0"/>
              <w:spacing w:line="440" w:lineRule="exact"/>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根据投标人提供的实施方案进行综合评审，投标人能够详细列出实施方案，包括但不限于①采购</w:t>
            </w:r>
            <w:r>
              <w:rPr>
                <w:rFonts w:hint="eastAsia" w:ascii="宋体" w:hAnsi="宋体" w:eastAsia="宋体" w:cs="宋体"/>
                <w:bCs/>
                <w:color w:val="auto"/>
                <w:kern w:val="2"/>
                <w:sz w:val="24"/>
                <w:szCs w:val="24"/>
                <w:highlight w:val="none"/>
                <w:lang w:val="en-US" w:eastAsia="zh-CN"/>
              </w:rPr>
              <w:t>及配送</w:t>
            </w:r>
            <w:r>
              <w:rPr>
                <w:rFonts w:hint="eastAsia" w:ascii="宋体" w:hAnsi="宋体" w:eastAsia="宋体" w:cs="宋体"/>
                <w:bCs/>
                <w:color w:val="auto"/>
                <w:kern w:val="2"/>
                <w:sz w:val="24"/>
                <w:szCs w:val="24"/>
                <w:highlight w:val="none"/>
                <w:lang w:eastAsia="zh-CN"/>
              </w:rPr>
              <w:t>方案、②运输周转方案、③交货验收方案、④缺陷货物退还方案、⑤</w:t>
            </w:r>
            <w:r>
              <w:rPr>
                <w:rFonts w:hint="eastAsia" w:ascii="宋体" w:hAnsi="宋体" w:eastAsia="宋体" w:cs="宋体"/>
                <w:bCs/>
                <w:color w:val="auto"/>
                <w:kern w:val="2"/>
                <w:sz w:val="24"/>
                <w:szCs w:val="24"/>
                <w:highlight w:val="none"/>
                <w:lang w:val="en-US" w:eastAsia="zh-CN"/>
              </w:rPr>
              <w:t>配送人员管理方案，</w:t>
            </w:r>
            <w:r>
              <w:rPr>
                <w:rFonts w:hint="eastAsia" w:ascii="宋体" w:hAnsi="宋体" w:eastAsia="宋体" w:cs="宋体"/>
                <w:bCs/>
                <w:color w:val="auto"/>
                <w:kern w:val="2"/>
                <w:sz w:val="24"/>
                <w:szCs w:val="24"/>
                <w:highlight w:val="none"/>
                <w:lang w:eastAsia="zh-CN"/>
              </w:rPr>
              <w:t>符合项目情况并能够保证按时足量保质供应的得满分</w:t>
            </w: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lang w:eastAsia="zh-CN"/>
              </w:rPr>
              <w:t>分，上述每项方案内容</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分，未提供或缺失对应内容不得分；每项内容出现不符合项目情况或不利于项目实施或内容表述错误或内容前后矛盾等情形，每处扣</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分，扣完为止。</w:t>
            </w:r>
          </w:p>
        </w:tc>
        <w:tc>
          <w:tcPr>
            <w:tcW w:w="732" w:type="dxa"/>
            <w:noWrap w:val="0"/>
            <w:vAlign w:val="center"/>
          </w:tcPr>
          <w:p w14:paraId="4B8D7269">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lang w:eastAsia="zh-CN"/>
              </w:rPr>
              <w:t>分</w:t>
            </w:r>
          </w:p>
        </w:tc>
      </w:tr>
      <w:tr w14:paraId="0037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597" w:type="dxa"/>
            <w:noWrap w:val="0"/>
            <w:vAlign w:val="center"/>
          </w:tcPr>
          <w:p w14:paraId="413A5196">
            <w:pPr>
              <w:keepNext w:val="0"/>
              <w:keepLines w:val="0"/>
              <w:pageBreakBefore w:val="0"/>
              <w:widowControl/>
              <w:kinsoku w:val="0"/>
              <w:wordWrap/>
              <w:overflowPunct/>
              <w:topLinePunct w:val="0"/>
              <w:autoSpaceDE/>
              <w:autoSpaceDN/>
              <w:bidi w:val="0"/>
              <w:adjustRightInd w:val="0"/>
              <w:snapToGrid w:val="0"/>
              <w:spacing w:line="440" w:lineRule="exact"/>
              <w:ind w:left="170" w:leftChars="0"/>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2</w:t>
            </w:r>
          </w:p>
        </w:tc>
        <w:tc>
          <w:tcPr>
            <w:tcW w:w="1342" w:type="dxa"/>
            <w:noWrap w:val="0"/>
            <w:vAlign w:val="center"/>
          </w:tcPr>
          <w:p w14:paraId="34761720">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特殊情况应急保障方案</w:t>
            </w:r>
          </w:p>
        </w:tc>
        <w:tc>
          <w:tcPr>
            <w:tcW w:w="6621" w:type="dxa"/>
            <w:noWrap w:val="0"/>
            <w:vAlign w:val="center"/>
          </w:tcPr>
          <w:p w14:paraId="6767D65F">
            <w:pPr>
              <w:keepNext w:val="0"/>
              <w:keepLines w:val="0"/>
              <w:pageBreakBefore w:val="0"/>
              <w:widowControl/>
              <w:kinsoku w:val="0"/>
              <w:wordWrap/>
              <w:overflowPunct/>
              <w:topLinePunct w:val="0"/>
              <w:autoSpaceDE/>
              <w:autoSpaceDN/>
              <w:bidi w:val="0"/>
              <w:adjustRightInd w:val="0"/>
              <w:snapToGrid w:val="0"/>
              <w:spacing w:line="440" w:lineRule="exact"/>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w:t>
            </w:r>
            <w:r>
              <w:rPr>
                <w:rFonts w:hint="eastAsia" w:ascii="宋体" w:hAnsi="宋体" w:eastAsia="宋体" w:cs="宋体"/>
                <w:bCs/>
                <w:color w:val="auto"/>
                <w:kern w:val="2"/>
                <w:sz w:val="24"/>
                <w:szCs w:val="24"/>
                <w:highlight w:val="none"/>
                <w:lang w:val="en-US" w:eastAsia="zh-CN"/>
              </w:rPr>
              <w:t>满分5分</w:t>
            </w:r>
            <w:r>
              <w:rPr>
                <w:rFonts w:hint="eastAsia" w:ascii="宋体" w:hAnsi="宋体" w:eastAsia="宋体" w:cs="宋体"/>
                <w:bCs/>
                <w:color w:val="auto"/>
                <w:kern w:val="2"/>
                <w:sz w:val="24"/>
                <w:szCs w:val="24"/>
                <w:highlight w:val="none"/>
                <w:lang w:eastAsia="zh-CN"/>
              </w:rPr>
              <w:t>；每项内容出现不符合项目情况或不利于项目实施或内容表述错误或内容前后矛盾等情形，每处扣0.5分，扣完为止。</w:t>
            </w:r>
          </w:p>
        </w:tc>
        <w:tc>
          <w:tcPr>
            <w:tcW w:w="732" w:type="dxa"/>
            <w:noWrap w:val="0"/>
            <w:vAlign w:val="center"/>
          </w:tcPr>
          <w:p w14:paraId="0FA27D3E">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5分</w:t>
            </w:r>
          </w:p>
        </w:tc>
      </w:tr>
      <w:tr w14:paraId="287F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597" w:type="dxa"/>
            <w:noWrap w:val="0"/>
            <w:vAlign w:val="center"/>
          </w:tcPr>
          <w:p w14:paraId="4BD678A8">
            <w:pPr>
              <w:keepNext w:val="0"/>
              <w:keepLines w:val="0"/>
              <w:pageBreakBefore w:val="0"/>
              <w:widowControl/>
              <w:kinsoku w:val="0"/>
              <w:wordWrap/>
              <w:overflowPunct/>
              <w:topLinePunct w:val="0"/>
              <w:autoSpaceDE/>
              <w:autoSpaceDN/>
              <w:bidi w:val="0"/>
              <w:adjustRightInd w:val="0"/>
              <w:snapToGrid w:val="0"/>
              <w:spacing w:line="440" w:lineRule="exact"/>
              <w:ind w:left="170" w:leftChars="0"/>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3</w:t>
            </w:r>
          </w:p>
        </w:tc>
        <w:tc>
          <w:tcPr>
            <w:tcW w:w="1342" w:type="dxa"/>
            <w:noWrap w:val="0"/>
            <w:vAlign w:val="center"/>
          </w:tcPr>
          <w:p w14:paraId="0820006C">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产品质量保障</w:t>
            </w:r>
          </w:p>
        </w:tc>
        <w:tc>
          <w:tcPr>
            <w:tcW w:w="6621" w:type="dxa"/>
            <w:noWrap w:val="0"/>
            <w:vAlign w:val="center"/>
          </w:tcPr>
          <w:p w14:paraId="151004E8">
            <w:pPr>
              <w:keepNext w:val="0"/>
              <w:keepLines w:val="0"/>
              <w:pageBreakBefore w:val="0"/>
              <w:widowControl/>
              <w:kinsoku w:val="0"/>
              <w:wordWrap/>
              <w:overflowPunct/>
              <w:topLinePunct w:val="0"/>
              <w:autoSpaceDE/>
              <w:autoSpaceDN/>
              <w:bidi w:val="0"/>
              <w:adjustRightInd w:val="0"/>
              <w:snapToGrid w:val="0"/>
              <w:spacing w:line="440" w:lineRule="exact"/>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分，未提供或缺失对应内容不得分，</w:t>
            </w:r>
            <w:r>
              <w:rPr>
                <w:rFonts w:hint="eastAsia" w:ascii="宋体" w:hAnsi="宋体" w:eastAsia="宋体" w:cs="宋体"/>
                <w:bCs/>
                <w:color w:val="auto"/>
                <w:kern w:val="2"/>
                <w:sz w:val="24"/>
                <w:szCs w:val="24"/>
                <w:highlight w:val="none"/>
                <w:lang w:val="en-US" w:eastAsia="zh-CN"/>
              </w:rPr>
              <w:t>满分10分</w:t>
            </w:r>
            <w:r>
              <w:rPr>
                <w:rFonts w:hint="eastAsia" w:ascii="宋体" w:hAnsi="宋体" w:eastAsia="宋体" w:cs="宋体"/>
                <w:bCs/>
                <w:color w:val="auto"/>
                <w:kern w:val="2"/>
                <w:sz w:val="24"/>
                <w:szCs w:val="24"/>
                <w:highlight w:val="none"/>
                <w:lang w:eastAsia="zh-CN"/>
              </w:rPr>
              <w:t>；每项内容出现不符合项目情况或不利于项目实施或内容表述错误或内容前后矛盾等情形，每处扣</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分，扣完为止。</w:t>
            </w:r>
          </w:p>
        </w:tc>
        <w:tc>
          <w:tcPr>
            <w:tcW w:w="732" w:type="dxa"/>
            <w:noWrap w:val="0"/>
            <w:vAlign w:val="center"/>
          </w:tcPr>
          <w:p w14:paraId="09F8AC4D">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lang w:eastAsia="zh-CN"/>
              </w:rPr>
              <w:t>分</w:t>
            </w:r>
          </w:p>
        </w:tc>
      </w:tr>
      <w:tr w14:paraId="5A92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597" w:type="dxa"/>
            <w:noWrap w:val="0"/>
            <w:vAlign w:val="center"/>
          </w:tcPr>
          <w:p w14:paraId="5204D103">
            <w:pPr>
              <w:keepNext w:val="0"/>
              <w:keepLines w:val="0"/>
              <w:pageBreakBefore w:val="0"/>
              <w:widowControl/>
              <w:kinsoku w:val="0"/>
              <w:wordWrap/>
              <w:overflowPunct/>
              <w:topLinePunct w:val="0"/>
              <w:autoSpaceDE/>
              <w:autoSpaceDN/>
              <w:bidi w:val="0"/>
              <w:adjustRightInd w:val="0"/>
              <w:snapToGrid w:val="0"/>
              <w:spacing w:line="440" w:lineRule="exact"/>
              <w:ind w:left="170" w:leftChars="0"/>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4</w:t>
            </w:r>
          </w:p>
        </w:tc>
        <w:tc>
          <w:tcPr>
            <w:tcW w:w="1342" w:type="dxa"/>
            <w:noWrap w:val="0"/>
            <w:vAlign w:val="center"/>
          </w:tcPr>
          <w:p w14:paraId="01BE5FFA">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食品安全保障措施</w:t>
            </w:r>
          </w:p>
        </w:tc>
        <w:tc>
          <w:tcPr>
            <w:tcW w:w="6621" w:type="dxa"/>
            <w:noWrap w:val="0"/>
            <w:vAlign w:val="center"/>
          </w:tcPr>
          <w:p w14:paraId="514376C6">
            <w:pPr>
              <w:keepNext w:val="0"/>
              <w:keepLines w:val="0"/>
              <w:pageBreakBefore w:val="0"/>
              <w:widowControl/>
              <w:kinsoku w:val="0"/>
              <w:wordWrap/>
              <w:overflowPunct/>
              <w:topLinePunct w:val="0"/>
              <w:autoSpaceDE/>
              <w:autoSpaceDN/>
              <w:bidi w:val="0"/>
              <w:adjustRightInd w:val="0"/>
              <w:snapToGrid w:val="0"/>
              <w:spacing w:line="440" w:lineRule="exact"/>
              <w:jc w:val="both"/>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投标人根据采购需求的特性提供的食品安全保障措施，包括但不限于①食品安全保障承诺、②食品安全监管措施、③配送途径的安全保障、④卫生安全管理、⑤卫生防疫等内容，上述每项内容</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分，未提供或缺失对应内容不得分；每项内容出现不符合项目情况或不利于项目实施或内容表述错误或内容前后矛盾等情形，每处扣</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分，扣完为止。</w:t>
            </w:r>
          </w:p>
        </w:tc>
        <w:tc>
          <w:tcPr>
            <w:tcW w:w="732" w:type="dxa"/>
            <w:noWrap w:val="0"/>
            <w:vAlign w:val="center"/>
          </w:tcPr>
          <w:p w14:paraId="64AD15AD">
            <w:pPr>
              <w:keepNext w:val="0"/>
              <w:keepLines w:val="0"/>
              <w:pageBreakBefore w:val="0"/>
              <w:widowControl/>
              <w:kinsoku w:val="0"/>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lang w:eastAsia="zh-CN"/>
              </w:rPr>
              <w:t>分</w:t>
            </w:r>
          </w:p>
        </w:tc>
      </w:tr>
    </w:tbl>
    <w:p w14:paraId="401C15FE">
      <w:pPr>
        <w:spacing w:before="36"/>
        <w:rPr>
          <w:rFonts w:hint="eastAsia" w:ascii="宋体" w:hAnsi="宋体" w:eastAsia="宋体" w:cs="宋体"/>
          <w:color w:val="auto"/>
          <w:highlight w:val="none"/>
        </w:rPr>
      </w:pPr>
    </w:p>
    <w:p w14:paraId="37DEB4E5">
      <w:pPr>
        <w:numPr>
          <w:ilvl w:val="0"/>
          <w:numId w:val="0"/>
        </w:numPr>
        <w:rPr>
          <w:rFonts w:hint="eastAsia"/>
          <w:color w:val="auto"/>
          <w:highlight w:val="none"/>
        </w:rPr>
      </w:pPr>
    </w:p>
    <w:p w14:paraId="17FD2AC8">
      <w:pPr>
        <w:numPr>
          <w:ilvl w:val="0"/>
          <w:numId w:val="0"/>
        </w:numPr>
        <w:rPr>
          <w:rFonts w:hint="eastAsia"/>
          <w:color w:val="auto"/>
          <w:highlight w:val="none"/>
        </w:rPr>
      </w:pPr>
    </w:p>
    <w:p w14:paraId="345AA1BB">
      <w:pPr>
        <w:numPr>
          <w:ilvl w:val="0"/>
          <w:numId w:val="0"/>
        </w:numPr>
        <w:rPr>
          <w:rFonts w:hint="eastAsia"/>
          <w:color w:val="auto"/>
          <w:highlight w:val="none"/>
        </w:rPr>
      </w:pPr>
    </w:p>
    <w:p w14:paraId="5460D1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bookmarkStart w:id="87" w:name="EBa48645eff2ee4582a36f886367fb689c"/>
      <w:bookmarkEnd w:id="87"/>
      <w:r>
        <w:rPr>
          <w:rFonts w:hint="eastAsia" w:ascii="宋体" w:hAnsi="宋体" w:eastAsia="宋体" w:cs="宋体"/>
          <w:b/>
          <w:bCs/>
          <w:color w:val="auto"/>
          <w:sz w:val="24"/>
          <w:szCs w:val="24"/>
          <w:highlight w:val="none"/>
          <w:lang w:val="en-US" w:eastAsia="zh-CN"/>
        </w:rPr>
        <w:t>说明：</w:t>
      </w:r>
    </w:p>
    <w:p w14:paraId="7DF45A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19842E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0C13FB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pacing w:val="0"/>
          <w:kern w:val="2"/>
          <w:sz w:val="24"/>
          <w:szCs w:val="24"/>
          <w:highlight w:val="none"/>
          <w:lang w:bidi="ar"/>
        </w:rPr>
      </w:pPr>
      <w:r>
        <w:rPr>
          <w:rFonts w:hint="eastAsia" w:ascii="宋体" w:hAnsi="宋体" w:eastAsia="宋体" w:cs="宋体"/>
          <w:b/>
          <w:bCs/>
          <w:color w:val="auto"/>
          <w:sz w:val="24"/>
          <w:szCs w:val="24"/>
          <w:highlight w:val="none"/>
        </w:rPr>
        <w:t>3、在任何评标环节中，需评标委员会就某项评审结论做出表决的，由评标委员会全体成员按照少数服从多数的原则，以记名投票方式表决。</w:t>
      </w:r>
    </w:p>
    <w:p w14:paraId="55814482">
      <w:pPr>
        <w:pStyle w:val="44"/>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val="en-US" w:eastAsia="zh-CN" w:bidi="ar"/>
        </w:rPr>
        <w:t>4、</w:t>
      </w:r>
      <w:r>
        <w:rPr>
          <w:rFonts w:hint="eastAsia" w:ascii="宋体" w:hAnsi="宋体" w:eastAsia="宋体" w:cs="宋体"/>
          <w:bCs w:val="0"/>
          <w:color w:val="auto"/>
          <w:spacing w:val="0"/>
          <w:kern w:val="2"/>
          <w:sz w:val="24"/>
          <w:szCs w:val="24"/>
          <w:highlight w:val="none"/>
          <w:lang w:bidi="ar"/>
        </w:rPr>
        <w:t>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19D974AC">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5、最低报价不作为评标的唯一依据。采购人不承诺将合同授予报价最低的投标供应商。</w:t>
      </w:r>
    </w:p>
    <w:p w14:paraId="199EDD5B">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6、经评标委员会评议，认为投标报价过高、均超出采购人预算或最高限价的项目，可以不确立中标人，重新组织招标。</w:t>
      </w:r>
    </w:p>
    <w:p w14:paraId="65B4893D">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7、投标文件的澄清</w:t>
      </w:r>
    </w:p>
    <w:p w14:paraId="5237BD1C">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7.1评标委员会在评标过程中有权随时请投标供应商就投标文件中含混之处加以澄清或答疑。</w:t>
      </w:r>
    </w:p>
    <w:p w14:paraId="0121DF8F">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7.2投标供应商对要求澄清的问题应以书面形式明确答复，并应有法人授权代表的签署。</w:t>
      </w:r>
    </w:p>
    <w:p w14:paraId="41C49AD4">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7.3投标供应商的澄清文件是投标文件的组成部分，并取代投标文件中被澄清的部分。</w:t>
      </w:r>
    </w:p>
    <w:p w14:paraId="5363D8BE">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7.4投标文件的澄清不得改变投标的实质内容。</w:t>
      </w:r>
    </w:p>
    <w:p w14:paraId="53B9E2F1">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8、在价格评审中，评标委员会认为投标供应商的报价明显低于其他通过符合性审查投标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C2ACB1E">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低于成本价不正当竞争预防措施（实质性要求）：</w:t>
      </w:r>
    </w:p>
    <w:p w14:paraId="6D5E0FD8">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1）在评审过程中，评标委员会认为，投标供应商投标价低于成本价有可能影响产品质量，或者不能诚信履约的，评标委员会应当要求其在开标现场合理的时间内提供书面说明，并提交相关证明材料，不能证明其报价合理性的，评标委员会应当将其作为无效处理。</w:t>
      </w:r>
    </w:p>
    <w:p w14:paraId="0CC9D8D0">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投标供应商的书面说明材料应当按照国家财务会计制度的规定要求。逐项就供应商提供的货物、工程和服务的主营业务成本、税金及附加、销售费用、管理费用、财务费用等成本构成事项详细陈述。</w:t>
      </w:r>
    </w:p>
    <w:p w14:paraId="2E8EB83F">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（2）投标供应商书面说明应当签字确认或者加盖公章，否则无效。书面说明的签字确认，由其法定代表人、主要负责人、本人或其授权代表签字确认。</w:t>
      </w:r>
    </w:p>
    <w:p w14:paraId="00B88B93">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3）投标供应商提供书面说明后，评标委员会应当结合采购项目采购需求、专业实际情况、投标供应商财务状况报告、与其他投标供应商比较情况等就供应商书面说明进行审查评价。投标供应商拒绝或者变相拒绝提供有效书面说明或者书面说明不能证明其报价合理性的或未在规定时间内递交有效书面说明书的，评标委员会应当将其响应文件作为无效处理。</w:t>
      </w:r>
    </w:p>
    <w:p w14:paraId="3F920D9A">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9、中标人的确定</w:t>
      </w:r>
    </w:p>
    <w:p w14:paraId="3B6E1A00">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9.1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14:paraId="7D675B3B">
      <w:pPr>
        <w:pStyle w:val="44"/>
        <w:spacing w:line="440" w:lineRule="exact"/>
        <w:ind w:firstLine="480" w:firstLineChars="200"/>
        <w:rPr>
          <w:rFonts w:hint="eastAsia" w:ascii="宋体" w:hAnsi="宋体" w:cs="宋体"/>
          <w:bCs w:val="0"/>
          <w:color w:val="auto"/>
          <w:spacing w:val="0"/>
          <w:kern w:val="2"/>
          <w:sz w:val="24"/>
          <w:szCs w:val="24"/>
          <w:highlight w:val="none"/>
          <w:lang w:val="en-US" w:eastAsia="zh-CN" w:bidi="ar"/>
        </w:rPr>
      </w:pPr>
      <w:r>
        <w:rPr>
          <w:rFonts w:hint="eastAsia" w:ascii="宋体" w:hAnsi="宋体" w:cs="宋体"/>
          <w:bCs w:val="0"/>
          <w:color w:val="auto"/>
          <w:spacing w:val="0"/>
          <w:kern w:val="2"/>
          <w:sz w:val="24"/>
          <w:szCs w:val="24"/>
          <w:highlight w:val="none"/>
          <w:lang w:val="en-US" w:eastAsia="zh-CN" w:bidi="ar"/>
        </w:rPr>
        <w:t>9.2中标供应商拒绝与采购人签订合同的，采购人可以按照评审报告推荐的中标人名单排序，确定下一候选人为中标人，也可以重新开展政府采购活动。</w:t>
      </w:r>
    </w:p>
    <w:p w14:paraId="1374C4FE">
      <w:pPr>
        <w:rPr>
          <w:rFonts w:hint="default" w:ascii="宋体" w:hAnsi="宋体" w:cs="宋体"/>
          <w:bCs w:val="0"/>
          <w:color w:val="auto"/>
          <w:spacing w:val="0"/>
          <w:kern w:val="2"/>
          <w:sz w:val="24"/>
          <w:szCs w:val="24"/>
          <w:highlight w:val="none"/>
          <w:lang w:val="en-US" w:eastAsia="zh-CN" w:bidi="ar"/>
        </w:rPr>
      </w:pPr>
      <w:r>
        <w:rPr>
          <w:rFonts w:hint="default" w:ascii="宋体" w:hAnsi="宋体" w:cs="宋体"/>
          <w:bCs w:val="0"/>
          <w:color w:val="auto"/>
          <w:spacing w:val="0"/>
          <w:kern w:val="2"/>
          <w:sz w:val="24"/>
          <w:szCs w:val="24"/>
          <w:highlight w:val="none"/>
          <w:lang w:val="en-US" w:eastAsia="zh-CN" w:bidi="ar"/>
        </w:rPr>
        <w:br w:type="page"/>
      </w:r>
    </w:p>
    <w:p w14:paraId="3F71770D">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第七章 投标文件格式</w:t>
      </w:r>
      <w:bookmarkEnd w:id="83"/>
      <w:bookmarkEnd w:id="84"/>
    </w:p>
    <w:p w14:paraId="41095908">
      <w:pPr>
        <w:pStyle w:val="44"/>
        <w:spacing w:before="0" w:after="0" w:line="440" w:lineRule="exact"/>
        <w:jc w:val="both"/>
        <w:rPr>
          <w:rFonts w:hint="eastAsia" w:ascii="宋体" w:hAnsi="宋体" w:eastAsia="宋体" w:cs="宋体"/>
          <w:b/>
          <w:color w:val="auto"/>
          <w:sz w:val="24"/>
          <w:szCs w:val="24"/>
          <w:highlight w:val="none"/>
        </w:rPr>
      </w:pPr>
      <w:bookmarkStart w:id="88" w:name="_Toc507399517"/>
    </w:p>
    <w:p w14:paraId="0988C866">
      <w:pPr>
        <w:pStyle w:val="12"/>
        <w:spacing w:line="440" w:lineRule="exact"/>
        <w:ind w:firstLine="452" w:firstLineChars="200"/>
        <w:rPr>
          <w:rFonts w:hint="eastAsia" w:ascii="宋体" w:hAnsi="宋体" w:eastAsia="宋体" w:cs="宋体"/>
          <w:color w:val="auto"/>
          <w:highlight w:val="none"/>
        </w:rPr>
      </w:pPr>
      <w:r>
        <w:rPr>
          <w:rFonts w:hint="eastAsia" w:ascii="宋体" w:hAnsi="宋体" w:eastAsia="宋体" w:cs="宋体"/>
          <w:color w:val="auto"/>
          <w:spacing w:val="-7"/>
          <w:highlight w:val="none"/>
        </w:rPr>
        <w:t>为保证</w:t>
      </w:r>
      <w:r>
        <w:rPr>
          <w:rFonts w:hint="eastAsia" w:ascii="宋体" w:hAnsi="宋体" w:eastAsia="宋体" w:cs="宋体"/>
          <w:color w:val="auto"/>
          <w:spacing w:val="-7"/>
          <w:highlight w:val="none"/>
          <w:lang w:val="en-US"/>
        </w:rPr>
        <w:t>评标</w:t>
      </w:r>
      <w:r>
        <w:rPr>
          <w:rFonts w:hint="eastAsia" w:ascii="宋体" w:hAnsi="宋体" w:eastAsia="宋体" w:cs="宋体"/>
          <w:color w:val="auto"/>
          <w:spacing w:val="-7"/>
          <w:highlight w:val="none"/>
        </w:rPr>
        <w:t>工作的顺利进行，各</w:t>
      </w:r>
      <w:r>
        <w:rPr>
          <w:rFonts w:hint="eastAsia" w:ascii="宋体" w:hAnsi="宋体" w:eastAsia="宋体" w:cs="宋体"/>
          <w:color w:val="auto"/>
          <w:spacing w:val="-7"/>
          <w:highlight w:val="none"/>
          <w:lang w:val="en-US"/>
        </w:rPr>
        <w:t>投标人</w:t>
      </w:r>
      <w:r>
        <w:rPr>
          <w:rFonts w:hint="eastAsia" w:ascii="宋体" w:hAnsi="宋体" w:eastAsia="宋体" w:cs="宋体"/>
          <w:color w:val="auto"/>
          <w:spacing w:val="-7"/>
          <w:highlight w:val="none"/>
        </w:rPr>
        <w:t>需参照如下的格式，认真进行</w:t>
      </w:r>
      <w:r>
        <w:rPr>
          <w:rFonts w:hint="eastAsia" w:ascii="宋体" w:hAnsi="宋体" w:eastAsia="宋体" w:cs="宋体"/>
          <w:color w:val="auto"/>
          <w:spacing w:val="-7"/>
          <w:highlight w:val="none"/>
          <w:lang w:val="en-US"/>
        </w:rPr>
        <w:t>投标</w:t>
      </w:r>
      <w:r>
        <w:rPr>
          <w:rFonts w:hint="eastAsia" w:ascii="宋体" w:hAnsi="宋体" w:eastAsia="宋体" w:cs="宋体"/>
          <w:color w:val="auto"/>
          <w:spacing w:val="-7"/>
          <w:highlight w:val="none"/>
        </w:rPr>
        <w:t>文件的编</w:t>
      </w:r>
      <w:r>
        <w:rPr>
          <w:rFonts w:hint="eastAsia" w:ascii="宋体" w:hAnsi="宋体" w:eastAsia="宋体" w:cs="宋体"/>
          <w:color w:val="auto"/>
          <w:spacing w:val="-6"/>
          <w:highlight w:val="none"/>
        </w:rPr>
        <w:t>写工作。</w:t>
      </w:r>
      <w:r>
        <w:rPr>
          <w:rFonts w:hint="eastAsia" w:ascii="宋体" w:hAnsi="宋体" w:eastAsia="宋体" w:cs="宋体"/>
          <w:color w:val="auto"/>
          <w:highlight w:val="none"/>
          <w:u w:val="single"/>
        </w:rPr>
        <w:t>需建立详细的目录。</w:t>
      </w:r>
    </w:p>
    <w:p w14:paraId="4F31F07E">
      <w:pPr>
        <w:pStyle w:val="12"/>
        <w:spacing w:line="440" w:lineRule="exact"/>
        <w:ind w:firstLine="456" w:firstLineChars="200"/>
        <w:rPr>
          <w:rFonts w:hint="eastAsia" w:ascii="宋体" w:hAnsi="宋体" w:eastAsia="宋体" w:cs="宋体"/>
          <w:color w:val="auto"/>
          <w:highlight w:val="none"/>
        </w:rPr>
      </w:pPr>
      <w:r>
        <w:rPr>
          <w:rFonts w:hint="eastAsia" w:ascii="宋体" w:hAnsi="宋体" w:eastAsia="宋体" w:cs="宋体"/>
          <w:color w:val="auto"/>
          <w:spacing w:val="-6"/>
          <w:highlight w:val="none"/>
        </w:rPr>
        <w:t>各</w:t>
      </w:r>
      <w:r>
        <w:rPr>
          <w:rFonts w:hint="eastAsia" w:ascii="宋体" w:hAnsi="宋体" w:eastAsia="宋体" w:cs="宋体"/>
          <w:color w:val="auto"/>
          <w:spacing w:val="-6"/>
          <w:highlight w:val="none"/>
          <w:lang w:val="en-US"/>
        </w:rPr>
        <w:t>投标人</w:t>
      </w:r>
      <w:r>
        <w:rPr>
          <w:rFonts w:hint="eastAsia" w:ascii="宋体" w:hAnsi="宋体" w:eastAsia="宋体" w:cs="宋体"/>
          <w:color w:val="auto"/>
          <w:spacing w:val="-6"/>
          <w:highlight w:val="none"/>
        </w:rPr>
        <w:t>提交文件中涉及商业机密的，应明确标明，采购人及最终用户将给予保密</w:t>
      </w:r>
      <w:r>
        <w:rPr>
          <w:rFonts w:hint="eastAsia" w:ascii="宋体" w:hAnsi="宋体" w:eastAsia="宋体" w:cs="宋体"/>
          <w:color w:val="auto"/>
          <w:highlight w:val="none"/>
        </w:rPr>
        <w:t>处理，否则视为公开资料。</w:t>
      </w:r>
    </w:p>
    <w:p w14:paraId="0DEAF592">
      <w:pPr>
        <w:pStyle w:val="44"/>
        <w:spacing w:before="0" w:after="0" w:line="440" w:lineRule="exact"/>
        <w:ind w:firstLine="522" w:firstLineChars="200"/>
        <w:jc w:val="center"/>
        <w:rPr>
          <w:rFonts w:hint="eastAsia" w:ascii="宋体" w:hAnsi="宋体" w:eastAsia="宋体" w:cs="宋体"/>
          <w:b/>
          <w:color w:val="auto"/>
          <w:sz w:val="24"/>
          <w:szCs w:val="24"/>
          <w:highlight w:val="none"/>
        </w:rPr>
        <w:sectPr>
          <w:headerReference r:id="rId7" w:type="default"/>
          <w:footerReference r:id="rId8" w:type="default"/>
          <w:pgSz w:w="11910" w:h="16850"/>
          <w:pgMar w:top="1417" w:right="1417" w:bottom="1417" w:left="1417" w:header="720" w:footer="720" w:gutter="0"/>
          <w:pgBorders>
            <w:top w:val="none" w:sz="0" w:space="0"/>
            <w:left w:val="none" w:sz="0" w:space="0"/>
            <w:bottom w:val="none" w:sz="0" w:space="0"/>
            <w:right w:val="none" w:sz="0" w:space="0"/>
          </w:pgBorders>
          <w:pgNumType w:fmt="decimal"/>
          <w:cols w:space="720" w:num="1"/>
        </w:sectPr>
      </w:pPr>
    </w:p>
    <w:p w14:paraId="1ADA178B">
      <w:pPr>
        <w:bidi w:val="0"/>
        <w:rPr>
          <w:rFonts w:hint="eastAsia" w:ascii="宋体" w:hAnsi="宋体" w:eastAsia="宋体" w:cs="宋体"/>
          <w:b/>
          <w:color w:val="auto"/>
          <w:kern w:val="0"/>
          <w:sz w:val="32"/>
          <w:szCs w:val="32"/>
          <w:highlight w:val="none"/>
          <w:u w:val="none"/>
          <w:lang w:val="en-US" w:eastAsia="zh-CN" w:bidi="ar-SA"/>
        </w:rPr>
      </w:pPr>
      <w:r>
        <w:rPr>
          <w:rFonts w:hint="eastAsia" w:ascii="宋体" w:hAnsi="宋体" w:eastAsia="宋体" w:cs="宋体"/>
          <w:b/>
          <w:color w:val="auto"/>
          <w:kern w:val="0"/>
          <w:sz w:val="32"/>
          <w:szCs w:val="32"/>
          <w:highlight w:val="none"/>
          <w:u w:val="none"/>
          <w:lang w:val="en-US" w:eastAsia="zh-CN" w:bidi="ar-SA"/>
        </w:rPr>
        <w:t>封面格式</w:t>
      </w:r>
    </w:p>
    <w:p w14:paraId="0073A2E2">
      <w:pPr>
        <w:pStyle w:val="12"/>
        <w:rPr>
          <w:rFonts w:hint="eastAsia" w:ascii="宋体" w:hAnsi="宋体" w:eastAsia="宋体" w:cs="宋体"/>
          <w:color w:val="auto"/>
          <w:sz w:val="20"/>
          <w:highlight w:val="none"/>
        </w:rPr>
      </w:pPr>
    </w:p>
    <w:p w14:paraId="1A5F9643">
      <w:pPr>
        <w:pStyle w:val="12"/>
        <w:rPr>
          <w:rFonts w:hint="eastAsia" w:ascii="宋体" w:hAnsi="宋体" w:eastAsia="宋体" w:cs="宋体"/>
          <w:color w:val="auto"/>
          <w:sz w:val="20"/>
          <w:highlight w:val="none"/>
        </w:rPr>
      </w:pPr>
    </w:p>
    <w:p w14:paraId="753E20A3">
      <w:pPr>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14:paraId="08360974">
      <w:pPr>
        <w:pStyle w:val="12"/>
        <w:rPr>
          <w:rFonts w:hint="eastAsia" w:ascii="宋体" w:hAnsi="宋体" w:eastAsia="宋体" w:cs="宋体"/>
          <w:color w:val="auto"/>
          <w:sz w:val="20"/>
          <w:highlight w:val="none"/>
        </w:rPr>
      </w:pPr>
    </w:p>
    <w:p w14:paraId="6F740E0C">
      <w:pPr>
        <w:pStyle w:val="12"/>
        <w:spacing w:before="2"/>
        <w:rPr>
          <w:rFonts w:hint="eastAsia" w:ascii="宋体" w:hAnsi="宋体" w:eastAsia="宋体" w:cs="宋体"/>
          <w:color w:val="auto"/>
          <w:sz w:val="16"/>
          <w:highlight w:val="none"/>
        </w:rPr>
      </w:pPr>
    </w:p>
    <w:p w14:paraId="75CBAE1B">
      <w:pPr>
        <w:bidi w:val="0"/>
        <w:jc w:val="center"/>
        <w:rPr>
          <w:rFonts w:hint="eastAsia" w:ascii="宋体" w:hAnsi="宋体" w:eastAsia="宋体" w:cs="宋体"/>
          <w:b/>
          <w:bCs/>
          <w:color w:val="auto"/>
          <w:sz w:val="72"/>
          <w:szCs w:val="72"/>
          <w:highlight w:val="none"/>
        </w:rPr>
      </w:pPr>
      <w:bookmarkStart w:id="89" w:name="_Toc13737"/>
      <w:bookmarkStart w:id="90" w:name="_Toc27918"/>
      <w:bookmarkStart w:id="91" w:name="_Toc16392"/>
      <w:bookmarkStart w:id="92" w:name="_Toc21522"/>
    </w:p>
    <w:p w14:paraId="6C84C05A">
      <w:pPr>
        <w:bidi w:val="0"/>
        <w:jc w:val="center"/>
        <w:rPr>
          <w:rFonts w:hint="eastAsia" w:ascii="宋体" w:hAnsi="宋体" w:eastAsia="宋体" w:cs="宋体"/>
          <w:b/>
          <w:bCs/>
          <w:color w:val="auto"/>
          <w:sz w:val="72"/>
          <w:szCs w:val="72"/>
          <w:highlight w:val="none"/>
        </w:rPr>
      </w:pPr>
    </w:p>
    <w:p w14:paraId="4B089354">
      <w:pPr>
        <w:bidi w:val="0"/>
        <w:jc w:val="center"/>
        <w:rPr>
          <w:rFonts w:hint="eastAsia" w:ascii="宋体" w:hAnsi="宋体" w:eastAsia="宋体" w:cs="宋体"/>
          <w:b/>
          <w:bCs/>
          <w:color w:val="auto"/>
          <w:sz w:val="72"/>
          <w:szCs w:val="72"/>
          <w:highlight w:val="none"/>
        </w:rPr>
      </w:pPr>
    </w:p>
    <w:p w14:paraId="5A668F95">
      <w:pPr>
        <w:bidi w:val="0"/>
        <w:jc w:val="center"/>
        <w:rPr>
          <w:rFonts w:hint="eastAsia" w:ascii="宋体" w:hAnsi="宋体" w:eastAsia="宋体" w:cs="宋体"/>
          <w:b/>
          <w:bCs/>
          <w:color w:val="auto"/>
          <w:sz w:val="72"/>
          <w:szCs w:val="72"/>
          <w:highlight w:val="none"/>
        </w:rPr>
      </w:pPr>
    </w:p>
    <w:p w14:paraId="3DA574A9">
      <w:pPr>
        <w:bidi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投标文件</w:t>
      </w:r>
      <w:bookmarkEnd w:id="89"/>
      <w:bookmarkEnd w:id="90"/>
      <w:bookmarkEnd w:id="91"/>
      <w:bookmarkEnd w:id="92"/>
    </w:p>
    <w:p w14:paraId="149B8F4D">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lang w:val="en-US" w:eastAsia="zh-CN"/>
        </w:rPr>
      </w:pPr>
    </w:p>
    <w:p w14:paraId="51564E2E">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lang w:val="en-US" w:eastAsia="zh-CN"/>
        </w:rPr>
      </w:pPr>
    </w:p>
    <w:p w14:paraId="4C04459C">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lang w:val="en-US" w:eastAsia="zh-CN"/>
        </w:rPr>
      </w:pPr>
    </w:p>
    <w:p w14:paraId="7362D508">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lang w:val="en-US" w:eastAsia="zh-CN"/>
        </w:rPr>
      </w:pPr>
    </w:p>
    <w:p w14:paraId="360F4B92">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项目</w:t>
      </w:r>
      <w:r>
        <w:rPr>
          <w:rFonts w:hint="eastAsia" w:ascii="宋体" w:hAnsi="宋体" w:eastAsia="宋体" w:cs="宋体"/>
          <w:b/>
          <w:bCs/>
          <w:color w:val="auto"/>
          <w:sz w:val="28"/>
          <w:szCs w:val="28"/>
          <w:highlight w:val="none"/>
        </w:rPr>
        <w:t>编号：</w:t>
      </w:r>
    </w:p>
    <w:p w14:paraId="2D2E5D3D">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p w14:paraId="3BFE2C6A">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标项</w:t>
      </w:r>
      <w:r>
        <w:rPr>
          <w:rFonts w:hint="eastAsia" w:ascii="宋体" w:hAnsi="宋体" w:eastAsia="宋体" w:cs="宋体"/>
          <w:b/>
          <w:bCs/>
          <w:color w:val="auto"/>
          <w:sz w:val="28"/>
          <w:szCs w:val="28"/>
          <w:highlight w:val="none"/>
        </w:rPr>
        <w:t>号：</w:t>
      </w:r>
    </w:p>
    <w:p w14:paraId="3BC66D90">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名称（盖公章）：</w:t>
      </w:r>
    </w:p>
    <w:p w14:paraId="0DB98F11">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rPr>
        <w:t>法定代表人或其授权代表（签字或</w:t>
      </w:r>
      <w:r>
        <w:rPr>
          <w:rFonts w:hint="eastAsia" w:ascii="宋体" w:hAnsi="宋体" w:eastAsia="宋体" w:cs="宋体"/>
          <w:b/>
          <w:bCs/>
          <w:color w:val="auto"/>
          <w:sz w:val="28"/>
          <w:szCs w:val="28"/>
          <w:highlight w:val="none"/>
          <w:lang w:val="en-US"/>
        </w:rPr>
        <w:t>盖</w:t>
      </w:r>
      <w:r>
        <w:rPr>
          <w:rFonts w:hint="eastAsia" w:ascii="宋体" w:hAnsi="宋体" w:eastAsia="宋体" w:cs="宋体"/>
          <w:b/>
          <w:bCs/>
          <w:color w:val="auto"/>
          <w:sz w:val="28"/>
          <w:szCs w:val="28"/>
          <w:highlight w:val="none"/>
        </w:rPr>
        <w:t>章）：</w:t>
      </w:r>
    </w:p>
    <w:p w14:paraId="4F282997">
      <w:pPr>
        <w:bidi w:val="0"/>
        <w:spacing w:line="360" w:lineRule="auto"/>
        <w:jc w:val="center"/>
        <w:rPr>
          <w:rFonts w:hint="eastAsia" w:ascii="宋体" w:hAnsi="宋体" w:eastAsia="宋体" w:cs="宋体"/>
          <w:b/>
          <w:bCs/>
          <w:color w:val="auto"/>
          <w:sz w:val="28"/>
          <w:szCs w:val="28"/>
          <w:highlight w:val="none"/>
        </w:rPr>
      </w:pPr>
      <w:bookmarkStart w:id="93" w:name="_Toc31285"/>
      <w:bookmarkStart w:id="94" w:name="_Toc20449"/>
    </w:p>
    <w:p w14:paraId="17235BD3">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8"/>
          <w:szCs w:val="28"/>
          <w:highlight w:val="none"/>
        </w:rPr>
        <w:t>年   月</w:t>
      </w:r>
      <w:bookmarkEnd w:id="93"/>
      <w:bookmarkEnd w:id="94"/>
      <w:r>
        <w:rPr>
          <w:rFonts w:hint="eastAsia" w:ascii="宋体" w:hAnsi="宋体" w:eastAsia="宋体" w:cs="宋体"/>
          <w:b/>
          <w:bCs/>
          <w:color w:val="auto"/>
          <w:sz w:val="28"/>
          <w:szCs w:val="28"/>
          <w:highlight w:val="none"/>
          <w:lang w:val="en-US" w:eastAsia="zh-CN"/>
        </w:rPr>
        <w:t xml:space="preserve">   日</w:t>
      </w:r>
      <w:r>
        <w:rPr>
          <w:rFonts w:hint="eastAsia" w:ascii="宋体" w:hAnsi="宋体" w:eastAsia="宋体" w:cs="宋体"/>
          <w:color w:val="auto"/>
          <w:highlight w:val="none"/>
          <w:lang w:val="en-US" w:eastAsia="zh-CN"/>
        </w:rPr>
        <w:br w:type="page"/>
      </w:r>
    </w:p>
    <w:p w14:paraId="6F4757E6">
      <w:pPr>
        <w:pStyle w:val="4"/>
        <w:bidi w:val="0"/>
        <w:rPr>
          <w:rFonts w:hint="eastAsia" w:ascii="宋体" w:hAnsi="宋体" w:eastAsia="宋体" w:cs="宋体"/>
          <w:color w:val="auto"/>
          <w:highlight w:val="none"/>
        </w:rPr>
      </w:pPr>
      <w:bookmarkStart w:id="95" w:name="_Toc5065"/>
      <w:bookmarkStart w:id="96" w:name="_Toc18989"/>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开标一览表</w:t>
      </w:r>
      <w:bookmarkEnd w:id="88"/>
      <w:bookmarkEnd w:id="95"/>
      <w:bookmarkEnd w:id="96"/>
    </w:p>
    <w:p w14:paraId="3AEB8698">
      <w:pPr>
        <w:tabs>
          <w:tab w:val="left" w:pos="2986"/>
          <w:tab w:val="left" w:pos="5974"/>
        </w:tabs>
        <w:spacing w:after="18"/>
        <w:ind w:left="360"/>
        <w:jc w:val="left"/>
        <w:rPr>
          <w:rFonts w:hint="eastAsia" w:ascii="宋体" w:hAnsi="宋体" w:eastAsia="宋体" w:cs="宋体"/>
          <w:color w:val="auto"/>
          <w:spacing w:val="10"/>
          <w:kern w:val="0"/>
          <w:sz w:val="24"/>
          <w:highlight w:val="none"/>
        </w:rPr>
      </w:pPr>
    </w:p>
    <w:p w14:paraId="3FACF275">
      <w:pPr>
        <w:pStyle w:val="44"/>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项目名称：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项目编号：                 </w:t>
      </w:r>
    </w:p>
    <w:p w14:paraId="5A1255B6">
      <w:pPr>
        <w:pStyle w:val="44"/>
        <w:spacing w:line="36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标项号：</w:t>
      </w:r>
    </w:p>
    <w:tbl>
      <w:tblPr>
        <w:tblStyle w:val="3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097"/>
        <w:gridCol w:w="5991"/>
      </w:tblGrid>
      <w:tr w14:paraId="04AC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97" w:type="dxa"/>
            <w:vAlign w:val="center"/>
          </w:tcPr>
          <w:p w14:paraId="3D8BFB76">
            <w:pPr>
              <w:pStyle w:val="64"/>
              <w:ind w:left="-207" w:leftChars="-342" w:right="-850" w:rightChars="-354" w:hanging="614" w:hangingChars="256"/>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088" w:type="dxa"/>
            <w:gridSpan w:val="2"/>
            <w:vAlign w:val="center"/>
          </w:tcPr>
          <w:p w14:paraId="098A54C2">
            <w:pPr>
              <w:pStyle w:val="64"/>
              <w:ind w:left="-3" w:right="-25" w:firstLine="120"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内 容</w:t>
            </w:r>
          </w:p>
        </w:tc>
      </w:tr>
      <w:tr w14:paraId="1611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197" w:type="dxa"/>
            <w:vAlign w:val="center"/>
          </w:tcPr>
          <w:p w14:paraId="6C121ACA">
            <w:pPr>
              <w:pStyle w:val="64"/>
              <w:ind w:left="-105" w:right="-97" w:firstLine="72" w:firstLineChars="3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2097" w:type="dxa"/>
            <w:vAlign w:val="center"/>
          </w:tcPr>
          <w:p w14:paraId="530E0D2E">
            <w:pPr>
              <w:pStyle w:val="65"/>
              <w:snapToGrid w:val="0"/>
              <w:spacing w:line="400" w:lineRule="exact"/>
              <w:ind w:firstLine="121"/>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40E1ABAC">
            <w:pPr>
              <w:pStyle w:val="65"/>
              <w:snapToGrid w:val="0"/>
              <w:spacing w:line="400" w:lineRule="exact"/>
              <w:ind w:firstLine="121"/>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（下浮率）</w:t>
            </w:r>
          </w:p>
        </w:tc>
        <w:tc>
          <w:tcPr>
            <w:tcW w:w="5991" w:type="dxa"/>
            <w:vAlign w:val="center"/>
          </w:tcPr>
          <w:p w14:paraId="2877AD57">
            <w:pPr>
              <w:pStyle w:val="65"/>
              <w:snapToGrid w:val="0"/>
              <w:spacing w:line="400" w:lineRule="exact"/>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小写：          %</w:t>
            </w:r>
          </w:p>
          <w:p w14:paraId="04D969D7">
            <w:pPr>
              <w:pStyle w:val="65"/>
              <w:snapToGrid w:val="0"/>
              <w:spacing w:line="400" w:lineRule="exact"/>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大写：</w:t>
            </w:r>
          </w:p>
        </w:tc>
      </w:tr>
      <w:tr w14:paraId="5DA1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285" w:type="dxa"/>
            <w:gridSpan w:val="3"/>
            <w:vAlign w:val="center"/>
          </w:tcPr>
          <w:p w14:paraId="15184DD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供货地点：</w:t>
            </w:r>
          </w:p>
        </w:tc>
      </w:tr>
      <w:tr w14:paraId="1932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285" w:type="dxa"/>
            <w:gridSpan w:val="3"/>
            <w:vAlign w:val="center"/>
          </w:tcPr>
          <w:p w14:paraId="7ADB746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合同履行期限：</w:t>
            </w:r>
          </w:p>
        </w:tc>
      </w:tr>
      <w:tr w14:paraId="6562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285" w:type="dxa"/>
            <w:gridSpan w:val="3"/>
            <w:vAlign w:val="center"/>
          </w:tcPr>
          <w:p w14:paraId="004DC8FD">
            <w:pPr>
              <w:pStyle w:val="64"/>
              <w:ind w:left="-2" w:leftChars="-1" w:right="-354"/>
              <w:rPr>
                <w:rFonts w:hint="eastAsia" w:ascii="宋体" w:hAnsi="宋体" w:eastAsia="宋体" w:cs="宋体"/>
                <w:color w:val="auto"/>
                <w:highlight w:val="none"/>
              </w:rPr>
            </w:pPr>
            <w:r>
              <w:rPr>
                <w:rFonts w:hint="eastAsia" w:ascii="宋体" w:hAnsi="宋体" w:eastAsia="宋体" w:cs="宋体"/>
                <w:color w:val="auto"/>
                <w:highlight w:val="none"/>
              </w:rPr>
              <w:t>备注：</w:t>
            </w:r>
          </w:p>
        </w:tc>
      </w:tr>
    </w:tbl>
    <w:p w14:paraId="41884D11">
      <w:pPr>
        <w:pStyle w:val="12"/>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2"/>
          <w:szCs w:val="20"/>
          <w:highlight w:val="none"/>
          <w:lang w:val="en-US" w:eastAsia="zh-CN"/>
        </w:rPr>
        <w:t>报价要求：本项目进行下浮率报价，（1）根据实际需求物资参照《北园春集团网站》当日公示价的中间价为基数，在此基础上，0≤下浮率≤100%（下浮率填写保留两位小数，例如10.00%）；（2）根据采购人已给定价格，在此基础上，0≤下浮率≤100%（下浮率填写保留两位小数，例如10.00%）；按中标下浮比例折算后据实结算（例：当日限价表中某菜/某肉销售价格为5元，某中标供应商下浮率为10.00%，则结算价=5元×（1-10.00%）=4.5元，以此类推）。如在实际供货中有增加品种，应按北园春市场当日中间价确定供货价格。</w:t>
      </w:r>
    </w:p>
    <w:p w14:paraId="2F3A3203">
      <w:pPr>
        <w:autoSpaceDE w:val="0"/>
        <w:autoSpaceDN w:val="0"/>
        <w:adjustRightInd w:val="0"/>
        <w:spacing w:line="360" w:lineRule="auto"/>
        <w:jc w:val="left"/>
        <w:rPr>
          <w:rFonts w:hint="eastAsia" w:ascii="宋体" w:hAnsi="宋体" w:eastAsia="宋体" w:cs="宋体"/>
          <w:color w:val="auto"/>
          <w:sz w:val="24"/>
          <w:szCs w:val="24"/>
          <w:highlight w:val="none"/>
        </w:rPr>
      </w:pPr>
    </w:p>
    <w:p w14:paraId="31A1C2DA">
      <w:pPr>
        <w:autoSpaceDE w:val="0"/>
        <w:autoSpaceDN w:val="0"/>
        <w:adjustRightInd w:val="0"/>
        <w:spacing w:line="360" w:lineRule="auto"/>
        <w:jc w:val="left"/>
        <w:rPr>
          <w:rFonts w:hint="eastAsia" w:ascii="宋体" w:hAnsi="宋体" w:eastAsia="宋体" w:cs="宋体"/>
          <w:color w:val="auto"/>
          <w:sz w:val="24"/>
          <w:szCs w:val="24"/>
          <w:highlight w:val="none"/>
        </w:rPr>
      </w:pPr>
    </w:p>
    <w:p w14:paraId="6D32437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1830AE7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0CB97A68">
      <w:pPr>
        <w:pStyle w:val="44"/>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bookmarkStart w:id="97" w:name="_Toc30704"/>
      <w:bookmarkStart w:id="98" w:name="_Toc25232"/>
      <w:bookmarkStart w:id="99" w:name="_Toc14919"/>
      <w:r>
        <w:rPr>
          <w:rFonts w:hint="eastAsia" w:ascii="宋体" w:hAnsi="宋体" w:eastAsia="宋体" w:cs="宋体"/>
          <w:color w:val="auto"/>
          <w:highlight w:val="none"/>
          <w:lang w:val="en-US" w:eastAsia="zh-CN"/>
        </w:rPr>
        <w:br w:type="page"/>
      </w:r>
    </w:p>
    <w:p w14:paraId="6F9E4C1D">
      <w:pPr>
        <w:pStyle w:val="44"/>
        <w:spacing w:line="360" w:lineRule="auto"/>
        <w:jc w:val="left"/>
        <w:rPr>
          <w:rFonts w:hint="eastAsia" w:ascii="宋体" w:hAnsi="宋体" w:eastAsia="宋体" w:cs="宋体"/>
          <w:color w:val="auto"/>
          <w:highlight w:val="none"/>
          <w:lang w:val="en-US" w:eastAsia="zh-CN"/>
        </w:rPr>
      </w:pPr>
    </w:p>
    <w:p w14:paraId="03812175">
      <w:pPr>
        <w:pStyle w:val="4"/>
        <w:bidi w:val="0"/>
        <w:rPr>
          <w:rFonts w:hint="eastAsia" w:ascii="宋体" w:hAnsi="宋体" w:eastAsia="宋体" w:cs="宋体"/>
          <w:color w:val="auto"/>
          <w:highlight w:val="none"/>
        </w:rPr>
      </w:pPr>
      <w:bookmarkStart w:id="100" w:name="_Toc20651"/>
      <w:r>
        <w:rPr>
          <w:rFonts w:hint="eastAsia" w:cs="宋体"/>
          <w:color w:val="auto"/>
          <w:highlight w:val="none"/>
          <w:lang w:val="en-US" w:eastAsia="zh-CN"/>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资格、资信证明文件</w:t>
      </w:r>
      <w:bookmarkEnd w:id="97"/>
      <w:bookmarkEnd w:id="98"/>
      <w:bookmarkEnd w:id="99"/>
      <w:bookmarkEnd w:id="100"/>
    </w:p>
    <w:p w14:paraId="797FCCE4">
      <w:pPr>
        <w:pStyle w:val="5"/>
        <w:bidi w:val="0"/>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法定代表人身份证明</w:t>
      </w:r>
    </w:p>
    <w:p w14:paraId="03E16A1D">
      <w:pPr>
        <w:pStyle w:val="19"/>
        <w:spacing w:line="360" w:lineRule="auto"/>
        <w:rPr>
          <w:rFonts w:hint="eastAsia" w:ascii="宋体" w:hAnsi="宋体" w:eastAsia="宋体" w:cs="宋体"/>
          <w:color w:val="auto"/>
          <w:sz w:val="24"/>
          <w:szCs w:val="24"/>
          <w:highlight w:val="none"/>
        </w:rPr>
      </w:pPr>
    </w:p>
    <w:p w14:paraId="4ABF86E2">
      <w:pPr>
        <w:pStyle w:val="19"/>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5AC6F565">
      <w:pPr>
        <w:pStyle w:val="19"/>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DD1C127">
      <w:pPr>
        <w:pStyle w:val="19"/>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（投标人名称）的法定代表人。 </w:t>
      </w:r>
    </w:p>
    <w:p w14:paraId="6F527F04">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17BE73">
      <w:pPr>
        <w:pStyle w:val="19"/>
        <w:spacing w:line="360" w:lineRule="auto"/>
        <w:rPr>
          <w:rFonts w:hint="eastAsia" w:ascii="宋体" w:hAnsi="宋体" w:eastAsia="宋体" w:cs="宋体"/>
          <w:color w:val="auto"/>
          <w:sz w:val="24"/>
          <w:szCs w:val="24"/>
          <w:highlight w:val="none"/>
        </w:rPr>
      </w:pPr>
    </w:p>
    <w:p w14:paraId="175FF257">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63A50413">
      <w:pPr>
        <w:pStyle w:val="19"/>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65408" behindDoc="1" locked="0" layoutInCell="1" allowOverlap="1">
                <wp:simplePos x="0" y="0"/>
                <wp:positionH relativeFrom="page">
                  <wp:posOffset>3683635</wp:posOffset>
                </wp:positionH>
                <wp:positionV relativeFrom="paragraph">
                  <wp:posOffset>269240</wp:posOffset>
                </wp:positionV>
                <wp:extent cx="2344420" cy="1296670"/>
                <wp:effectExtent l="4445" t="4445" r="13335" b="13335"/>
                <wp:wrapTopAndBottom/>
                <wp:docPr id="6" name="文本框 6"/>
                <wp:cNvGraphicFramePr/>
                <a:graphic xmlns:a="http://schemas.openxmlformats.org/drawingml/2006/main">
                  <a:graphicData uri="http://schemas.microsoft.com/office/word/2010/wordprocessingShape">
                    <wps:wsp>
                      <wps:cNvSpPr txBox="1"/>
                      <wps:spPr>
                        <a:xfrm>
                          <a:off x="0" y="0"/>
                          <a:ext cx="2344420" cy="1296670"/>
                        </a:xfrm>
                        <a:prstGeom prst="rect">
                          <a:avLst/>
                        </a:prstGeom>
                        <a:noFill/>
                        <a:ln w="9525" cap="flat" cmpd="sng">
                          <a:solidFill>
                            <a:srgbClr val="000000"/>
                          </a:solidFill>
                          <a:prstDash val="solid"/>
                          <a:miter/>
                          <a:headEnd type="none" w="med" len="med"/>
                          <a:tailEnd type="none" w="med" len="med"/>
                        </a:ln>
                      </wps:spPr>
                      <wps:txbx>
                        <w:txbxContent>
                          <w:p w14:paraId="1F8A9DE4">
                            <w:pPr>
                              <w:pStyle w:val="12"/>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3686828">
                            <w:pPr>
                              <w:pStyle w:val="12"/>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反</w:t>
                            </w:r>
                            <w:r>
                              <w:rPr>
                                <w:rFonts w:hint="eastAsia" w:ascii="方正仿宋_GB2312" w:hAnsi="方正仿宋_GB2312" w:eastAsia="方正仿宋_GB2312" w:cs="方正仿宋_GB2312"/>
                              </w:rPr>
                              <w:t>面）</w:t>
                            </w:r>
                          </w:p>
                        </w:txbxContent>
                      </wps:txbx>
                      <wps:bodyPr lIns="0" tIns="0" rIns="0" bIns="0" upright="1"/>
                    </wps:wsp>
                  </a:graphicData>
                </a:graphic>
              </wp:anchor>
            </w:drawing>
          </mc:Choice>
          <mc:Fallback>
            <w:pict>
              <v:shape id="_x0000_s1026" o:spid="_x0000_s1026" o:spt="202" type="#_x0000_t202" style="position:absolute;left:0pt;margin-left:290.05pt;margin-top:21.2pt;height:102.1pt;width:184.6pt;mso-position-horizontal-relative:page;mso-wrap-distance-bottom:0pt;mso-wrap-distance-top:0pt;z-index:-251651072;mso-width-relative:page;mso-height-relative:page;" filled="f" stroked="t" coordsize="21600,21600" o:gfxdata="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FId2gAAAAoBAAAP&#10;AAAAAAAAAAEAIAAAACIAAABkcnMvZG93bnJldi54bWxQSwECFAAUAAAACACHTuJAFjrGoxYCAAAy&#10;BAAADgAAAAAAAAABACAAAAApAQAAZHJzL2Uyb0RvYy54bWxQSwUGAAAAAAYABgBZAQAAsQUAAAAA&#10;">
                <v:fill on="f" focussize="0,0"/>
                <v:stroke color="#000000" joinstyle="miter"/>
                <v:imagedata o:title=""/>
                <o:lock v:ext="edit" aspectratio="f"/>
                <v:textbox inset="0mm,0mm,0mm,0mm">
                  <w:txbxContent>
                    <w:p w14:paraId="1F8A9DE4">
                      <w:pPr>
                        <w:pStyle w:val="12"/>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3686828">
                      <w:pPr>
                        <w:pStyle w:val="12"/>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反</w:t>
                      </w:r>
                      <w:r>
                        <w:rPr>
                          <w:rFonts w:hint="eastAsia" w:ascii="方正仿宋_GB2312" w:hAnsi="方正仿宋_GB2312" w:eastAsia="方正仿宋_GB2312" w:cs="方正仿宋_GB2312"/>
                        </w:rPr>
                        <w:t>面）</w:t>
                      </w:r>
                    </w:p>
                  </w:txbxContent>
                </v:textbox>
                <w10:wrap type="topAndBottom"/>
              </v:shape>
            </w:pict>
          </mc:Fallback>
        </mc:AlternateContent>
      </w: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64384" behindDoc="1" locked="0" layoutInCell="1" allowOverlap="1">
                <wp:simplePos x="0" y="0"/>
                <wp:positionH relativeFrom="page">
                  <wp:posOffset>883285</wp:posOffset>
                </wp:positionH>
                <wp:positionV relativeFrom="paragraph">
                  <wp:posOffset>259080</wp:posOffset>
                </wp:positionV>
                <wp:extent cx="2344420" cy="1296670"/>
                <wp:effectExtent l="4445" t="4445" r="13335" b="13335"/>
                <wp:wrapTopAndBottom/>
                <wp:docPr id="1" name="文本框 1"/>
                <wp:cNvGraphicFramePr/>
                <a:graphic xmlns:a="http://schemas.openxmlformats.org/drawingml/2006/main">
                  <a:graphicData uri="http://schemas.microsoft.com/office/word/2010/wordprocessingShape">
                    <wps:wsp>
                      <wps:cNvSpPr txBox="1"/>
                      <wps:spPr>
                        <a:xfrm>
                          <a:off x="0" y="0"/>
                          <a:ext cx="2344420" cy="1296670"/>
                        </a:xfrm>
                        <a:prstGeom prst="rect">
                          <a:avLst/>
                        </a:prstGeom>
                        <a:noFill/>
                        <a:ln w="9525" cap="flat" cmpd="sng">
                          <a:solidFill>
                            <a:srgbClr val="000000"/>
                          </a:solidFill>
                          <a:prstDash val="solid"/>
                          <a:miter/>
                          <a:headEnd type="none" w="med" len="med"/>
                          <a:tailEnd type="none" w="med" len="med"/>
                        </a:ln>
                      </wps:spPr>
                      <wps:txbx>
                        <w:txbxContent>
                          <w:p w14:paraId="5CB16BA8">
                            <w:pPr>
                              <w:pStyle w:val="12"/>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5AB1D6F1">
                            <w:pPr>
                              <w:pStyle w:val="12"/>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69.55pt;margin-top:20.4pt;height:102.1pt;width:184.6pt;mso-position-horizontal-relative:page;mso-wrap-distance-bottom:0pt;mso-wrap-distance-top:0pt;z-index:-251652096;mso-width-relative:page;mso-height-relative:page;" filled="f" stroked="t" coordsize="21600,21600" o:gfxdata="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QClwTaAAAACgEAAA8A&#10;AAAAAAAAAQAgAAAAIgAAAGRycy9kb3ducmV2LnhtbFBLAQIUABQAAAAIAIdO4kBhpk6vFQIAADIE&#10;AAAOAAAAAAAAAAEAIAAAACkBAABkcnMvZTJvRG9jLnhtbFBLBQYAAAAABgAGAFkBAACwBQAAAAA=&#10;">
                <v:fill on="f" focussize="0,0"/>
                <v:stroke color="#000000" joinstyle="miter"/>
                <v:imagedata o:title=""/>
                <o:lock v:ext="edit" aspectratio="f"/>
                <v:textbox inset="0mm,0mm,0mm,0mm">
                  <w:txbxContent>
                    <w:p w14:paraId="5CB16BA8">
                      <w:pPr>
                        <w:pStyle w:val="12"/>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5AB1D6F1">
                      <w:pPr>
                        <w:pStyle w:val="12"/>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p>
    <w:p w14:paraId="48FA8751">
      <w:pPr>
        <w:pStyle w:val="19"/>
        <w:spacing w:line="360" w:lineRule="auto"/>
        <w:rPr>
          <w:rFonts w:hint="eastAsia" w:ascii="宋体" w:hAnsi="宋体" w:eastAsia="宋体" w:cs="宋体"/>
          <w:color w:val="auto"/>
          <w:sz w:val="24"/>
          <w:szCs w:val="24"/>
          <w:highlight w:val="none"/>
          <w:u w:val="single"/>
        </w:rPr>
      </w:pPr>
    </w:p>
    <w:p w14:paraId="01CECE0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7748FB17">
      <w:pPr>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532B914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79324A9">
      <w:pPr>
        <w:pStyle w:val="5"/>
        <w:bidi w:val="0"/>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法定代表人授权书</w:t>
      </w:r>
    </w:p>
    <w:p w14:paraId="33013863">
      <w:pPr>
        <w:spacing w:line="360" w:lineRule="auto"/>
        <w:ind w:right="106" w:firstLine="480"/>
        <w:rPr>
          <w:rFonts w:hint="eastAsia" w:ascii="宋体" w:hAnsi="宋体" w:eastAsia="宋体" w:cs="宋体"/>
          <w:color w:val="auto"/>
          <w:spacing w:val="-5"/>
          <w:w w:val="95"/>
          <w:szCs w:val="21"/>
          <w:highlight w:val="none"/>
        </w:rPr>
      </w:pPr>
    </w:p>
    <w:p w14:paraId="4C32321E">
      <w:pPr>
        <w:spacing w:line="360" w:lineRule="auto"/>
        <w:ind w:right="106" w:firstLine="480"/>
        <w:rPr>
          <w:rFonts w:hint="eastAsia" w:ascii="宋体" w:hAnsi="宋体" w:eastAsia="宋体" w:cs="宋体"/>
          <w:i w:val="0"/>
          <w:iCs w:val="0"/>
          <w:color w:val="auto"/>
          <w:sz w:val="24"/>
          <w:highlight w:val="none"/>
        </w:rPr>
      </w:pPr>
      <w:r>
        <w:rPr>
          <w:rFonts w:hint="eastAsia" w:ascii="宋体" w:hAnsi="宋体" w:eastAsia="宋体" w:cs="宋体"/>
          <w:i w:val="0"/>
          <w:iCs w:val="0"/>
          <w:color w:val="auto"/>
          <w:spacing w:val="-5"/>
          <w:w w:val="95"/>
          <w:sz w:val="24"/>
          <w:highlight w:val="none"/>
        </w:rPr>
        <w:t>本授权书声明：注册于</w:t>
      </w:r>
      <w:r>
        <w:rPr>
          <w:rFonts w:hint="eastAsia" w:ascii="宋体" w:hAnsi="宋体" w:eastAsia="宋体" w:cs="宋体"/>
          <w:i w:val="0"/>
          <w:iCs w:val="0"/>
          <w:color w:val="auto"/>
          <w:w w:val="95"/>
          <w:sz w:val="24"/>
          <w:highlight w:val="none"/>
          <w:u w:val="single"/>
        </w:rPr>
        <w:t>（国家或地区的名称</w:t>
      </w:r>
      <w:r>
        <w:rPr>
          <w:rFonts w:hint="eastAsia" w:ascii="宋体" w:hAnsi="宋体" w:eastAsia="宋体" w:cs="宋体"/>
          <w:i w:val="0"/>
          <w:iCs w:val="0"/>
          <w:color w:val="auto"/>
          <w:spacing w:val="-17"/>
          <w:w w:val="95"/>
          <w:sz w:val="24"/>
          <w:highlight w:val="none"/>
          <w:u w:val="single"/>
        </w:rPr>
        <w:t>）</w:t>
      </w:r>
      <w:r>
        <w:rPr>
          <w:rFonts w:hint="eastAsia" w:ascii="宋体" w:hAnsi="宋体" w:eastAsia="宋体" w:cs="宋体"/>
          <w:i w:val="0"/>
          <w:iCs w:val="0"/>
          <w:color w:val="auto"/>
          <w:spacing w:val="-15"/>
          <w:w w:val="95"/>
          <w:sz w:val="24"/>
          <w:highlight w:val="none"/>
        </w:rPr>
        <w:t>的</w:t>
      </w:r>
      <w:r>
        <w:rPr>
          <w:rFonts w:hint="eastAsia" w:ascii="宋体" w:hAnsi="宋体" w:eastAsia="宋体" w:cs="宋体"/>
          <w:i w:val="0"/>
          <w:iCs w:val="0"/>
          <w:color w:val="auto"/>
          <w:w w:val="95"/>
          <w:sz w:val="24"/>
          <w:highlight w:val="none"/>
          <w:u w:val="single"/>
        </w:rPr>
        <w:t>（投标</w:t>
      </w:r>
      <w:r>
        <w:rPr>
          <w:rFonts w:hint="eastAsia" w:ascii="宋体" w:hAnsi="宋体" w:cs="宋体"/>
          <w:i w:val="0"/>
          <w:iCs w:val="0"/>
          <w:color w:val="auto"/>
          <w:w w:val="95"/>
          <w:sz w:val="24"/>
          <w:highlight w:val="none"/>
          <w:u w:val="single"/>
          <w:lang w:val="en-US" w:eastAsia="zh-CN"/>
        </w:rPr>
        <w:t>供应商</w:t>
      </w:r>
      <w:r>
        <w:rPr>
          <w:rFonts w:hint="eastAsia" w:ascii="宋体" w:hAnsi="宋体" w:eastAsia="宋体" w:cs="宋体"/>
          <w:i w:val="0"/>
          <w:iCs w:val="0"/>
          <w:color w:val="auto"/>
          <w:w w:val="95"/>
          <w:sz w:val="24"/>
          <w:highlight w:val="none"/>
          <w:u w:val="single"/>
        </w:rPr>
        <w:t>名称</w:t>
      </w:r>
      <w:r>
        <w:rPr>
          <w:rFonts w:hint="eastAsia" w:ascii="宋体" w:hAnsi="宋体" w:eastAsia="宋体" w:cs="宋体"/>
          <w:i w:val="0"/>
          <w:iCs w:val="0"/>
          <w:color w:val="auto"/>
          <w:spacing w:val="-15"/>
          <w:w w:val="95"/>
          <w:sz w:val="24"/>
          <w:highlight w:val="none"/>
          <w:u w:val="single"/>
        </w:rPr>
        <w:t>）</w:t>
      </w:r>
      <w:r>
        <w:rPr>
          <w:rFonts w:hint="eastAsia" w:ascii="宋体" w:hAnsi="宋体" w:eastAsia="宋体" w:cs="宋体"/>
          <w:i w:val="0"/>
          <w:iCs w:val="0"/>
          <w:color w:val="auto"/>
          <w:spacing w:val="-3"/>
          <w:w w:val="95"/>
          <w:sz w:val="24"/>
          <w:highlight w:val="none"/>
        </w:rPr>
        <w:t>的在下面签字的</w:t>
      </w:r>
      <w:r>
        <w:rPr>
          <w:rFonts w:hint="eastAsia" w:ascii="宋体" w:hAnsi="宋体" w:eastAsia="宋体" w:cs="宋体"/>
          <w:i w:val="0"/>
          <w:iCs w:val="0"/>
          <w:color w:val="auto"/>
          <w:w w:val="95"/>
          <w:sz w:val="24"/>
          <w:highlight w:val="none"/>
        </w:rPr>
        <w:t>（</w:t>
      </w:r>
      <w:r>
        <w:rPr>
          <w:rFonts w:hint="eastAsia" w:ascii="宋体" w:hAnsi="宋体" w:eastAsia="宋体" w:cs="宋体"/>
          <w:i w:val="0"/>
          <w:iCs w:val="0"/>
          <w:color w:val="auto"/>
          <w:spacing w:val="-7"/>
          <w:w w:val="95"/>
          <w:sz w:val="24"/>
          <w:highlight w:val="none"/>
          <w:u w:val="single"/>
        </w:rPr>
        <w:t>法人代表姓名</w:t>
      </w:r>
      <w:r>
        <w:rPr>
          <w:rFonts w:hint="eastAsia" w:ascii="宋体" w:hAnsi="宋体" w:eastAsia="宋体" w:cs="宋体"/>
          <w:i w:val="0"/>
          <w:iCs w:val="0"/>
          <w:color w:val="auto"/>
          <w:spacing w:val="-29"/>
          <w:w w:val="95"/>
          <w:sz w:val="24"/>
          <w:highlight w:val="none"/>
          <w:u w:val="single"/>
        </w:rPr>
        <w:t>、职务</w:t>
      </w:r>
      <w:r>
        <w:rPr>
          <w:rFonts w:hint="eastAsia" w:ascii="宋体" w:hAnsi="宋体" w:eastAsia="宋体" w:cs="宋体"/>
          <w:i w:val="0"/>
          <w:iCs w:val="0"/>
          <w:color w:val="auto"/>
          <w:spacing w:val="-15"/>
          <w:w w:val="95"/>
          <w:sz w:val="24"/>
          <w:highlight w:val="none"/>
        </w:rPr>
        <w:t>）</w:t>
      </w:r>
      <w:r>
        <w:rPr>
          <w:rFonts w:hint="eastAsia" w:ascii="宋体" w:hAnsi="宋体" w:eastAsia="宋体" w:cs="宋体"/>
          <w:i w:val="0"/>
          <w:iCs w:val="0"/>
          <w:color w:val="auto"/>
          <w:spacing w:val="-4"/>
          <w:w w:val="95"/>
          <w:sz w:val="24"/>
          <w:highlight w:val="none"/>
        </w:rPr>
        <w:t>代表本公司授权</w:t>
      </w:r>
      <w:r>
        <w:rPr>
          <w:rFonts w:hint="eastAsia" w:ascii="宋体" w:hAnsi="宋体" w:eastAsia="宋体" w:cs="宋体"/>
          <w:i w:val="0"/>
          <w:iCs w:val="0"/>
          <w:color w:val="auto"/>
          <w:w w:val="95"/>
          <w:sz w:val="24"/>
          <w:highlight w:val="none"/>
          <w:u w:val="single"/>
        </w:rPr>
        <w:t>（投标</w:t>
      </w:r>
      <w:r>
        <w:rPr>
          <w:rFonts w:hint="eastAsia" w:ascii="宋体" w:hAnsi="宋体" w:cs="宋体"/>
          <w:i w:val="0"/>
          <w:iCs w:val="0"/>
          <w:color w:val="auto"/>
          <w:w w:val="95"/>
          <w:sz w:val="24"/>
          <w:highlight w:val="none"/>
          <w:u w:val="single"/>
          <w:lang w:val="en-US" w:eastAsia="zh-CN"/>
        </w:rPr>
        <w:t>供应商</w:t>
      </w:r>
      <w:r>
        <w:rPr>
          <w:rFonts w:hint="eastAsia" w:ascii="宋体" w:hAnsi="宋体" w:eastAsia="宋体" w:cs="宋体"/>
          <w:i w:val="0"/>
          <w:iCs w:val="0"/>
          <w:color w:val="auto"/>
          <w:w w:val="95"/>
          <w:sz w:val="24"/>
          <w:highlight w:val="none"/>
          <w:u w:val="single"/>
        </w:rPr>
        <w:t>名称</w:t>
      </w:r>
      <w:r>
        <w:rPr>
          <w:rFonts w:hint="eastAsia" w:ascii="宋体" w:hAnsi="宋体" w:eastAsia="宋体" w:cs="宋体"/>
          <w:i w:val="0"/>
          <w:iCs w:val="0"/>
          <w:color w:val="auto"/>
          <w:spacing w:val="-15"/>
          <w:w w:val="95"/>
          <w:sz w:val="24"/>
          <w:highlight w:val="none"/>
          <w:u w:val="single"/>
        </w:rPr>
        <w:t>）</w:t>
      </w:r>
      <w:r>
        <w:rPr>
          <w:rFonts w:hint="eastAsia" w:ascii="宋体" w:hAnsi="宋体" w:eastAsia="宋体" w:cs="宋体"/>
          <w:i w:val="0"/>
          <w:iCs w:val="0"/>
          <w:color w:val="auto"/>
          <w:spacing w:val="-3"/>
          <w:w w:val="95"/>
          <w:sz w:val="24"/>
          <w:highlight w:val="none"/>
        </w:rPr>
        <w:t>的在下面签字的</w:t>
      </w:r>
      <w:r>
        <w:rPr>
          <w:rFonts w:hint="eastAsia" w:ascii="宋体" w:hAnsi="宋体" w:eastAsia="宋体" w:cs="宋体"/>
          <w:i w:val="0"/>
          <w:iCs w:val="0"/>
          <w:color w:val="auto"/>
          <w:w w:val="95"/>
          <w:sz w:val="24"/>
          <w:highlight w:val="none"/>
        </w:rPr>
        <w:t>（</w:t>
      </w:r>
      <w:r>
        <w:rPr>
          <w:rFonts w:hint="eastAsia" w:ascii="宋体" w:hAnsi="宋体" w:eastAsia="宋体" w:cs="宋体"/>
          <w:i w:val="0"/>
          <w:iCs w:val="0"/>
          <w:color w:val="auto"/>
          <w:spacing w:val="-4"/>
          <w:w w:val="95"/>
          <w:sz w:val="24"/>
          <w:highlight w:val="none"/>
          <w:u w:val="single"/>
        </w:rPr>
        <w:t xml:space="preserve">被授权人的姓名、职务 </w:t>
      </w:r>
      <w:r>
        <w:rPr>
          <w:rFonts w:hint="eastAsia" w:ascii="宋体" w:hAnsi="宋体" w:eastAsia="宋体" w:cs="宋体"/>
          <w:i w:val="0"/>
          <w:iCs w:val="0"/>
          <w:color w:val="auto"/>
          <w:spacing w:val="-20"/>
          <w:w w:val="95"/>
          <w:sz w:val="24"/>
          <w:highlight w:val="none"/>
        </w:rPr>
        <w:t>）</w:t>
      </w:r>
      <w:r>
        <w:rPr>
          <w:rFonts w:hint="eastAsia" w:ascii="宋体" w:hAnsi="宋体" w:eastAsia="宋体" w:cs="宋体"/>
          <w:i w:val="0"/>
          <w:iCs w:val="0"/>
          <w:color w:val="auto"/>
          <w:spacing w:val="-4"/>
          <w:w w:val="95"/>
          <w:sz w:val="24"/>
          <w:highlight w:val="none"/>
        </w:rPr>
        <w:t>为本公司的合法代理人，就</w:t>
      </w:r>
      <w:r>
        <w:rPr>
          <w:rFonts w:hint="eastAsia" w:ascii="宋体" w:hAnsi="宋体" w:eastAsia="宋体" w:cs="宋体"/>
          <w:i w:val="0"/>
          <w:iCs w:val="0"/>
          <w:color w:val="auto"/>
          <w:w w:val="95"/>
          <w:sz w:val="24"/>
          <w:highlight w:val="none"/>
        </w:rPr>
        <w:t>（</w:t>
      </w:r>
      <w:r>
        <w:rPr>
          <w:rFonts w:hint="eastAsia" w:ascii="宋体" w:hAnsi="宋体" w:eastAsia="宋体" w:cs="宋体"/>
          <w:i w:val="0"/>
          <w:iCs w:val="0"/>
          <w:color w:val="auto"/>
          <w:w w:val="95"/>
          <w:sz w:val="24"/>
          <w:highlight w:val="none"/>
          <w:u w:val="single"/>
        </w:rPr>
        <w:t>项目名称</w:t>
      </w:r>
      <w:r>
        <w:rPr>
          <w:rFonts w:hint="eastAsia" w:ascii="宋体" w:hAnsi="宋体" w:cs="宋体"/>
          <w:i w:val="0"/>
          <w:iCs w:val="0"/>
          <w:color w:val="auto"/>
          <w:w w:val="95"/>
          <w:sz w:val="24"/>
          <w:highlight w:val="none"/>
          <w:u w:val="single"/>
          <w:lang w:val="en-US" w:eastAsia="zh-CN"/>
        </w:rPr>
        <w:t>+标项号</w:t>
      </w:r>
      <w:r>
        <w:rPr>
          <w:rFonts w:hint="eastAsia" w:ascii="宋体" w:hAnsi="宋体" w:eastAsia="宋体" w:cs="宋体"/>
          <w:i w:val="0"/>
          <w:iCs w:val="0"/>
          <w:color w:val="auto"/>
          <w:spacing w:val="-17"/>
          <w:w w:val="95"/>
          <w:sz w:val="24"/>
          <w:highlight w:val="none"/>
        </w:rPr>
        <w:t>）</w:t>
      </w:r>
      <w:r>
        <w:rPr>
          <w:rFonts w:hint="eastAsia" w:ascii="宋体" w:hAnsi="宋体" w:eastAsia="宋体" w:cs="宋体"/>
          <w:i w:val="0"/>
          <w:iCs w:val="0"/>
          <w:color w:val="auto"/>
          <w:spacing w:val="-4"/>
          <w:w w:val="95"/>
          <w:sz w:val="24"/>
          <w:highlight w:val="none"/>
        </w:rPr>
        <w:t>的投标，以本公司名义处理一切与之有关的</w:t>
      </w:r>
      <w:r>
        <w:rPr>
          <w:rFonts w:hint="eastAsia" w:ascii="宋体" w:hAnsi="宋体" w:eastAsia="宋体" w:cs="宋体"/>
          <w:i w:val="0"/>
          <w:iCs w:val="0"/>
          <w:color w:val="auto"/>
          <w:sz w:val="24"/>
          <w:highlight w:val="none"/>
        </w:rPr>
        <w:t>事务。</w:t>
      </w:r>
    </w:p>
    <w:p w14:paraId="22FFF69C">
      <w:pPr>
        <w:pStyle w:val="12"/>
        <w:tabs>
          <w:tab w:val="left" w:pos="3360"/>
          <w:tab w:val="left" w:pos="4200"/>
          <w:tab w:val="left" w:pos="5041"/>
        </w:tabs>
        <w:spacing w:before="6"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日签字生效,特此声明。</w:t>
      </w:r>
    </w:p>
    <w:p w14:paraId="0C974297">
      <w:pPr>
        <w:pStyle w:val="12"/>
        <w:tabs>
          <w:tab w:val="left" w:pos="6296"/>
          <w:tab w:val="left" w:pos="641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4D2AF13E">
      <w:pPr>
        <w:pStyle w:val="12"/>
        <w:tabs>
          <w:tab w:val="left" w:pos="6296"/>
          <w:tab w:val="left" w:pos="641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被授权人</w:t>
      </w:r>
      <w:r>
        <w:rPr>
          <w:rFonts w:hint="eastAsia" w:ascii="宋体" w:hAnsi="宋体" w:eastAsia="宋体" w:cs="宋体"/>
          <w:color w:val="auto"/>
          <w:highlight w:val="none"/>
          <w:lang w:eastAsia="zh-CN"/>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12B3A85F">
      <w:pPr>
        <w:pStyle w:val="12"/>
        <w:tabs>
          <w:tab w:val="left" w:pos="6296"/>
          <w:tab w:val="left" w:pos="6416"/>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rPr>
        <w:t>投标</w:t>
      </w:r>
      <w:r>
        <w:rPr>
          <w:rFonts w:hint="eastAsia" w:ascii="宋体" w:hAnsi="宋体" w:eastAsia="宋体" w:cs="宋体"/>
          <w:color w:val="auto"/>
          <w:highlight w:val="none"/>
          <w:lang w:val="en-US" w:eastAsia="zh-CN"/>
        </w:rPr>
        <w:t>供应商</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7DB55F46">
      <w:pPr>
        <w:pStyle w:val="1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w:t>
      </w:r>
    </w:p>
    <w:p w14:paraId="6F95E18C">
      <w:pPr>
        <w:pStyle w:val="12"/>
        <w:tabs>
          <w:tab w:val="left" w:pos="647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被授权人姓名：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5F1B683C">
      <w:pPr>
        <w:pStyle w:val="12"/>
        <w:tabs>
          <w:tab w:val="left" w:pos="647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职      </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5259CEFC">
      <w:pPr>
        <w:pStyle w:val="12"/>
        <w:tabs>
          <w:tab w:val="left" w:pos="647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详细通讯地址：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A6AA7A1">
      <w:pPr>
        <w:pStyle w:val="12"/>
        <w:tabs>
          <w:tab w:val="left" w:pos="647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邮 政 编</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码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DAE0CE9">
      <w:pPr>
        <w:pStyle w:val="12"/>
        <w:tabs>
          <w:tab w:val="left" w:pos="6476"/>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电  子 邮 箱</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A06B3BF">
      <w:pPr>
        <w:pStyle w:val="12"/>
        <w:tabs>
          <w:tab w:val="left" w:pos="6476"/>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46FFB307">
      <w:pPr>
        <w:pStyle w:val="12"/>
        <w:spacing w:before="6"/>
        <w:rPr>
          <w:rFonts w:hint="eastAsia" w:ascii="宋体" w:hAnsi="宋体" w:eastAsia="宋体" w:cs="宋体"/>
          <w:color w:val="auto"/>
          <w:sz w:val="21"/>
          <w:szCs w:val="21"/>
          <w:highlight w:val="none"/>
        </w:rPr>
      </w:pPr>
    </w:p>
    <w:p w14:paraId="58FEF059">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344420" cy="1296670"/>
                <wp:effectExtent l="4445" t="4445" r="13335" b="13335"/>
                <wp:wrapTopAndBottom/>
                <wp:docPr id="13" name="文本框 13"/>
                <wp:cNvGraphicFramePr/>
                <a:graphic xmlns:a="http://schemas.openxmlformats.org/drawingml/2006/main">
                  <a:graphicData uri="http://schemas.microsoft.com/office/word/2010/wordprocessingShape">
                    <wps:wsp>
                      <wps:cNvSpPr txBox="1"/>
                      <wps:spPr>
                        <a:xfrm>
                          <a:off x="0" y="0"/>
                          <a:ext cx="2344420" cy="1296670"/>
                        </a:xfrm>
                        <a:prstGeom prst="rect">
                          <a:avLst/>
                        </a:prstGeom>
                        <a:noFill/>
                        <a:ln w="9525" cap="flat" cmpd="sng">
                          <a:solidFill>
                            <a:srgbClr val="000000"/>
                          </a:solidFill>
                          <a:prstDash val="solid"/>
                          <a:miter/>
                          <a:headEnd type="none" w="med" len="med"/>
                          <a:tailEnd type="none" w="med" len="med"/>
                        </a:ln>
                      </wps:spPr>
                      <wps:txbx>
                        <w:txbxContent>
                          <w:p w14:paraId="2532B925">
                            <w:pPr>
                              <w:pStyle w:val="12"/>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10D82D89">
                            <w:pPr>
                              <w:pStyle w:val="12"/>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102.1pt;width:184.6pt;mso-position-horizontal-relative:page;mso-wrap-distance-bottom:0pt;mso-wrap-distance-top:0pt;z-index:-251657216;mso-width-relative:page;mso-height-relative:page;" filled="f" stroked="t" coordsize="21600,21600" o:gfxdata="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3QSz2QAAAAoBAAAP&#10;AAAAAAAAAAEAIAAAACIAAABkcnMvZG93bnJldi54bWxQSwECFAAUAAAACACHTuJA5+J9qhcCAAA0&#10;BAAADgAAAAAAAAABACAAAAAoAQAAZHJzL2Uyb0RvYy54bWxQSwUGAAAAAAYABgBZAQAAsQUAAAAA&#10;">
                <v:fill on="f" focussize="0,0"/>
                <v:stroke color="#000000" joinstyle="miter"/>
                <v:imagedata o:title=""/>
                <o:lock v:ext="edit" aspectratio="f"/>
                <v:textbox inset="0mm,0mm,0mm,0mm">
                  <w:txbxContent>
                    <w:p w14:paraId="2532B925">
                      <w:pPr>
                        <w:pStyle w:val="12"/>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10D82D89">
                      <w:pPr>
                        <w:pStyle w:val="12"/>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306955" cy="1297305"/>
                <wp:effectExtent l="4445" t="4445" r="12700" b="12700"/>
                <wp:wrapTopAndBottom/>
                <wp:docPr id="14" name="文本框 14"/>
                <wp:cNvGraphicFramePr/>
                <a:graphic xmlns:a="http://schemas.openxmlformats.org/drawingml/2006/main">
                  <a:graphicData uri="http://schemas.microsoft.com/office/word/2010/wordprocessingShape">
                    <wps:wsp>
                      <wps:cNvSpPr txBox="1"/>
                      <wps:spPr>
                        <a:xfrm>
                          <a:off x="0" y="0"/>
                          <a:ext cx="2306955" cy="1297305"/>
                        </a:xfrm>
                        <a:prstGeom prst="rect">
                          <a:avLst/>
                        </a:prstGeom>
                        <a:noFill/>
                        <a:ln w="9525" cap="flat" cmpd="sng">
                          <a:solidFill>
                            <a:srgbClr val="000000"/>
                          </a:solidFill>
                          <a:prstDash val="solid"/>
                          <a:miter/>
                          <a:headEnd type="none" w="med" len="med"/>
                          <a:tailEnd type="none" w="med" len="med"/>
                        </a:ln>
                      </wps:spPr>
                      <wps:txbx>
                        <w:txbxContent>
                          <w:p w14:paraId="05C51A08">
                            <w:pPr>
                              <w:pStyle w:val="12"/>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0E747249">
                            <w:pPr>
                              <w:pStyle w:val="12"/>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反</w:t>
                            </w:r>
                            <w:r>
                              <w:rPr>
                                <w:rFonts w:hint="eastAsia" w:ascii="方正仿宋_GB2312" w:hAnsi="方正仿宋_GB2312" w:eastAsia="方正仿宋_GB2312" w:cs="方正仿宋_GB2312"/>
                              </w:rPr>
                              <w:t>面）</w:t>
                            </w:r>
                          </w:p>
                        </w:txbxContent>
                      </wps:txbx>
                      <wps:bodyPr lIns="0" tIns="0" rIns="0" bIns="0" upright="1"/>
                    </wps:wsp>
                  </a:graphicData>
                </a:graphic>
              </wp:anchor>
            </w:drawing>
          </mc:Choice>
          <mc:Fallback>
            <w:pict>
              <v:shape id="_x0000_s1026" o:spid="_x0000_s1026" o:spt="202" type="#_x0000_t202" style="position:absolute;left:0pt;margin-left:298.45pt;margin-top:9.55pt;height:102.15pt;width:181.65pt;mso-position-horizontal-relative:page;mso-wrap-distance-bottom:0pt;mso-wrap-distance-top:0pt;z-index:-251656192;mso-width-relative:page;mso-height-relative:page;" filled="f" stroked="t" coordsize="21600,21600" o:gfxdata="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lTFdkAAAAKAQAADwAA&#10;AAAAAAABACAAAAAiAAAAZHJzL2Rvd25yZXYueG1sUEsBAhQAFAAAAAgAh07iQNmZoVEVAgAANAQA&#10;AA4AAAAAAAAAAQAgAAAAKAEAAGRycy9lMm9Eb2MueG1sUEsFBgAAAAAGAAYAWQEAAK8FAAAAAA==&#10;">
                <v:fill on="f" focussize="0,0"/>
                <v:stroke color="#000000" joinstyle="miter"/>
                <v:imagedata o:title=""/>
                <o:lock v:ext="edit" aspectratio="f"/>
                <v:textbox inset="0mm,0mm,0mm,0mm">
                  <w:txbxContent>
                    <w:p w14:paraId="05C51A08">
                      <w:pPr>
                        <w:pStyle w:val="12"/>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0E747249">
                      <w:pPr>
                        <w:pStyle w:val="12"/>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反</w:t>
                      </w:r>
                      <w:r>
                        <w:rPr>
                          <w:rFonts w:hint="eastAsia" w:ascii="方正仿宋_GB2312" w:hAnsi="方正仿宋_GB2312" w:eastAsia="方正仿宋_GB2312" w:cs="方正仿宋_GB2312"/>
                        </w:rPr>
                        <w:t>面）</w:t>
                      </w:r>
                    </w:p>
                  </w:txbxContent>
                </v:textbox>
                <w10:wrap type="topAndBottom"/>
              </v:shape>
            </w:pict>
          </mc:Fallback>
        </mc:AlternateContent>
      </w: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345055" cy="1239520"/>
                <wp:effectExtent l="4445" t="5080" r="12700" b="12700"/>
                <wp:wrapTopAndBottom/>
                <wp:docPr id="11" name="文本框 11"/>
                <wp:cNvGraphicFramePr/>
                <a:graphic xmlns:a="http://schemas.openxmlformats.org/drawingml/2006/main">
                  <a:graphicData uri="http://schemas.microsoft.com/office/word/2010/wordprocessingShape">
                    <wps:wsp>
                      <wps:cNvSpPr txBox="1"/>
                      <wps:spPr>
                        <a:xfrm>
                          <a:off x="0" y="0"/>
                          <a:ext cx="2345055" cy="1239520"/>
                        </a:xfrm>
                        <a:prstGeom prst="rect">
                          <a:avLst/>
                        </a:prstGeom>
                        <a:noFill/>
                        <a:ln w="9525" cap="flat" cmpd="sng">
                          <a:solidFill>
                            <a:srgbClr val="000000"/>
                          </a:solidFill>
                          <a:prstDash val="solid"/>
                          <a:miter/>
                          <a:headEnd type="none" w="med" len="med"/>
                          <a:tailEnd type="none" w="med" len="med"/>
                        </a:ln>
                      </wps:spPr>
                      <wps:txbx>
                        <w:txbxContent>
                          <w:p w14:paraId="750CD70D">
                            <w:pPr>
                              <w:pStyle w:val="12"/>
                            </w:pPr>
                          </w:p>
                          <w:p w14:paraId="7265B209">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3C0A9783">
                            <w:pPr>
                              <w:pStyle w:val="12"/>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正</w:t>
                            </w:r>
                            <w:r>
                              <w:rPr>
                                <w:rFonts w:hint="eastAsia" w:ascii="方正仿宋_GB2312" w:hAnsi="方正仿宋_GB2312" w:eastAsia="方正仿宋_GB2312" w:cs="方正仿宋_GB2312"/>
                              </w:rPr>
                              <w:t>面）</w:t>
                            </w:r>
                          </w:p>
                        </w:txbxContent>
                      </wps:txbx>
                      <wps:bodyPr lIns="0" tIns="0" rIns="0" bIns="0" upright="1"/>
                    </wps:wsp>
                  </a:graphicData>
                </a:graphic>
              </wp:anchor>
            </w:drawing>
          </mc:Choice>
          <mc:Fallback>
            <w:pict>
              <v:shape id="_x0000_s1026" o:spid="_x0000_s1026" o:spt="202" type="#_x0000_t202" style="position:absolute;left:0pt;margin-left:102.55pt;margin-top:119.2pt;height:97.6pt;width:184.65pt;mso-position-horizontal-relative:page;mso-wrap-distance-bottom:0pt;mso-wrap-distance-top:0pt;z-index:-251655168;mso-width-relative:page;mso-height-relative:page;" filled="f" stroked="t" coordsize="21600,21600" o:gfxdata="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NUsq7bAAAACwEAAA8A&#10;AAAAAAAAAQAgAAAAIgAAAGRycy9kb3ducmV2LnhtbFBLAQIUABQAAAAIAIdO4kDEyryGFAIAADQE&#10;AAAOAAAAAAAAAAEAIAAAACoBAABkcnMvZTJvRG9jLnhtbFBLBQYAAAAABgAGAFkBAACwBQAAAAA=&#10;">
                <v:fill on="f" focussize="0,0"/>
                <v:stroke color="#000000" joinstyle="miter"/>
                <v:imagedata o:title=""/>
                <o:lock v:ext="edit" aspectratio="f"/>
                <v:textbox inset="0mm,0mm,0mm,0mm">
                  <w:txbxContent>
                    <w:p w14:paraId="750CD70D">
                      <w:pPr>
                        <w:pStyle w:val="12"/>
                      </w:pPr>
                    </w:p>
                    <w:p w14:paraId="7265B209">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3C0A9783">
                      <w:pPr>
                        <w:pStyle w:val="12"/>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正</w:t>
                      </w:r>
                      <w:r>
                        <w:rPr>
                          <w:rFonts w:hint="eastAsia" w:ascii="方正仿宋_GB2312" w:hAnsi="方正仿宋_GB2312" w:eastAsia="方正仿宋_GB2312" w:cs="方正仿宋_GB2312"/>
                        </w:rPr>
                        <w:t>面）</w:t>
                      </w:r>
                    </w:p>
                  </w:txbxContent>
                </v:textbox>
                <w10:wrap type="topAndBottom"/>
              </v:shape>
            </w:pict>
          </mc:Fallback>
        </mc:AlternateContent>
      </w: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335530" cy="1239520"/>
                <wp:effectExtent l="4445" t="5080" r="22225" b="12700"/>
                <wp:wrapTopAndBottom/>
                <wp:docPr id="12" name="文本框 12"/>
                <wp:cNvGraphicFramePr/>
                <a:graphic xmlns:a="http://schemas.openxmlformats.org/drawingml/2006/main">
                  <a:graphicData uri="http://schemas.microsoft.com/office/word/2010/wordprocessingShape">
                    <wps:wsp>
                      <wps:cNvSpPr txBox="1"/>
                      <wps:spPr>
                        <a:xfrm>
                          <a:off x="0" y="0"/>
                          <a:ext cx="2335530" cy="1239520"/>
                        </a:xfrm>
                        <a:prstGeom prst="rect">
                          <a:avLst/>
                        </a:prstGeom>
                        <a:noFill/>
                        <a:ln w="9525" cap="flat" cmpd="sng">
                          <a:solidFill>
                            <a:srgbClr val="000000"/>
                          </a:solidFill>
                          <a:prstDash val="solid"/>
                          <a:miter/>
                          <a:headEnd type="none" w="med" len="med"/>
                          <a:tailEnd type="none" w="med" len="med"/>
                        </a:ln>
                      </wps:spPr>
                      <wps:txbx>
                        <w:txbxContent>
                          <w:p w14:paraId="6BC5717B">
                            <w:pPr>
                              <w:pStyle w:val="12"/>
                            </w:pPr>
                          </w:p>
                          <w:p w14:paraId="17FA13E4">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13C5ABE9">
                            <w:pPr>
                              <w:pStyle w:val="12"/>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97.6pt;width:183.9pt;mso-position-horizontal-relative:page;mso-wrap-distance-bottom:0pt;mso-wrap-distance-top:0pt;z-index:-251654144;mso-width-relative:page;mso-height-relative:page;" filled="f" stroked="t" coordsize="21600,21600" o:gfxdata="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fFIn3AAAAAsBAAAP&#10;AAAAAAAAAAEAIAAAACIAAABkcnMvZG93bnJldi54bWxQSwECFAAUAAAACACHTuJAceN6hhQCAAA0&#10;BAAADgAAAAAAAAABACAAAAArAQAAZHJzL2Uyb0RvYy54bWxQSwUGAAAAAAYABgBZAQAAsQUAAAAA&#10;">
                <v:fill on="f" focussize="0,0"/>
                <v:stroke color="#000000" joinstyle="miter"/>
                <v:imagedata o:title=""/>
                <o:lock v:ext="edit" aspectratio="f"/>
                <v:textbox inset="0mm,0mm,0mm,0mm">
                  <w:txbxContent>
                    <w:p w14:paraId="6BC5717B">
                      <w:pPr>
                        <w:pStyle w:val="12"/>
                      </w:pPr>
                    </w:p>
                    <w:p w14:paraId="17FA13E4">
                      <w:pPr>
                        <w:pStyle w:val="1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13C5ABE9">
                      <w:pPr>
                        <w:pStyle w:val="12"/>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7768A3E9">
      <w:pPr>
        <w:pStyle w:val="12"/>
        <w:tabs>
          <w:tab w:val="left" w:pos="1560"/>
          <w:tab w:val="left" w:pos="2040"/>
        </w:tabs>
        <w:spacing w:before="66"/>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rPr>
        <w:t>投标人</w:t>
      </w:r>
      <w:r>
        <w:rPr>
          <w:rFonts w:hint="eastAsia" w:ascii="宋体" w:hAnsi="宋体" w:eastAsia="宋体" w:cs="宋体"/>
          <w:color w:val="auto"/>
          <w:sz w:val="21"/>
          <w:szCs w:val="21"/>
          <w:highlight w:val="none"/>
        </w:rPr>
        <w:t>可自拟格式提供，但应与</w:t>
      </w:r>
      <w:r>
        <w:rPr>
          <w:rFonts w:hint="eastAsia" w:ascii="宋体" w:hAnsi="宋体" w:eastAsia="宋体" w:cs="宋体"/>
          <w:color w:val="auto"/>
          <w:sz w:val="21"/>
          <w:szCs w:val="21"/>
          <w:highlight w:val="none"/>
          <w:lang w:val="en-US"/>
        </w:rPr>
        <w:t>招标</w:t>
      </w:r>
      <w:r>
        <w:rPr>
          <w:rFonts w:hint="eastAsia" w:ascii="宋体" w:hAnsi="宋体" w:eastAsia="宋体" w:cs="宋体"/>
          <w:color w:val="auto"/>
          <w:sz w:val="21"/>
          <w:szCs w:val="21"/>
          <w:highlight w:val="none"/>
        </w:rPr>
        <w:t>文件提供的格式具备同等效力。</w:t>
      </w:r>
    </w:p>
    <w:p w14:paraId="59F1D4FF">
      <w:pPr>
        <w:rPr>
          <w:rFonts w:hint="eastAsia" w:ascii="宋体" w:hAnsi="宋体" w:eastAsia="宋体" w:cs="宋体"/>
          <w:b/>
          <w:bCs/>
          <w:color w:val="auto"/>
          <w:sz w:val="24"/>
          <w:highlight w:val="none"/>
        </w:rPr>
      </w:pPr>
      <w:bookmarkStart w:id="101" w:name="_Toc507399521"/>
      <w:r>
        <w:rPr>
          <w:rFonts w:hint="eastAsia" w:ascii="宋体" w:hAnsi="宋体" w:eastAsia="宋体" w:cs="宋体"/>
          <w:b/>
          <w:bCs/>
          <w:color w:val="auto"/>
          <w:sz w:val="24"/>
          <w:highlight w:val="none"/>
        </w:rPr>
        <w:br w:type="page"/>
      </w:r>
    </w:p>
    <w:bookmarkEnd w:id="101"/>
    <w:p w14:paraId="29E1839A">
      <w:pPr>
        <w:pStyle w:val="5"/>
        <w:bidi w:val="0"/>
        <w:rPr>
          <w:rFonts w:hint="eastAsia" w:ascii="宋体" w:hAnsi="宋体" w:eastAsia="宋体" w:cs="宋体"/>
          <w:color w:val="auto"/>
          <w:highlight w:val="none"/>
          <w:lang w:val="en-US" w:eastAsia="zh-CN"/>
        </w:rPr>
      </w:pPr>
      <w:bookmarkStart w:id="102" w:name="_Toc507399522"/>
      <w:r>
        <w:rPr>
          <w:rFonts w:hint="eastAsia" w:cs="宋体"/>
          <w:color w:val="auto"/>
          <w:highlight w:val="none"/>
          <w:lang w:val="en-US" w:eastAsia="zh-CN"/>
        </w:rPr>
        <w:t>2</w:t>
      </w:r>
      <w:r>
        <w:rPr>
          <w:rFonts w:hint="eastAsia" w:ascii="宋体" w:hAnsi="宋体" w:eastAsia="宋体" w:cs="宋体"/>
          <w:color w:val="auto"/>
          <w:highlight w:val="none"/>
          <w:lang w:val="en-US" w:eastAsia="zh-CN"/>
        </w:rPr>
        <w:t>-3</w:t>
      </w:r>
      <w:r>
        <w:rPr>
          <w:rFonts w:hint="eastAsia" w:ascii="宋体" w:hAnsi="宋体" w:eastAsia="宋体" w:cs="宋体"/>
          <w:color w:val="auto"/>
          <w:sz w:val="24"/>
          <w:highlight w:val="none"/>
        </w:rPr>
        <w:t>满足《中华人民共和国政府采购法》第二十二条规定</w:t>
      </w:r>
    </w:p>
    <w:p w14:paraId="2C23D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03" w:name="_Toc30497"/>
      <w:r>
        <w:rPr>
          <w:rFonts w:hint="eastAsia" w:ascii="宋体" w:hAnsi="宋体" w:eastAsia="宋体" w:cs="宋体"/>
          <w:color w:val="auto"/>
          <w:sz w:val="24"/>
          <w:szCs w:val="24"/>
          <w:highlight w:val="none"/>
          <w:lang w:val="en-US" w:eastAsia="zh-CN"/>
        </w:rPr>
        <w:t>（1）具有独立承担民事责任的能力（企业法人须提供“营业执照”、开户银行许可证；事业单位须提供“法人登记书”；军队单位不作要求；营业执照经营范围包含本次招标内容）；</w:t>
      </w:r>
    </w:p>
    <w:p w14:paraId="459B3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（2）具有良好的商业信誉和健全的财务会计制度（须提供2024年财务审计报告或本单位出具的财务报表，新成立单位提供成立至今任意</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个月财务报表</w:t>
      </w:r>
      <w:r>
        <w:rPr>
          <w:rFonts w:hint="eastAsia" w:ascii="宋体" w:hAnsi="宋体" w:cs="宋体"/>
          <w:color w:val="auto"/>
          <w:sz w:val="24"/>
          <w:szCs w:val="24"/>
          <w:highlight w:val="none"/>
          <w:lang w:val="en-US" w:eastAsia="zh-CN"/>
        </w:rPr>
        <w:t>，成立不满3个月的提供成立至今财务报表或情况说明</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提供相关证明材料或承诺函</w:t>
      </w:r>
      <w:r>
        <w:rPr>
          <w:rFonts w:hint="eastAsia" w:ascii="宋体" w:hAnsi="宋体" w:eastAsia="宋体" w:cs="宋体"/>
          <w:color w:val="auto"/>
          <w:sz w:val="24"/>
          <w:szCs w:val="24"/>
          <w:highlight w:val="none"/>
          <w:lang w:val="en-US" w:eastAsia="zh-CN"/>
        </w:rPr>
        <w:t>；</w:t>
      </w:r>
    </w:p>
    <w:p w14:paraId="41B57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（3）具有履行合同所必需的设备和专业技术能力（提供</w:t>
      </w:r>
      <w:r>
        <w:rPr>
          <w:rFonts w:hint="eastAsia" w:ascii="宋体" w:hAnsi="宋体" w:cs="宋体"/>
          <w:color w:val="auto"/>
          <w:sz w:val="24"/>
          <w:szCs w:val="24"/>
          <w:highlight w:val="none"/>
          <w:lang w:val="en-US" w:eastAsia="zh-CN"/>
        </w:rPr>
        <w:t>相关证明材料或承诺函</w:t>
      </w:r>
      <w:r>
        <w:rPr>
          <w:rFonts w:hint="eastAsia" w:ascii="宋体" w:hAnsi="宋体" w:eastAsia="宋体" w:cs="宋体"/>
          <w:color w:val="auto"/>
          <w:sz w:val="24"/>
          <w:szCs w:val="24"/>
          <w:highlight w:val="none"/>
          <w:lang w:val="en-US" w:eastAsia="zh-CN"/>
        </w:rPr>
        <w:t>）；</w:t>
      </w:r>
    </w:p>
    <w:p w14:paraId="59814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（4）有依法缴纳税收和社会保障资金的良好记录（提供2025年</w:t>
      </w:r>
      <w:r>
        <w:rPr>
          <w:rFonts w:hint="eastAsia" w:ascii="宋体" w:hAnsi="宋体" w:cs="宋体"/>
          <w:color w:val="auto"/>
          <w:sz w:val="24"/>
          <w:szCs w:val="24"/>
          <w:highlight w:val="none"/>
          <w:lang w:val="en-US" w:eastAsia="zh-CN"/>
        </w:rPr>
        <w:t>1月1日</w:t>
      </w:r>
      <w:r>
        <w:rPr>
          <w:rFonts w:hint="eastAsia" w:ascii="宋体" w:hAnsi="宋体" w:eastAsia="宋体" w:cs="宋体"/>
          <w:color w:val="auto"/>
          <w:sz w:val="24"/>
          <w:szCs w:val="24"/>
          <w:highlight w:val="none"/>
          <w:lang w:val="en-US" w:eastAsia="zh-CN"/>
        </w:rPr>
        <w:t>至今任意6个月依法缴纳税收凭证和缴纳社会保险的凭证，依法免税或不需要缴纳社会保障资金的投标人应提供</w:t>
      </w:r>
      <w:r>
        <w:rPr>
          <w:rFonts w:hint="eastAsia" w:ascii="宋体" w:hAnsi="宋体" w:cs="宋体"/>
          <w:color w:val="auto"/>
          <w:sz w:val="24"/>
          <w:szCs w:val="24"/>
          <w:highlight w:val="none"/>
          <w:lang w:val="en-US" w:eastAsia="zh-CN"/>
        </w:rPr>
        <w:t>相关证明材料或承诺函</w:t>
      </w:r>
      <w:r>
        <w:rPr>
          <w:rFonts w:hint="eastAsia" w:ascii="宋体" w:hAnsi="宋体" w:eastAsia="宋体" w:cs="宋体"/>
          <w:color w:val="auto"/>
          <w:sz w:val="24"/>
          <w:szCs w:val="24"/>
          <w:highlight w:val="none"/>
          <w:lang w:val="en-US" w:eastAsia="zh-CN"/>
        </w:rPr>
        <w:t>）；</w:t>
      </w:r>
    </w:p>
    <w:p w14:paraId="18482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（5）参加政府采购活动前三年内（不足三年按公司成立时起算），在经营活动中没有重大违法记录（</w:t>
      </w:r>
      <w:r>
        <w:rPr>
          <w:rFonts w:hint="eastAsia" w:ascii="宋体" w:hAnsi="宋体" w:cs="宋体"/>
          <w:color w:val="auto"/>
          <w:sz w:val="24"/>
          <w:szCs w:val="24"/>
          <w:highlight w:val="none"/>
          <w:lang w:val="en-US" w:eastAsia="zh-CN"/>
        </w:rPr>
        <w:t>投标人声明函</w:t>
      </w:r>
      <w:r>
        <w:rPr>
          <w:rFonts w:hint="eastAsia" w:ascii="宋体" w:hAnsi="宋体" w:eastAsia="宋体" w:cs="宋体"/>
          <w:color w:val="auto"/>
          <w:sz w:val="24"/>
          <w:szCs w:val="24"/>
          <w:highlight w:val="none"/>
          <w:lang w:val="en-US" w:eastAsia="zh-CN"/>
        </w:rPr>
        <w:t>）；</w:t>
      </w:r>
    </w:p>
    <w:p w14:paraId="5C913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lang w:val="en-US" w:eastAsia="zh-CN"/>
        </w:rPr>
        <w:t>（6）法律、行政法规规定的其他条件。</w:t>
      </w:r>
      <w:r>
        <w:rPr>
          <w:rFonts w:hint="eastAsia" w:ascii="宋体" w:hAnsi="宋体" w:eastAsia="宋体" w:cs="宋体"/>
          <w:b/>
          <w:bCs/>
          <w:color w:val="auto"/>
          <w:sz w:val="24"/>
          <w:highlight w:val="none"/>
        </w:rPr>
        <w:br w:type="page"/>
      </w:r>
    </w:p>
    <w:bookmarkEnd w:id="102"/>
    <w:bookmarkEnd w:id="103"/>
    <w:p w14:paraId="2DD145FD">
      <w:pPr>
        <w:pStyle w:val="5"/>
        <w:bidi w:val="0"/>
        <w:rPr>
          <w:rFonts w:hint="eastAsia" w:ascii="宋体" w:hAnsi="宋体" w:eastAsia="宋体" w:cs="宋体"/>
          <w:color w:val="auto"/>
          <w:highlight w:val="none"/>
        </w:rPr>
      </w:pPr>
      <w:bookmarkStart w:id="104" w:name="_Toc11968"/>
      <w:bookmarkStart w:id="105" w:name="_Toc99"/>
      <w:r>
        <w:rPr>
          <w:rFonts w:hint="eastAsia" w:cs="宋体"/>
          <w:color w:val="auto"/>
          <w:highlight w:val="none"/>
          <w:lang w:val="en-US" w:eastAsia="zh-CN"/>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投标人声明函</w:t>
      </w:r>
      <w:bookmarkEnd w:id="104"/>
      <w:bookmarkEnd w:id="105"/>
    </w:p>
    <w:p w14:paraId="333C3AED">
      <w:pPr>
        <w:pStyle w:val="12"/>
        <w:ind w:left="730" w:leftChars="304" w:right="994" w:rightChars="414"/>
        <w:rPr>
          <w:rFonts w:hint="eastAsia" w:ascii="宋体" w:hAnsi="宋体" w:eastAsia="宋体" w:cs="宋体"/>
          <w:bCs/>
          <w:color w:val="auto"/>
          <w:sz w:val="21"/>
          <w:szCs w:val="21"/>
          <w:highlight w:val="none"/>
          <w:lang w:val="en-US"/>
        </w:rPr>
      </w:pPr>
      <w:bookmarkStart w:id="106" w:name="_Toc507399526"/>
      <w:r>
        <w:rPr>
          <w:rFonts w:hint="eastAsia" w:ascii="宋体" w:hAnsi="宋体" w:eastAsia="宋体" w:cs="宋体"/>
          <w:bCs/>
          <w:color w:val="auto"/>
          <w:sz w:val="21"/>
          <w:szCs w:val="21"/>
          <w:highlight w:val="none"/>
          <w:lang w:val="en-US"/>
        </w:rPr>
        <w:t xml:space="preserve">    </w:t>
      </w:r>
    </w:p>
    <w:p w14:paraId="1CE3619A">
      <w:pPr>
        <w:pStyle w:val="12"/>
        <w:spacing w:line="440" w:lineRule="exact"/>
        <w:rPr>
          <w:rFonts w:hint="eastAsia" w:ascii="宋体" w:hAnsi="宋体" w:eastAsia="宋体" w:cs="宋体"/>
          <w:bCs/>
          <w:color w:val="auto"/>
          <w:highlight w:val="none"/>
          <w:lang w:val="en-US"/>
        </w:rPr>
      </w:pPr>
      <w:r>
        <w:rPr>
          <w:rFonts w:hint="eastAsia" w:ascii="宋体" w:hAnsi="宋体" w:eastAsia="宋体" w:cs="宋体"/>
          <w:bCs/>
          <w:color w:val="auto"/>
          <w:highlight w:val="none"/>
          <w:lang w:val="en-US"/>
        </w:rPr>
        <w:t>致：</w:t>
      </w:r>
      <w:r>
        <w:rPr>
          <w:rFonts w:hint="eastAsia" w:ascii="宋体" w:hAnsi="宋体" w:eastAsia="宋体" w:cs="宋体"/>
          <w:bCs/>
          <w:color w:val="auto"/>
          <w:highlight w:val="none"/>
          <w:u w:val="single"/>
          <w:lang w:val="en-US"/>
        </w:rPr>
        <w:t>采购人/采购代理机构</w:t>
      </w:r>
    </w:p>
    <w:p w14:paraId="3C6453C3">
      <w:pPr>
        <w:pStyle w:val="12"/>
        <w:spacing w:line="440" w:lineRule="exact"/>
        <w:rPr>
          <w:rFonts w:hint="eastAsia" w:ascii="宋体" w:hAnsi="宋体" w:eastAsia="宋体" w:cs="宋体"/>
          <w:b/>
          <w:color w:val="auto"/>
          <w:highlight w:val="none"/>
        </w:rPr>
      </w:pPr>
    </w:p>
    <w:p w14:paraId="2FDB09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w:t>
      </w:r>
      <w:r>
        <w:rPr>
          <w:rFonts w:hint="eastAsia" w:ascii="宋体" w:hAnsi="宋体" w:eastAsia="宋体" w:cs="宋体"/>
          <w:b w:val="0"/>
          <w:bCs w:val="0"/>
          <w:color w:val="auto"/>
          <w:sz w:val="24"/>
          <w:highlight w:val="none"/>
        </w:rPr>
        <w:t>单位郑重承诺：</w:t>
      </w:r>
    </w:p>
    <w:p w14:paraId="5EE64957">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spacing w:val="-1"/>
          <w:highlight w:val="none"/>
          <w:lang w:val="en-US" w:eastAsia="zh-CN"/>
        </w:rPr>
        <w:t>.</w:t>
      </w:r>
      <w:r>
        <w:rPr>
          <w:rFonts w:hint="eastAsia" w:ascii="宋体" w:hAnsi="宋体" w:eastAsia="宋体" w:cs="宋体"/>
          <w:color w:val="auto"/>
          <w:spacing w:val="-1"/>
          <w:highlight w:val="none"/>
        </w:rPr>
        <w:t>我单位参与采购活动前三年内在经营活动中没有因违法经营受到刑事处罚或者</w:t>
      </w:r>
      <w:r>
        <w:rPr>
          <w:rFonts w:hint="eastAsia" w:ascii="宋体" w:hAnsi="宋体" w:eastAsia="宋体" w:cs="宋体"/>
          <w:color w:val="auto"/>
          <w:spacing w:val="-8"/>
          <w:highlight w:val="none"/>
        </w:rPr>
        <w:t>责令停产停业、吊销许可证或者执照、较大数额罚款等行政处罚</w:t>
      </w:r>
      <w:r>
        <w:rPr>
          <w:rFonts w:hint="eastAsia" w:ascii="宋体" w:hAnsi="宋体" w:eastAsia="宋体" w:cs="宋体"/>
          <w:color w:val="auto"/>
          <w:spacing w:val="-8"/>
          <w:highlight w:val="none"/>
          <w:lang w:eastAsia="zh-CN"/>
        </w:rPr>
        <w:t>（</w:t>
      </w:r>
      <w:r>
        <w:rPr>
          <w:rFonts w:hint="eastAsia" w:ascii="宋体" w:hAnsi="宋体" w:eastAsia="宋体" w:cs="宋体"/>
          <w:color w:val="auto"/>
          <w:spacing w:val="-2"/>
          <w:highlight w:val="none"/>
        </w:rPr>
        <w:t>如果因违法经营被禁</w:t>
      </w:r>
      <w:r>
        <w:rPr>
          <w:rFonts w:hint="eastAsia" w:ascii="宋体" w:hAnsi="宋体" w:eastAsia="宋体" w:cs="宋体"/>
          <w:color w:val="auto"/>
          <w:highlight w:val="none"/>
        </w:rPr>
        <w:t>止在一定期限内参加政府采购活动，期限已经届满</w:t>
      </w:r>
      <w:r>
        <w:rPr>
          <w:rFonts w:hint="eastAsia" w:ascii="宋体" w:hAnsi="宋体" w:eastAsia="宋体" w:cs="宋体"/>
          <w:color w:val="auto"/>
          <w:highlight w:val="none"/>
          <w:lang w:eastAsia="zh-CN"/>
        </w:rPr>
        <w:t>。）</w:t>
      </w:r>
    </w:p>
    <w:p w14:paraId="78046B81">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我单位具有履行合同所必需的专业技术能力，并在规定工作时间内有能力调配较强工作力量，按时保质完成相关工作任务。</w:t>
      </w:r>
    </w:p>
    <w:p w14:paraId="46513996">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我单位不存在单位负责人为同一人同时参加本项目投标的情况。</w:t>
      </w:r>
    </w:p>
    <w:p w14:paraId="6351BAE4">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我单位不存在直接控股、管理关系的不同投标人同时参与本项目投标的情况。</w:t>
      </w:r>
    </w:p>
    <w:p w14:paraId="6E0190D7">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我单位不存在为采购项目提供整体设计、规范编制或者项目管理、监理、检测等服务后，再参加该采购项目的其他采购活动的情形。</w:t>
      </w:r>
    </w:p>
    <w:p w14:paraId="54CA7F3C">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我单位在投标过程中，不存在向采购人提供、给予任何有价值的物品，试图影响其正常决策的行为。</w:t>
      </w:r>
    </w:p>
    <w:p w14:paraId="6EEE0304">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我单位严格遵守国家及行业相关用工标准，做到合理合法用工。</w:t>
      </w:r>
    </w:p>
    <w:p w14:paraId="0CFDBEC1">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本项目所有岗位涉及工作人员在提供服务过程中，经采购人评价不具备工作能力的，我单位将无条件调换。</w:t>
      </w:r>
    </w:p>
    <w:p w14:paraId="557E7181">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若采购人、采购代理机构在本项目采购过程中发现我单位存在违反上述承诺的事项，我单位将自动失去在本项目的成交资格，并承担因此引起的一切后果及虚假投标责任。</w:t>
      </w:r>
    </w:p>
    <w:p w14:paraId="185D6A9D">
      <w:pPr>
        <w:pStyle w:val="12"/>
        <w:spacing w:line="440" w:lineRule="exact"/>
        <w:rPr>
          <w:rFonts w:hint="eastAsia" w:ascii="宋体" w:hAnsi="宋体" w:eastAsia="宋体" w:cs="宋体"/>
          <w:color w:val="auto"/>
          <w:highlight w:val="none"/>
        </w:rPr>
      </w:pPr>
    </w:p>
    <w:p w14:paraId="1DECCBDD">
      <w:pPr>
        <w:pStyle w:val="12"/>
        <w:spacing w:line="440" w:lineRule="exact"/>
        <w:rPr>
          <w:rFonts w:hint="eastAsia" w:ascii="宋体" w:hAnsi="宋体" w:eastAsia="宋体" w:cs="宋体"/>
          <w:color w:val="auto"/>
          <w:highlight w:val="none"/>
        </w:rPr>
      </w:pPr>
    </w:p>
    <w:p w14:paraId="4E67E0A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496866D6">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3CC8FFD1">
      <w:pPr>
        <w:pStyle w:val="4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666A1520">
      <w:pPr>
        <w:pStyle w:val="12"/>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实际情况如与上述承诺内容不符的，请如实说明，不得虚假承诺）</w:t>
      </w:r>
    </w:p>
    <w:p w14:paraId="252413A7">
      <w:pPr>
        <w:spacing w:line="440" w:lineRule="exact"/>
        <w:jc w:val="left"/>
        <w:rPr>
          <w:rFonts w:hint="eastAsia" w:ascii="宋体" w:hAnsi="宋体" w:eastAsia="宋体" w:cs="宋体"/>
          <w:color w:val="auto"/>
          <w:sz w:val="24"/>
          <w:highlight w:val="none"/>
        </w:rPr>
        <w:sectPr>
          <w:type w:val="continuous"/>
          <w:pgSz w:w="11910" w:h="16850"/>
          <w:pgMar w:top="1417" w:right="1417" w:bottom="1417" w:left="1417" w:header="720" w:footer="720" w:gutter="0"/>
          <w:pgBorders>
            <w:top w:val="none" w:sz="0" w:space="0"/>
            <w:left w:val="none" w:sz="0" w:space="0"/>
            <w:bottom w:val="none" w:sz="0" w:space="0"/>
            <w:right w:val="none" w:sz="0" w:space="0"/>
          </w:pgBorders>
          <w:pgNumType w:fmt="decimal"/>
          <w:cols w:space="720" w:num="1"/>
        </w:sectPr>
      </w:pPr>
    </w:p>
    <w:p w14:paraId="6D25582A">
      <w:pPr>
        <w:pStyle w:val="5"/>
        <w:bidi w:val="0"/>
        <w:rPr>
          <w:rFonts w:hint="eastAsia" w:ascii="宋体" w:hAnsi="宋体" w:eastAsia="宋体" w:cs="宋体"/>
          <w:color w:val="auto"/>
          <w:highlight w:val="none"/>
        </w:rPr>
      </w:pPr>
      <w:bookmarkStart w:id="107" w:name="_Toc23406"/>
      <w:bookmarkStart w:id="108" w:name="_Toc312"/>
      <w:r>
        <w:rPr>
          <w:rFonts w:hint="eastAsia" w:cs="宋体"/>
          <w:color w:val="auto"/>
          <w:highlight w:val="none"/>
          <w:lang w:val="en-US" w:eastAsia="zh-CN"/>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虚假应标承担责任声明</w:t>
      </w:r>
      <w:bookmarkEnd w:id="107"/>
      <w:bookmarkEnd w:id="108"/>
    </w:p>
    <w:p w14:paraId="7ACBCE7C">
      <w:pPr>
        <w:bidi w:val="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致：</w:t>
      </w:r>
      <w:r>
        <w:rPr>
          <w:rFonts w:hint="eastAsia" w:ascii="宋体" w:hAnsi="宋体" w:eastAsia="宋体" w:cs="宋体"/>
          <w:b w:val="0"/>
          <w:bCs w:val="0"/>
          <w:color w:val="auto"/>
          <w:sz w:val="24"/>
          <w:szCs w:val="24"/>
          <w:highlight w:val="none"/>
          <w:u w:val="single"/>
        </w:rPr>
        <w:t>采购人</w:t>
      </w:r>
      <w:r>
        <w:rPr>
          <w:rFonts w:hint="eastAsia" w:ascii="宋体" w:hAnsi="宋体" w:eastAsia="宋体" w:cs="宋体"/>
          <w:b w:val="0"/>
          <w:bCs w:val="0"/>
          <w:color w:val="auto"/>
          <w:sz w:val="24"/>
          <w:szCs w:val="24"/>
          <w:highlight w:val="none"/>
          <w:u w:val="single"/>
          <w:lang w:val="en-US"/>
        </w:rPr>
        <w:t>/采购代理机构</w:t>
      </w:r>
    </w:p>
    <w:p w14:paraId="0621BE43">
      <w:pPr>
        <w:pStyle w:val="12"/>
        <w:spacing w:before="9"/>
        <w:ind w:right="-106" w:rightChars="-44"/>
        <w:rPr>
          <w:rFonts w:hint="eastAsia" w:ascii="宋体" w:hAnsi="宋体" w:eastAsia="宋体" w:cs="宋体"/>
          <w:b/>
          <w:color w:val="auto"/>
          <w:highlight w:val="none"/>
        </w:rPr>
      </w:pPr>
    </w:p>
    <w:p w14:paraId="62886E3D">
      <w:pPr>
        <w:pStyle w:val="12"/>
        <w:spacing w:before="67" w:line="360" w:lineRule="auto"/>
        <w:ind w:right="-106"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w:t>
      </w:r>
      <w:r>
        <w:rPr>
          <w:rFonts w:hint="eastAsia" w:ascii="宋体" w:hAnsi="宋体" w:eastAsia="宋体" w:cs="宋体"/>
          <w:color w:val="auto"/>
          <w:spacing w:val="-3"/>
          <w:highlight w:val="none"/>
          <w:lang w:val="en-US"/>
        </w:rPr>
        <w:t>投标</w:t>
      </w:r>
      <w:r>
        <w:rPr>
          <w:rFonts w:hint="eastAsia" w:ascii="宋体" w:hAnsi="宋体" w:eastAsia="宋体" w:cs="宋体"/>
          <w:color w:val="auto"/>
          <w:spacing w:val="-3"/>
          <w:highlight w:val="none"/>
        </w:rPr>
        <w:t>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w:t>
      </w:r>
      <w:r>
        <w:rPr>
          <w:rFonts w:hint="eastAsia" w:ascii="宋体" w:hAnsi="宋体" w:eastAsia="宋体" w:cs="宋体"/>
          <w:color w:val="auto"/>
          <w:spacing w:val="-6"/>
          <w:highlight w:val="none"/>
          <w:lang w:val="en-US"/>
        </w:rPr>
        <w:t>中标</w:t>
      </w:r>
      <w:r>
        <w:rPr>
          <w:rFonts w:hint="eastAsia" w:ascii="宋体" w:hAnsi="宋体" w:eastAsia="宋体" w:cs="宋体"/>
          <w:color w:val="auto"/>
          <w:spacing w:val="-6"/>
          <w:highlight w:val="none"/>
        </w:rPr>
        <w:t>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w:t>
      </w:r>
      <w:r>
        <w:rPr>
          <w:rFonts w:hint="eastAsia" w:ascii="宋体" w:hAnsi="宋体" w:eastAsia="宋体" w:cs="宋体"/>
          <w:color w:val="auto"/>
          <w:spacing w:val="-2"/>
          <w:highlight w:val="none"/>
          <w:lang w:val="en-US"/>
        </w:rPr>
        <w:t>货物</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w:t>
      </w:r>
      <w:r>
        <w:rPr>
          <w:rFonts w:hint="eastAsia" w:ascii="宋体" w:hAnsi="宋体" w:eastAsia="宋体" w:cs="宋体"/>
          <w:color w:val="auto"/>
          <w:spacing w:val="-5"/>
          <w:highlight w:val="none"/>
          <w:lang w:val="en-US"/>
        </w:rPr>
        <w:t>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文件（虚假材料</w:t>
      </w:r>
      <w:r>
        <w:rPr>
          <w:rFonts w:hint="eastAsia" w:ascii="宋体" w:hAnsi="宋体" w:eastAsia="宋体" w:cs="宋体"/>
          <w:color w:val="auto"/>
          <w:spacing w:val="-120"/>
          <w:highlight w:val="none"/>
        </w:rPr>
        <w:t>）</w:t>
      </w:r>
      <w:r>
        <w:rPr>
          <w:rFonts w:hint="eastAsia" w:ascii="宋体" w:hAnsi="宋体" w:eastAsia="宋体" w:cs="宋体"/>
          <w:color w:val="auto"/>
          <w:spacing w:val="-120"/>
          <w:highlight w:val="none"/>
          <w:lang w:val="en-US"/>
        </w:rPr>
        <w:t xml:space="preserve">   ）</w:t>
      </w:r>
      <w:r>
        <w:rPr>
          <w:rFonts w:hint="eastAsia" w:ascii="宋体" w:hAnsi="宋体" w:eastAsia="宋体" w:cs="宋体"/>
          <w:color w:val="auto"/>
          <w:highlight w:val="none"/>
        </w:rPr>
        <w:t>），我公司愿意承担一切法律责任并认可采购人或采购代理机构作出的取消</w:t>
      </w:r>
      <w:r>
        <w:rPr>
          <w:rFonts w:hint="eastAsia" w:ascii="宋体" w:hAnsi="宋体" w:eastAsia="宋体" w:cs="宋体"/>
          <w:color w:val="auto"/>
          <w:highlight w:val="none"/>
          <w:lang w:val="en-US"/>
        </w:rPr>
        <w:t>中标</w:t>
      </w:r>
      <w:r>
        <w:rPr>
          <w:rFonts w:hint="eastAsia" w:ascii="宋体" w:hAnsi="宋体" w:eastAsia="宋体" w:cs="宋体"/>
          <w:color w:val="auto"/>
          <w:highlight w:val="none"/>
        </w:rPr>
        <w:t>资格、罚没保证金等决定。</w:t>
      </w:r>
    </w:p>
    <w:p w14:paraId="3E530BA8">
      <w:pPr>
        <w:pStyle w:val="12"/>
        <w:spacing w:line="360" w:lineRule="auto"/>
        <w:ind w:right="-106"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288EC242">
      <w:pPr>
        <w:pStyle w:val="12"/>
        <w:spacing w:line="360" w:lineRule="auto"/>
        <w:ind w:right="-106" w:rightChars="-44"/>
        <w:rPr>
          <w:rFonts w:hint="eastAsia" w:ascii="宋体" w:hAnsi="宋体" w:eastAsia="宋体" w:cs="宋体"/>
          <w:color w:val="auto"/>
          <w:sz w:val="21"/>
          <w:szCs w:val="21"/>
          <w:highlight w:val="none"/>
        </w:rPr>
      </w:pPr>
    </w:p>
    <w:p w14:paraId="417FF8E5">
      <w:pPr>
        <w:pStyle w:val="12"/>
        <w:ind w:right="-106" w:rightChars="-44"/>
        <w:rPr>
          <w:rFonts w:hint="eastAsia" w:ascii="宋体" w:hAnsi="宋体" w:eastAsia="宋体" w:cs="宋体"/>
          <w:color w:val="auto"/>
          <w:sz w:val="21"/>
          <w:szCs w:val="21"/>
          <w:highlight w:val="none"/>
        </w:rPr>
      </w:pPr>
    </w:p>
    <w:p w14:paraId="66F45E12">
      <w:pPr>
        <w:pStyle w:val="12"/>
        <w:ind w:right="-106" w:rightChars="-44"/>
        <w:rPr>
          <w:rFonts w:hint="eastAsia" w:ascii="宋体" w:hAnsi="宋体" w:eastAsia="宋体" w:cs="宋体"/>
          <w:color w:val="auto"/>
          <w:sz w:val="21"/>
          <w:szCs w:val="21"/>
          <w:highlight w:val="none"/>
        </w:rPr>
      </w:pPr>
    </w:p>
    <w:p w14:paraId="5C504D6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3BB51DA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5750C75D">
      <w:pPr>
        <w:pStyle w:val="4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367827DD">
      <w:pPr>
        <w:pStyle w:val="12"/>
        <w:spacing w:line="360" w:lineRule="auto"/>
        <w:rPr>
          <w:rFonts w:hint="eastAsia" w:ascii="宋体" w:hAnsi="宋体" w:eastAsia="宋体" w:cs="宋体"/>
          <w:color w:val="auto"/>
          <w:highlight w:val="none"/>
        </w:rPr>
      </w:pPr>
    </w:p>
    <w:p w14:paraId="3E3FF951">
      <w:pPr>
        <w:pStyle w:val="12"/>
        <w:spacing w:line="360" w:lineRule="auto"/>
        <w:rPr>
          <w:rFonts w:hint="eastAsia" w:ascii="宋体" w:hAnsi="宋体" w:eastAsia="宋体" w:cs="宋体"/>
          <w:color w:val="auto"/>
          <w:highlight w:val="none"/>
        </w:rPr>
      </w:pPr>
    </w:p>
    <w:p w14:paraId="0B0F538B">
      <w:pPr>
        <w:pStyle w:val="12"/>
        <w:tabs>
          <w:tab w:val="left" w:pos="1560"/>
          <w:tab w:val="left" w:pos="2040"/>
        </w:tabs>
        <w:spacing w:before="66"/>
        <w:ind w:right="-106" w:rightChars="-44"/>
        <w:rPr>
          <w:rFonts w:hint="eastAsia" w:ascii="宋体" w:hAnsi="宋体" w:eastAsia="宋体" w:cs="宋体"/>
          <w:color w:val="auto"/>
          <w:sz w:val="21"/>
          <w:szCs w:val="21"/>
          <w:highlight w:val="none"/>
        </w:rPr>
      </w:pPr>
    </w:p>
    <w:p w14:paraId="6E7288B9">
      <w:pPr>
        <w:pStyle w:val="44"/>
        <w:spacing w:line="360" w:lineRule="auto"/>
        <w:ind w:right="-106" w:rightChars="-44"/>
        <w:jc w:val="both"/>
        <w:rPr>
          <w:rFonts w:hint="eastAsia" w:ascii="宋体" w:hAnsi="宋体" w:eastAsia="宋体" w:cs="宋体"/>
          <w:b/>
          <w:color w:val="auto"/>
          <w:sz w:val="24"/>
          <w:szCs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1AE48A4">
      <w:pPr>
        <w:pStyle w:val="5"/>
        <w:bidi w:val="0"/>
        <w:rPr>
          <w:rFonts w:hint="eastAsia" w:ascii="宋体" w:hAnsi="宋体" w:eastAsia="宋体" w:cs="宋体"/>
          <w:color w:val="auto"/>
          <w:highlight w:val="none"/>
          <w:lang w:val="en-US" w:eastAsia="zh-CN"/>
        </w:rPr>
      </w:pPr>
      <w:bookmarkStart w:id="109" w:name="_Toc23872"/>
      <w:bookmarkStart w:id="110" w:name="_Toc5327"/>
      <w:r>
        <w:rPr>
          <w:rFonts w:hint="eastAsia" w:cs="宋体"/>
          <w:color w:val="auto"/>
          <w:highlight w:val="none"/>
          <w:lang w:val="en-US" w:eastAsia="zh-CN"/>
        </w:rPr>
        <w:t>2</w:t>
      </w:r>
      <w:r>
        <w:rPr>
          <w:rFonts w:hint="eastAsia" w:ascii="宋体" w:hAnsi="宋体" w:eastAsia="宋体" w:cs="宋体"/>
          <w:color w:val="auto"/>
          <w:highlight w:val="none"/>
          <w:lang w:val="en-US" w:eastAsia="zh-CN"/>
        </w:rPr>
        <w:t>-6投标人须知前附表要求的其他资格证明文件</w:t>
      </w:r>
      <w:bookmarkEnd w:id="109"/>
      <w:bookmarkEnd w:id="110"/>
    </w:p>
    <w:p w14:paraId="165605AE">
      <w:pPr>
        <w:pStyle w:val="12"/>
        <w:spacing w:before="12"/>
        <w:rPr>
          <w:rFonts w:hint="eastAsia" w:ascii="宋体" w:hAnsi="宋体" w:eastAsia="宋体" w:cs="宋体"/>
          <w:b/>
          <w:color w:val="auto"/>
          <w:highlight w:val="none"/>
        </w:rPr>
      </w:pPr>
    </w:p>
    <w:p w14:paraId="7741DA23">
      <w:pPr>
        <w:pStyle w:val="12"/>
        <w:autoSpaceDE w:val="0"/>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w:t>
      </w:r>
    </w:p>
    <w:p w14:paraId="47519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位负责人为同一人或者存在直接控股、管理关系的不同投标人，不得参加同一合同项目的政府采购活动。除单一来源采购项目外，为采购项目提供整体设计、规范编制或者项目管理、监理、检测等服务的投标人，不得再参加该采购项目的其他采购活动。（投标人声明函）</w:t>
      </w:r>
    </w:p>
    <w:p w14:paraId="529CFF3A">
      <w:pPr>
        <w:pStyle w:val="46"/>
        <w:tabs>
          <w:tab w:val="left" w:pos="1322"/>
        </w:tabs>
        <w:autoSpaceDE w:val="0"/>
        <w:autoSpaceDN w:val="0"/>
        <w:adjustRightInd w:val="0"/>
        <w:snapToGrid w:val="0"/>
        <w:spacing w:line="360" w:lineRule="auto"/>
        <w:ind w:left="0" w:lef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供应商未被中国政府采购网（www.ccgp.gov.cn）列入政府采购严重违法失信行为记录名单，未被“信用中国”（www.creditchina.gov.cn）列入失信被执行人和重大税收违法失信主体，未被国家企业信用信息公示系统（www.gsxt.gov.cn）列入严重违法失信名单。</w:t>
      </w:r>
      <w:r>
        <w:rPr>
          <w:rFonts w:hint="eastAsia" w:ascii="宋体" w:hAnsi="宋体" w:cs="宋体"/>
          <w:color w:val="auto"/>
          <w:sz w:val="24"/>
          <w:highlight w:val="none"/>
          <w:lang w:val="en-US" w:eastAsia="zh-CN"/>
        </w:rPr>
        <w:t>（提供查询截图）</w:t>
      </w:r>
    </w:p>
    <w:p w14:paraId="15EBAD0F">
      <w:pPr>
        <w:pStyle w:val="46"/>
        <w:tabs>
          <w:tab w:val="left" w:pos="1322"/>
        </w:tabs>
        <w:autoSpaceDE w:val="0"/>
        <w:autoSpaceDN w:val="0"/>
        <w:adjustRightInd w:val="0"/>
        <w:snapToGrid w:val="0"/>
        <w:spacing w:line="360" w:lineRule="auto"/>
        <w:ind w:firstLine="696" w:firstLineChars="29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（3）标项4、标项5、标项6供应商须具备有效的《食品经营许可证》或《食品生产许可证》或食品安全监督管理部门备案证明。</w:t>
      </w:r>
    </w:p>
    <w:p w14:paraId="354E8861">
      <w:pPr>
        <w:pStyle w:val="46"/>
        <w:tabs>
          <w:tab w:val="left" w:pos="1322"/>
        </w:tabs>
        <w:autoSpaceDE w:val="0"/>
        <w:autoSpaceDN w:val="0"/>
        <w:adjustRightInd w:val="0"/>
        <w:snapToGrid w:val="0"/>
        <w:spacing w:line="360" w:lineRule="auto"/>
        <w:ind w:firstLine="696" w:firstLineChars="290"/>
        <w:jc w:val="left"/>
        <w:rPr>
          <w:rFonts w:hint="eastAsia" w:ascii="宋体" w:hAnsi="宋体" w:eastAsia="宋体" w:cs="宋体"/>
          <w:color w:val="auto"/>
          <w:sz w:val="24"/>
          <w:highlight w:val="none"/>
        </w:rPr>
      </w:pPr>
    </w:p>
    <w:p w14:paraId="455B3014">
      <w:pPr>
        <w:pStyle w:val="46"/>
        <w:tabs>
          <w:tab w:val="left" w:pos="1322"/>
        </w:tabs>
        <w:autoSpaceDE w:val="0"/>
        <w:autoSpaceDN w:val="0"/>
        <w:adjustRightInd w:val="0"/>
        <w:snapToGrid w:val="0"/>
        <w:spacing w:line="360" w:lineRule="auto"/>
        <w:ind w:firstLine="696" w:firstLineChars="290"/>
        <w:jc w:val="left"/>
        <w:rPr>
          <w:rFonts w:hint="eastAsia" w:ascii="宋体" w:hAnsi="宋体" w:eastAsia="宋体" w:cs="宋体"/>
          <w:color w:val="auto"/>
          <w:sz w:val="24"/>
          <w:highlight w:val="none"/>
        </w:rPr>
      </w:pPr>
    </w:p>
    <w:p w14:paraId="4E513633">
      <w:pPr>
        <w:pStyle w:val="46"/>
        <w:tabs>
          <w:tab w:val="left" w:pos="1322"/>
        </w:tabs>
        <w:autoSpaceDE w:val="0"/>
        <w:autoSpaceDN w:val="0"/>
        <w:adjustRightInd w:val="0"/>
        <w:snapToGrid w:val="0"/>
        <w:spacing w:line="360" w:lineRule="auto"/>
        <w:ind w:firstLine="696" w:firstLineChars="290"/>
        <w:jc w:val="left"/>
        <w:rPr>
          <w:rFonts w:hint="eastAsia" w:ascii="宋体" w:hAnsi="宋体" w:eastAsia="宋体" w:cs="宋体"/>
          <w:color w:val="auto"/>
          <w:sz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B29336A">
      <w:pPr>
        <w:pStyle w:val="4"/>
        <w:bidi w:val="0"/>
        <w:rPr>
          <w:rFonts w:hint="eastAsia" w:ascii="宋体" w:hAnsi="宋体" w:eastAsia="宋体" w:cs="宋体"/>
          <w:color w:val="auto"/>
          <w:highlight w:val="none"/>
        </w:rPr>
      </w:pPr>
      <w:bookmarkStart w:id="111" w:name="_Toc31491"/>
      <w:bookmarkStart w:id="112" w:name="_Toc22438"/>
      <w:bookmarkStart w:id="113" w:name="_Toc6977"/>
      <w:bookmarkStart w:id="114" w:name="_Toc22532"/>
      <w:r>
        <w:rPr>
          <w:rFonts w:hint="eastAsia"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综合情况</w:t>
      </w:r>
      <w:bookmarkEnd w:id="111"/>
      <w:bookmarkEnd w:id="112"/>
      <w:bookmarkEnd w:id="113"/>
      <w:bookmarkEnd w:id="114"/>
      <w:r>
        <w:rPr>
          <w:rFonts w:hint="eastAsia" w:ascii="宋体" w:hAnsi="宋体" w:eastAsia="宋体" w:cs="宋体"/>
          <w:color w:val="auto"/>
          <w:highlight w:val="none"/>
        </w:rPr>
        <w:t xml:space="preserve"> </w:t>
      </w:r>
    </w:p>
    <w:p w14:paraId="371FAE83">
      <w:pPr>
        <w:pStyle w:val="5"/>
        <w:bidi w:val="0"/>
        <w:rPr>
          <w:rFonts w:hint="eastAsia" w:ascii="宋体" w:hAnsi="宋体" w:eastAsia="宋体" w:cs="宋体"/>
          <w:b/>
          <w:color w:val="auto"/>
          <w:highlight w:val="none"/>
        </w:rPr>
      </w:pPr>
      <w:bookmarkStart w:id="115" w:name="_Toc5632"/>
      <w:bookmarkStart w:id="116" w:name="_Toc11568"/>
      <w:r>
        <w:rPr>
          <w:rFonts w:hint="eastAsia" w:cs="宋体"/>
          <w:bCs w:val="0"/>
          <w:color w:val="auto"/>
          <w:highlight w:val="none"/>
          <w:lang w:val="en-US" w:eastAsia="zh-CN"/>
        </w:rPr>
        <w:t>3</w:t>
      </w:r>
      <w:r>
        <w:rPr>
          <w:rFonts w:hint="eastAsia" w:ascii="宋体" w:hAnsi="宋体" w:eastAsia="宋体" w:cs="宋体"/>
          <w:bCs w:val="0"/>
          <w:color w:val="auto"/>
          <w:highlight w:val="none"/>
          <w:lang w:val="en-US" w:eastAsia="zh-CN"/>
        </w:rPr>
        <w:t xml:space="preserve">-1 </w:t>
      </w:r>
      <w:r>
        <w:rPr>
          <w:rFonts w:hint="eastAsia" w:ascii="宋体" w:hAnsi="宋体" w:eastAsia="宋体" w:cs="宋体"/>
          <w:color w:val="auto"/>
          <w:highlight w:val="none"/>
          <w:lang w:val="en-US"/>
        </w:rPr>
        <w:t>投标</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综合情况一览表</w:t>
      </w:r>
      <w:bookmarkEnd w:id="115"/>
      <w:bookmarkEnd w:id="116"/>
    </w:p>
    <w:tbl>
      <w:tblPr>
        <w:tblStyle w:val="30"/>
        <w:tblW w:w="98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31"/>
        <w:gridCol w:w="1095"/>
        <w:gridCol w:w="1920"/>
        <w:gridCol w:w="1115"/>
        <w:gridCol w:w="95"/>
        <w:gridCol w:w="1363"/>
        <w:gridCol w:w="727"/>
        <w:gridCol w:w="1571"/>
      </w:tblGrid>
      <w:tr w14:paraId="410342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31" w:type="dxa"/>
            <w:tcBorders>
              <w:bottom w:val="single" w:color="000000" w:sz="6" w:space="0"/>
              <w:right w:val="single" w:color="000000" w:sz="6" w:space="0"/>
            </w:tcBorders>
          </w:tcPr>
          <w:p w14:paraId="5707D7E8">
            <w:pPr>
              <w:pStyle w:val="62"/>
              <w:spacing w:before="153"/>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w:t>
            </w:r>
          </w:p>
        </w:tc>
        <w:tc>
          <w:tcPr>
            <w:tcW w:w="7886" w:type="dxa"/>
            <w:gridSpan w:val="7"/>
            <w:tcBorders>
              <w:left w:val="single" w:color="000000" w:sz="6" w:space="0"/>
              <w:bottom w:val="single" w:color="000000" w:sz="6" w:space="0"/>
            </w:tcBorders>
          </w:tcPr>
          <w:p w14:paraId="5BADA133">
            <w:pPr>
              <w:pStyle w:val="62"/>
              <w:spacing w:before="153"/>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w:t>
            </w:r>
          </w:p>
        </w:tc>
      </w:tr>
      <w:tr w14:paraId="2A4180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31" w:type="dxa"/>
            <w:tcBorders>
              <w:top w:val="single" w:color="000000" w:sz="6" w:space="0"/>
              <w:bottom w:val="single" w:color="000000" w:sz="6" w:space="0"/>
              <w:right w:val="single" w:color="000000" w:sz="6" w:space="0"/>
            </w:tcBorders>
          </w:tcPr>
          <w:p w14:paraId="63F8E7C9">
            <w:pPr>
              <w:pStyle w:val="62"/>
              <w:spacing w:before="148"/>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4225" w:type="dxa"/>
            <w:gridSpan w:val="4"/>
            <w:tcBorders>
              <w:top w:val="single" w:color="000000" w:sz="6" w:space="0"/>
              <w:left w:val="single" w:color="000000" w:sz="6" w:space="0"/>
              <w:bottom w:val="single" w:color="000000" w:sz="6" w:space="0"/>
              <w:right w:val="single" w:color="000000" w:sz="6" w:space="0"/>
            </w:tcBorders>
          </w:tcPr>
          <w:p w14:paraId="7369BDB2">
            <w:pPr>
              <w:pStyle w:val="62"/>
              <w:rPr>
                <w:rFonts w:hint="eastAsia" w:ascii="宋体" w:hAnsi="宋体" w:eastAsia="宋体" w:cs="宋体"/>
                <w:color w:val="auto"/>
                <w:szCs w:val="21"/>
                <w:highlight w:val="none"/>
              </w:rPr>
            </w:pPr>
          </w:p>
        </w:tc>
        <w:tc>
          <w:tcPr>
            <w:tcW w:w="1363" w:type="dxa"/>
            <w:tcBorders>
              <w:top w:val="single" w:color="000000" w:sz="6" w:space="0"/>
              <w:left w:val="single" w:color="000000" w:sz="6" w:space="0"/>
              <w:bottom w:val="single" w:color="000000" w:sz="6" w:space="0"/>
              <w:right w:val="single" w:color="000000" w:sz="6" w:space="0"/>
            </w:tcBorders>
          </w:tcPr>
          <w:p w14:paraId="7BB05E43">
            <w:pPr>
              <w:pStyle w:val="62"/>
              <w:spacing w:before="148"/>
              <w:ind w:left="11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298" w:type="dxa"/>
            <w:gridSpan w:val="2"/>
            <w:tcBorders>
              <w:top w:val="single" w:color="000000" w:sz="6" w:space="0"/>
              <w:left w:val="single" w:color="000000" w:sz="6" w:space="0"/>
              <w:bottom w:val="single" w:color="000000" w:sz="6" w:space="0"/>
            </w:tcBorders>
          </w:tcPr>
          <w:p w14:paraId="0228A61D">
            <w:pPr>
              <w:pStyle w:val="62"/>
              <w:rPr>
                <w:rFonts w:hint="eastAsia" w:ascii="宋体" w:hAnsi="宋体" w:eastAsia="宋体" w:cs="宋体"/>
                <w:color w:val="auto"/>
                <w:szCs w:val="21"/>
                <w:highlight w:val="none"/>
              </w:rPr>
            </w:pPr>
          </w:p>
        </w:tc>
      </w:tr>
      <w:tr w14:paraId="393CEF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31" w:type="dxa"/>
            <w:vMerge w:val="restart"/>
            <w:tcBorders>
              <w:top w:val="single" w:color="000000" w:sz="6" w:space="0"/>
              <w:bottom w:val="single" w:color="000000" w:sz="6" w:space="0"/>
              <w:right w:val="single" w:color="000000" w:sz="6" w:space="0"/>
            </w:tcBorders>
          </w:tcPr>
          <w:p w14:paraId="5ACC6827">
            <w:pPr>
              <w:pStyle w:val="62"/>
              <w:spacing w:before="10"/>
              <w:rPr>
                <w:rFonts w:hint="eastAsia" w:ascii="宋体" w:hAnsi="宋体" w:eastAsia="宋体" w:cs="宋体"/>
                <w:b/>
                <w:color w:val="auto"/>
                <w:szCs w:val="21"/>
                <w:highlight w:val="none"/>
              </w:rPr>
            </w:pPr>
          </w:p>
          <w:p w14:paraId="3C163C8A">
            <w:pPr>
              <w:pStyle w:val="62"/>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1095" w:type="dxa"/>
            <w:tcBorders>
              <w:top w:val="single" w:color="000000" w:sz="6" w:space="0"/>
              <w:left w:val="single" w:color="000000" w:sz="6" w:space="0"/>
              <w:bottom w:val="single" w:color="000000" w:sz="6" w:space="0"/>
              <w:right w:val="single" w:color="000000" w:sz="6" w:space="0"/>
            </w:tcBorders>
          </w:tcPr>
          <w:p w14:paraId="071542D4">
            <w:pPr>
              <w:pStyle w:val="62"/>
              <w:spacing w:before="143"/>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3130" w:type="dxa"/>
            <w:gridSpan w:val="3"/>
            <w:tcBorders>
              <w:top w:val="single" w:color="000000" w:sz="6" w:space="0"/>
              <w:left w:val="single" w:color="000000" w:sz="6" w:space="0"/>
              <w:bottom w:val="single" w:color="000000" w:sz="6" w:space="0"/>
              <w:right w:val="single" w:color="000000" w:sz="6" w:space="0"/>
            </w:tcBorders>
          </w:tcPr>
          <w:p w14:paraId="3C181DCF">
            <w:pPr>
              <w:pStyle w:val="62"/>
              <w:rPr>
                <w:rFonts w:hint="eastAsia" w:ascii="宋体" w:hAnsi="宋体" w:eastAsia="宋体" w:cs="宋体"/>
                <w:color w:val="auto"/>
                <w:szCs w:val="21"/>
                <w:highlight w:val="none"/>
              </w:rPr>
            </w:pPr>
          </w:p>
        </w:tc>
        <w:tc>
          <w:tcPr>
            <w:tcW w:w="1363" w:type="dxa"/>
            <w:tcBorders>
              <w:top w:val="single" w:color="000000" w:sz="6" w:space="0"/>
              <w:left w:val="single" w:color="000000" w:sz="6" w:space="0"/>
              <w:bottom w:val="single" w:color="000000" w:sz="6" w:space="0"/>
              <w:right w:val="single" w:color="000000" w:sz="6" w:space="0"/>
            </w:tcBorders>
          </w:tcPr>
          <w:p w14:paraId="054C96CF">
            <w:pPr>
              <w:pStyle w:val="62"/>
              <w:spacing w:before="143"/>
              <w:ind w:left="11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298" w:type="dxa"/>
            <w:gridSpan w:val="2"/>
            <w:tcBorders>
              <w:top w:val="single" w:color="000000" w:sz="6" w:space="0"/>
              <w:left w:val="single" w:color="000000" w:sz="6" w:space="0"/>
              <w:bottom w:val="single" w:color="000000" w:sz="6" w:space="0"/>
            </w:tcBorders>
          </w:tcPr>
          <w:p w14:paraId="5B4D40EC">
            <w:pPr>
              <w:pStyle w:val="62"/>
              <w:rPr>
                <w:rFonts w:hint="eastAsia" w:ascii="宋体" w:hAnsi="宋体" w:eastAsia="宋体" w:cs="宋体"/>
                <w:color w:val="auto"/>
                <w:szCs w:val="21"/>
                <w:highlight w:val="none"/>
              </w:rPr>
            </w:pPr>
          </w:p>
        </w:tc>
      </w:tr>
      <w:tr w14:paraId="5C215D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31" w:type="dxa"/>
            <w:vMerge w:val="continue"/>
            <w:tcBorders>
              <w:top w:val="nil"/>
              <w:bottom w:val="single" w:color="000000" w:sz="6" w:space="0"/>
              <w:right w:val="single" w:color="000000" w:sz="6" w:space="0"/>
            </w:tcBorders>
          </w:tcPr>
          <w:p w14:paraId="2DE60DDA">
            <w:pPr>
              <w:rPr>
                <w:rFonts w:hint="eastAsia" w:ascii="宋体" w:hAnsi="宋体" w:eastAsia="宋体" w:cs="宋体"/>
                <w:color w:val="auto"/>
                <w:szCs w:val="21"/>
                <w:highlight w:val="none"/>
              </w:rPr>
            </w:pPr>
          </w:p>
        </w:tc>
        <w:tc>
          <w:tcPr>
            <w:tcW w:w="1095" w:type="dxa"/>
            <w:tcBorders>
              <w:top w:val="single" w:color="000000" w:sz="6" w:space="0"/>
              <w:left w:val="single" w:color="000000" w:sz="6" w:space="0"/>
              <w:bottom w:val="single" w:color="000000" w:sz="6" w:space="0"/>
              <w:right w:val="single" w:color="000000" w:sz="6" w:space="0"/>
            </w:tcBorders>
          </w:tcPr>
          <w:p w14:paraId="5F83DF2F">
            <w:pPr>
              <w:pStyle w:val="62"/>
              <w:spacing w:before="151"/>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130" w:type="dxa"/>
            <w:gridSpan w:val="3"/>
            <w:tcBorders>
              <w:top w:val="single" w:color="000000" w:sz="6" w:space="0"/>
              <w:left w:val="single" w:color="000000" w:sz="6" w:space="0"/>
              <w:bottom w:val="single" w:color="000000" w:sz="6" w:space="0"/>
              <w:right w:val="single" w:color="000000" w:sz="6" w:space="0"/>
            </w:tcBorders>
          </w:tcPr>
          <w:p w14:paraId="0E4D56F9">
            <w:pPr>
              <w:pStyle w:val="62"/>
              <w:rPr>
                <w:rFonts w:hint="eastAsia" w:ascii="宋体" w:hAnsi="宋体" w:eastAsia="宋体" w:cs="宋体"/>
                <w:color w:val="auto"/>
                <w:szCs w:val="21"/>
                <w:highlight w:val="none"/>
              </w:rPr>
            </w:pPr>
          </w:p>
        </w:tc>
        <w:tc>
          <w:tcPr>
            <w:tcW w:w="1363" w:type="dxa"/>
            <w:tcBorders>
              <w:top w:val="single" w:color="000000" w:sz="6" w:space="0"/>
              <w:left w:val="single" w:color="000000" w:sz="6" w:space="0"/>
              <w:bottom w:val="single" w:color="000000" w:sz="6" w:space="0"/>
              <w:right w:val="single" w:color="000000" w:sz="6" w:space="0"/>
            </w:tcBorders>
          </w:tcPr>
          <w:p w14:paraId="02C9A66F">
            <w:pPr>
              <w:pStyle w:val="62"/>
              <w:spacing w:before="151"/>
              <w:ind w:left="11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w:t>
            </w:r>
          </w:p>
        </w:tc>
        <w:tc>
          <w:tcPr>
            <w:tcW w:w="2298" w:type="dxa"/>
            <w:gridSpan w:val="2"/>
            <w:tcBorders>
              <w:top w:val="single" w:color="000000" w:sz="6" w:space="0"/>
              <w:left w:val="single" w:color="000000" w:sz="6" w:space="0"/>
              <w:bottom w:val="single" w:color="000000" w:sz="6" w:space="0"/>
            </w:tcBorders>
          </w:tcPr>
          <w:p w14:paraId="369FD256">
            <w:pPr>
              <w:pStyle w:val="62"/>
              <w:rPr>
                <w:rFonts w:hint="eastAsia" w:ascii="宋体" w:hAnsi="宋体" w:eastAsia="宋体" w:cs="宋体"/>
                <w:color w:val="auto"/>
                <w:szCs w:val="21"/>
                <w:highlight w:val="none"/>
              </w:rPr>
            </w:pPr>
          </w:p>
        </w:tc>
      </w:tr>
      <w:tr w14:paraId="1D5155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31" w:type="dxa"/>
            <w:tcBorders>
              <w:top w:val="single" w:color="000000" w:sz="6" w:space="0"/>
              <w:bottom w:val="single" w:color="000000" w:sz="6" w:space="0"/>
              <w:right w:val="single" w:color="000000" w:sz="6" w:space="0"/>
            </w:tcBorders>
          </w:tcPr>
          <w:p w14:paraId="735429D8">
            <w:pPr>
              <w:pStyle w:val="62"/>
              <w:spacing w:before="151"/>
              <w:ind w:left="107" w:right="-44"/>
              <w:rPr>
                <w:rFonts w:hint="eastAsia" w:ascii="宋体" w:hAnsi="宋体" w:eastAsia="宋体" w:cs="宋体"/>
                <w:color w:val="auto"/>
                <w:szCs w:val="21"/>
                <w:highlight w:val="none"/>
              </w:rPr>
            </w:pPr>
            <w:r>
              <w:rPr>
                <w:rFonts w:hint="eastAsia" w:ascii="宋体" w:hAnsi="宋体" w:eastAsia="宋体" w:cs="宋体"/>
                <w:color w:val="auto"/>
                <w:spacing w:val="-8"/>
                <w:szCs w:val="21"/>
                <w:highlight w:val="none"/>
              </w:rPr>
              <w:t>隶属情况</w:t>
            </w:r>
            <w:r>
              <w:rPr>
                <w:rFonts w:hint="eastAsia" w:ascii="宋体" w:hAnsi="宋体" w:eastAsia="宋体" w:cs="宋体"/>
                <w:color w:val="auto"/>
                <w:szCs w:val="21"/>
                <w:highlight w:val="none"/>
              </w:rPr>
              <w:t>（如有）</w:t>
            </w:r>
          </w:p>
        </w:tc>
        <w:tc>
          <w:tcPr>
            <w:tcW w:w="7886" w:type="dxa"/>
            <w:gridSpan w:val="7"/>
            <w:tcBorders>
              <w:top w:val="single" w:color="000000" w:sz="6" w:space="0"/>
              <w:left w:val="single" w:color="000000" w:sz="6" w:space="0"/>
              <w:bottom w:val="single" w:color="000000" w:sz="6" w:space="0"/>
            </w:tcBorders>
          </w:tcPr>
          <w:p w14:paraId="2CFD8A29">
            <w:pPr>
              <w:pStyle w:val="62"/>
              <w:spacing w:before="151"/>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阐明隶属及组织机构情况</w:t>
            </w:r>
          </w:p>
        </w:tc>
      </w:tr>
      <w:tr w14:paraId="54932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31" w:type="dxa"/>
            <w:tcBorders>
              <w:top w:val="single" w:color="000000" w:sz="6" w:space="0"/>
              <w:bottom w:val="single" w:color="000000" w:sz="6" w:space="0"/>
              <w:right w:val="single" w:color="000000" w:sz="6" w:space="0"/>
            </w:tcBorders>
          </w:tcPr>
          <w:p w14:paraId="1EF88535">
            <w:pPr>
              <w:pStyle w:val="62"/>
              <w:spacing w:before="151"/>
              <w:ind w:left="107" w:right="-44"/>
              <w:rPr>
                <w:rFonts w:hint="eastAsia" w:ascii="宋体" w:hAnsi="宋体" w:eastAsia="宋体" w:cs="宋体"/>
                <w:color w:val="auto"/>
                <w:szCs w:val="21"/>
                <w:highlight w:val="none"/>
              </w:rPr>
            </w:pPr>
            <w:r>
              <w:rPr>
                <w:rFonts w:hint="eastAsia" w:ascii="宋体" w:hAnsi="宋体" w:eastAsia="宋体" w:cs="宋体"/>
                <w:color w:val="auto"/>
                <w:spacing w:val="-8"/>
                <w:szCs w:val="21"/>
                <w:highlight w:val="none"/>
              </w:rPr>
              <w:t>控股情况</w:t>
            </w:r>
            <w:r>
              <w:rPr>
                <w:rFonts w:hint="eastAsia" w:ascii="宋体" w:hAnsi="宋体" w:eastAsia="宋体" w:cs="宋体"/>
                <w:color w:val="auto"/>
                <w:szCs w:val="21"/>
                <w:highlight w:val="none"/>
              </w:rPr>
              <w:t>（如有）</w:t>
            </w:r>
          </w:p>
        </w:tc>
        <w:tc>
          <w:tcPr>
            <w:tcW w:w="7886" w:type="dxa"/>
            <w:gridSpan w:val="7"/>
            <w:tcBorders>
              <w:top w:val="single" w:color="000000" w:sz="6" w:space="0"/>
              <w:left w:val="single" w:color="000000" w:sz="6" w:space="0"/>
              <w:bottom w:val="single" w:color="000000" w:sz="6" w:space="0"/>
            </w:tcBorders>
          </w:tcPr>
          <w:p w14:paraId="64CFA6D2">
            <w:pPr>
              <w:pStyle w:val="62"/>
              <w:spacing w:before="151"/>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阐明控股和被控股情况</w:t>
            </w:r>
          </w:p>
        </w:tc>
      </w:tr>
      <w:tr w14:paraId="2A779E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31" w:type="dxa"/>
            <w:tcBorders>
              <w:top w:val="single" w:color="000000" w:sz="6" w:space="0"/>
              <w:bottom w:val="single" w:color="000000" w:sz="6" w:space="0"/>
              <w:right w:val="single" w:color="000000" w:sz="6" w:space="0"/>
            </w:tcBorders>
          </w:tcPr>
          <w:p w14:paraId="20F3E670">
            <w:pPr>
              <w:pStyle w:val="62"/>
              <w:spacing w:before="141"/>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7886" w:type="dxa"/>
            <w:gridSpan w:val="7"/>
            <w:tcBorders>
              <w:top w:val="single" w:color="000000" w:sz="6" w:space="0"/>
              <w:left w:val="single" w:color="000000" w:sz="6" w:space="0"/>
              <w:bottom w:val="single" w:color="000000" w:sz="6" w:space="0"/>
            </w:tcBorders>
          </w:tcPr>
          <w:p w14:paraId="47E7E0F5">
            <w:pPr>
              <w:pStyle w:val="62"/>
              <w:rPr>
                <w:rFonts w:hint="eastAsia" w:ascii="宋体" w:hAnsi="宋体" w:eastAsia="宋体" w:cs="宋体"/>
                <w:color w:val="auto"/>
                <w:szCs w:val="21"/>
                <w:highlight w:val="none"/>
              </w:rPr>
            </w:pPr>
          </w:p>
        </w:tc>
      </w:tr>
      <w:tr w14:paraId="1DC9A6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31" w:type="dxa"/>
            <w:tcBorders>
              <w:top w:val="single" w:color="000000" w:sz="6" w:space="0"/>
              <w:bottom w:val="single" w:color="000000" w:sz="6" w:space="0"/>
              <w:right w:val="single" w:color="000000" w:sz="6" w:space="0"/>
            </w:tcBorders>
          </w:tcPr>
          <w:p w14:paraId="44AF9FBC">
            <w:pPr>
              <w:pStyle w:val="62"/>
              <w:spacing w:before="155"/>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简介</w:t>
            </w:r>
          </w:p>
        </w:tc>
        <w:tc>
          <w:tcPr>
            <w:tcW w:w="7886" w:type="dxa"/>
            <w:gridSpan w:val="7"/>
            <w:tcBorders>
              <w:top w:val="single" w:color="000000" w:sz="6" w:space="0"/>
              <w:left w:val="single" w:color="000000" w:sz="6" w:space="0"/>
              <w:bottom w:val="single" w:color="000000" w:sz="6" w:space="0"/>
            </w:tcBorders>
          </w:tcPr>
          <w:p w14:paraId="13F72F2A">
            <w:pPr>
              <w:pStyle w:val="62"/>
              <w:spacing w:line="307" w:lineRule="exact"/>
              <w:ind w:left="115" w:right="-58"/>
              <w:rPr>
                <w:rFonts w:hint="eastAsia" w:ascii="宋体" w:hAnsi="宋体" w:eastAsia="宋体" w:cs="宋体"/>
                <w:color w:val="auto"/>
                <w:szCs w:val="21"/>
                <w:highlight w:val="none"/>
              </w:rPr>
            </w:pPr>
            <w:r>
              <w:rPr>
                <w:rFonts w:hint="eastAsia" w:ascii="宋体" w:hAnsi="宋体" w:eastAsia="宋体" w:cs="宋体"/>
                <w:color w:val="auto"/>
                <w:spacing w:val="-16"/>
                <w:szCs w:val="21"/>
                <w:highlight w:val="none"/>
              </w:rPr>
              <w:t>包括但不限于：企业经营范围、发展历程、经营业绩、获奖情况、</w:t>
            </w:r>
            <w:r>
              <w:rPr>
                <w:rFonts w:hint="eastAsia" w:ascii="宋体" w:hAnsi="宋体" w:eastAsia="宋体" w:cs="宋体"/>
                <w:color w:val="auto"/>
                <w:szCs w:val="21"/>
                <w:highlight w:val="none"/>
              </w:rPr>
              <w:t>财务状况、人力资源等。（可另附页）</w:t>
            </w:r>
          </w:p>
        </w:tc>
      </w:tr>
      <w:tr w14:paraId="2D7BC4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31" w:type="dxa"/>
            <w:tcBorders>
              <w:top w:val="single" w:color="000000" w:sz="6" w:space="0"/>
              <w:bottom w:val="single" w:color="000000" w:sz="6" w:space="0"/>
              <w:right w:val="single" w:color="000000" w:sz="6" w:space="0"/>
            </w:tcBorders>
          </w:tcPr>
          <w:p w14:paraId="133AA2CB">
            <w:pPr>
              <w:pStyle w:val="62"/>
              <w:spacing w:before="144"/>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095" w:type="dxa"/>
            <w:tcBorders>
              <w:top w:val="single" w:color="000000" w:sz="6" w:space="0"/>
              <w:left w:val="single" w:color="000000" w:sz="6" w:space="0"/>
              <w:bottom w:val="single" w:color="000000" w:sz="6" w:space="0"/>
              <w:right w:val="single" w:color="000000" w:sz="6" w:space="0"/>
            </w:tcBorders>
          </w:tcPr>
          <w:p w14:paraId="2DB870BA">
            <w:pPr>
              <w:pStyle w:val="62"/>
              <w:spacing w:before="144"/>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920" w:type="dxa"/>
            <w:tcBorders>
              <w:top w:val="single" w:color="000000" w:sz="6" w:space="0"/>
              <w:left w:val="single" w:color="000000" w:sz="6" w:space="0"/>
              <w:bottom w:val="single" w:color="000000" w:sz="6" w:space="0"/>
              <w:right w:val="single" w:color="000000" w:sz="6" w:space="0"/>
            </w:tcBorders>
          </w:tcPr>
          <w:p w14:paraId="646955F1">
            <w:pPr>
              <w:pStyle w:val="62"/>
              <w:rPr>
                <w:rFonts w:hint="eastAsia" w:ascii="宋体" w:hAnsi="宋体" w:eastAsia="宋体" w:cs="宋体"/>
                <w:color w:val="auto"/>
                <w:szCs w:val="21"/>
                <w:highlight w:val="none"/>
              </w:rPr>
            </w:pPr>
          </w:p>
        </w:tc>
        <w:tc>
          <w:tcPr>
            <w:tcW w:w="1210" w:type="dxa"/>
            <w:gridSpan w:val="2"/>
            <w:tcBorders>
              <w:top w:val="single" w:color="000000" w:sz="6" w:space="0"/>
              <w:left w:val="single" w:color="000000" w:sz="6" w:space="0"/>
              <w:bottom w:val="single" w:color="000000" w:sz="6" w:space="0"/>
              <w:right w:val="single" w:color="000000" w:sz="6" w:space="0"/>
            </w:tcBorders>
          </w:tcPr>
          <w:p w14:paraId="25590AC9">
            <w:pPr>
              <w:pStyle w:val="62"/>
              <w:spacing w:before="144"/>
              <w:ind w:left="116"/>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363" w:type="dxa"/>
            <w:tcBorders>
              <w:top w:val="single" w:color="000000" w:sz="6" w:space="0"/>
              <w:left w:val="single" w:color="000000" w:sz="6" w:space="0"/>
              <w:bottom w:val="single" w:color="000000" w:sz="6" w:space="0"/>
              <w:right w:val="single" w:color="000000" w:sz="6" w:space="0"/>
            </w:tcBorders>
          </w:tcPr>
          <w:p w14:paraId="15C10748">
            <w:pPr>
              <w:pStyle w:val="62"/>
              <w:rPr>
                <w:rFonts w:hint="eastAsia" w:ascii="宋体" w:hAnsi="宋体" w:eastAsia="宋体" w:cs="宋体"/>
                <w:color w:val="auto"/>
                <w:szCs w:val="21"/>
                <w:highlight w:val="none"/>
              </w:rPr>
            </w:pPr>
          </w:p>
        </w:tc>
        <w:tc>
          <w:tcPr>
            <w:tcW w:w="727" w:type="dxa"/>
            <w:tcBorders>
              <w:top w:val="single" w:color="000000" w:sz="6" w:space="0"/>
              <w:left w:val="single" w:color="000000" w:sz="6" w:space="0"/>
              <w:bottom w:val="single" w:color="000000" w:sz="6" w:space="0"/>
              <w:right w:val="single" w:color="000000" w:sz="6" w:space="0"/>
            </w:tcBorders>
          </w:tcPr>
          <w:p w14:paraId="30B1E8F8">
            <w:pPr>
              <w:pStyle w:val="62"/>
              <w:spacing w:before="144"/>
              <w:ind w:right="104"/>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571" w:type="dxa"/>
            <w:tcBorders>
              <w:top w:val="single" w:color="000000" w:sz="6" w:space="0"/>
              <w:left w:val="single" w:color="000000" w:sz="6" w:space="0"/>
              <w:bottom w:val="single" w:color="000000" w:sz="6" w:space="0"/>
            </w:tcBorders>
          </w:tcPr>
          <w:p w14:paraId="3D192578">
            <w:pPr>
              <w:pStyle w:val="62"/>
              <w:rPr>
                <w:rFonts w:hint="eastAsia" w:ascii="宋体" w:hAnsi="宋体" w:eastAsia="宋体" w:cs="宋体"/>
                <w:color w:val="auto"/>
                <w:szCs w:val="21"/>
                <w:highlight w:val="none"/>
              </w:rPr>
            </w:pPr>
          </w:p>
        </w:tc>
      </w:tr>
      <w:tr w14:paraId="5E25D2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31" w:type="dxa"/>
            <w:tcBorders>
              <w:top w:val="single" w:color="000000" w:sz="6" w:space="0"/>
              <w:bottom w:val="single" w:color="000000" w:sz="6" w:space="0"/>
              <w:right w:val="single" w:color="000000" w:sz="6" w:space="0"/>
            </w:tcBorders>
          </w:tcPr>
          <w:p w14:paraId="6D7309C1">
            <w:pPr>
              <w:pStyle w:val="62"/>
              <w:spacing w:before="158"/>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095" w:type="dxa"/>
            <w:tcBorders>
              <w:top w:val="single" w:color="000000" w:sz="6" w:space="0"/>
              <w:left w:val="single" w:color="000000" w:sz="6" w:space="0"/>
              <w:bottom w:val="single" w:color="000000" w:sz="6" w:space="0"/>
              <w:right w:val="single" w:color="000000" w:sz="6" w:space="0"/>
            </w:tcBorders>
          </w:tcPr>
          <w:p w14:paraId="533AF987">
            <w:pPr>
              <w:pStyle w:val="62"/>
              <w:spacing w:before="158"/>
              <w:ind w:left="1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920" w:type="dxa"/>
            <w:tcBorders>
              <w:top w:val="single" w:color="000000" w:sz="6" w:space="0"/>
              <w:left w:val="single" w:color="000000" w:sz="6" w:space="0"/>
              <w:bottom w:val="single" w:color="000000" w:sz="6" w:space="0"/>
              <w:right w:val="single" w:color="000000" w:sz="6" w:space="0"/>
            </w:tcBorders>
          </w:tcPr>
          <w:p w14:paraId="468CFAFB">
            <w:pPr>
              <w:pStyle w:val="62"/>
              <w:rPr>
                <w:rFonts w:hint="eastAsia" w:ascii="宋体" w:hAnsi="宋体" w:eastAsia="宋体" w:cs="宋体"/>
                <w:color w:val="auto"/>
                <w:szCs w:val="21"/>
                <w:highlight w:val="none"/>
              </w:rPr>
            </w:pPr>
          </w:p>
        </w:tc>
        <w:tc>
          <w:tcPr>
            <w:tcW w:w="1210" w:type="dxa"/>
            <w:gridSpan w:val="2"/>
            <w:tcBorders>
              <w:top w:val="single" w:color="000000" w:sz="6" w:space="0"/>
              <w:left w:val="single" w:color="000000" w:sz="6" w:space="0"/>
              <w:bottom w:val="single" w:color="000000" w:sz="6" w:space="0"/>
              <w:right w:val="single" w:color="000000" w:sz="6" w:space="0"/>
            </w:tcBorders>
          </w:tcPr>
          <w:p w14:paraId="28C36222">
            <w:pPr>
              <w:pStyle w:val="62"/>
              <w:spacing w:before="158"/>
              <w:ind w:left="116"/>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363" w:type="dxa"/>
            <w:tcBorders>
              <w:top w:val="single" w:color="000000" w:sz="6" w:space="0"/>
              <w:left w:val="single" w:color="000000" w:sz="6" w:space="0"/>
              <w:bottom w:val="single" w:color="000000" w:sz="6" w:space="0"/>
              <w:right w:val="single" w:color="000000" w:sz="6" w:space="0"/>
            </w:tcBorders>
          </w:tcPr>
          <w:p w14:paraId="351B56F6">
            <w:pPr>
              <w:pStyle w:val="62"/>
              <w:rPr>
                <w:rFonts w:hint="eastAsia" w:ascii="宋体" w:hAnsi="宋体" w:eastAsia="宋体" w:cs="宋体"/>
                <w:color w:val="auto"/>
                <w:szCs w:val="21"/>
                <w:highlight w:val="none"/>
              </w:rPr>
            </w:pPr>
          </w:p>
        </w:tc>
        <w:tc>
          <w:tcPr>
            <w:tcW w:w="727" w:type="dxa"/>
            <w:tcBorders>
              <w:top w:val="single" w:color="000000" w:sz="6" w:space="0"/>
              <w:left w:val="single" w:color="000000" w:sz="6" w:space="0"/>
              <w:bottom w:val="single" w:color="000000" w:sz="6" w:space="0"/>
              <w:right w:val="single" w:color="000000" w:sz="6" w:space="0"/>
            </w:tcBorders>
          </w:tcPr>
          <w:p w14:paraId="2EF70E37">
            <w:pPr>
              <w:pStyle w:val="62"/>
              <w:spacing w:before="158"/>
              <w:ind w:right="104"/>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571" w:type="dxa"/>
            <w:tcBorders>
              <w:top w:val="single" w:color="000000" w:sz="6" w:space="0"/>
              <w:left w:val="single" w:color="000000" w:sz="6" w:space="0"/>
              <w:bottom w:val="single" w:color="000000" w:sz="6" w:space="0"/>
            </w:tcBorders>
          </w:tcPr>
          <w:p w14:paraId="16C0EAB1">
            <w:pPr>
              <w:pStyle w:val="62"/>
              <w:rPr>
                <w:rFonts w:hint="eastAsia" w:ascii="宋体" w:hAnsi="宋体" w:eastAsia="宋体" w:cs="宋体"/>
                <w:color w:val="auto"/>
                <w:szCs w:val="21"/>
                <w:highlight w:val="none"/>
              </w:rPr>
            </w:pPr>
          </w:p>
        </w:tc>
      </w:tr>
      <w:tr w14:paraId="5DB5FE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31" w:type="dxa"/>
            <w:tcBorders>
              <w:top w:val="single" w:color="000000" w:sz="6" w:space="0"/>
              <w:bottom w:val="single" w:color="000000" w:sz="6" w:space="0"/>
              <w:right w:val="single" w:color="000000" w:sz="6" w:space="0"/>
            </w:tcBorders>
          </w:tcPr>
          <w:p w14:paraId="683BAEEA">
            <w:pPr>
              <w:pStyle w:val="62"/>
              <w:spacing w:before="151"/>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3015" w:type="dxa"/>
            <w:gridSpan w:val="2"/>
            <w:tcBorders>
              <w:top w:val="single" w:color="000000" w:sz="6" w:space="0"/>
              <w:left w:val="single" w:color="000000" w:sz="6" w:space="0"/>
              <w:bottom w:val="single" w:color="000000" w:sz="6" w:space="0"/>
              <w:right w:val="single" w:color="000000" w:sz="6" w:space="0"/>
            </w:tcBorders>
          </w:tcPr>
          <w:p w14:paraId="653B9C4A">
            <w:pPr>
              <w:pStyle w:val="62"/>
              <w:rPr>
                <w:rFonts w:hint="eastAsia" w:ascii="宋体" w:hAnsi="宋体" w:eastAsia="宋体" w:cs="宋体"/>
                <w:color w:val="auto"/>
                <w:szCs w:val="21"/>
                <w:highlight w:val="none"/>
              </w:rPr>
            </w:pPr>
          </w:p>
        </w:tc>
        <w:tc>
          <w:tcPr>
            <w:tcW w:w="4871" w:type="dxa"/>
            <w:gridSpan w:val="5"/>
            <w:tcBorders>
              <w:top w:val="single" w:color="000000" w:sz="6" w:space="0"/>
              <w:left w:val="single" w:color="000000" w:sz="6" w:space="0"/>
              <w:bottom w:val="single" w:color="000000" w:sz="6" w:space="0"/>
            </w:tcBorders>
          </w:tcPr>
          <w:p w14:paraId="0D65859C">
            <w:pPr>
              <w:pStyle w:val="62"/>
              <w:spacing w:before="151"/>
              <w:ind w:left="116"/>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0DA310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31" w:type="dxa"/>
            <w:tcBorders>
              <w:top w:val="single" w:color="000000" w:sz="6" w:space="0"/>
              <w:bottom w:val="single" w:color="000000" w:sz="6" w:space="0"/>
              <w:right w:val="single" w:color="000000" w:sz="6" w:space="0"/>
            </w:tcBorders>
          </w:tcPr>
          <w:p w14:paraId="4148DC52">
            <w:pPr>
              <w:pStyle w:val="62"/>
              <w:spacing w:before="151"/>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3015" w:type="dxa"/>
            <w:gridSpan w:val="2"/>
            <w:tcBorders>
              <w:top w:val="single" w:color="000000" w:sz="6" w:space="0"/>
              <w:left w:val="single" w:color="000000" w:sz="6" w:space="0"/>
              <w:bottom w:val="single" w:color="000000" w:sz="6" w:space="0"/>
              <w:right w:val="single" w:color="000000" w:sz="6" w:space="0"/>
            </w:tcBorders>
          </w:tcPr>
          <w:p w14:paraId="0DBEA4E6">
            <w:pPr>
              <w:pStyle w:val="62"/>
              <w:rPr>
                <w:rFonts w:hint="eastAsia" w:ascii="宋体" w:hAnsi="宋体" w:eastAsia="宋体" w:cs="宋体"/>
                <w:color w:val="auto"/>
                <w:szCs w:val="21"/>
                <w:highlight w:val="none"/>
              </w:rPr>
            </w:pPr>
          </w:p>
        </w:tc>
        <w:tc>
          <w:tcPr>
            <w:tcW w:w="1115" w:type="dxa"/>
            <w:vMerge w:val="restart"/>
            <w:tcBorders>
              <w:top w:val="single" w:color="000000" w:sz="6" w:space="0"/>
              <w:left w:val="single" w:color="000000" w:sz="6" w:space="0"/>
              <w:bottom w:val="single" w:color="000000" w:sz="6" w:space="0"/>
              <w:right w:val="single" w:color="000000" w:sz="6" w:space="0"/>
            </w:tcBorders>
          </w:tcPr>
          <w:p w14:paraId="755DF7D7">
            <w:pPr>
              <w:pStyle w:val="62"/>
              <w:rPr>
                <w:rFonts w:hint="eastAsia" w:ascii="宋体" w:hAnsi="宋体" w:eastAsia="宋体" w:cs="宋体"/>
                <w:b/>
                <w:color w:val="auto"/>
                <w:szCs w:val="21"/>
                <w:highlight w:val="none"/>
              </w:rPr>
            </w:pPr>
          </w:p>
          <w:p w14:paraId="0E45F37B">
            <w:pPr>
              <w:pStyle w:val="62"/>
              <w:rPr>
                <w:rFonts w:hint="eastAsia" w:ascii="宋体" w:hAnsi="宋体" w:eastAsia="宋体" w:cs="宋体"/>
                <w:b/>
                <w:color w:val="auto"/>
                <w:szCs w:val="21"/>
                <w:highlight w:val="none"/>
              </w:rPr>
            </w:pPr>
          </w:p>
          <w:p w14:paraId="27D11A38">
            <w:pPr>
              <w:pStyle w:val="62"/>
              <w:rPr>
                <w:rFonts w:hint="eastAsia" w:ascii="宋体" w:hAnsi="宋体" w:eastAsia="宋体" w:cs="宋体"/>
                <w:b/>
                <w:color w:val="auto"/>
                <w:szCs w:val="21"/>
                <w:highlight w:val="none"/>
              </w:rPr>
            </w:pPr>
          </w:p>
          <w:p w14:paraId="53FC6E82">
            <w:pPr>
              <w:pStyle w:val="62"/>
              <w:spacing w:before="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458" w:type="dxa"/>
            <w:gridSpan w:val="2"/>
            <w:tcBorders>
              <w:top w:val="single" w:color="000000" w:sz="6" w:space="0"/>
              <w:left w:val="single" w:color="000000" w:sz="6" w:space="0"/>
              <w:bottom w:val="single" w:color="000000" w:sz="6" w:space="0"/>
              <w:right w:val="single" w:color="000000" w:sz="6" w:space="0"/>
            </w:tcBorders>
          </w:tcPr>
          <w:p w14:paraId="650012E4">
            <w:pPr>
              <w:pStyle w:val="62"/>
              <w:spacing w:before="151"/>
              <w:ind w:left="118"/>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2298" w:type="dxa"/>
            <w:gridSpan w:val="2"/>
            <w:tcBorders>
              <w:top w:val="single" w:color="000000" w:sz="6" w:space="0"/>
              <w:left w:val="single" w:color="000000" w:sz="6" w:space="0"/>
              <w:bottom w:val="single" w:color="000000" w:sz="6" w:space="0"/>
            </w:tcBorders>
          </w:tcPr>
          <w:p w14:paraId="413D3BF2">
            <w:pPr>
              <w:pStyle w:val="62"/>
              <w:rPr>
                <w:rFonts w:hint="eastAsia" w:ascii="宋体" w:hAnsi="宋体" w:eastAsia="宋体" w:cs="宋体"/>
                <w:color w:val="auto"/>
                <w:szCs w:val="21"/>
                <w:highlight w:val="none"/>
              </w:rPr>
            </w:pPr>
          </w:p>
        </w:tc>
      </w:tr>
      <w:tr w14:paraId="42CA69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31" w:type="dxa"/>
            <w:tcBorders>
              <w:top w:val="single" w:color="000000" w:sz="6" w:space="0"/>
              <w:bottom w:val="single" w:color="000000" w:sz="6" w:space="0"/>
              <w:right w:val="single" w:color="000000" w:sz="6" w:space="0"/>
            </w:tcBorders>
          </w:tcPr>
          <w:p w14:paraId="3E696FD1">
            <w:pPr>
              <w:pStyle w:val="62"/>
              <w:spacing w:before="110"/>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3015" w:type="dxa"/>
            <w:gridSpan w:val="2"/>
            <w:tcBorders>
              <w:top w:val="single" w:color="000000" w:sz="6" w:space="0"/>
              <w:left w:val="single" w:color="000000" w:sz="6" w:space="0"/>
              <w:bottom w:val="single" w:color="000000" w:sz="6" w:space="0"/>
              <w:right w:val="single" w:color="000000" w:sz="6" w:space="0"/>
            </w:tcBorders>
          </w:tcPr>
          <w:p w14:paraId="7A13F70C">
            <w:pPr>
              <w:pStyle w:val="62"/>
              <w:rPr>
                <w:rFonts w:hint="eastAsia" w:ascii="宋体" w:hAnsi="宋体" w:eastAsia="宋体" w:cs="宋体"/>
                <w:color w:val="auto"/>
                <w:szCs w:val="21"/>
                <w:highlight w:val="none"/>
              </w:rPr>
            </w:pPr>
          </w:p>
        </w:tc>
        <w:tc>
          <w:tcPr>
            <w:tcW w:w="1115" w:type="dxa"/>
            <w:vMerge w:val="continue"/>
            <w:tcBorders>
              <w:top w:val="nil"/>
              <w:left w:val="single" w:color="000000" w:sz="6" w:space="0"/>
              <w:bottom w:val="single" w:color="000000" w:sz="6" w:space="0"/>
              <w:right w:val="single" w:color="000000" w:sz="6" w:space="0"/>
            </w:tcBorders>
          </w:tcPr>
          <w:p w14:paraId="6D531FAB">
            <w:pPr>
              <w:rPr>
                <w:rFonts w:hint="eastAsia" w:ascii="宋体" w:hAnsi="宋体" w:eastAsia="宋体" w:cs="宋体"/>
                <w:color w:val="auto"/>
                <w:szCs w:val="21"/>
                <w:highlight w:val="none"/>
              </w:rPr>
            </w:pPr>
          </w:p>
        </w:tc>
        <w:tc>
          <w:tcPr>
            <w:tcW w:w="1458" w:type="dxa"/>
            <w:gridSpan w:val="2"/>
            <w:tcBorders>
              <w:top w:val="single" w:color="000000" w:sz="6" w:space="0"/>
              <w:left w:val="single" w:color="000000" w:sz="6" w:space="0"/>
              <w:bottom w:val="single" w:color="000000" w:sz="6" w:space="0"/>
              <w:right w:val="single" w:color="000000" w:sz="6" w:space="0"/>
            </w:tcBorders>
          </w:tcPr>
          <w:p w14:paraId="70F49720">
            <w:pPr>
              <w:pStyle w:val="62"/>
              <w:spacing w:before="110"/>
              <w:ind w:left="118"/>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2298" w:type="dxa"/>
            <w:gridSpan w:val="2"/>
            <w:tcBorders>
              <w:top w:val="single" w:color="000000" w:sz="6" w:space="0"/>
              <w:left w:val="single" w:color="000000" w:sz="6" w:space="0"/>
              <w:bottom w:val="single" w:color="000000" w:sz="6" w:space="0"/>
            </w:tcBorders>
          </w:tcPr>
          <w:p w14:paraId="6BAB4A58">
            <w:pPr>
              <w:pStyle w:val="62"/>
              <w:rPr>
                <w:rFonts w:hint="eastAsia" w:ascii="宋体" w:hAnsi="宋体" w:eastAsia="宋体" w:cs="宋体"/>
                <w:color w:val="auto"/>
                <w:szCs w:val="21"/>
                <w:highlight w:val="none"/>
              </w:rPr>
            </w:pPr>
          </w:p>
        </w:tc>
      </w:tr>
      <w:tr w14:paraId="3C5E95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31" w:type="dxa"/>
            <w:tcBorders>
              <w:top w:val="single" w:color="000000" w:sz="6" w:space="0"/>
              <w:bottom w:val="single" w:color="000000" w:sz="6" w:space="0"/>
              <w:right w:val="single" w:color="000000" w:sz="6" w:space="0"/>
            </w:tcBorders>
          </w:tcPr>
          <w:p w14:paraId="2B03581E">
            <w:pPr>
              <w:pStyle w:val="62"/>
              <w:spacing w:before="79"/>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3015" w:type="dxa"/>
            <w:gridSpan w:val="2"/>
            <w:tcBorders>
              <w:top w:val="single" w:color="000000" w:sz="6" w:space="0"/>
              <w:left w:val="single" w:color="000000" w:sz="6" w:space="0"/>
              <w:bottom w:val="single" w:color="000000" w:sz="6" w:space="0"/>
              <w:right w:val="single" w:color="000000" w:sz="6" w:space="0"/>
            </w:tcBorders>
          </w:tcPr>
          <w:p w14:paraId="6F5E6761">
            <w:pPr>
              <w:pStyle w:val="62"/>
              <w:rPr>
                <w:rFonts w:hint="eastAsia" w:ascii="宋体" w:hAnsi="宋体" w:eastAsia="宋体" w:cs="宋体"/>
                <w:color w:val="auto"/>
                <w:szCs w:val="21"/>
                <w:highlight w:val="none"/>
              </w:rPr>
            </w:pPr>
          </w:p>
        </w:tc>
        <w:tc>
          <w:tcPr>
            <w:tcW w:w="1115" w:type="dxa"/>
            <w:vMerge w:val="continue"/>
            <w:tcBorders>
              <w:top w:val="nil"/>
              <w:left w:val="single" w:color="000000" w:sz="6" w:space="0"/>
              <w:bottom w:val="single" w:color="000000" w:sz="6" w:space="0"/>
              <w:right w:val="single" w:color="000000" w:sz="6" w:space="0"/>
            </w:tcBorders>
          </w:tcPr>
          <w:p w14:paraId="5A19E802">
            <w:pPr>
              <w:rPr>
                <w:rFonts w:hint="eastAsia" w:ascii="宋体" w:hAnsi="宋体" w:eastAsia="宋体" w:cs="宋体"/>
                <w:color w:val="auto"/>
                <w:szCs w:val="21"/>
                <w:highlight w:val="none"/>
              </w:rPr>
            </w:pPr>
          </w:p>
        </w:tc>
        <w:tc>
          <w:tcPr>
            <w:tcW w:w="1458" w:type="dxa"/>
            <w:gridSpan w:val="2"/>
            <w:tcBorders>
              <w:top w:val="single" w:color="000000" w:sz="6" w:space="0"/>
              <w:left w:val="single" w:color="000000" w:sz="6" w:space="0"/>
              <w:bottom w:val="single" w:color="000000" w:sz="6" w:space="0"/>
              <w:right w:val="single" w:color="000000" w:sz="6" w:space="0"/>
            </w:tcBorders>
          </w:tcPr>
          <w:p w14:paraId="41D70CC4">
            <w:pPr>
              <w:pStyle w:val="62"/>
              <w:spacing w:before="79"/>
              <w:ind w:left="118"/>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2298" w:type="dxa"/>
            <w:gridSpan w:val="2"/>
            <w:tcBorders>
              <w:top w:val="single" w:color="000000" w:sz="6" w:space="0"/>
              <w:left w:val="single" w:color="000000" w:sz="6" w:space="0"/>
              <w:bottom w:val="single" w:color="000000" w:sz="6" w:space="0"/>
            </w:tcBorders>
          </w:tcPr>
          <w:p w14:paraId="02814BFF">
            <w:pPr>
              <w:pStyle w:val="62"/>
              <w:rPr>
                <w:rFonts w:hint="eastAsia" w:ascii="宋体" w:hAnsi="宋体" w:eastAsia="宋体" w:cs="宋体"/>
                <w:color w:val="auto"/>
                <w:szCs w:val="21"/>
                <w:highlight w:val="none"/>
              </w:rPr>
            </w:pPr>
          </w:p>
        </w:tc>
      </w:tr>
      <w:tr w14:paraId="4CE2F4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31" w:type="dxa"/>
            <w:tcBorders>
              <w:top w:val="single" w:color="000000" w:sz="6" w:space="0"/>
              <w:bottom w:val="single" w:color="000000" w:sz="6" w:space="0"/>
              <w:right w:val="single" w:color="000000" w:sz="6" w:space="0"/>
            </w:tcBorders>
          </w:tcPr>
          <w:p w14:paraId="731726DF">
            <w:pPr>
              <w:pStyle w:val="62"/>
              <w:spacing w:before="108"/>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3015" w:type="dxa"/>
            <w:gridSpan w:val="2"/>
            <w:tcBorders>
              <w:top w:val="single" w:color="000000" w:sz="6" w:space="0"/>
              <w:left w:val="single" w:color="000000" w:sz="6" w:space="0"/>
              <w:bottom w:val="single" w:color="000000" w:sz="6" w:space="0"/>
              <w:right w:val="single" w:color="000000" w:sz="6" w:space="0"/>
            </w:tcBorders>
          </w:tcPr>
          <w:p w14:paraId="6262AA12">
            <w:pPr>
              <w:pStyle w:val="62"/>
              <w:rPr>
                <w:rFonts w:hint="eastAsia" w:ascii="宋体" w:hAnsi="宋体" w:eastAsia="宋体" w:cs="宋体"/>
                <w:color w:val="auto"/>
                <w:szCs w:val="21"/>
                <w:highlight w:val="none"/>
              </w:rPr>
            </w:pPr>
          </w:p>
        </w:tc>
        <w:tc>
          <w:tcPr>
            <w:tcW w:w="1115" w:type="dxa"/>
            <w:vMerge w:val="continue"/>
            <w:tcBorders>
              <w:top w:val="nil"/>
              <w:left w:val="single" w:color="000000" w:sz="6" w:space="0"/>
              <w:bottom w:val="single" w:color="000000" w:sz="6" w:space="0"/>
              <w:right w:val="single" w:color="000000" w:sz="6" w:space="0"/>
            </w:tcBorders>
          </w:tcPr>
          <w:p w14:paraId="68F20C7C">
            <w:pPr>
              <w:rPr>
                <w:rFonts w:hint="eastAsia" w:ascii="宋体" w:hAnsi="宋体" w:eastAsia="宋体" w:cs="宋体"/>
                <w:color w:val="auto"/>
                <w:szCs w:val="21"/>
                <w:highlight w:val="none"/>
              </w:rPr>
            </w:pPr>
          </w:p>
        </w:tc>
        <w:tc>
          <w:tcPr>
            <w:tcW w:w="1458" w:type="dxa"/>
            <w:gridSpan w:val="2"/>
            <w:tcBorders>
              <w:top w:val="single" w:color="000000" w:sz="6" w:space="0"/>
              <w:left w:val="single" w:color="000000" w:sz="6" w:space="0"/>
              <w:bottom w:val="single" w:color="000000" w:sz="6" w:space="0"/>
              <w:right w:val="single" w:color="000000" w:sz="6" w:space="0"/>
            </w:tcBorders>
          </w:tcPr>
          <w:p w14:paraId="1A61C633">
            <w:pPr>
              <w:pStyle w:val="62"/>
              <w:spacing w:before="108"/>
              <w:ind w:left="118"/>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2298" w:type="dxa"/>
            <w:gridSpan w:val="2"/>
            <w:tcBorders>
              <w:top w:val="single" w:color="000000" w:sz="6" w:space="0"/>
              <w:left w:val="single" w:color="000000" w:sz="6" w:space="0"/>
              <w:bottom w:val="single" w:color="000000" w:sz="6" w:space="0"/>
            </w:tcBorders>
          </w:tcPr>
          <w:p w14:paraId="0E24CBEE">
            <w:pPr>
              <w:pStyle w:val="62"/>
              <w:rPr>
                <w:rFonts w:hint="eastAsia" w:ascii="宋体" w:hAnsi="宋体" w:eastAsia="宋体" w:cs="宋体"/>
                <w:color w:val="auto"/>
                <w:szCs w:val="21"/>
                <w:highlight w:val="none"/>
              </w:rPr>
            </w:pPr>
          </w:p>
        </w:tc>
      </w:tr>
      <w:tr w14:paraId="7352B8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31" w:type="dxa"/>
            <w:tcBorders>
              <w:top w:val="single" w:color="000000" w:sz="6" w:space="0"/>
              <w:bottom w:val="single" w:color="000000" w:sz="6" w:space="0"/>
              <w:right w:val="single" w:color="000000" w:sz="6" w:space="0"/>
            </w:tcBorders>
          </w:tcPr>
          <w:p w14:paraId="4A14EFE3">
            <w:pPr>
              <w:pStyle w:val="62"/>
              <w:spacing w:before="52"/>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3015" w:type="dxa"/>
            <w:gridSpan w:val="2"/>
            <w:tcBorders>
              <w:top w:val="single" w:color="000000" w:sz="6" w:space="0"/>
              <w:left w:val="single" w:color="000000" w:sz="6" w:space="0"/>
              <w:bottom w:val="single" w:color="000000" w:sz="6" w:space="0"/>
              <w:right w:val="single" w:color="000000" w:sz="6" w:space="0"/>
            </w:tcBorders>
          </w:tcPr>
          <w:p w14:paraId="677D2624">
            <w:pPr>
              <w:pStyle w:val="62"/>
              <w:rPr>
                <w:rFonts w:hint="eastAsia" w:ascii="宋体" w:hAnsi="宋体" w:eastAsia="宋体" w:cs="宋体"/>
                <w:color w:val="auto"/>
                <w:szCs w:val="21"/>
                <w:highlight w:val="none"/>
              </w:rPr>
            </w:pPr>
          </w:p>
        </w:tc>
        <w:tc>
          <w:tcPr>
            <w:tcW w:w="1115" w:type="dxa"/>
            <w:vMerge w:val="continue"/>
            <w:tcBorders>
              <w:top w:val="nil"/>
              <w:left w:val="single" w:color="000000" w:sz="6" w:space="0"/>
              <w:bottom w:val="single" w:color="000000" w:sz="6" w:space="0"/>
              <w:right w:val="single" w:color="000000" w:sz="6" w:space="0"/>
            </w:tcBorders>
          </w:tcPr>
          <w:p w14:paraId="6EB64B5E">
            <w:pPr>
              <w:rPr>
                <w:rFonts w:hint="eastAsia" w:ascii="宋体" w:hAnsi="宋体" w:eastAsia="宋体" w:cs="宋体"/>
                <w:color w:val="auto"/>
                <w:szCs w:val="21"/>
                <w:highlight w:val="none"/>
              </w:rPr>
            </w:pPr>
          </w:p>
        </w:tc>
        <w:tc>
          <w:tcPr>
            <w:tcW w:w="1458" w:type="dxa"/>
            <w:gridSpan w:val="2"/>
            <w:tcBorders>
              <w:top w:val="single" w:color="000000" w:sz="6" w:space="0"/>
              <w:left w:val="single" w:color="000000" w:sz="6" w:space="0"/>
              <w:bottom w:val="single" w:color="000000" w:sz="6" w:space="0"/>
              <w:right w:val="single" w:color="000000" w:sz="6" w:space="0"/>
            </w:tcBorders>
          </w:tcPr>
          <w:p w14:paraId="461DD410">
            <w:pPr>
              <w:pStyle w:val="62"/>
              <w:rPr>
                <w:rFonts w:hint="eastAsia" w:ascii="宋体" w:hAnsi="宋体" w:eastAsia="宋体" w:cs="宋体"/>
                <w:color w:val="auto"/>
                <w:szCs w:val="21"/>
                <w:highlight w:val="none"/>
              </w:rPr>
            </w:pPr>
          </w:p>
        </w:tc>
        <w:tc>
          <w:tcPr>
            <w:tcW w:w="2298" w:type="dxa"/>
            <w:gridSpan w:val="2"/>
            <w:tcBorders>
              <w:top w:val="single" w:color="000000" w:sz="6" w:space="0"/>
              <w:left w:val="single" w:color="000000" w:sz="6" w:space="0"/>
              <w:bottom w:val="single" w:color="000000" w:sz="6" w:space="0"/>
            </w:tcBorders>
          </w:tcPr>
          <w:p w14:paraId="4C455297">
            <w:pPr>
              <w:pStyle w:val="62"/>
              <w:rPr>
                <w:rFonts w:hint="eastAsia" w:ascii="宋体" w:hAnsi="宋体" w:eastAsia="宋体" w:cs="宋体"/>
                <w:color w:val="auto"/>
                <w:szCs w:val="21"/>
                <w:highlight w:val="none"/>
              </w:rPr>
            </w:pPr>
          </w:p>
        </w:tc>
      </w:tr>
      <w:tr w14:paraId="5A59E9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31" w:type="dxa"/>
            <w:tcBorders>
              <w:top w:val="single" w:color="000000" w:sz="6" w:space="0"/>
              <w:right w:val="single" w:color="000000" w:sz="6" w:space="0"/>
            </w:tcBorders>
          </w:tcPr>
          <w:p w14:paraId="619B76FC">
            <w:pPr>
              <w:pStyle w:val="62"/>
              <w:spacing w:before="93"/>
              <w:ind w:left="107"/>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经营范围备注</w:t>
            </w:r>
          </w:p>
        </w:tc>
        <w:tc>
          <w:tcPr>
            <w:tcW w:w="7886" w:type="dxa"/>
            <w:gridSpan w:val="7"/>
            <w:tcBorders>
              <w:top w:val="single" w:color="000000" w:sz="6" w:space="0"/>
              <w:left w:val="single" w:color="000000" w:sz="6" w:space="0"/>
            </w:tcBorders>
          </w:tcPr>
          <w:p w14:paraId="33649B5A">
            <w:pPr>
              <w:pStyle w:val="62"/>
              <w:rPr>
                <w:rFonts w:hint="eastAsia" w:ascii="宋体" w:hAnsi="宋体" w:eastAsia="宋体" w:cs="宋体"/>
                <w:color w:val="auto"/>
                <w:szCs w:val="21"/>
                <w:highlight w:val="none"/>
              </w:rPr>
            </w:pPr>
          </w:p>
        </w:tc>
      </w:tr>
    </w:tbl>
    <w:p w14:paraId="14E8EFEA">
      <w:pPr>
        <w:pStyle w:val="12"/>
        <w:spacing w:before="4"/>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注：1</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GB"/>
        </w:rPr>
        <w:t>文字描述：单位性质、发展历程、经营规模及服务理念、主营产品、技术力量、实施履行本项目合同所必需的设备、财务状况</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lang w:val="en-GB"/>
        </w:rPr>
        <w:t>的场地环境和软硬件设施等。</w:t>
      </w:r>
    </w:p>
    <w:p w14:paraId="5CAC8F25">
      <w:pPr>
        <w:pStyle w:val="12"/>
        <w:spacing w:before="4"/>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GB"/>
        </w:rPr>
        <w:t>图片描述：经营场所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GB"/>
        </w:rPr>
        <w:t>生产场所、主要或关键产品介绍、</w:t>
      </w:r>
      <w:r>
        <w:rPr>
          <w:rFonts w:hint="eastAsia" w:ascii="宋体" w:hAnsi="宋体" w:eastAsia="宋体" w:cs="宋体"/>
          <w:color w:val="auto"/>
          <w:sz w:val="24"/>
          <w:szCs w:val="24"/>
          <w:highlight w:val="none"/>
          <w:lang w:val="en-US" w:eastAsia="zh-CN"/>
        </w:rPr>
        <w:t>进货流程、销售流程或</w:t>
      </w:r>
      <w:r>
        <w:rPr>
          <w:rFonts w:hint="eastAsia" w:ascii="宋体" w:hAnsi="宋体" w:eastAsia="宋体" w:cs="宋体"/>
          <w:color w:val="auto"/>
          <w:sz w:val="24"/>
          <w:szCs w:val="24"/>
          <w:highlight w:val="none"/>
          <w:lang w:val="en-GB"/>
        </w:rPr>
        <w:t>工艺流程等。</w:t>
      </w:r>
    </w:p>
    <w:p w14:paraId="17F8EFE0">
      <w:pPr>
        <w:pStyle w:val="12"/>
        <w:spacing w:before="4"/>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lang w:val="en-GB"/>
        </w:rPr>
        <w:t>供应商可提供上述情况的证明材料</w:t>
      </w:r>
      <w:r>
        <w:rPr>
          <w:rFonts w:hint="eastAsia" w:ascii="宋体" w:hAnsi="宋体" w:eastAsia="宋体" w:cs="宋体"/>
          <w:color w:val="auto"/>
          <w:sz w:val="24"/>
          <w:szCs w:val="24"/>
          <w:highlight w:val="none"/>
          <w:lang w:val="en-GB" w:eastAsia="zh-CN"/>
        </w:rPr>
        <w:t>。</w:t>
      </w:r>
    </w:p>
    <w:p w14:paraId="5EE601F2">
      <w:pPr>
        <w:pStyle w:val="12"/>
        <w:spacing w:before="4"/>
        <w:rPr>
          <w:rFonts w:hint="eastAsia" w:ascii="宋体" w:hAnsi="宋体" w:eastAsia="宋体" w:cs="宋体"/>
          <w:b/>
          <w:color w:val="auto"/>
          <w:sz w:val="21"/>
          <w:szCs w:val="21"/>
          <w:highlight w:val="none"/>
        </w:rPr>
      </w:pPr>
      <w:r>
        <w:rPr>
          <w:rFonts w:hint="eastAsia" w:ascii="宋体" w:hAnsi="宋体" w:eastAsia="宋体" w:cs="宋体"/>
          <w:color w:val="auto"/>
          <w:sz w:val="24"/>
          <w:szCs w:val="24"/>
          <w:highlight w:val="none"/>
          <w:lang w:val="en-GB"/>
        </w:rPr>
        <w:t>4）如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GB"/>
        </w:rPr>
        <w:t>供应商此表数据有虚假，一经查实，自行承担相关责任。</w:t>
      </w:r>
    </w:p>
    <w:p w14:paraId="4DE6D557">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E1274C7">
      <w:pPr>
        <w:pStyle w:val="5"/>
        <w:bidi w:val="0"/>
        <w:rPr>
          <w:rFonts w:hint="eastAsia" w:ascii="宋体" w:hAnsi="宋体" w:eastAsia="宋体" w:cs="宋体"/>
          <w:color w:val="auto"/>
          <w:highlight w:val="none"/>
          <w:lang w:val="en-US" w:eastAsia="zh-CN"/>
        </w:rPr>
      </w:pPr>
      <w:bookmarkStart w:id="117" w:name="_Toc8022"/>
      <w:bookmarkStart w:id="118" w:name="_Toc16932"/>
      <w:r>
        <w:rPr>
          <w:rFonts w:hint="eastAsia" w:cs="宋体"/>
          <w:color w:val="auto"/>
          <w:highlight w:val="none"/>
          <w:lang w:val="en-US" w:eastAsia="zh-CN"/>
        </w:rPr>
        <w:t>3</w:t>
      </w:r>
      <w:r>
        <w:rPr>
          <w:rFonts w:hint="eastAsia" w:ascii="宋体" w:hAnsi="宋体" w:eastAsia="宋体" w:cs="宋体"/>
          <w:color w:val="auto"/>
          <w:highlight w:val="none"/>
          <w:lang w:val="en-US" w:eastAsia="zh-CN"/>
        </w:rPr>
        <w:t xml:space="preserve">-2 </w:t>
      </w:r>
      <w:bookmarkEnd w:id="117"/>
      <w:bookmarkEnd w:id="118"/>
      <w:r>
        <w:rPr>
          <w:rFonts w:hint="eastAsia" w:cs="宋体"/>
          <w:color w:val="auto"/>
          <w:highlight w:val="none"/>
          <w:lang w:val="en-US" w:eastAsia="zh-CN"/>
        </w:rPr>
        <w:t>服务团队</w:t>
      </w:r>
    </w:p>
    <w:tbl>
      <w:tblPr>
        <w:tblStyle w:val="30"/>
        <w:tblW w:w="909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30"/>
        <w:gridCol w:w="2591"/>
        <w:gridCol w:w="1558"/>
        <w:gridCol w:w="1628"/>
        <w:gridCol w:w="1491"/>
        <w:gridCol w:w="800"/>
      </w:tblGrid>
      <w:tr w14:paraId="4EC68A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1030" w:type="dxa"/>
            <w:tcBorders>
              <w:bottom w:val="single" w:color="000000" w:sz="6" w:space="0"/>
              <w:right w:val="single" w:color="000000" w:sz="6" w:space="0"/>
            </w:tcBorders>
            <w:vAlign w:val="center"/>
          </w:tcPr>
          <w:p w14:paraId="7192740F">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91" w:type="dxa"/>
            <w:tcBorders>
              <w:left w:val="single" w:color="000000" w:sz="6" w:space="0"/>
              <w:bottom w:val="single" w:color="000000" w:sz="6" w:space="0"/>
              <w:right w:val="single" w:color="000000" w:sz="6" w:space="0"/>
            </w:tcBorders>
            <w:vAlign w:val="center"/>
          </w:tcPr>
          <w:p w14:paraId="15E6E593">
            <w:pPr>
              <w:pStyle w:val="62"/>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姓名</w:t>
            </w:r>
          </w:p>
        </w:tc>
        <w:tc>
          <w:tcPr>
            <w:tcW w:w="1558" w:type="dxa"/>
            <w:tcBorders>
              <w:left w:val="single" w:color="000000" w:sz="6" w:space="0"/>
              <w:bottom w:val="single" w:color="000000" w:sz="6" w:space="0"/>
              <w:right w:val="single" w:color="000000" w:sz="6" w:space="0"/>
            </w:tcBorders>
            <w:vAlign w:val="center"/>
          </w:tcPr>
          <w:p w14:paraId="5656AFE2">
            <w:pPr>
              <w:pStyle w:val="62"/>
              <w:autoSpaceDE w:val="0"/>
              <w:autoSpaceDN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拟担任职务</w:t>
            </w:r>
          </w:p>
        </w:tc>
        <w:tc>
          <w:tcPr>
            <w:tcW w:w="1628" w:type="dxa"/>
            <w:tcBorders>
              <w:left w:val="single" w:color="000000" w:sz="6" w:space="0"/>
              <w:bottom w:val="single" w:color="000000" w:sz="6" w:space="0"/>
              <w:right w:val="single" w:color="000000" w:sz="6" w:space="0"/>
            </w:tcBorders>
            <w:vAlign w:val="center"/>
          </w:tcPr>
          <w:p w14:paraId="7F4CD6D0">
            <w:pPr>
              <w:pStyle w:val="62"/>
              <w:autoSpaceDE w:val="0"/>
              <w:autoSpaceDN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年龄</w:t>
            </w:r>
          </w:p>
        </w:tc>
        <w:tc>
          <w:tcPr>
            <w:tcW w:w="1491" w:type="dxa"/>
            <w:tcBorders>
              <w:left w:val="single" w:color="000000" w:sz="6" w:space="0"/>
              <w:bottom w:val="single" w:color="000000" w:sz="6" w:space="0"/>
              <w:right w:val="single" w:color="000000" w:sz="6" w:space="0"/>
            </w:tcBorders>
            <w:vAlign w:val="center"/>
          </w:tcPr>
          <w:p w14:paraId="6C11311A">
            <w:pPr>
              <w:pStyle w:val="62"/>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工作年限</w:t>
            </w:r>
          </w:p>
        </w:tc>
        <w:tc>
          <w:tcPr>
            <w:tcW w:w="800" w:type="dxa"/>
            <w:tcBorders>
              <w:left w:val="single" w:color="000000" w:sz="6" w:space="0"/>
              <w:bottom w:val="single" w:color="000000" w:sz="6" w:space="0"/>
            </w:tcBorders>
            <w:vAlign w:val="center"/>
          </w:tcPr>
          <w:p w14:paraId="3FA83D6A">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88618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7108923A">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71CCD016">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71477DF2">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505CBB79">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173DD8">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33D7D0DE">
            <w:pPr>
              <w:pStyle w:val="62"/>
              <w:rPr>
                <w:rFonts w:hint="eastAsia" w:ascii="宋体" w:hAnsi="宋体" w:eastAsia="宋体" w:cs="宋体"/>
                <w:color w:val="auto"/>
                <w:szCs w:val="21"/>
                <w:highlight w:val="none"/>
              </w:rPr>
            </w:pPr>
          </w:p>
        </w:tc>
      </w:tr>
      <w:tr w14:paraId="1594D9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6BC2C6DB">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29C84E5E">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14D6B43A">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2E4F7639">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626AC67">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3AB482E3">
            <w:pPr>
              <w:pStyle w:val="62"/>
              <w:rPr>
                <w:rFonts w:hint="eastAsia" w:ascii="宋体" w:hAnsi="宋体" w:eastAsia="宋体" w:cs="宋体"/>
                <w:color w:val="auto"/>
                <w:szCs w:val="21"/>
                <w:highlight w:val="none"/>
              </w:rPr>
            </w:pPr>
          </w:p>
        </w:tc>
      </w:tr>
      <w:tr w14:paraId="3DF5F1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3C5E8A82">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5492C223">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45131BE6">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5E1ADCAC">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82A4BA3">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4B50102E">
            <w:pPr>
              <w:pStyle w:val="62"/>
              <w:rPr>
                <w:rFonts w:hint="eastAsia" w:ascii="宋体" w:hAnsi="宋体" w:eastAsia="宋体" w:cs="宋体"/>
                <w:color w:val="auto"/>
                <w:szCs w:val="21"/>
                <w:highlight w:val="none"/>
              </w:rPr>
            </w:pPr>
          </w:p>
        </w:tc>
      </w:tr>
      <w:tr w14:paraId="0893C3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1107624F">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0321524E">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70D50F4D">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6109EB94">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B462AC2">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55E3B816">
            <w:pPr>
              <w:pStyle w:val="62"/>
              <w:rPr>
                <w:rFonts w:hint="eastAsia" w:ascii="宋体" w:hAnsi="宋体" w:eastAsia="宋体" w:cs="宋体"/>
                <w:color w:val="auto"/>
                <w:szCs w:val="21"/>
                <w:highlight w:val="none"/>
              </w:rPr>
            </w:pPr>
          </w:p>
        </w:tc>
      </w:tr>
      <w:tr w14:paraId="3B2443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5BB14CDB">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39E4A058">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4A879644">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77AE2291">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96CD2D2">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0FA0E78A">
            <w:pPr>
              <w:pStyle w:val="62"/>
              <w:rPr>
                <w:rFonts w:hint="eastAsia" w:ascii="宋体" w:hAnsi="宋体" w:eastAsia="宋体" w:cs="宋体"/>
                <w:color w:val="auto"/>
                <w:szCs w:val="21"/>
                <w:highlight w:val="none"/>
              </w:rPr>
            </w:pPr>
          </w:p>
        </w:tc>
      </w:tr>
      <w:tr w14:paraId="5C2D63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43951B33">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626F610C">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7E408093">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0E0E750C">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D1A8861">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2C08C941">
            <w:pPr>
              <w:pStyle w:val="62"/>
              <w:rPr>
                <w:rFonts w:hint="eastAsia" w:ascii="宋体" w:hAnsi="宋体" w:eastAsia="宋体" w:cs="宋体"/>
                <w:color w:val="auto"/>
                <w:szCs w:val="21"/>
                <w:highlight w:val="none"/>
              </w:rPr>
            </w:pPr>
          </w:p>
        </w:tc>
      </w:tr>
      <w:tr w14:paraId="0ECD9E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6D262AA3">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16222E94">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42625E90">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006ADE57">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D3A0991">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5700C86D">
            <w:pPr>
              <w:pStyle w:val="62"/>
              <w:rPr>
                <w:rFonts w:hint="eastAsia" w:ascii="宋体" w:hAnsi="宋体" w:eastAsia="宋体" w:cs="宋体"/>
                <w:color w:val="auto"/>
                <w:szCs w:val="21"/>
                <w:highlight w:val="none"/>
              </w:rPr>
            </w:pPr>
          </w:p>
        </w:tc>
      </w:tr>
      <w:tr w14:paraId="153EC7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04B67288">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5D9F493F">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1D0A4C56">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1E958E71">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E15AFF2">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00133F25">
            <w:pPr>
              <w:pStyle w:val="62"/>
              <w:rPr>
                <w:rFonts w:hint="eastAsia" w:ascii="宋体" w:hAnsi="宋体" w:eastAsia="宋体" w:cs="宋体"/>
                <w:color w:val="auto"/>
                <w:szCs w:val="21"/>
                <w:highlight w:val="none"/>
              </w:rPr>
            </w:pPr>
          </w:p>
        </w:tc>
      </w:tr>
      <w:tr w14:paraId="695416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030" w:type="dxa"/>
            <w:tcBorders>
              <w:top w:val="single" w:color="000000" w:sz="6" w:space="0"/>
              <w:bottom w:val="single" w:color="000000" w:sz="6" w:space="0"/>
              <w:right w:val="single" w:color="000000" w:sz="6" w:space="0"/>
            </w:tcBorders>
          </w:tcPr>
          <w:p w14:paraId="679CB4BE">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bottom w:val="single" w:color="000000" w:sz="6" w:space="0"/>
              <w:right w:val="single" w:color="000000" w:sz="6" w:space="0"/>
            </w:tcBorders>
          </w:tcPr>
          <w:p w14:paraId="6A0EB9B9">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bottom w:val="single" w:color="000000" w:sz="6" w:space="0"/>
              <w:right w:val="single" w:color="000000" w:sz="6" w:space="0"/>
            </w:tcBorders>
          </w:tcPr>
          <w:p w14:paraId="11710DAC">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bottom w:val="single" w:color="000000" w:sz="6" w:space="0"/>
              <w:right w:val="single" w:color="000000" w:sz="6" w:space="0"/>
            </w:tcBorders>
          </w:tcPr>
          <w:p w14:paraId="1AFCF61C">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BC5A2D4">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bottom w:val="single" w:color="000000" w:sz="6" w:space="0"/>
            </w:tcBorders>
          </w:tcPr>
          <w:p w14:paraId="087BCBC1">
            <w:pPr>
              <w:pStyle w:val="62"/>
              <w:rPr>
                <w:rFonts w:hint="eastAsia" w:ascii="宋体" w:hAnsi="宋体" w:eastAsia="宋体" w:cs="宋体"/>
                <w:color w:val="auto"/>
                <w:szCs w:val="21"/>
                <w:highlight w:val="none"/>
              </w:rPr>
            </w:pPr>
          </w:p>
        </w:tc>
      </w:tr>
      <w:tr w14:paraId="0FF1BD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1030" w:type="dxa"/>
            <w:tcBorders>
              <w:top w:val="single" w:color="000000" w:sz="6" w:space="0"/>
              <w:right w:val="single" w:color="000000" w:sz="6" w:space="0"/>
            </w:tcBorders>
          </w:tcPr>
          <w:p w14:paraId="160E20B9">
            <w:pPr>
              <w:pStyle w:val="62"/>
              <w:rPr>
                <w:rFonts w:hint="eastAsia" w:ascii="宋体" w:hAnsi="宋体" w:eastAsia="宋体" w:cs="宋体"/>
                <w:color w:val="auto"/>
                <w:szCs w:val="21"/>
                <w:highlight w:val="none"/>
              </w:rPr>
            </w:pPr>
          </w:p>
        </w:tc>
        <w:tc>
          <w:tcPr>
            <w:tcW w:w="2591" w:type="dxa"/>
            <w:tcBorders>
              <w:top w:val="single" w:color="000000" w:sz="6" w:space="0"/>
              <w:left w:val="single" w:color="000000" w:sz="6" w:space="0"/>
              <w:right w:val="single" w:color="000000" w:sz="6" w:space="0"/>
            </w:tcBorders>
          </w:tcPr>
          <w:p w14:paraId="41D03469">
            <w:pPr>
              <w:pStyle w:val="62"/>
              <w:rPr>
                <w:rFonts w:hint="eastAsia" w:ascii="宋体" w:hAnsi="宋体" w:eastAsia="宋体" w:cs="宋体"/>
                <w:color w:val="auto"/>
                <w:szCs w:val="21"/>
                <w:highlight w:val="none"/>
              </w:rPr>
            </w:pPr>
          </w:p>
        </w:tc>
        <w:tc>
          <w:tcPr>
            <w:tcW w:w="1558" w:type="dxa"/>
            <w:tcBorders>
              <w:top w:val="single" w:color="000000" w:sz="6" w:space="0"/>
              <w:left w:val="single" w:color="000000" w:sz="6" w:space="0"/>
              <w:right w:val="single" w:color="000000" w:sz="6" w:space="0"/>
            </w:tcBorders>
          </w:tcPr>
          <w:p w14:paraId="0029A045">
            <w:pPr>
              <w:pStyle w:val="62"/>
              <w:rPr>
                <w:rFonts w:hint="eastAsia" w:ascii="宋体" w:hAnsi="宋体" w:eastAsia="宋体" w:cs="宋体"/>
                <w:color w:val="auto"/>
                <w:szCs w:val="21"/>
                <w:highlight w:val="none"/>
              </w:rPr>
            </w:pPr>
          </w:p>
        </w:tc>
        <w:tc>
          <w:tcPr>
            <w:tcW w:w="1628" w:type="dxa"/>
            <w:tcBorders>
              <w:top w:val="single" w:color="000000" w:sz="6" w:space="0"/>
              <w:left w:val="single" w:color="000000" w:sz="6" w:space="0"/>
              <w:right w:val="single" w:color="000000" w:sz="6" w:space="0"/>
            </w:tcBorders>
          </w:tcPr>
          <w:p w14:paraId="7426E733">
            <w:pPr>
              <w:pStyle w:val="62"/>
              <w:rPr>
                <w:rFonts w:hint="eastAsia" w:ascii="宋体" w:hAnsi="宋体" w:eastAsia="宋体" w:cs="宋体"/>
                <w:color w:val="auto"/>
                <w:szCs w:val="21"/>
                <w:highlight w:val="none"/>
              </w:rPr>
            </w:pPr>
          </w:p>
        </w:tc>
        <w:tc>
          <w:tcPr>
            <w:tcW w:w="1491" w:type="dxa"/>
            <w:tcBorders>
              <w:top w:val="single" w:color="000000" w:sz="6" w:space="0"/>
              <w:left w:val="single" w:color="000000" w:sz="6" w:space="0"/>
              <w:right w:val="single" w:color="000000" w:sz="6" w:space="0"/>
            </w:tcBorders>
          </w:tcPr>
          <w:p w14:paraId="4533F5DB">
            <w:pPr>
              <w:pStyle w:val="62"/>
              <w:rPr>
                <w:rFonts w:hint="eastAsia" w:ascii="宋体" w:hAnsi="宋体" w:eastAsia="宋体" w:cs="宋体"/>
                <w:color w:val="auto"/>
                <w:szCs w:val="21"/>
                <w:highlight w:val="none"/>
              </w:rPr>
            </w:pPr>
          </w:p>
        </w:tc>
        <w:tc>
          <w:tcPr>
            <w:tcW w:w="800" w:type="dxa"/>
            <w:tcBorders>
              <w:top w:val="single" w:color="000000" w:sz="6" w:space="0"/>
              <w:left w:val="single" w:color="000000" w:sz="6" w:space="0"/>
            </w:tcBorders>
          </w:tcPr>
          <w:p w14:paraId="75C2EC0D">
            <w:pPr>
              <w:pStyle w:val="62"/>
              <w:rPr>
                <w:rFonts w:hint="eastAsia" w:ascii="宋体" w:hAnsi="宋体" w:eastAsia="宋体" w:cs="宋体"/>
                <w:color w:val="auto"/>
                <w:szCs w:val="21"/>
                <w:highlight w:val="none"/>
              </w:rPr>
            </w:pPr>
          </w:p>
        </w:tc>
      </w:tr>
    </w:tbl>
    <w:p w14:paraId="024B378D">
      <w:pPr>
        <w:pStyle w:val="44"/>
        <w:spacing w:line="360" w:lineRule="auto"/>
        <w:ind w:firstLine="52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注：以上人员需</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身份证、有效期内健康证、在本单位</w:t>
      </w:r>
      <w:r>
        <w:rPr>
          <w:rFonts w:hint="eastAsia" w:ascii="宋体" w:hAnsi="宋体" w:eastAsia="宋体" w:cs="宋体"/>
          <w:color w:val="auto"/>
          <w:sz w:val="24"/>
          <w:szCs w:val="24"/>
          <w:highlight w:val="none"/>
          <w:lang w:val="en-US" w:eastAsia="zh-CN"/>
        </w:rPr>
        <w:t>签订的劳动合同、配送司机须提供有效的驾驶证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未提供证明材料或者提供的证明材料不符合要求或者提供的证明材料不清晰导致</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专家无法辨认的，不得分。</w:t>
      </w:r>
    </w:p>
    <w:p w14:paraId="4D6C87BE">
      <w:pPr>
        <w:pStyle w:val="44"/>
        <w:spacing w:line="360" w:lineRule="auto"/>
        <w:ind w:firstLine="520" w:firstLineChars="200"/>
        <w:rPr>
          <w:rFonts w:hint="default" w:ascii="宋体" w:hAnsi="宋体" w:eastAsia="宋体" w:cs="宋体"/>
          <w:color w:val="auto"/>
          <w:sz w:val="24"/>
          <w:szCs w:val="24"/>
          <w:highlight w:val="none"/>
          <w:lang w:val="en-US" w:eastAsia="zh-CN"/>
        </w:rPr>
      </w:pPr>
    </w:p>
    <w:p w14:paraId="32C5EAA9">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05314F5D">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1578D6AF">
      <w:pPr>
        <w:pStyle w:val="44"/>
        <w:spacing w:line="360" w:lineRule="auto"/>
        <w:ind w:right="-106" w:rightChars="-44"/>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05E0065D">
      <w:pPr>
        <w:pStyle w:val="44"/>
        <w:spacing w:line="360" w:lineRule="auto"/>
        <w:ind w:right="-106" w:rightChars="-44"/>
        <w:jc w:val="both"/>
        <w:rPr>
          <w:rFonts w:hint="eastAsia" w:ascii="宋体" w:hAnsi="宋体" w:eastAsia="宋体" w:cs="宋体"/>
          <w:color w:val="auto"/>
          <w:highlight w:val="none"/>
        </w:rPr>
      </w:pPr>
    </w:p>
    <w:p w14:paraId="170D86E6">
      <w:pPr>
        <w:pStyle w:val="44"/>
        <w:spacing w:line="360" w:lineRule="auto"/>
        <w:ind w:right="-106" w:rightChars="-44"/>
        <w:jc w:val="both"/>
        <w:rPr>
          <w:rFonts w:hint="eastAsia" w:ascii="宋体" w:hAnsi="宋体" w:eastAsia="宋体" w:cs="宋体"/>
          <w:color w:val="auto"/>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06"/>
    <w:p w14:paraId="1D5703F2">
      <w:pPr>
        <w:pStyle w:val="5"/>
        <w:bidi w:val="0"/>
        <w:rPr>
          <w:rFonts w:hint="eastAsia" w:cs="宋体"/>
          <w:color w:val="auto"/>
          <w:highlight w:val="none"/>
          <w:lang w:val="en-US" w:eastAsia="zh-CN"/>
        </w:rPr>
      </w:pPr>
      <w:bookmarkStart w:id="119" w:name="_Toc30877"/>
      <w:bookmarkStart w:id="120" w:name="_Toc18885"/>
      <w:r>
        <w:rPr>
          <w:rFonts w:hint="eastAsia" w:cs="宋体"/>
          <w:color w:val="auto"/>
          <w:highlight w:val="none"/>
          <w:lang w:val="en-US" w:eastAsia="zh-CN"/>
        </w:rPr>
        <w:t>3</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119"/>
      <w:bookmarkEnd w:id="120"/>
      <w:r>
        <w:rPr>
          <w:rFonts w:hint="eastAsia" w:cs="宋体"/>
          <w:color w:val="auto"/>
          <w:highlight w:val="none"/>
          <w:lang w:val="en-US" w:eastAsia="zh-CN"/>
        </w:rPr>
        <w:t>配送车辆</w:t>
      </w:r>
    </w:p>
    <w:p w14:paraId="755FD4DD">
      <w:pPr>
        <w:ind w:left="0" w:leftChars="0" w:firstLine="480" w:firstLineChars="200"/>
        <w:rPr>
          <w:rFonts w:hint="eastAsia"/>
          <w:color w:val="auto"/>
          <w:highlight w:val="none"/>
          <w:lang w:val="en-US" w:eastAsia="zh-CN"/>
        </w:rPr>
      </w:pPr>
      <w:r>
        <w:rPr>
          <w:rFonts w:hint="eastAsia"/>
          <w:color w:val="auto"/>
          <w:highlight w:val="none"/>
          <w:lang w:val="en-US" w:eastAsia="zh-CN"/>
        </w:rPr>
        <w:t>投标供应商拟为本项目提供配送车辆（须为满足项目配送需求的货运车辆，为公司或法人所有或租用的国家标准货运车辆）注：所有车辆均须提供正面照片，有效的机动车行驶证，租赁车辆还须提供租赁合同和与租赁合同双方信息一致的付款凭证及发票。未提供证明材料或者提供的证明材料不符合要求或者提供的证明材料不清晰导致评审专家无法辨认的，不得分。</w:t>
      </w:r>
    </w:p>
    <w:p w14:paraId="253B5EF0">
      <w:pPr>
        <w:rPr>
          <w:rFonts w:hint="eastAsia"/>
          <w:color w:val="auto"/>
          <w:highlight w:val="none"/>
          <w:lang w:val="en-US" w:eastAsia="zh-CN"/>
        </w:rPr>
      </w:pPr>
      <w:r>
        <w:rPr>
          <w:rFonts w:hint="eastAsia"/>
          <w:color w:val="auto"/>
          <w:highlight w:val="none"/>
          <w:lang w:val="en-US" w:eastAsia="zh-CN"/>
        </w:rPr>
        <w:br w:type="page"/>
      </w:r>
    </w:p>
    <w:p w14:paraId="354FD6E1">
      <w:pPr>
        <w:pStyle w:val="5"/>
        <w:bidi w:val="0"/>
        <w:rPr>
          <w:rFonts w:hint="eastAsia" w:ascii="宋体" w:hAnsi="宋体" w:eastAsia="宋体" w:cs="宋体"/>
          <w:color w:val="auto"/>
          <w:highlight w:val="none"/>
        </w:rPr>
      </w:pPr>
      <w:r>
        <w:rPr>
          <w:rFonts w:hint="eastAsia" w:cs="宋体"/>
          <w:color w:val="auto"/>
          <w:highlight w:val="none"/>
          <w:lang w:val="en-US" w:eastAsia="zh-CN"/>
        </w:rPr>
        <w:t>3-4</w:t>
      </w:r>
      <w:r>
        <w:rPr>
          <w:rFonts w:hint="eastAsia" w:ascii="宋体" w:hAnsi="宋体" w:eastAsia="宋体" w:cs="宋体"/>
          <w:color w:val="auto"/>
          <w:highlight w:val="none"/>
          <w:lang w:val="en-US" w:eastAsia="zh-CN"/>
        </w:rPr>
        <w:t>近年完成的类似项目情况表</w:t>
      </w:r>
    </w:p>
    <w:p w14:paraId="4E32C2D4">
      <w:pPr>
        <w:pStyle w:val="12"/>
        <w:spacing w:before="7"/>
        <w:rPr>
          <w:rFonts w:hint="eastAsia" w:ascii="宋体" w:hAnsi="宋体" w:eastAsia="宋体" w:cs="宋体"/>
          <w:color w:val="auto"/>
          <w:sz w:val="21"/>
          <w:szCs w:val="21"/>
          <w:highlight w:val="none"/>
        </w:rPr>
      </w:pPr>
    </w:p>
    <w:tbl>
      <w:tblPr>
        <w:tblStyle w:val="30"/>
        <w:tblW w:w="947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8"/>
        <w:gridCol w:w="1830"/>
        <w:gridCol w:w="2070"/>
        <w:gridCol w:w="1581"/>
        <w:gridCol w:w="1020"/>
        <w:gridCol w:w="847"/>
        <w:gridCol w:w="837"/>
        <w:gridCol w:w="565"/>
      </w:tblGrid>
      <w:tr w14:paraId="5828C0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728" w:type="dxa"/>
            <w:tcBorders>
              <w:bottom w:val="single" w:color="000000" w:sz="6" w:space="0"/>
              <w:right w:val="single" w:color="000000" w:sz="6" w:space="0"/>
            </w:tcBorders>
            <w:vAlign w:val="center"/>
          </w:tcPr>
          <w:p w14:paraId="49082FF5">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30" w:type="dxa"/>
            <w:tcBorders>
              <w:left w:val="single" w:color="000000" w:sz="6" w:space="0"/>
              <w:bottom w:val="single" w:color="000000" w:sz="6" w:space="0"/>
              <w:right w:val="single" w:color="000000" w:sz="6" w:space="0"/>
            </w:tcBorders>
            <w:vAlign w:val="center"/>
          </w:tcPr>
          <w:p w14:paraId="151195F2">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项目委托单位、联系人及电话</w:t>
            </w:r>
          </w:p>
        </w:tc>
        <w:tc>
          <w:tcPr>
            <w:tcW w:w="2070" w:type="dxa"/>
            <w:tcBorders>
              <w:left w:val="single" w:color="000000" w:sz="6" w:space="0"/>
              <w:bottom w:val="single" w:color="000000" w:sz="6" w:space="0"/>
              <w:right w:val="single" w:color="000000" w:sz="6" w:space="0"/>
            </w:tcBorders>
            <w:vAlign w:val="center"/>
          </w:tcPr>
          <w:p w14:paraId="2579F8BF">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81" w:type="dxa"/>
            <w:tcBorders>
              <w:left w:val="single" w:color="000000" w:sz="6" w:space="0"/>
              <w:bottom w:val="single" w:color="000000" w:sz="6" w:space="0"/>
              <w:right w:val="single" w:color="000000" w:sz="6" w:space="0"/>
            </w:tcBorders>
            <w:vAlign w:val="center"/>
          </w:tcPr>
          <w:p w14:paraId="294A69F6">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020" w:type="dxa"/>
            <w:tcBorders>
              <w:left w:val="single" w:color="000000" w:sz="6" w:space="0"/>
              <w:bottom w:val="single" w:color="000000" w:sz="6" w:space="0"/>
              <w:right w:val="single" w:color="000000" w:sz="6" w:space="0"/>
            </w:tcBorders>
            <w:vAlign w:val="center"/>
          </w:tcPr>
          <w:p w14:paraId="7A1E0C15">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146A8239">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847" w:type="dxa"/>
            <w:tcBorders>
              <w:left w:val="single" w:color="000000" w:sz="6" w:space="0"/>
              <w:bottom w:val="single" w:color="000000" w:sz="6" w:space="0"/>
              <w:right w:val="single" w:color="000000" w:sz="6" w:space="0"/>
            </w:tcBorders>
            <w:vAlign w:val="center"/>
          </w:tcPr>
          <w:p w14:paraId="27B54048">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9"/>
                <w:szCs w:val="21"/>
                <w:highlight w:val="none"/>
              </w:rPr>
              <w:t>签订日期</w:t>
            </w:r>
          </w:p>
        </w:tc>
        <w:tc>
          <w:tcPr>
            <w:tcW w:w="837" w:type="dxa"/>
            <w:tcBorders>
              <w:left w:val="single" w:color="000000" w:sz="6" w:space="0"/>
              <w:bottom w:val="single" w:color="000000" w:sz="6" w:space="0"/>
              <w:right w:val="single" w:color="000000" w:sz="6" w:space="0"/>
            </w:tcBorders>
            <w:vAlign w:val="center"/>
          </w:tcPr>
          <w:p w14:paraId="0271B8AF">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w:t>
            </w:r>
          </w:p>
          <w:p w14:paraId="32C7E053">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情况</w:t>
            </w:r>
          </w:p>
        </w:tc>
        <w:tc>
          <w:tcPr>
            <w:tcW w:w="565" w:type="dxa"/>
            <w:tcBorders>
              <w:left w:val="single" w:color="000000" w:sz="6" w:space="0"/>
              <w:bottom w:val="single" w:color="000000" w:sz="6" w:space="0"/>
            </w:tcBorders>
            <w:vAlign w:val="center"/>
          </w:tcPr>
          <w:p w14:paraId="2FFAEB1C">
            <w:pPr>
              <w:pStyle w:val="62"/>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71429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593C9824">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2F99B2CD">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79B27FA1">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563D173F">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54C8CA7">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43DFB39A">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06173051">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441F4A24">
            <w:pPr>
              <w:pStyle w:val="62"/>
              <w:rPr>
                <w:rFonts w:hint="eastAsia" w:ascii="宋体" w:hAnsi="宋体" w:eastAsia="宋体" w:cs="宋体"/>
                <w:color w:val="auto"/>
                <w:szCs w:val="21"/>
                <w:highlight w:val="none"/>
              </w:rPr>
            </w:pPr>
          </w:p>
        </w:tc>
      </w:tr>
      <w:tr w14:paraId="5A35AC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73D5D7E2">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45A9F5A4">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2B38C0A1">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668DD4B0">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7BC37B4">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15261493">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7B09D04F">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5937383F">
            <w:pPr>
              <w:pStyle w:val="62"/>
              <w:rPr>
                <w:rFonts w:hint="eastAsia" w:ascii="宋体" w:hAnsi="宋体" w:eastAsia="宋体" w:cs="宋体"/>
                <w:color w:val="auto"/>
                <w:szCs w:val="21"/>
                <w:highlight w:val="none"/>
              </w:rPr>
            </w:pPr>
          </w:p>
        </w:tc>
      </w:tr>
      <w:tr w14:paraId="666F44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69AA7DC2">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172F0042">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17FF34B9">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6A7FFBF2">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DAB4C85">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0DCA3DD1">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6B94C7CC">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226D33EE">
            <w:pPr>
              <w:pStyle w:val="62"/>
              <w:rPr>
                <w:rFonts w:hint="eastAsia" w:ascii="宋体" w:hAnsi="宋体" w:eastAsia="宋体" w:cs="宋体"/>
                <w:color w:val="auto"/>
                <w:szCs w:val="21"/>
                <w:highlight w:val="none"/>
              </w:rPr>
            </w:pPr>
          </w:p>
        </w:tc>
      </w:tr>
      <w:tr w14:paraId="01CB07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2EDF9648">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450EAEB9">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10FFF2D4">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45158C24">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CD78F07">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7EEFA628">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559BAA8D">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709817C9">
            <w:pPr>
              <w:pStyle w:val="62"/>
              <w:rPr>
                <w:rFonts w:hint="eastAsia" w:ascii="宋体" w:hAnsi="宋体" w:eastAsia="宋体" w:cs="宋体"/>
                <w:color w:val="auto"/>
                <w:szCs w:val="21"/>
                <w:highlight w:val="none"/>
              </w:rPr>
            </w:pPr>
          </w:p>
        </w:tc>
      </w:tr>
      <w:tr w14:paraId="5C5EF8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079B86C8">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3964EFFB">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16903892">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75237E9D">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59964F5">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3305DF01">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41E18965">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76B15252">
            <w:pPr>
              <w:pStyle w:val="62"/>
              <w:rPr>
                <w:rFonts w:hint="eastAsia" w:ascii="宋体" w:hAnsi="宋体" w:eastAsia="宋体" w:cs="宋体"/>
                <w:color w:val="auto"/>
                <w:szCs w:val="21"/>
                <w:highlight w:val="none"/>
              </w:rPr>
            </w:pPr>
          </w:p>
        </w:tc>
      </w:tr>
      <w:tr w14:paraId="163DD8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1812AC74">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500EB0D1">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4E80D6DA">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3E0558E9">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E0A3D4A">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4EF6B7AA">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5FBD8E06">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4F1FB0FC">
            <w:pPr>
              <w:pStyle w:val="62"/>
              <w:rPr>
                <w:rFonts w:hint="eastAsia" w:ascii="宋体" w:hAnsi="宋体" w:eastAsia="宋体" w:cs="宋体"/>
                <w:color w:val="auto"/>
                <w:szCs w:val="21"/>
                <w:highlight w:val="none"/>
              </w:rPr>
            </w:pPr>
          </w:p>
        </w:tc>
      </w:tr>
      <w:tr w14:paraId="543432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02B3B482">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2C500CEF">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0A52DDC8">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26F56D79">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F6D10BB">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755119B7">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24DC969A">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5366B746">
            <w:pPr>
              <w:pStyle w:val="62"/>
              <w:rPr>
                <w:rFonts w:hint="eastAsia" w:ascii="宋体" w:hAnsi="宋体" w:eastAsia="宋体" w:cs="宋体"/>
                <w:color w:val="auto"/>
                <w:szCs w:val="21"/>
                <w:highlight w:val="none"/>
              </w:rPr>
            </w:pPr>
          </w:p>
        </w:tc>
      </w:tr>
      <w:tr w14:paraId="2B1676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7CA8B014">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609507B5">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27FA600F">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751D0B20">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1A3089A">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0EE6ABFF">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6E6E2122">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30FE15DF">
            <w:pPr>
              <w:pStyle w:val="62"/>
              <w:rPr>
                <w:rFonts w:hint="eastAsia" w:ascii="宋体" w:hAnsi="宋体" w:eastAsia="宋体" w:cs="宋体"/>
                <w:color w:val="auto"/>
                <w:szCs w:val="21"/>
                <w:highlight w:val="none"/>
              </w:rPr>
            </w:pPr>
          </w:p>
        </w:tc>
      </w:tr>
      <w:tr w14:paraId="130E2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728" w:type="dxa"/>
            <w:tcBorders>
              <w:top w:val="single" w:color="000000" w:sz="6" w:space="0"/>
              <w:bottom w:val="single" w:color="000000" w:sz="6" w:space="0"/>
              <w:right w:val="single" w:color="000000" w:sz="6" w:space="0"/>
            </w:tcBorders>
          </w:tcPr>
          <w:p w14:paraId="5C30593B">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bottom w:val="single" w:color="000000" w:sz="6" w:space="0"/>
              <w:right w:val="single" w:color="000000" w:sz="6" w:space="0"/>
            </w:tcBorders>
          </w:tcPr>
          <w:p w14:paraId="424FCB03">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bottom w:val="single" w:color="000000" w:sz="6" w:space="0"/>
              <w:right w:val="single" w:color="000000" w:sz="6" w:space="0"/>
            </w:tcBorders>
          </w:tcPr>
          <w:p w14:paraId="4F3B463A">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bottom w:val="single" w:color="000000" w:sz="6" w:space="0"/>
              <w:right w:val="single" w:color="000000" w:sz="6" w:space="0"/>
            </w:tcBorders>
          </w:tcPr>
          <w:p w14:paraId="19BE39D3">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76198FC">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bottom w:val="single" w:color="000000" w:sz="6" w:space="0"/>
              <w:right w:val="single" w:color="000000" w:sz="6" w:space="0"/>
            </w:tcBorders>
          </w:tcPr>
          <w:p w14:paraId="173CF761">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bottom w:val="single" w:color="000000" w:sz="6" w:space="0"/>
              <w:right w:val="single" w:color="000000" w:sz="6" w:space="0"/>
            </w:tcBorders>
          </w:tcPr>
          <w:p w14:paraId="55B767FE">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bottom w:val="single" w:color="000000" w:sz="6" w:space="0"/>
            </w:tcBorders>
          </w:tcPr>
          <w:p w14:paraId="40DB3FDF">
            <w:pPr>
              <w:pStyle w:val="62"/>
              <w:rPr>
                <w:rFonts w:hint="eastAsia" w:ascii="宋体" w:hAnsi="宋体" w:eastAsia="宋体" w:cs="宋体"/>
                <w:color w:val="auto"/>
                <w:szCs w:val="21"/>
                <w:highlight w:val="none"/>
              </w:rPr>
            </w:pPr>
          </w:p>
        </w:tc>
      </w:tr>
      <w:tr w14:paraId="64FC8C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728" w:type="dxa"/>
            <w:tcBorders>
              <w:top w:val="single" w:color="000000" w:sz="6" w:space="0"/>
              <w:right w:val="single" w:color="000000" w:sz="6" w:space="0"/>
            </w:tcBorders>
          </w:tcPr>
          <w:p w14:paraId="560D709D">
            <w:pPr>
              <w:pStyle w:val="62"/>
              <w:rPr>
                <w:rFonts w:hint="eastAsia" w:ascii="宋体" w:hAnsi="宋体" w:eastAsia="宋体" w:cs="宋体"/>
                <w:color w:val="auto"/>
                <w:szCs w:val="21"/>
                <w:highlight w:val="none"/>
              </w:rPr>
            </w:pPr>
          </w:p>
        </w:tc>
        <w:tc>
          <w:tcPr>
            <w:tcW w:w="1830" w:type="dxa"/>
            <w:tcBorders>
              <w:top w:val="single" w:color="000000" w:sz="6" w:space="0"/>
              <w:left w:val="single" w:color="000000" w:sz="6" w:space="0"/>
              <w:right w:val="single" w:color="000000" w:sz="6" w:space="0"/>
            </w:tcBorders>
          </w:tcPr>
          <w:p w14:paraId="0888A4F4">
            <w:pPr>
              <w:pStyle w:val="62"/>
              <w:rPr>
                <w:rFonts w:hint="eastAsia" w:ascii="宋体" w:hAnsi="宋体" w:eastAsia="宋体" w:cs="宋体"/>
                <w:color w:val="auto"/>
                <w:szCs w:val="21"/>
                <w:highlight w:val="none"/>
              </w:rPr>
            </w:pPr>
          </w:p>
        </w:tc>
        <w:tc>
          <w:tcPr>
            <w:tcW w:w="2070" w:type="dxa"/>
            <w:tcBorders>
              <w:top w:val="single" w:color="000000" w:sz="6" w:space="0"/>
              <w:left w:val="single" w:color="000000" w:sz="6" w:space="0"/>
              <w:right w:val="single" w:color="000000" w:sz="6" w:space="0"/>
            </w:tcBorders>
          </w:tcPr>
          <w:p w14:paraId="780D27D3">
            <w:pPr>
              <w:pStyle w:val="62"/>
              <w:rPr>
                <w:rFonts w:hint="eastAsia" w:ascii="宋体" w:hAnsi="宋体" w:eastAsia="宋体" w:cs="宋体"/>
                <w:color w:val="auto"/>
                <w:szCs w:val="21"/>
                <w:highlight w:val="none"/>
              </w:rPr>
            </w:pPr>
          </w:p>
        </w:tc>
        <w:tc>
          <w:tcPr>
            <w:tcW w:w="1581" w:type="dxa"/>
            <w:tcBorders>
              <w:top w:val="single" w:color="000000" w:sz="6" w:space="0"/>
              <w:left w:val="single" w:color="000000" w:sz="6" w:space="0"/>
              <w:right w:val="single" w:color="000000" w:sz="6" w:space="0"/>
            </w:tcBorders>
          </w:tcPr>
          <w:p w14:paraId="5FE9A54E">
            <w:pPr>
              <w:pStyle w:val="62"/>
              <w:rPr>
                <w:rFonts w:hint="eastAsia" w:ascii="宋体" w:hAnsi="宋体" w:eastAsia="宋体" w:cs="宋体"/>
                <w:color w:val="auto"/>
                <w:szCs w:val="21"/>
                <w:highlight w:val="none"/>
              </w:rPr>
            </w:pPr>
          </w:p>
        </w:tc>
        <w:tc>
          <w:tcPr>
            <w:tcW w:w="1020" w:type="dxa"/>
            <w:tcBorders>
              <w:top w:val="single" w:color="000000" w:sz="6" w:space="0"/>
              <w:left w:val="single" w:color="000000" w:sz="6" w:space="0"/>
              <w:right w:val="single" w:color="000000" w:sz="6" w:space="0"/>
            </w:tcBorders>
          </w:tcPr>
          <w:p w14:paraId="71411A69">
            <w:pPr>
              <w:pStyle w:val="62"/>
              <w:rPr>
                <w:rFonts w:hint="eastAsia" w:ascii="宋体" w:hAnsi="宋体" w:eastAsia="宋体" w:cs="宋体"/>
                <w:color w:val="auto"/>
                <w:szCs w:val="21"/>
                <w:highlight w:val="none"/>
              </w:rPr>
            </w:pPr>
          </w:p>
        </w:tc>
        <w:tc>
          <w:tcPr>
            <w:tcW w:w="847" w:type="dxa"/>
            <w:tcBorders>
              <w:top w:val="single" w:color="000000" w:sz="6" w:space="0"/>
              <w:left w:val="single" w:color="000000" w:sz="6" w:space="0"/>
              <w:right w:val="single" w:color="000000" w:sz="6" w:space="0"/>
            </w:tcBorders>
          </w:tcPr>
          <w:p w14:paraId="1AD825E2">
            <w:pPr>
              <w:pStyle w:val="62"/>
              <w:rPr>
                <w:rFonts w:hint="eastAsia" w:ascii="宋体" w:hAnsi="宋体" w:eastAsia="宋体" w:cs="宋体"/>
                <w:color w:val="auto"/>
                <w:szCs w:val="21"/>
                <w:highlight w:val="none"/>
              </w:rPr>
            </w:pPr>
          </w:p>
        </w:tc>
        <w:tc>
          <w:tcPr>
            <w:tcW w:w="837" w:type="dxa"/>
            <w:tcBorders>
              <w:top w:val="single" w:color="000000" w:sz="6" w:space="0"/>
              <w:left w:val="single" w:color="000000" w:sz="6" w:space="0"/>
              <w:right w:val="single" w:color="000000" w:sz="6" w:space="0"/>
            </w:tcBorders>
          </w:tcPr>
          <w:p w14:paraId="5A512DF7">
            <w:pPr>
              <w:pStyle w:val="62"/>
              <w:rPr>
                <w:rFonts w:hint="eastAsia" w:ascii="宋体" w:hAnsi="宋体" w:eastAsia="宋体" w:cs="宋体"/>
                <w:color w:val="auto"/>
                <w:szCs w:val="21"/>
                <w:highlight w:val="none"/>
              </w:rPr>
            </w:pPr>
          </w:p>
        </w:tc>
        <w:tc>
          <w:tcPr>
            <w:tcW w:w="565" w:type="dxa"/>
            <w:tcBorders>
              <w:top w:val="single" w:color="000000" w:sz="6" w:space="0"/>
              <w:left w:val="single" w:color="000000" w:sz="6" w:space="0"/>
            </w:tcBorders>
          </w:tcPr>
          <w:p w14:paraId="57687D36">
            <w:pPr>
              <w:pStyle w:val="62"/>
              <w:rPr>
                <w:rFonts w:hint="eastAsia" w:ascii="宋体" w:hAnsi="宋体" w:eastAsia="宋体" w:cs="宋体"/>
                <w:color w:val="auto"/>
                <w:szCs w:val="21"/>
                <w:highlight w:val="none"/>
              </w:rPr>
            </w:pPr>
          </w:p>
        </w:tc>
      </w:tr>
    </w:tbl>
    <w:p w14:paraId="28452230">
      <w:pPr>
        <w:spacing w:before="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注：1.请</w:t>
      </w:r>
      <w:r>
        <w:rPr>
          <w:rFonts w:hint="eastAsia" w:ascii="宋体" w:hAnsi="宋体" w:eastAsia="宋体" w:cs="宋体"/>
          <w:color w:val="auto"/>
          <w:spacing w:val="-2"/>
          <w:szCs w:val="21"/>
          <w:highlight w:val="none"/>
        </w:rPr>
        <w:t>投标人</w:t>
      </w:r>
      <w:r>
        <w:rPr>
          <w:rFonts w:hint="eastAsia" w:ascii="宋体" w:hAnsi="宋体" w:eastAsia="宋体" w:cs="宋体"/>
          <w:color w:val="auto"/>
          <w:szCs w:val="21"/>
          <w:highlight w:val="none"/>
        </w:rPr>
        <w:t>按照合同签订时间先后顺序填写此表，并按照同一顺序附相关证明材料。</w:t>
      </w:r>
    </w:p>
    <w:p w14:paraId="0AE5A4F2">
      <w:pPr>
        <w:spacing w:before="3"/>
        <w:ind w:firstLine="48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根据</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val="en-US" w:eastAsia="zh-CN"/>
        </w:rPr>
        <w:t>供应商近三年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年1月1日至今）</w:t>
      </w:r>
      <w:r>
        <w:rPr>
          <w:rFonts w:hint="eastAsia" w:ascii="宋体" w:hAnsi="宋体" w:eastAsia="宋体" w:cs="宋体"/>
          <w:color w:val="auto"/>
          <w:szCs w:val="21"/>
          <w:highlight w:val="none"/>
          <w:lang w:val="en-US" w:eastAsia="zh-CN"/>
        </w:rPr>
        <w:t>类似</w:t>
      </w:r>
      <w:r>
        <w:rPr>
          <w:rFonts w:hint="eastAsia" w:ascii="宋体" w:hAnsi="宋体" w:eastAsia="宋体" w:cs="宋体"/>
          <w:color w:val="auto"/>
          <w:szCs w:val="21"/>
          <w:highlight w:val="none"/>
          <w:lang w:eastAsia="zh-CN"/>
        </w:rPr>
        <w:t>业绩情况进行评定：每</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lang w:eastAsia="zh-CN"/>
        </w:rPr>
        <w:t>一个有效业绩加2分，满分1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分，同一项目续签合同的不可重复得分。（</w:t>
      </w:r>
      <w:r>
        <w:rPr>
          <w:rFonts w:hint="eastAsia" w:ascii="宋体" w:hAnsi="宋体" w:eastAsia="宋体" w:cs="宋体"/>
          <w:color w:val="auto"/>
          <w:szCs w:val="21"/>
          <w:highlight w:val="none"/>
          <w:lang w:val="en-US" w:eastAsia="zh-CN"/>
        </w:rPr>
        <w:t>业绩证明资料须</w:t>
      </w:r>
      <w:r>
        <w:rPr>
          <w:rFonts w:hint="eastAsia" w:ascii="宋体" w:hAnsi="宋体" w:eastAsia="宋体" w:cs="宋体"/>
          <w:color w:val="auto"/>
          <w:szCs w:val="21"/>
          <w:highlight w:val="none"/>
          <w:lang w:eastAsia="zh-CN"/>
        </w:rPr>
        <w:t>同时提供合同和中标通知书及发票扫描件&lt;发票应体现具体内容，如发票未体现具体内容，应附清单&gt;，上述材料缺一不可，提供不全或上述材料不清晰不完整无法辨识的本项不得分。）</w:t>
      </w:r>
    </w:p>
    <w:p w14:paraId="5700F85E">
      <w:pPr>
        <w:spacing w:before="3"/>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3.投标人提供虚假合同的，按虚假投标处理。</w:t>
      </w:r>
    </w:p>
    <w:p w14:paraId="14315E80">
      <w:pPr>
        <w:pStyle w:val="12"/>
        <w:rPr>
          <w:rFonts w:hint="eastAsia" w:ascii="宋体" w:hAnsi="宋体" w:eastAsia="宋体" w:cs="宋体"/>
          <w:color w:val="auto"/>
          <w:sz w:val="21"/>
          <w:szCs w:val="21"/>
          <w:highlight w:val="none"/>
        </w:rPr>
      </w:pPr>
    </w:p>
    <w:p w14:paraId="19595DF0">
      <w:pPr>
        <w:pStyle w:val="12"/>
        <w:spacing w:before="8"/>
        <w:rPr>
          <w:rFonts w:hint="eastAsia" w:ascii="宋体" w:hAnsi="宋体" w:eastAsia="宋体" w:cs="宋体"/>
          <w:color w:val="auto"/>
          <w:sz w:val="21"/>
          <w:szCs w:val="21"/>
          <w:highlight w:val="none"/>
        </w:rPr>
      </w:pPr>
    </w:p>
    <w:p w14:paraId="3837EA9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581D7795">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5F060B78">
      <w:pPr>
        <w:pStyle w:val="44"/>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7C193620">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04F72820">
      <w:pPr>
        <w:pStyle w:val="5"/>
        <w:bidi w:val="0"/>
        <w:rPr>
          <w:rFonts w:hint="default"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宋体"/>
          <w:color w:val="auto"/>
          <w:highlight w:val="none"/>
          <w:lang w:val="en-US" w:eastAsia="zh-CN"/>
        </w:rPr>
        <w:t>5</w:t>
      </w:r>
      <w:r>
        <w:rPr>
          <w:rFonts w:hint="eastAsia" w:ascii="宋体" w:hAnsi="宋体" w:eastAsia="宋体" w:cs="宋体"/>
          <w:color w:val="auto"/>
          <w:highlight w:val="none"/>
          <w:lang w:val="en-US" w:eastAsia="zh-CN"/>
        </w:rPr>
        <w:t xml:space="preserve"> 供应产品的来源</w:t>
      </w:r>
    </w:p>
    <w:p w14:paraId="28CBE84F">
      <w:pPr>
        <w:bidi w:val="0"/>
        <w:ind w:left="0" w:leftChars="0" w:firstLine="480" w:firstLineChars="200"/>
        <w:rPr>
          <w:rFonts w:hint="eastAsia" w:ascii="宋体" w:hAnsi="宋体" w:eastAsia="宋体" w:cs="宋体"/>
          <w:bCs/>
          <w:color w:val="auto"/>
          <w:szCs w:val="24"/>
          <w:highlight w:val="none"/>
        </w:rPr>
      </w:pPr>
      <w:r>
        <w:rPr>
          <w:rFonts w:hint="eastAsia"/>
          <w:color w:val="auto"/>
          <w:highlight w:val="none"/>
          <w:lang w:val="en-US" w:eastAsia="zh-CN"/>
        </w:rPr>
        <w:t>（</w:t>
      </w:r>
      <w:r>
        <w:rPr>
          <w:rFonts w:hint="eastAsia"/>
          <w:color w:val="auto"/>
          <w:highlight w:val="none"/>
          <w:lang w:eastAsia="zh-CN"/>
        </w:rPr>
        <w:t>投标人</w:t>
      </w:r>
      <w:r>
        <w:rPr>
          <w:rFonts w:hint="eastAsia"/>
          <w:color w:val="auto"/>
          <w:highlight w:val="none"/>
          <w:lang w:val="en-US" w:eastAsia="zh-CN"/>
        </w:rPr>
        <w:t>须承诺中标后</w:t>
      </w:r>
      <w:r>
        <w:rPr>
          <w:rFonts w:hint="eastAsia"/>
          <w:color w:val="auto"/>
          <w:highlight w:val="none"/>
          <w:lang w:eastAsia="zh-CN"/>
        </w:rPr>
        <w:t>与货源供应商签订有效</w:t>
      </w:r>
      <w:r>
        <w:rPr>
          <w:rFonts w:hint="eastAsia"/>
          <w:color w:val="auto"/>
          <w:highlight w:val="none"/>
          <w:lang w:val="en-US" w:eastAsia="zh-CN"/>
        </w:rPr>
        <w:t>的</w:t>
      </w:r>
      <w:r>
        <w:rPr>
          <w:rFonts w:hint="eastAsia"/>
          <w:color w:val="auto"/>
          <w:highlight w:val="none"/>
          <w:lang w:eastAsia="zh-CN"/>
        </w:rPr>
        <w:t>合同，</w:t>
      </w:r>
      <w:r>
        <w:rPr>
          <w:rFonts w:hint="eastAsia"/>
          <w:color w:val="auto"/>
          <w:highlight w:val="none"/>
          <w:lang w:val="en-US" w:eastAsia="zh-CN"/>
        </w:rPr>
        <w:t>且</w:t>
      </w:r>
      <w:r>
        <w:rPr>
          <w:rFonts w:hint="eastAsia"/>
          <w:color w:val="auto"/>
          <w:highlight w:val="none"/>
          <w:lang w:eastAsia="zh-CN"/>
        </w:rPr>
        <w:t>货源可追溯；</w:t>
      </w:r>
      <w:r>
        <w:rPr>
          <w:rFonts w:hint="eastAsia"/>
          <w:color w:val="auto"/>
          <w:highlight w:val="none"/>
          <w:lang w:val="en-US" w:eastAsia="zh-CN"/>
        </w:rPr>
        <w:t>格式自拟，须签字盖章）</w:t>
      </w:r>
    </w:p>
    <w:p w14:paraId="592667EF">
      <w:pPr>
        <w:rPr>
          <w:rFonts w:hint="eastAsia"/>
          <w:color w:val="auto"/>
          <w:highlight w:val="none"/>
        </w:rPr>
      </w:pPr>
      <w:r>
        <w:rPr>
          <w:rFonts w:hint="eastAsia"/>
          <w:color w:val="auto"/>
          <w:highlight w:val="none"/>
        </w:rPr>
        <w:br w:type="page"/>
      </w:r>
    </w:p>
    <w:p w14:paraId="71087564">
      <w:pPr>
        <w:pStyle w:val="5"/>
        <w:bidi w:val="0"/>
        <w:rPr>
          <w:rFonts w:hint="eastAsia"/>
          <w:color w:val="auto"/>
          <w:highlight w:val="none"/>
          <w:lang w:eastAsia="zh-CN"/>
        </w:rPr>
      </w:pPr>
      <w:r>
        <w:rPr>
          <w:rFonts w:hint="eastAsia"/>
          <w:color w:val="auto"/>
          <w:highlight w:val="none"/>
          <w:lang w:val="en-US" w:eastAsia="zh-CN"/>
        </w:rPr>
        <w:t xml:space="preserve">3-6 </w:t>
      </w:r>
      <w:r>
        <w:rPr>
          <w:rFonts w:hint="eastAsia"/>
          <w:color w:val="auto"/>
          <w:highlight w:val="none"/>
          <w:lang w:eastAsia="zh-CN"/>
        </w:rPr>
        <w:t>食品安全检测能力</w:t>
      </w:r>
    </w:p>
    <w:p w14:paraId="4C5D8E39">
      <w:pPr>
        <w:bidi w:val="0"/>
        <w:rPr>
          <w:rFonts w:hint="eastAsia"/>
          <w:color w:val="auto"/>
          <w:highlight w:val="none"/>
          <w:lang w:val="en-US" w:eastAsia="zh-CN"/>
        </w:rPr>
      </w:pPr>
      <w:r>
        <w:rPr>
          <w:rFonts w:hint="eastAsia"/>
          <w:color w:val="auto"/>
          <w:highlight w:val="none"/>
          <w:lang w:eastAsia="zh-CN"/>
        </w:rPr>
        <w:t>（供应商</w:t>
      </w:r>
      <w:r>
        <w:rPr>
          <w:rFonts w:hint="eastAsia"/>
          <w:color w:val="auto"/>
          <w:highlight w:val="none"/>
          <w:lang w:val="en-US" w:eastAsia="zh-CN"/>
        </w:rPr>
        <w:t>须承诺，中标后按采购人要求提供：</w:t>
      </w:r>
      <w:r>
        <w:rPr>
          <w:rFonts w:hint="eastAsia"/>
          <w:color w:val="auto"/>
          <w:highlight w:val="none"/>
          <w:lang w:eastAsia="zh-CN"/>
        </w:rPr>
        <w:t>第三方食品检测机构</w:t>
      </w:r>
      <w:r>
        <w:rPr>
          <w:rFonts w:hint="eastAsia"/>
          <w:color w:val="auto"/>
          <w:highlight w:val="none"/>
          <w:lang w:val="en-US" w:eastAsia="zh-CN"/>
        </w:rPr>
        <w:t>出具的由供应商送检的实际供货货物的食品检测报告；格式自拟，须签字盖章</w:t>
      </w:r>
      <w:r>
        <w:rPr>
          <w:rFonts w:hint="eastAsia"/>
          <w:color w:val="auto"/>
          <w:highlight w:val="none"/>
          <w:lang w:eastAsia="zh-CN"/>
        </w:rPr>
        <w:t>）</w:t>
      </w:r>
    </w:p>
    <w:p w14:paraId="67B65324">
      <w:pPr>
        <w:bidi w:val="0"/>
        <w:rPr>
          <w:rFonts w:hint="eastAsia"/>
          <w:color w:val="auto"/>
          <w:highlight w:val="none"/>
        </w:rPr>
      </w:pPr>
      <w:r>
        <w:rPr>
          <w:rFonts w:hint="eastAsia"/>
          <w:color w:val="auto"/>
          <w:highlight w:val="none"/>
        </w:rPr>
        <w:br w:type="page"/>
      </w:r>
    </w:p>
    <w:p w14:paraId="08CC15CF">
      <w:pPr>
        <w:pStyle w:val="4"/>
        <w:bidi w:val="0"/>
        <w:rPr>
          <w:rFonts w:hint="eastAsia" w:ascii="宋体" w:hAnsi="宋体" w:eastAsia="宋体" w:cs="宋体"/>
          <w:color w:val="auto"/>
          <w:highlight w:val="none"/>
        </w:rPr>
      </w:pPr>
      <w:bookmarkStart w:id="121" w:name="_Toc21009"/>
      <w:bookmarkStart w:id="122" w:name="_Toc14323"/>
      <w:r>
        <w:rPr>
          <w:rFonts w:hint="eastAsia" w:cs="宋体"/>
          <w:color w:val="auto"/>
          <w:highlight w:val="none"/>
          <w:lang w:val="en-US" w:eastAsia="zh-CN"/>
        </w:rPr>
        <w:t>四</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投标书</w:t>
      </w:r>
      <w:bookmarkEnd w:id="121"/>
      <w:bookmarkEnd w:id="122"/>
    </w:p>
    <w:p w14:paraId="6D79957E">
      <w:pPr>
        <w:pStyle w:val="44"/>
        <w:spacing w:line="440" w:lineRule="exact"/>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rPr>
        <w:t>致：</w:t>
      </w:r>
      <w:r>
        <w:rPr>
          <w:rFonts w:hint="eastAsia" w:ascii="宋体" w:hAnsi="宋体" w:eastAsia="宋体" w:cs="宋体"/>
          <w:bCs w:val="0"/>
          <w:color w:val="auto"/>
          <w:sz w:val="24"/>
          <w:szCs w:val="24"/>
          <w:highlight w:val="none"/>
          <w:u w:val="single"/>
          <w:lang w:val="en-US" w:eastAsia="zh-CN"/>
        </w:rPr>
        <w:t>采购人/采购代理机构</w:t>
      </w:r>
    </w:p>
    <w:p w14:paraId="0802553D">
      <w:pPr>
        <w:pStyle w:val="44"/>
        <w:spacing w:line="440" w:lineRule="exact"/>
        <w:ind w:firstLine="52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根据贵方为</w:t>
      </w:r>
      <w:r>
        <w:rPr>
          <w:rFonts w:hint="eastAsia" w:ascii="宋体" w:hAnsi="宋体" w:eastAsia="宋体" w:cs="宋体"/>
          <w:bCs w:val="0"/>
          <w:color w:val="auto"/>
          <w:sz w:val="24"/>
          <w:szCs w:val="24"/>
          <w:highlight w:val="none"/>
          <w:u w:val="single"/>
        </w:rPr>
        <w:t xml:space="preserve">  (项目名称</w:t>
      </w:r>
      <w:r>
        <w:rPr>
          <w:rFonts w:hint="eastAsia" w:ascii="宋体" w:hAnsi="宋体" w:cs="宋体"/>
          <w:bCs w:val="0"/>
          <w:color w:val="auto"/>
          <w:sz w:val="24"/>
          <w:szCs w:val="24"/>
          <w:highlight w:val="none"/>
          <w:u w:val="single"/>
          <w:lang w:val="en-US" w:eastAsia="zh-CN"/>
        </w:rPr>
        <w:t>+标项号</w:t>
      </w:r>
      <w:r>
        <w:rPr>
          <w:rFonts w:hint="eastAsia" w:ascii="宋体" w:hAnsi="宋体" w:eastAsia="宋体" w:cs="宋体"/>
          <w:bCs w:val="0"/>
          <w:color w:val="auto"/>
          <w:sz w:val="24"/>
          <w:szCs w:val="24"/>
          <w:highlight w:val="none"/>
          <w:u w:val="single"/>
        </w:rPr>
        <w:t xml:space="preserve">、招标编号)  </w:t>
      </w:r>
      <w:r>
        <w:rPr>
          <w:rFonts w:hint="eastAsia" w:ascii="宋体" w:hAnsi="宋体" w:eastAsia="宋体" w:cs="宋体"/>
          <w:bCs w:val="0"/>
          <w:color w:val="auto"/>
          <w:sz w:val="24"/>
          <w:szCs w:val="24"/>
          <w:highlight w:val="none"/>
        </w:rPr>
        <w:t>项目的投标邀请,签字代表</w:t>
      </w:r>
      <w:r>
        <w:rPr>
          <w:rFonts w:hint="eastAsia" w:ascii="宋体" w:hAnsi="宋体" w:eastAsia="宋体" w:cs="宋体"/>
          <w:bCs w:val="0"/>
          <w:color w:val="auto"/>
          <w:sz w:val="24"/>
          <w:szCs w:val="24"/>
          <w:highlight w:val="none"/>
          <w:u w:val="single"/>
        </w:rPr>
        <w:t>(姓名、职务)</w:t>
      </w:r>
      <w:r>
        <w:rPr>
          <w:rFonts w:hint="eastAsia" w:ascii="宋体" w:hAnsi="宋体" w:eastAsia="宋体" w:cs="宋体"/>
          <w:bCs w:val="0"/>
          <w:color w:val="auto"/>
          <w:sz w:val="24"/>
          <w:szCs w:val="24"/>
          <w:highlight w:val="none"/>
        </w:rPr>
        <w:t>经正式授权并代表投标人</w:t>
      </w:r>
      <w:r>
        <w:rPr>
          <w:rFonts w:hint="eastAsia" w:ascii="宋体" w:hAnsi="宋体" w:eastAsia="宋体" w:cs="宋体"/>
          <w:bCs w:val="0"/>
          <w:color w:val="auto"/>
          <w:sz w:val="24"/>
          <w:szCs w:val="24"/>
          <w:highlight w:val="none"/>
          <w:u w:val="single"/>
        </w:rPr>
        <w:t xml:space="preserve">  （投标人名称、地址）  </w:t>
      </w:r>
      <w:r>
        <w:rPr>
          <w:rFonts w:hint="eastAsia" w:ascii="宋体" w:hAnsi="宋体" w:eastAsia="宋体" w:cs="宋体"/>
          <w:bCs w:val="0"/>
          <w:color w:val="auto"/>
          <w:sz w:val="24"/>
          <w:szCs w:val="24"/>
          <w:highlight w:val="none"/>
        </w:rPr>
        <w:t>提按照新疆维吾尔自治区政府采购云平台规定向贵方提交电子投标文件</w:t>
      </w:r>
      <w:r>
        <w:rPr>
          <w:rFonts w:hint="eastAsia" w:ascii="宋体" w:hAnsi="宋体" w:eastAsia="宋体" w:cs="宋体"/>
          <w:bCs w:val="0"/>
          <w:color w:val="auto"/>
          <w:sz w:val="24"/>
          <w:szCs w:val="24"/>
          <w:highlight w:val="none"/>
          <w:u w:val="single"/>
        </w:rPr>
        <w:t xml:space="preserve"> 1 </w:t>
      </w:r>
      <w:r>
        <w:rPr>
          <w:rFonts w:hint="eastAsia" w:ascii="宋体" w:hAnsi="宋体" w:eastAsia="宋体" w:cs="宋体"/>
          <w:bCs w:val="0"/>
          <w:color w:val="auto"/>
          <w:sz w:val="24"/>
          <w:szCs w:val="24"/>
          <w:highlight w:val="none"/>
        </w:rPr>
        <w:t>份，</w:t>
      </w:r>
    </w:p>
    <w:p w14:paraId="5FBCD091">
      <w:pPr>
        <w:pStyle w:val="44"/>
        <w:spacing w:line="440" w:lineRule="exact"/>
        <w:ind w:firstLine="52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以</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形式出具的金额为人民币</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元的投标保证金。并作出如下承诺：</w:t>
      </w:r>
    </w:p>
    <w:p w14:paraId="0E02456A">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如果我方被确定为中标人，我们将按照招标文件、我方投标文件及双方确认的合同条款的要求执行。</w:t>
      </w:r>
    </w:p>
    <w:p w14:paraId="674D83FF">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我方保证忠实地执行双方所</w:t>
      </w:r>
      <w:r>
        <w:rPr>
          <w:rFonts w:hint="eastAsia" w:ascii="宋体" w:hAnsi="宋体" w:cs="宋体"/>
          <w:bCs w:val="0"/>
          <w:color w:val="auto"/>
          <w:sz w:val="24"/>
          <w:szCs w:val="24"/>
          <w:highlight w:val="none"/>
          <w:lang w:eastAsia="zh-CN"/>
        </w:rPr>
        <w:t>签订</w:t>
      </w:r>
      <w:r>
        <w:rPr>
          <w:rFonts w:hint="eastAsia" w:ascii="宋体" w:hAnsi="宋体" w:eastAsia="宋体" w:cs="宋体"/>
          <w:bCs w:val="0"/>
          <w:color w:val="auto"/>
          <w:sz w:val="24"/>
          <w:szCs w:val="24"/>
          <w:highlight w:val="none"/>
        </w:rPr>
        <w:t>的合同，并承担合同规定的责任和义务。</w:t>
      </w:r>
    </w:p>
    <w:p w14:paraId="5C9C47A1">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3</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我方愿意向贵方提供任何与此报价有关的数据、情况和技术资料。完全理解贵方不一定接受最低价的投标或收到的任何投标。</w:t>
      </w:r>
    </w:p>
    <w:p w14:paraId="426377AA">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4</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我方提交的投标文件及报价自提交日期起</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天有效，并对我方具有约束力。</w:t>
      </w:r>
    </w:p>
    <w:p w14:paraId="29B3F286">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我方已详细审查全部招标文件，包括所有补充通知（如果有的话）。我们完全理解并同意放弃对这方面有不明、误解和质疑的权力。</w:t>
      </w:r>
    </w:p>
    <w:p w14:paraId="3FAC0E6F">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6</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在规定的开标时间后，投标人保证遵守招标文件中有关保证金的规定。</w:t>
      </w:r>
    </w:p>
    <w:p w14:paraId="21516A8E">
      <w:pPr>
        <w:pStyle w:val="44"/>
        <w:keepNext w:val="0"/>
        <w:keepLines w:val="0"/>
        <w:pageBreakBefore w:val="0"/>
        <w:widowControl/>
        <w:kinsoku/>
        <w:wordWrap/>
        <w:overflowPunct/>
        <w:topLinePunct w:val="0"/>
        <w:autoSpaceDE/>
        <w:autoSpaceDN/>
        <w:bidi w:val="0"/>
        <w:adjustRightInd/>
        <w:snapToGrid/>
        <w:spacing w:before="0" w:after="0" w:line="440" w:lineRule="exact"/>
        <w:ind w:firstLine="52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7</w:t>
      </w:r>
      <w:r>
        <w:rPr>
          <w:rFonts w:hint="eastAsia" w:ascii="宋体" w:hAnsi="宋体" w:cs="宋体"/>
          <w:bCs w:val="0"/>
          <w:color w:val="auto"/>
          <w:sz w:val="24"/>
          <w:szCs w:val="24"/>
          <w:highlight w:val="none"/>
          <w:lang w:val="en-US" w:eastAsia="zh-CN"/>
        </w:rPr>
        <w:t>.</w:t>
      </w:r>
      <w:r>
        <w:rPr>
          <w:rFonts w:hint="eastAsia" w:ascii="宋体" w:hAnsi="宋体" w:eastAsia="宋体" w:cs="宋体"/>
          <w:bCs w:val="0"/>
          <w:color w:val="auto"/>
          <w:sz w:val="24"/>
          <w:szCs w:val="24"/>
          <w:highlight w:val="none"/>
        </w:rPr>
        <w:t>与</w:t>
      </w:r>
      <w:r>
        <w:rPr>
          <w:rFonts w:hint="eastAsia" w:ascii="宋体" w:hAnsi="宋体" w:cs="宋体"/>
          <w:bCs w:val="0"/>
          <w:color w:val="auto"/>
          <w:sz w:val="24"/>
          <w:szCs w:val="24"/>
          <w:highlight w:val="none"/>
          <w:lang w:eastAsia="zh-CN"/>
        </w:rPr>
        <w:t>本次</w:t>
      </w:r>
      <w:r>
        <w:rPr>
          <w:rFonts w:hint="eastAsia" w:ascii="宋体" w:hAnsi="宋体" w:eastAsia="宋体" w:cs="宋体"/>
          <w:bCs w:val="0"/>
          <w:color w:val="auto"/>
          <w:sz w:val="24"/>
          <w:szCs w:val="24"/>
          <w:highlight w:val="none"/>
        </w:rPr>
        <w:t>投标有关的一切正式往来信函请寄：</w:t>
      </w:r>
    </w:p>
    <w:p w14:paraId="4223F2D9">
      <w:pPr>
        <w:pStyle w:val="44"/>
        <w:spacing w:line="440" w:lineRule="exact"/>
        <w:rPr>
          <w:rFonts w:hint="eastAsia" w:ascii="宋体" w:hAnsi="宋体" w:eastAsia="宋体" w:cs="宋体"/>
          <w:bCs w:val="0"/>
          <w:color w:val="auto"/>
          <w:sz w:val="24"/>
          <w:szCs w:val="24"/>
          <w:highlight w:val="none"/>
        </w:rPr>
      </w:pPr>
    </w:p>
    <w:p w14:paraId="08782445">
      <w:pPr>
        <w:pStyle w:val="44"/>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地址：</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 xml:space="preserve">                                      </w:t>
      </w:r>
    </w:p>
    <w:p w14:paraId="5EB3445B">
      <w:pPr>
        <w:pStyle w:val="44"/>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电话：</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 xml:space="preserve">            </w:t>
      </w:r>
    </w:p>
    <w:p w14:paraId="51CCF86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655FAF35">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371F40A1">
      <w:pPr>
        <w:pStyle w:val="44"/>
        <w:spacing w:line="360" w:lineRule="auto"/>
        <w:rPr>
          <w:rFonts w:hint="eastAsia" w:ascii="宋体" w:hAnsi="宋体" w:eastAsia="宋体" w:cs="宋体"/>
          <w:bCs w:val="0"/>
          <w:color w:val="auto"/>
          <w:sz w:val="24"/>
          <w:szCs w:val="24"/>
          <w:highlight w:val="none"/>
        </w:rPr>
        <w:sectPr>
          <w:footerReference r:id="rId9"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07427AC4">
      <w:pPr>
        <w:pStyle w:val="4"/>
        <w:bidi w:val="0"/>
        <w:rPr>
          <w:rFonts w:hint="eastAsia" w:ascii="宋体" w:hAnsi="宋体" w:eastAsia="宋体" w:cs="宋体"/>
          <w:color w:val="auto"/>
          <w:highlight w:val="none"/>
        </w:rPr>
      </w:pPr>
      <w:bookmarkStart w:id="123" w:name="_Toc12900"/>
      <w:bookmarkStart w:id="124" w:name="_Toc2140"/>
      <w:r>
        <w:rPr>
          <w:rFonts w:hint="eastAsia" w:cs="宋体"/>
          <w:color w:val="auto"/>
          <w:highlight w:val="none"/>
          <w:lang w:val="en-US" w:eastAsia="zh-CN"/>
        </w:rPr>
        <w:t>五</w:t>
      </w:r>
      <w:r>
        <w:rPr>
          <w:rFonts w:hint="eastAsia" w:ascii="宋体" w:hAnsi="宋体" w:eastAsia="宋体" w:cs="宋体"/>
          <w:color w:val="auto"/>
          <w:highlight w:val="none"/>
          <w:lang w:val="en-US" w:eastAsia="zh-CN"/>
        </w:rPr>
        <w:t>、</w:t>
      </w:r>
      <w:bookmarkEnd w:id="123"/>
      <w:bookmarkEnd w:id="124"/>
      <w:r>
        <w:rPr>
          <w:rFonts w:hint="eastAsia" w:ascii="宋体" w:hAnsi="宋体" w:eastAsia="宋体" w:cs="宋体"/>
          <w:b/>
          <w:bCs/>
          <w:color w:val="auto"/>
          <w:spacing w:val="-3"/>
          <w:sz w:val="28"/>
          <w:szCs w:val="28"/>
          <w:highlight w:val="none"/>
        </w:rPr>
        <w:t>采购需求响应偏离表</w:t>
      </w:r>
    </w:p>
    <w:p w14:paraId="4A6115A6">
      <w:pPr>
        <w:pStyle w:val="17"/>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招标编号:                 </w:t>
      </w:r>
    </w:p>
    <w:p w14:paraId="0121DCB9">
      <w:pPr>
        <w:pStyle w:val="17"/>
        <w:spacing w:line="360" w:lineRule="auto"/>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标项号：</w:t>
      </w:r>
    </w:p>
    <w:tbl>
      <w:tblPr>
        <w:tblStyle w:val="3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598"/>
        <w:gridCol w:w="2322"/>
        <w:gridCol w:w="2032"/>
        <w:gridCol w:w="2283"/>
      </w:tblGrid>
      <w:tr w14:paraId="6240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49" w:type="dxa"/>
            <w:vAlign w:val="top"/>
          </w:tcPr>
          <w:p w14:paraId="7E81C119">
            <w:pPr>
              <w:pStyle w:val="77"/>
              <w:keepNext w:val="0"/>
              <w:keepLines w:val="0"/>
              <w:pageBreakBefore w:val="0"/>
              <w:widowControl/>
              <w:kinsoku w:val="0"/>
              <w:wordWrap/>
              <w:overflowPunct/>
              <w:topLinePunct w:val="0"/>
              <w:autoSpaceDE w:val="0"/>
              <w:autoSpaceDN w:val="0"/>
              <w:bidi w:val="0"/>
              <w:adjustRightInd w:val="0"/>
              <w:snapToGrid w:val="0"/>
              <w:spacing w:before="65" w:line="240" w:lineRule="auto"/>
              <w:ind w:left="0" w:leftChars="0" w:right="0" w:rightChars="0"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pacing w:val="-3"/>
                <w:highlight w:val="none"/>
              </w:rPr>
              <w:t>序号</w:t>
            </w:r>
          </w:p>
        </w:tc>
        <w:tc>
          <w:tcPr>
            <w:tcW w:w="1598" w:type="dxa"/>
            <w:vAlign w:val="top"/>
          </w:tcPr>
          <w:p w14:paraId="504F8A6C">
            <w:pPr>
              <w:pStyle w:val="77"/>
              <w:keepNext w:val="0"/>
              <w:keepLines w:val="0"/>
              <w:pageBreakBefore w:val="0"/>
              <w:widowControl/>
              <w:kinsoku w:val="0"/>
              <w:wordWrap/>
              <w:overflowPunct/>
              <w:topLinePunct w:val="0"/>
              <w:autoSpaceDE w:val="0"/>
              <w:autoSpaceDN w:val="0"/>
              <w:bidi w:val="0"/>
              <w:adjustRightInd w:val="0"/>
              <w:snapToGrid w:val="0"/>
              <w:spacing w:before="65" w:line="240" w:lineRule="auto"/>
              <w:ind w:left="0" w:leftChars="0" w:right="0" w:rightChars="0"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highlight w:val="none"/>
              </w:rPr>
              <w:t>采购内容</w:t>
            </w:r>
          </w:p>
        </w:tc>
        <w:tc>
          <w:tcPr>
            <w:tcW w:w="2322" w:type="dxa"/>
            <w:vAlign w:val="top"/>
          </w:tcPr>
          <w:p w14:paraId="3379B3C5">
            <w:pPr>
              <w:pStyle w:val="77"/>
              <w:keepNext w:val="0"/>
              <w:keepLines w:val="0"/>
              <w:pageBreakBefore w:val="0"/>
              <w:widowControl/>
              <w:kinsoku w:val="0"/>
              <w:wordWrap/>
              <w:overflowPunct/>
              <w:topLinePunct w:val="0"/>
              <w:autoSpaceDE w:val="0"/>
              <w:autoSpaceDN w:val="0"/>
              <w:bidi w:val="0"/>
              <w:adjustRightInd w:val="0"/>
              <w:snapToGrid w:val="0"/>
              <w:spacing w:before="65" w:line="240" w:lineRule="auto"/>
              <w:ind w:left="0" w:leftChars="0" w:right="0" w:rightChars="0"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highlight w:val="none"/>
              </w:rPr>
              <w:t>采购需求要求</w:t>
            </w:r>
          </w:p>
        </w:tc>
        <w:tc>
          <w:tcPr>
            <w:tcW w:w="2032" w:type="dxa"/>
            <w:vAlign w:val="top"/>
          </w:tcPr>
          <w:p w14:paraId="07DF8A1B">
            <w:pPr>
              <w:pStyle w:val="77"/>
              <w:keepNext w:val="0"/>
              <w:keepLines w:val="0"/>
              <w:pageBreakBefore w:val="0"/>
              <w:widowControl/>
              <w:kinsoku w:val="0"/>
              <w:wordWrap/>
              <w:overflowPunct/>
              <w:topLinePunct w:val="0"/>
              <w:autoSpaceDE w:val="0"/>
              <w:autoSpaceDN w:val="0"/>
              <w:bidi w:val="0"/>
              <w:adjustRightInd w:val="0"/>
              <w:snapToGrid w:val="0"/>
              <w:spacing w:before="65" w:line="240" w:lineRule="auto"/>
              <w:ind w:left="0" w:leftChars="0" w:right="0" w:rightChars="0"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highlight w:val="none"/>
              </w:rPr>
              <w:t>采购需求响应</w:t>
            </w:r>
          </w:p>
        </w:tc>
        <w:tc>
          <w:tcPr>
            <w:tcW w:w="2283" w:type="dxa"/>
            <w:vAlign w:val="top"/>
          </w:tcPr>
          <w:p w14:paraId="43CE44CB">
            <w:pPr>
              <w:pStyle w:val="77"/>
              <w:keepNext w:val="0"/>
              <w:keepLines w:val="0"/>
              <w:pageBreakBefore w:val="0"/>
              <w:widowControl/>
              <w:kinsoku w:val="0"/>
              <w:wordWrap/>
              <w:overflowPunct/>
              <w:topLinePunct w:val="0"/>
              <w:autoSpaceDE w:val="0"/>
              <w:autoSpaceDN w:val="0"/>
              <w:bidi w:val="0"/>
              <w:adjustRightInd w:val="0"/>
              <w:snapToGrid w:val="0"/>
              <w:spacing w:before="64" w:line="240" w:lineRule="auto"/>
              <w:ind w:left="0" w:leftChars="0" w:right="0" w:rightChars="0"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highlight w:val="none"/>
              </w:rPr>
              <w:t>偏离/响应</w:t>
            </w:r>
          </w:p>
        </w:tc>
      </w:tr>
      <w:tr w14:paraId="36C0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1C1882CA">
            <w:pPr>
              <w:pStyle w:val="17"/>
              <w:ind w:left="1157" w:leftChars="257" w:hanging="540"/>
              <w:rPr>
                <w:rFonts w:hint="eastAsia" w:ascii="宋体" w:hAnsi="宋体" w:eastAsia="宋体" w:cs="宋体"/>
                <w:color w:val="auto"/>
                <w:szCs w:val="21"/>
                <w:highlight w:val="none"/>
              </w:rPr>
            </w:pPr>
          </w:p>
        </w:tc>
        <w:tc>
          <w:tcPr>
            <w:tcW w:w="1598" w:type="dxa"/>
          </w:tcPr>
          <w:p w14:paraId="19223EE4">
            <w:pPr>
              <w:pStyle w:val="17"/>
              <w:ind w:left="1157" w:leftChars="257" w:hanging="540"/>
              <w:rPr>
                <w:rFonts w:hint="eastAsia" w:ascii="宋体" w:hAnsi="宋体" w:eastAsia="宋体" w:cs="宋体"/>
                <w:color w:val="auto"/>
                <w:szCs w:val="21"/>
                <w:highlight w:val="none"/>
              </w:rPr>
            </w:pPr>
          </w:p>
        </w:tc>
        <w:tc>
          <w:tcPr>
            <w:tcW w:w="2322" w:type="dxa"/>
          </w:tcPr>
          <w:p w14:paraId="1718FFE2">
            <w:pPr>
              <w:pStyle w:val="17"/>
              <w:ind w:left="1157" w:leftChars="257" w:hanging="540"/>
              <w:rPr>
                <w:rFonts w:hint="eastAsia" w:ascii="宋体" w:hAnsi="宋体" w:eastAsia="宋体" w:cs="宋体"/>
                <w:color w:val="auto"/>
                <w:szCs w:val="21"/>
                <w:highlight w:val="none"/>
              </w:rPr>
            </w:pPr>
          </w:p>
        </w:tc>
        <w:tc>
          <w:tcPr>
            <w:tcW w:w="2032" w:type="dxa"/>
          </w:tcPr>
          <w:p w14:paraId="488841F8">
            <w:pPr>
              <w:pStyle w:val="17"/>
              <w:ind w:left="1157" w:leftChars="257" w:hanging="540"/>
              <w:rPr>
                <w:rFonts w:hint="eastAsia" w:ascii="宋体" w:hAnsi="宋体" w:eastAsia="宋体" w:cs="宋体"/>
                <w:color w:val="auto"/>
                <w:szCs w:val="21"/>
                <w:highlight w:val="none"/>
              </w:rPr>
            </w:pPr>
          </w:p>
        </w:tc>
        <w:tc>
          <w:tcPr>
            <w:tcW w:w="2283" w:type="dxa"/>
          </w:tcPr>
          <w:p w14:paraId="7A352C2B">
            <w:pPr>
              <w:pStyle w:val="17"/>
              <w:ind w:left="1157" w:leftChars="257" w:hanging="540"/>
              <w:rPr>
                <w:rFonts w:hint="eastAsia" w:ascii="宋体" w:hAnsi="宋体" w:eastAsia="宋体" w:cs="宋体"/>
                <w:color w:val="auto"/>
                <w:szCs w:val="21"/>
                <w:highlight w:val="none"/>
              </w:rPr>
            </w:pPr>
          </w:p>
        </w:tc>
      </w:tr>
      <w:tr w14:paraId="51BB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622009A3">
            <w:pPr>
              <w:pStyle w:val="17"/>
              <w:ind w:left="1157" w:leftChars="257" w:hanging="540"/>
              <w:rPr>
                <w:rFonts w:hint="eastAsia" w:ascii="宋体" w:hAnsi="宋体" w:eastAsia="宋体" w:cs="宋体"/>
                <w:color w:val="auto"/>
                <w:szCs w:val="21"/>
                <w:highlight w:val="none"/>
              </w:rPr>
            </w:pPr>
          </w:p>
        </w:tc>
        <w:tc>
          <w:tcPr>
            <w:tcW w:w="1598" w:type="dxa"/>
          </w:tcPr>
          <w:p w14:paraId="14C99965">
            <w:pPr>
              <w:pStyle w:val="17"/>
              <w:ind w:left="1157" w:leftChars="257" w:hanging="540"/>
              <w:rPr>
                <w:rFonts w:hint="eastAsia" w:ascii="宋体" w:hAnsi="宋体" w:eastAsia="宋体" w:cs="宋体"/>
                <w:color w:val="auto"/>
                <w:szCs w:val="21"/>
                <w:highlight w:val="none"/>
              </w:rPr>
            </w:pPr>
          </w:p>
        </w:tc>
        <w:tc>
          <w:tcPr>
            <w:tcW w:w="2322" w:type="dxa"/>
          </w:tcPr>
          <w:p w14:paraId="77015614">
            <w:pPr>
              <w:pStyle w:val="17"/>
              <w:ind w:left="1157" w:leftChars="257" w:hanging="540"/>
              <w:rPr>
                <w:rFonts w:hint="eastAsia" w:ascii="宋体" w:hAnsi="宋体" w:eastAsia="宋体" w:cs="宋体"/>
                <w:color w:val="auto"/>
                <w:szCs w:val="21"/>
                <w:highlight w:val="none"/>
              </w:rPr>
            </w:pPr>
          </w:p>
        </w:tc>
        <w:tc>
          <w:tcPr>
            <w:tcW w:w="2032" w:type="dxa"/>
          </w:tcPr>
          <w:p w14:paraId="78C72D79">
            <w:pPr>
              <w:pStyle w:val="17"/>
              <w:ind w:left="1157" w:leftChars="257" w:hanging="540"/>
              <w:rPr>
                <w:rFonts w:hint="eastAsia" w:ascii="宋体" w:hAnsi="宋体" w:eastAsia="宋体" w:cs="宋体"/>
                <w:color w:val="auto"/>
                <w:szCs w:val="21"/>
                <w:highlight w:val="none"/>
              </w:rPr>
            </w:pPr>
          </w:p>
        </w:tc>
        <w:tc>
          <w:tcPr>
            <w:tcW w:w="2283" w:type="dxa"/>
          </w:tcPr>
          <w:p w14:paraId="3AFE9874">
            <w:pPr>
              <w:pStyle w:val="17"/>
              <w:ind w:left="1157" w:leftChars="257" w:hanging="540"/>
              <w:rPr>
                <w:rFonts w:hint="eastAsia" w:ascii="宋体" w:hAnsi="宋体" w:eastAsia="宋体" w:cs="宋体"/>
                <w:color w:val="auto"/>
                <w:szCs w:val="21"/>
                <w:highlight w:val="none"/>
              </w:rPr>
            </w:pPr>
          </w:p>
        </w:tc>
      </w:tr>
      <w:tr w14:paraId="001E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4E605DAB">
            <w:pPr>
              <w:pStyle w:val="17"/>
              <w:ind w:left="1157" w:leftChars="257" w:hanging="540"/>
              <w:rPr>
                <w:rFonts w:hint="eastAsia" w:ascii="宋体" w:hAnsi="宋体" w:eastAsia="宋体" w:cs="宋体"/>
                <w:color w:val="auto"/>
                <w:szCs w:val="21"/>
                <w:highlight w:val="none"/>
              </w:rPr>
            </w:pPr>
          </w:p>
        </w:tc>
        <w:tc>
          <w:tcPr>
            <w:tcW w:w="1598" w:type="dxa"/>
          </w:tcPr>
          <w:p w14:paraId="23881684">
            <w:pPr>
              <w:pStyle w:val="17"/>
              <w:ind w:left="1157" w:leftChars="257" w:hanging="540"/>
              <w:rPr>
                <w:rFonts w:hint="eastAsia" w:ascii="宋体" w:hAnsi="宋体" w:eastAsia="宋体" w:cs="宋体"/>
                <w:color w:val="auto"/>
                <w:szCs w:val="21"/>
                <w:highlight w:val="none"/>
              </w:rPr>
            </w:pPr>
          </w:p>
        </w:tc>
        <w:tc>
          <w:tcPr>
            <w:tcW w:w="2322" w:type="dxa"/>
          </w:tcPr>
          <w:p w14:paraId="41A6463C">
            <w:pPr>
              <w:pStyle w:val="17"/>
              <w:ind w:left="1157" w:leftChars="257" w:hanging="540"/>
              <w:rPr>
                <w:rFonts w:hint="eastAsia" w:ascii="宋体" w:hAnsi="宋体" w:eastAsia="宋体" w:cs="宋体"/>
                <w:color w:val="auto"/>
                <w:szCs w:val="21"/>
                <w:highlight w:val="none"/>
              </w:rPr>
            </w:pPr>
          </w:p>
        </w:tc>
        <w:tc>
          <w:tcPr>
            <w:tcW w:w="2032" w:type="dxa"/>
          </w:tcPr>
          <w:p w14:paraId="58D8CC1C">
            <w:pPr>
              <w:pStyle w:val="17"/>
              <w:ind w:left="1157" w:leftChars="257" w:hanging="540"/>
              <w:rPr>
                <w:rFonts w:hint="eastAsia" w:ascii="宋体" w:hAnsi="宋体" w:eastAsia="宋体" w:cs="宋体"/>
                <w:color w:val="auto"/>
                <w:szCs w:val="21"/>
                <w:highlight w:val="none"/>
              </w:rPr>
            </w:pPr>
          </w:p>
        </w:tc>
        <w:tc>
          <w:tcPr>
            <w:tcW w:w="2283" w:type="dxa"/>
          </w:tcPr>
          <w:p w14:paraId="13261F8D">
            <w:pPr>
              <w:pStyle w:val="17"/>
              <w:ind w:left="1157" w:leftChars="257" w:hanging="540"/>
              <w:rPr>
                <w:rFonts w:hint="eastAsia" w:ascii="宋体" w:hAnsi="宋体" w:eastAsia="宋体" w:cs="宋体"/>
                <w:color w:val="auto"/>
                <w:szCs w:val="21"/>
                <w:highlight w:val="none"/>
              </w:rPr>
            </w:pPr>
          </w:p>
        </w:tc>
      </w:tr>
      <w:tr w14:paraId="7101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274602DC">
            <w:pPr>
              <w:pStyle w:val="17"/>
              <w:ind w:left="1157" w:leftChars="257" w:hanging="540"/>
              <w:rPr>
                <w:rFonts w:hint="eastAsia" w:ascii="宋体" w:hAnsi="宋体" w:eastAsia="宋体" w:cs="宋体"/>
                <w:color w:val="auto"/>
                <w:szCs w:val="21"/>
                <w:highlight w:val="none"/>
              </w:rPr>
            </w:pPr>
          </w:p>
        </w:tc>
        <w:tc>
          <w:tcPr>
            <w:tcW w:w="1598" w:type="dxa"/>
          </w:tcPr>
          <w:p w14:paraId="02C2D32A">
            <w:pPr>
              <w:pStyle w:val="17"/>
              <w:ind w:left="1157" w:leftChars="257" w:hanging="540"/>
              <w:rPr>
                <w:rFonts w:hint="eastAsia" w:ascii="宋体" w:hAnsi="宋体" w:eastAsia="宋体" w:cs="宋体"/>
                <w:color w:val="auto"/>
                <w:szCs w:val="21"/>
                <w:highlight w:val="none"/>
              </w:rPr>
            </w:pPr>
          </w:p>
        </w:tc>
        <w:tc>
          <w:tcPr>
            <w:tcW w:w="2322" w:type="dxa"/>
          </w:tcPr>
          <w:p w14:paraId="59A79C0B">
            <w:pPr>
              <w:pStyle w:val="17"/>
              <w:ind w:left="1157" w:leftChars="257" w:hanging="540"/>
              <w:rPr>
                <w:rFonts w:hint="eastAsia" w:ascii="宋体" w:hAnsi="宋体" w:eastAsia="宋体" w:cs="宋体"/>
                <w:color w:val="auto"/>
                <w:szCs w:val="21"/>
                <w:highlight w:val="none"/>
              </w:rPr>
            </w:pPr>
          </w:p>
        </w:tc>
        <w:tc>
          <w:tcPr>
            <w:tcW w:w="2032" w:type="dxa"/>
          </w:tcPr>
          <w:p w14:paraId="5A31AE4E">
            <w:pPr>
              <w:pStyle w:val="17"/>
              <w:ind w:left="1157" w:leftChars="257" w:hanging="540"/>
              <w:rPr>
                <w:rFonts w:hint="eastAsia" w:ascii="宋体" w:hAnsi="宋体" w:eastAsia="宋体" w:cs="宋体"/>
                <w:color w:val="auto"/>
                <w:szCs w:val="21"/>
                <w:highlight w:val="none"/>
              </w:rPr>
            </w:pPr>
          </w:p>
        </w:tc>
        <w:tc>
          <w:tcPr>
            <w:tcW w:w="2283" w:type="dxa"/>
          </w:tcPr>
          <w:p w14:paraId="11261625">
            <w:pPr>
              <w:pStyle w:val="17"/>
              <w:ind w:left="1157" w:leftChars="257" w:hanging="540"/>
              <w:rPr>
                <w:rFonts w:hint="eastAsia" w:ascii="宋体" w:hAnsi="宋体" w:eastAsia="宋体" w:cs="宋体"/>
                <w:color w:val="auto"/>
                <w:szCs w:val="21"/>
                <w:highlight w:val="none"/>
              </w:rPr>
            </w:pPr>
          </w:p>
        </w:tc>
      </w:tr>
      <w:tr w14:paraId="7D12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5BBAFD96">
            <w:pPr>
              <w:pStyle w:val="17"/>
              <w:ind w:left="1157" w:leftChars="257" w:hanging="540"/>
              <w:rPr>
                <w:rFonts w:hint="eastAsia" w:ascii="宋体" w:hAnsi="宋体" w:eastAsia="宋体" w:cs="宋体"/>
                <w:color w:val="auto"/>
                <w:szCs w:val="21"/>
                <w:highlight w:val="none"/>
              </w:rPr>
            </w:pPr>
          </w:p>
        </w:tc>
        <w:tc>
          <w:tcPr>
            <w:tcW w:w="1598" w:type="dxa"/>
          </w:tcPr>
          <w:p w14:paraId="2668AF04">
            <w:pPr>
              <w:pStyle w:val="17"/>
              <w:ind w:left="1157" w:leftChars="257" w:hanging="540"/>
              <w:rPr>
                <w:rFonts w:hint="eastAsia" w:ascii="宋体" w:hAnsi="宋体" w:eastAsia="宋体" w:cs="宋体"/>
                <w:color w:val="auto"/>
                <w:szCs w:val="21"/>
                <w:highlight w:val="none"/>
              </w:rPr>
            </w:pPr>
          </w:p>
        </w:tc>
        <w:tc>
          <w:tcPr>
            <w:tcW w:w="2322" w:type="dxa"/>
          </w:tcPr>
          <w:p w14:paraId="455F5940">
            <w:pPr>
              <w:pStyle w:val="17"/>
              <w:ind w:left="1157" w:leftChars="257" w:hanging="540"/>
              <w:rPr>
                <w:rFonts w:hint="eastAsia" w:ascii="宋体" w:hAnsi="宋体" w:eastAsia="宋体" w:cs="宋体"/>
                <w:color w:val="auto"/>
                <w:szCs w:val="21"/>
                <w:highlight w:val="none"/>
              </w:rPr>
            </w:pPr>
          </w:p>
        </w:tc>
        <w:tc>
          <w:tcPr>
            <w:tcW w:w="2032" w:type="dxa"/>
          </w:tcPr>
          <w:p w14:paraId="0CC6531A">
            <w:pPr>
              <w:pStyle w:val="17"/>
              <w:ind w:left="1157" w:leftChars="257" w:hanging="540"/>
              <w:rPr>
                <w:rFonts w:hint="eastAsia" w:ascii="宋体" w:hAnsi="宋体" w:eastAsia="宋体" w:cs="宋体"/>
                <w:color w:val="auto"/>
                <w:szCs w:val="21"/>
                <w:highlight w:val="none"/>
              </w:rPr>
            </w:pPr>
          </w:p>
        </w:tc>
        <w:tc>
          <w:tcPr>
            <w:tcW w:w="2283" w:type="dxa"/>
          </w:tcPr>
          <w:p w14:paraId="79795295">
            <w:pPr>
              <w:pStyle w:val="17"/>
              <w:ind w:left="1157" w:leftChars="257" w:hanging="540"/>
              <w:rPr>
                <w:rFonts w:hint="eastAsia" w:ascii="宋体" w:hAnsi="宋体" w:eastAsia="宋体" w:cs="宋体"/>
                <w:color w:val="auto"/>
                <w:szCs w:val="21"/>
                <w:highlight w:val="none"/>
              </w:rPr>
            </w:pPr>
          </w:p>
        </w:tc>
      </w:tr>
      <w:tr w14:paraId="4D63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28B7783D">
            <w:pPr>
              <w:pStyle w:val="17"/>
              <w:ind w:left="1157" w:leftChars="257" w:hanging="540"/>
              <w:rPr>
                <w:rFonts w:hint="eastAsia" w:ascii="宋体" w:hAnsi="宋体" w:eastAsia="宋体" w:cs="宋体"/>
                <w:color w:val="auto"/>
                <w:szCs w:val="21"/>
                <w:highlight w:val="none"/>
              </w:rPr>
            </w:pPr>
          </w:p>
        </w:tc>
        <w:tc>
          <w:tcPr>
            <w:tcW w:w="1598" w:type="dxa"/>
          </w:tcPr>
          <w:p w14:paraId="67FA4372">
            <w:pPr>
              <w:pStyle w:val="17"/>
              <w:ind w:left="1157" w:leftChars="257" w:hanging="540"/>
              <w:rPr>
                <w:rFonts w:hint="eastAsia" w:ascii="宋体" w:hAnsi="宋体" w:eastAsia="宋体" w:cs="宋体"/>
                <w:color w:val="auto"/>
                <w:szCs w:val="21"/>
                <w:highlight w:val="none"/>
              </w:rPr>
            </w:pPr>
          </w:p>
        </w:tc>
        <w:tc>
          <w:tcPr>
            <w:tcW w:w="2322" w:type="dxa"/>
          </w:tcPr>
          <w:p w14:paraId="17886DB8">
            <w:pPr>
              <w:pStyle w:val="17"/>
              <w:ind w:left="1157" w:leftChars="257" w:hanging="540"/>
              <w:rPr>
                <w:rFonts w:hint="eastAsia" w:ascii="宋体" w:hAnsi="宋体" w:eastAsia="宋体" w:cs="宋体"/>
                <w:color w:val="auto"/>
                <w:szCs w:val="21"/>
                <w:highlight w:val="none"/>
              </w:rPr>
            </w:pPr>
          </w:p>
        </w:tc>
        <w:tc>
          <w:tcPr>
            <w:tcW w:w="2032" w:type="dxa"/>
          </w:tcPr>
          <w:p w14:paraId="36E4023B">
            <w:pPr>
              <w:pStyle w:val="17"/>
              <w:ind w:left="1157" w:leftChars="257" w:hanging="540"/>
              <w:rPr>
                <w:rFonts w:hint="eastAsia" w:ascii="宋体" w:hAnsi="宋体" w:eastAsia="宋体" w:cs="宋体"/>
                <w:color w:val="auto"/>
                <w:szCs w:val="21"/>
                <w:highlight w:val="none"/>
              </w:rPr>
            </w:pPr>
          </w:p>
        </w:tc>
        <w:tc>
          <w:tcPr>
            <w:tcW w:w="2283" w:type="dxa"/>
          </w:tcPr>
          <w:p w14:paraId="5BB7FA5D">
            <w:pPr>
              <w:pStyle w:val="17"/>
              <w:ind w:left="1157" w:leftChars="257" w:hanging="540"/>
              <w:rPr>
                <w:rFonts w:hint="eastAsia" w:ascii="宋体" w:hAnsi="宋体" w:eastAsia="宋体" w:cs="宋体"/>
                <w:color w:val="auto"/>
                <w:szCs w:val="21"/>
                <w:highlight w:val="none"/>
              </w:rPr>
            </w:pPr>
          </w:p>
        </w:tc>
      </w:tr>
      <w:tr w14:paraId="5A37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9" w:type="dxa"/>
          </w:tcPr>
          <w:p w14:paraId="349F9064">
            <w:pPr>
              <w:pStyle w:val="17"/>
              <w:ind w:left="1157" w:leftChars="257" w:hanging="540"/>
              <w:rPr>
                <w:rFonts w:hint="eastAsia" w:ascii="宋体" w:hAnsi="宋体" w:eastAsia="宋体" w:cs="宋体"/>
                <w:color w:val="auto"/>
                <w:szCs w:val="21"/>
                <w:highlight w:val="none"/>
              </w:rPr>
            </w:pPr>
          </w:p>
        </w:tc>
        <w:tc>
          <w:tcPr>
            <w:tcW w:w="1598" w:type="dxa"/>
          </w:tcPr>
          <w:p w14:paraId="0A95B5C4">
            <w:pPr>
              <w:pStyle w:val="17"/>
              <w:ind w:left="1157" w:leftChars="257" w:hanging="540"/>
              <w:rPr>
                <w:rFonts w:hint="eastAsia" w:ascii="宋体" w:hAnsi="宋体" w:eastAsia="宋体" w:cs="宋体"/>
                <w:color w:val="auto"/>
                <w:szCs w:val="21"/>
                <w:highlight w:val="none"/>
              </w:rPr>
            </w:pPr>
          </w:p>
        </w:tc>
        <w:tc>
          <w:tcPr>
            <w:tcW w:w="2322" w:type="dxa"/>
          </w:tcPr>
          <w:p w14:paraId="3F3C7D8B">
            <w:pPr>
              <w:pStyle w:val="17"/>
              <w:ind w:left="1157" w:leftChars="257" w:hanging="540"/>
              <w:rPr>
                <w:rFonts w:hint="eastAsia" w:ascii="宋体" w:hAnsi="宋体" w:eastAsia="宋体" w:cs="宋体"/>
                <w:color w:val="auto"/>
                <w:szCs w:val="21"/>
                <w:highlight w:val="none"/>
              </w:rPr>
            </w:pPr>
          </w:p>
        </w:tc>
        <w:tc>
          <w:tcPr>
            <w:tcW w:w="2032" w:type="dxa"/>
          </w:tcPr>
          <w:p w14:paraId="6576BF84">
            <w:pPr>
              <w:pStyle w:val="17"/>
              <w:ind w:left="1157" w:leftChars="257" w:hanging="540"/>
              <w:rPr>
                <w:rFonts w:hint="eastAsia" w:ascii="宋体" w:hAnsi="宋体" w:eastAsia="宋体" w:cs="宋体"/>
                <w:color w:val="auto"/>
                <w:szCs w:val="21"/>
                <w:highlight w:val="none"/>
              </w:rPr>
            </w:pPr>
          </w:p>
        </w:tc>
        <w:tc>
          <w:tcPr>
            <w:tcW w:w="2283" w:type="dxa"/>
          </w:tcPr>
          <w:p w14:paraId="520E3637">
            <w:pPr>
              <w:pStyle w:val="17"/>
              <w:ind w:left="1157" w:leftChars="257" w:hanging="540"/>
              <w:rPr>
                <w:rFonts w:hint="eastAsia" w:ascii="宋体" w:hAnsi="宋体" w:eastAsia="宋体" w:cs="宋体"/>
                <w:color w:val="auto"/>
                <w:szCs w:val="21"/>
                <w:highlight w:val="none"/>
              </w:rPr>
            </w:pPr>
          </w:p>
        </w:tc>
      </w:tr>
    </w:tbl>
    <w:p w14:paraId="53AB0C10">
      <w:pPr>
        <w:pStyle w:val="17"/>
        <w:adjustRightInd w:val="0"/>
        <w:snapToGrid w:val="0"/>
        <w:spacing w:line="2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0A35E83">
      <w:pPr>
        <w:pStyle w:val="17"/>
        <w:adjustRightInd w:val="0"/>
        <w:snapToGrid w:val="0"/>
        <w:spacing w:line="240" w:lineRule="atLeast"/>
        <w:rPr>
          <w:rFonts w:hint="eastAsia" w:ascii="宋体" w:hAnsi="宋体" w:eastAsia="宋体" w:cs="宋体"/>
          <w:color w:val="auto"/>
          <w:szCs w:val="21"/>
          <w:highlight w:val="none"/>
        </w:rPr>
      </w:pPr>
      <w:r>
        <w:rPr>
          <w:rFonts w:hint="eastAsia" w:hAnsi="宋体" w:cs="宋体"/>
          <w:color w:val="auto"/>
          <w:szCs w:val="21"/>
          <w:highlight w:val="none"/>
          <w:lang w:val="en-US" w:eastAsia="zh-CN"/>
        </w:rPr>
        <w:t>1.</w:t>
      </w:r>
      <w:r>
        <w:rPr>
          <w:rFonts w:hint="eastAsia" w:hAnsi="宋体" w:cs="宋体"/>
          <w:b/>
          <w:bCs/>
          <w:color w:val="auto"/>
          <w:szCs w:val="21"/>
          <w:highlight w:val="none"/>
          <w:lang w:val="en-US" w:eastAsia="zh-CN"/>
        </w:rPr>
        <w:t>根据《</w:t>
      </w:r>
      <w:r>
        <w:rPr>
          <w:rFonts w:hint="eastAsia" w:ascii="宋体" w:hAnsi="宋体" w:eastAsia="宋体" w:cs="宋体"/>
          <w:b/>
          <w:bCs/>
          <w:color w:val="auto"/>
          <w:highlight w:val="none"/>
        </w:rPr>
        <w:t>第五章 采购需求</w:t>
      </w:r>
      <w:r>
        <w:rPr>
          <w:rFonts w:hint="eastAsia" w:hAnsi="宋体" w:cs="宋体"/>
          <w:b/>
          <w:bCs/>
          <w:color w:val="auto"/>
          <w:szCs w:val="21"/>
          <w:highlight w:val="none"/>
          <w:lang w:val="en-US" w:eastAsia="zh-CN"/>
        </w:rPr>
        <w:t>》编制此表</w:t>
      </w:r>
      <w:r>
        <w:rPr>
          <w:rFonts w:hint="eastAsia" w:hAnsi="宋体" w:cs="宋体"/>
          <w:color w:val="auto"/>
          <w:szCs w:val="21"/>
          <w:highlight w:val="none"/>
          <w:lang w:val="en-US" w:eastAsia="zh-CN"/>
        </w:rPr>
        <w:t>，</w:t>
      </w:r>
      <w:r>
        <w:rPr>
          <w:rFonts w:hint="eastAsia" w:asciiTheme="minorEastAsia" w:hAnsiTheme="minorEastAsia" w:eastAsiaTheme="minorEastAsia"/>
          <w:bCs/>
          <w:sz w:val="24"/>
        </w:rPr>
        <w:t>逐条如实填写所投服务的具体</w:t>
      </w:r>
      <w:r>
        <w:rPr>
          <w:rFonts w:hint="eastAsia"/>
          <w:bCs/>
          <w:sz w:val="24"/>
        </w:rPr>
        <w:t>要求</w:t>
      </w:r>
      <w:r>
        <w:rPr>
          <w:rFonts w:hint="eastAsia" w:asciiTheme="minorEastAsia" w:hAnsiTheme="minorEastAsia" w:eastAsiaTheme="minorEastAsia"/>
          <w:bCs/>
          <w:sz w:val="24"/>
        </w:rPr>
        <w:t>，注明无偏离、正偏离或负偏离，并在备注中注明偏离的具体内容。</w:t>
      </w:r>
    </w:p>
    <w:p w14:paraId="651C9C7F">
      <w:pPr>
        <w:pStyle w:val="17"/>
        <w:adjustRightInd w:val="0"/>
        <w:snapToGrid w:val="0"/>
        <w:spacing w:line="2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2.未声明部分将被视为已接受投标文件要求，签约时未经采购人同意不得改变。</w:t>
      </w:r>
    </w:p>
    <w:p w14:paraId="503AFED7">
      <w:pPr>
        <w:pStyle w:val="17"/>
        <w:adjustRightInd w:val="0"/>
        <w:snapToGrid w:val="0"/>
        <w:spacing w:line="240" w:lineRule="atLeas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3.投标人可根据其投标内容进一步细化上述表格，并可增添其它表格</w:t>
      </w:r>
      <w:bookmarkStart w:id="158" w:name="_GoBack"/>
      <w:bookmarkEnd w:id="158"/>
      <w:r>
        <w:rPr>
          <w:rFonts w:hint="eastAsia" w:ascii="宋体" w:hAnsi="宋体" w:eastAsia="宋体" w:cs="宋体"/>
          <w:color w:val="auto"/>
          <w:szCs w:val="21"/>
          <w:highlight w:val="none"/>
        </w:rPr>
        <w:t>或说明以便进一步明确投标内容。</w:t>
      </w:r>
    </w:p>
    <w:p w14:paraId="0DD6DE88">
      <w:pPr>
        <w:pStyle w:val="17"/>
        <w:spacing w:line="240" w:lineRule="atLeast"/>
        <w:ind w:left="1157" w:leftChars="257" w:hanging="540"/>
        <w:rPr>
          <w:rFonts w:hint="eastAsia" w:ascii="宋体" w:hAnsi="宋体" w:eastAsia="宋体" w:cs="宋体"/>
          <w:color w:val="auto"/>
          <w:sz w:val="24"/>
          <w:highlight w:val="none"/>
        </w:rPr>
      </w:pPr>
    </w:p>
    <w:p w14:paraId="3430FCAB">
      <w:pPr>
        <w:pStyle w:val="17"/>
        <w:spacing w:line="240" w:lineRule="atLeast"/>
        <w:ind w:left="1157" w:leftChars="257" w:hanging="540"/>
        <w:rPr>
          <w:rFonts w:hint="eastAsia" w:ascii="宋体" w:hAnsi="宋体" w:eastAsia="宋体" w:cs="宋体"/>
          <w:color w:val="auto"/>
          <w:sz w:val="24"/>
          <w:highlight w:val="none"/>
        </w:rPr>
      </w:pPr>
    </w:p>
    <w:p w14:paraId="36656122">
      <w:pPr>
        <w:autoSpaceDE w:val="0"/>
        <w:autoSpaceDN w:val="0"/>
        <w:adjustRightInd w:val="0"/>
        <w:spacing w:line="360" w:lineRule="auto"/>
        <w:jc w:val="left"/>
        <w:rPr>
          <w:rFonts w:hint="eastAsia" w:ascii="宋体" w:hAnsi="宋体" w:eastAsia="宋体" w:cs="宋体"/>
          <w:color w:val="auto"/>
          <w:sz w:val="24"/>
          <w:szCs w:val="24"/>
          <w:highlight w:val="none"/>
        </w:rPr>
      </w:pPr>
      <w:bookmarkStart w:id="125" w:name="_Toc23907"/>
      <w:bookmarkStart w:id="126" w:name="_Toc507399534"/>
      <w:bookmarkStart w:id="127" w:name="_Toc216582818"/>
      <w:bookmarkStart w:id="128" w:name="_Toc25702"/>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63D2F148">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0C4A9E33">
      <w:pPr>
        <w:pStyle w:val="44"/>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2274B477">
      <w:pPr>
        <w:pStyle w:val="44"/>
        <w:spacing w:line="360" w:lineRule="auto"/>
        <w:rPr>
          <w:rFonts w:hint="eastAsia" w:ascii="宋体" w:hAnsi="宋体" w:eastAsia="宋体" w:cs="宋体"/>
          <w:color w:val="auto"/>
          <w:sz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25"/>
    <w:bookmarkEnd w:id="126"/>
    <w:bookmarkEnd w:id="127"/>
    <w:bookmarkEnd w:id="128"/>
    <w:p w14:paraId="5F2C5722">
      <w:pPr>
        <w:pStyle w:val="4"/>
        <w:bidi w:val="0"/>
        <w:rPr>
          <w:rFonts w:hint="eastAsia" w:ascii="宋体" w:hAnsi="宋体" w:eastAsia="宋体" w:cs="宋体"/>
          <w:color w:val="auto"/>
          <w:highlight w:val="none"/>
        </w:rPr>
      </w:pPr>
      <w:bookmarkStart w:id="129" w:name="_Toc21112"/>
      <w:bookmarkStart w:id="130" w:name="_Toc3022"/>
      <w:bookmarkStart w:id="131" w:name="_Toc216513801"/>
      <w:bookmarkStart w:id="132" w:name="_Toc216582821"/>
      <w:r>
        <w:rPr>
          <w:rFonts w:hint="eastAsia" w:cs="宋体"/>
          <w:color w:val="auto"/>
          <w:highlight w:val="none"/>
          <w:lang w:val="en-US" w:eastAsia="zh-CN"/>
        </w:rPr>
        <w:t>六</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中标服务费承诺书</w:t>
      </w:r>
      <w:bookmarkEnd w:id="129"/>
      <w:bookmarkEnd w:id="130"/>
    </w:p>
    <w:p w14:paraId="36545ACB">
      <w:pPr>
        <w:spacing w:line="440" w:lineRule="exact"/>
        <w:ind w:left="1080" w:hanging="1080"/>
        <w:rPr>
          <w:rFonts w:hint="eastAsia" w:ascii="宋体" w:hAnsi="宋体" w:eastAsia="宋体" w:cs="宋体"/>
          <w:color w:val="auto"/>
          <w:sz w:val="24"/>
          <w:highlight w:val="none"/>
        </w:rPr>
      </w:pPr>
    </w:p>
    <w:p w14:paraId="7FC3B723">
      <w:pPr>
        <w:spacing w:line="440" w:lineRule="exact"/>
        <w:ind w:left="1080" w:hanging="108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val="en-US" w:eastAsia="zh-CN"/>
        </w:rPr>
        <w:t>新疆新建联项目管理咨询有限公司</w:t>
      </w:r>
    </w:p>
    <w:p w14:paraId="22DAE9E2">
      <w:pPr>
        <w:spacing w:line="440" w:lineRule="exact"/>
        <w:ind w:left="1157" w:leftChars="257" w:hanging="540"/>
        <w:rPr>
          <w:rFonts w:hint="eastAsia" w:ascii="宋体" w:hAnsi="宋体" w:eastAsia="宋体" w:cs="宋体"/>
          <w:color w:val="auto"/>
          <w:sz w:val="24"/>
          <w:highlight w:val="none"/>
        </w:rPr>
      </w:pPr>
    </w:p>
    <w:p w14:paraId="3051E73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我们在贵公司组织的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cs="宋体"/>
          <w:color w:val="auto"/>
          <w:sz w:val="24"/>
          <w:highlight w:val="none"/>
          <w:u w:val="single"/>
          <w:lang w:val="en-US" w:eastAsia="zh-CN"/>
        </w:rPr>
        <w:t>+标项号</w:t>
      </w:r>
      <w:r>
        <w:rPr>
          <w:rFonts w:hint="eastAsia" w:ascii="宋体" w:hAnsi="宋体" w:eastAsia="宋体" w:cs="宋体"/>
          <w:color w:val="auto"/>
          <w:sz w:val="24"/>
          <w:highlight w:val="none"/>
          <w:u w:val="single"/>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项目招标中若获得中标资格，我们保证在领取中标通知书的同时按招标文件的规定，以转账、电汇等形式，向贵公司一次性支付应由我们交纳的中标服务费用。</w:t>
      </w:r>
    </w:p>
    <w:p w14:paraId="30FDAC77">
      <w:pPr>
        <w:spacing w:line="440" w:lineRule="exact"/>
        <w:ind w:left="115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2A7F5F9">
      <w:pPr>
        <w:spacing w:line="440" w:lineRule="exact"/>
        <w:ind w:left="1157" w:leftChars="257" w:hanging="540"/>
        <w:rPr>
          <w:rFonts w:hint="eastAsia" w:ascii="宋体" w:hAnsi="宋体" w:eastAsia="宋体" w:cs="宋体"/>
          <w:color w:val="auto"/>
          <w:sz w:val="24"/>
          <w:highlight w:val="none"/>
        </w:rPr>
      </w:pPr>
    </w:p>
    <w:p w14:paraId="557594E0">
      <w:pPr>
        <w:spacing w:line="440" w:lineRule="exact"/>
        <w:ind w:left="1157" w:leftChars="257" w:hanging="540"/>
        <w:rPr>
          <w:rFonts w:hint="eastAsia" w:ascii="宋体" w:hAnsi="宋体" w:eastAsia="宋体" w:cs="宋体"/>
          <w:color w:val="auto"/>
          <w:sz w:val="24"/>
          <w:highlight w:val="none"/>
        </w:rPr>
      </w:pPr>
    </w:p>
    <w:p w14:paraId="60DD3FB5">
      <w:pPr>
        <w:spacing w:line="440" w:lineRule="exact"/>
        <w:ind w:left="1157" w:leftChars="257" w:hanging="540"/>
        <w:rPr>
          <w:rFonts w:hint="eastAsia" w:ascii="宋体" w:hAnsi="宋体" w:eastAsia="宋体" w:cs="宋体"/>
          <w:color w:val="auto"/>
          <w:sz w:val="24"/>
          <w:highlight w:val="none"/>
        </w:rPr>
      </w:pPr>
    </w:p>
    <w:p w14:paraId="791E6117">
      <w:pPr>
        <w:spacing w:line="440" w:lineRule="exact"/>
        <w:ind w:left="1157" w:leftChars="257" w:hanging="540"/>
        <w:rPr>
          <w:rFonts w:hint="eastAsia" w:ascii="宋体" w:hAnsi="宋体" w:eastAsia="宋体" w:cs="宋体"/>
          <w:color w:val="auto"/>
          <w:sz w:val="24"/>
          <w:highlight w:val="none"/>
        </w:rPr>
      </w:pPr>
    </w:p>
    <w:p w14:paraId="050F1CD1">
      <w:pPr>
        <w:spacing w:line="440" w:lineRule="exact"/>
        <w:ind w:left="1080" w:hanging="1080"/>
        <w:rPr>
          <w:rFonts w:hint="eastAsia" w:ascii="宋体" w:hAnsi="宋体" w:eastAsia="宋体" w:cs="宋体"/>
          <w:color w:val="auto"/>
          <w:sz w:val="24"/>
          <w:highlight w:val="none"/>
        </w:rPr>
      </w:pPr>
    </w:p>
    <w:p w14:paraId="6E7AD96D">
      <w:pPr>
        <w:spacing w:line="440" w:lineRule="exact"/>
        <w:ind w:left="1697" w:leftChars="257"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承诺方法定名称</w:t>
      </w:r>
      <w:r>
        <w:rPr>
          <w:rFonts w:hint="eastAsia" w:ascii="宋体" w:hAnsi="宋体" w:cs="宋体"/>
          <w:color w:val="auto"/>
          <w:sz w:val="24"/>
          <w:highlight w:val="none"/>
          <w:lang w:eastAsia="zh-CN"/>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06C2FDF2">
      <w:pPr>
        <w:spacing w:line="440" w:lineRule="exact"/>
        <w:ind w:left="1697" w:leftChars="257"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7B5DD5FC">
      <w:pPr>
        <w:spacing w:line="440" w:lineRule="exact"/>
        <w:ind w:left="1697" w:leftChars="257"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2B2691FF">
      <w:pPr>
        <w:spacing w:line="440" w:lineRule="exact"/>
        <w:ind w:left="1697" w:leftChars="257"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电传：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6E7F8AC6">
      <w:pPr>
        <w:spacing w:line="440" w:lineRule="exact"/>
        <w:ind w:left="1697" w:leftChars="257" w:hanging="108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承诺方授权代表</w:t>
      </w:r>
      <w:r>
        <w:rPr>
          <w:rFonts w:hint="eastAsia" w:ascii="宋体" w:hAnsi="宋体" w:cs="宋体"/>
          <w:color w:val="auto"/>
          <w:sz w:val="24"/>
          <w:highlight w:val="none"/>
          <w:lang w:eastAsia="zh-CN"/>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00288B4B">
      <w:pPr>
        <w:spacing w:line="440" w:lineRule="exact"/>
        <w:ind w:left="1697" w:leftChars="257" w:hanging="10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承诺日期：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bookmarkEnd w:id="131"/>
      <w:bookmarkEnd w:id="132"/>
    </w:p>
    <w:p w14:paraId="18814D57">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C700B76">
      <w:pPr>
        <w:pStyle w:val="4"/>
        <w:bidi w:val="0"/>
        <w:rPr>
          <w:rFonts w:hint="eastAsia" w:ascii="宋体" w:hAnsi="宋体" w:eastAsia="宋体" w:cs="宋体"/>
          <w:color w:val="auto"/>
          <w:highlight w:val="none"/>
          <w:lang w:val="en-US" w:eastAsia="zh-CN"/>
        </w:rPr>
      </w:pPr>
      <w:bookmarkStart w:id="133" w:name="_Toc16172"/>
      <w:bookmarkStart w:id="134" w:name="_Toc26187"/>
      <w:bookmarkStart w:id="135" w:name="_Toc14711"/>
      <w:bookmarkStart w:id="136" w:name="_Toc1502"/>
      <w:r>
        <w:rPr>
          <w:rFonts w:hint="eastAsia" w:cs="宋体"/>
          <w:color w:val="auto"/>
          <w:highlight w:val="none"/>
          <w:lang w:val="en-US" w:eastAsia="zh-CN"/>
        </w:rPr>
        <w:t>七</w:t>
      </w:r>
      <w:r>
        <w:rPr>
          <w:rFonts w:hint="eastAsia" w:ascii="宋体" w:hAnsi="宋体" w:eastAsia="宋体" w:cs="宋体"/>
          <w:color w:val="auto"/>
          <w:highlight w:val="none"/>
          <w:lang w:val="en-US" w:eastAsia="zh-CN"/>
        </w:rPr>
        <w:t>、声明函</w:t>
      </w:r>
      <w:bookmarkEnd w:id="133"/>
      <w:bookmarkEnd w:id="134"/>
    </w:p>
    <w:p w14:paraId="74D8A9D2">
      <w:pPr>
        <w:pStyle w:val="5"/>
        <w:bidi w:val="0"/>
        <w:rPr>
          <w:rFonts w:hint="eastAsia" w:ascii="宋体" w:hAnsi="宋体" w:eastAsia="宋体" w:cs="宋体"/>
          <w:color w:val="auto"/>
          <w:highlight w:val="none"/>
        </w:rPr>
      </w:pPr>
      <w:bookmarkStart w:id="137" w:name="_Toc71631935"/>
      <w:r>
        <w:rPr>
          <w:rFonts w:hint="eastAsia" w:cs="宋体"/>
          <w:color w:val="auto"/>
          <w:highlight w:val="none"/>
          <w:lang w:val="en-US" w:eastAsia="zh-CN"/>
        </w:rPr>
        <w:t>7</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中小企业声明函</w:t>
      </w:r>
      <w:bookmarkEnd w:id="135"/>
      <w:bookmarkEnd w:id="136"/>
      <w:bookmarkEnd w:id="137"/>
    </w:p>
    <w:p w14:paraId="363AD7E3">
      <w:pPr>
        <w:adjustRightInd w:val="0"/>
        <w:snapToGrid w:val="0"/>
        <w:spacing w:line="360" w:lineRule="auto"/>
        <w:ind w:hanging="540"/>
        <w:rPr>
          <w:rFonts w:hint="eastAsia" w:ascii="宋体" w:hAnsi="宋体" w:eastAsia="宋体" w:cs="宋体"/>
          <w:b/>
          <w:color w:val="auto"/>
          <w:kern w:val="0"/>
          <w:sz w:val="24"/>
          <w:szCs w:val="20"/>
          <w:highlight w:val="none"/>
        </w:rPr>
      </w:pPr>
    </w:p>
    <w:p w14:paraId="59561D29">
      <w:pPr>
        <w:pStyle w:val="17"/>
        <w:tabs>
          <w:tab w:val="left" w:pos="5580"/>
        </w:tabs>
        <w:adjustRightInd w:val="0"/>
        <w:snapToGrid w:val="0"/>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w:t>
      </w:r>
      <w:r>
        <w:rPr>
          <w:rFonts w:hint="eastAsia" w:ascii="宋体" w:hAnsi="宋体" w:eastAsia="宋体" w:cs="宋体"/>
          <w:color w:val="auto"/>
          <w:sz w:val="24"/>
          <w:highlight w:val="none"/>
          <w:u w:val="single"/>
        </w:rPr>
        <w:t>项目名称</w:t>
      </w:r>
      <w:r>
        <w:rPr>
          <w:rFonts w:hint="eastAsia" w:ascii="宋体" w:hAnsi="宋体" w:cs="宋体"/>
          <w:color w:val="auto"/>
          <w:sz w:val="24"/>
          <w:highlight w:val="none"/>
          <w:u w:val="single"/>
          <w:lang w:val="en-US" w:eastAsia="zh-CN"/>
        </w:rPr>
        <w:t>+标项号</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采购活动，提供的货物全部由符合政策要求的中小企业制造。相关企业（含联合体中的中小企业、签订分包意向协议的中小企业）的具体情况如下：</w:t>
      </w:r>
    </w:p>
    <w:p w14:paraId="3DA77DEF">
      <w:pPr>
        <w:pStyle w:val="17"/>
        <w:tabs>
          <w:tab w:val="left" w:pos="5580"/>
        </w:tabs>
        <w:adjustRightInd w:val="0"/>
        <w:snapToGrid w:val="0"/>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1.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 ，属于</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行业；制造商为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273E3017">
      <w:pPr>
        <w:pStyle w:val="17"/>
        <w:tabs>
          <w:tab w:val="left" w:pos="5580"/>
        </w:tabs>
        <w:adjustRightInd w:val="0"/>
        <w:snapToGrid w:val="0"/>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 ，属于</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行业；制造商为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2D4CD1BB">
      <w:pPr>
        <w:pStyle w:val="17"/>
        <w:tabs>
          <w:tab w:val="left" w:pos="5580"/>
        </w:tabs>
        <w:adjustRightInd w:val="0"/>
        <w:snapToGrid w:val="0"/>
        <w:spacing w:line="360" w:lineRule="auto"/>
        <w:ind w:left="46" w:hanging="45" w:hangingChars="1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319ECE1E">
      <w:pPr>
        <w:pStyle w:val="17"/>
        <w:tabs>
          <w:tab w:val="left" w:pos="5580"/>
        </w:tabs>
        <w:adjustRightInd w:val="0"/>
        <w:snapToGrid w:val="0"/>
        <w:spacing w:line="360" w:lineRule="auto"/>
        <w:ind w:firstLine="491" w:firstLineChars="20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5B6F9B1F">
      <w:pPr>
        <w:pStyle w:val="17"/>
        <w:tabs>
          <w:tab w:val="left" w:pos="5580"/>
        </w:tabs>
        <w:adjustRightInd w:val="0"/>
        <w:snapToGrid w:val="0"/>
        <w:spacing w:line="360" w:lineRule="auto"/>
        <w:ind w:firstLine="491" w:firstLineChars="20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3A90DD3A">
      <w:pPr>
        <w:pStyle w:val="17"/>
        <w:tabs>
          <w:tab w:val="left" w:pos="5580"/>
        </w:tabs>
        <w:adjustRightInd w:val="0"/>
        <w:snapToGrid w:val="0"/>
        <w:spacing w:line="360" w:lineRule="auto"/>
        <w:ind w:firstLine="4680" w:firstLineChars="1950"/>
        <w:rPr>
          <w:rFonts w:hint="eastAsia" w:ascii="宋体" w:hAnsi="宋体" w:eastAsia="宋体" w:cs="宋体"/>
          <w:i w:val="0"/>
          <w:iCs w:val="0"/>
          <w:color w:val="auto"/>
          <w:sz w:val="24"/>
          <w:highlight w:val="none"/>
        </w:rPr>
      </w:pPr>
    </w:p>
    <w:p w14:paraId="5E332DDB">
      <w:pPr>
        <w:pStyle w:val="17"/>
        <w:tabs>
          <w:tab w:val="left" w:pos="5580"/>
        </w:tabs>
        <w:adjustRightInd w:val="0"/>
        <w:snapToGrid w:val="0"/>
        <w:spacing w:line="360" w:lineRule="auto"/>
        <w:ind w:firstLine="4680" w:firstLineChars="195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企业名称（盖章）：</w:t>
      </w:r>
    </w:p>
    <w:p w14:paraId="48FA2620">
      <w:pPr>
        <w:pStyle w:val="17"/>
        <w:tabs>
          <w:tab w:val="left" w:pos="5580"/>
        </w:tabs>
        <w:adjustRightInd w:val="0"/>
        <w:snapToGrid w:val="0"/>
        <w:spacing w:line="360" w:lineRule="auto"/>
        <w:ind w:firstLine="4680" w:firstLineChars="195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日期：</w:t>
      </w:r>
    </w:p>
    <w:p w14:paraId="23E418D7">
      <w:pPr>
        <w:pStyle w:val="17"/>
        <w:tabs>
          <w:tab w:val="left" w:pos="5580"/>
        </w:tabs>
        <w:adjustRightInd w:val="0"/>
        <w:snapToGrid w:val="0"/>
        <w:spacing w:line="360" w:lineRule="auto"/>
        <w:rPr>
          <w:rFonts w:hint="eastAsia" w:ascii="宋体" w:hAnsi="宋体" w:eastAsia="宋体" w:cs="宋体"/>
          <w:i w:val="0"/>
          <w:iCs w:val="0"/>
          <w:color w:val="auto"/>
          <w:sz w:val="24"/>
          <w:highlight w:val="none"/>
        </w:rPr>
      </w:pPr>
    </w:p>
    <w:p w14:paraId="714EFD8F">
      <w:pPr>
        <w:pStyle w:val="17"/>
        <w:tabs>
          <w:tab w:val="left" w:pos="5580"/>
        </w:tabs>
        <w:adjustRightInd w:val="0"/>
        <w:snapToGrid w:val="0"/>
        <w:spacing w:line="360" w:lineRule="auto"/>
        <w:rPr>
          <w:rFonts w:hint="eastAsia" w:ascii="宋体" w:hAnsi="宋体" w:eastAsia="宋体" w:cs="宋体"/>
          <w:i w:val="0"/>
          <w:iCs w:val="0"/>
          <w:color w:val="auto"/>
          <w:sz w:val="24"/>
          <w:highlight w:val="none"/>
        </w:rPr>
      </w:pPr>
    </w:p>
    <w:p w14:paraId="747954BA">
      <w:pPr>
        <w:pStyle w:val="17"/>
        <w:tabs>
          <w:tab w:val="left" w:pos="5580"/>
        </w:tabs>
        <w:adjustRightInd w:val="0"/>
        <w:snapToGrid w:val="0"/>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注1、从业人员、营业收入、资产总额填报上一年度数据，无上一年度数据的新成立企业可不填报。</w:t>
      </w:r>
    </w:p>
    <w:p w14:paraId="700B270D">
      <w:pPr>
        <w:pStyle w:val="17"/>
        <w:tabs>
          <w:tab w:val="left" w:pos="5580"/>
        </w:tabs>
        <w:adjustRightInd w:val="0"/>
        <w:snapToGrid w:val="0"/>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2、请在本表中填写</w:t>
      </w:r>
      <w:r>
        <w:rPr>
          <w:rFonts w:hint="eastAsia" w:ascii="宋体" w:hAnsi="宋体" w:eastAsia="宋体" w:cs="宋体"/>
          <w:i w:val="0"/>
          <w:iCs w:val="0"/>
          <w:color w:val="auto"/>
          <w:sz w:val="24"/>
          <w:highlight w:val="none"/>
          <w:u w:val="single"/>
        </w:rPr>
        <w:t>投标人须知前附表</w:t>
      </w:r>
      <w:r>
        <w:rPr>
          <w:rFonts w:hint="eastAsia" w:ascii="宋体" w:hAnsi="宋体" w:eastAsia="宋体" w:cs="宋体"/>
          <w:i w:val="0"/>
          <w:iCs w:val="0"/>
          <w:color w:val="auto"/>
          <w:sz w:val="24"/>
          <w:highlight w:val="none"/>
        </w:rPr>
        <w:t>中写明的中小企业行业类别。</w:t>
      </w:r>
    </w:p>
    <w:p w14:paraId="639BD6F2">
      <w:pPr>
        <w:pStyle w:val="44"/>
        <w:adjustRightInd w:val="0"/>
        <w:snapToGrid w:val="0"/>
        <w:spacing w:before="0" w:after="0"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3、制造商如为监狱企业或残疾人福利性单位的，视同为小型、微型企业，请填写此声明函，并需要出具相应的声明函和证明文件（格式后附）。</w:t>
      </w:r>
    </w:p>
    <w:p w14:paraId="6F3A038F">
      <w:pPr>
        <w:widowControl/>
        <w:autoSpaceDE w:val="0"/>
        <w:autoSpaceDN w:val="0"/>
        <w:adjustRightInd w:val="0"/>
        <w:spacing w:line="440" w:lineRule="exact"/>
        <w:ind w:firstLine="504"/>
        <w:rPr>
          <w:rFonts w:hint="eastAsia" w:ascii="宋体" w:hAnsi="宋体" w:eastAsia="宋体" w:cs="宋体"/>
          <w:color w:val="auto"/>
          <w:sz w:val="24"/>
          <w:highlight w:val="none"/>
        </w:rPr>
      </w:pPr>
      <w:r>
        <w:rPr>
          <w:rStyle w:val="73"/>
          <w:rFonts w:hint="eastAsia" w:ascii="宋体" w:hAnsi="宋体" w:eastAsia="宋体" w:cs="宋体"/>
          <w:b/>
          <w:bCs/>
          <w:color w:val="auto"/>
          <w:szCs w:val="21"/>
          <w:highlight w:val="none"/>
        </w:rPr>
        <w:t>（残疾人福利性单位及监狱企业视同为小微企业。注：分公司不是独立法人，不能进行规模类型划分；分公司应并入总公司以总公司名义进行划分。）</w:t>
      </w:r>
    </w:p>
    <w:p w14:paraId="5F3BA5A8">
      <w:pPr>
        <w:pStyle w:val="5"/>
        <w:bidi w:val="0"/>
        <w:rPr>
          <w:rFonts w:hint="eastAsia" w:ascii="宋体" w:hAnsi="宋体" w:eastAsia="宋体" w:cs="宋体"/>
          <w:color w:val="auto"/>
          <w:highlight w:val="none"/>
        </w:rPr>
      </w:pPr>
      <w:bookmarkStart w:id="138" w:name="_Toc71631936"/>
      <w:bookmarkStart w:id="139" w:name="_Toc5109"/>
      <w:bookmarkStart w:id="140" w:name="_Toc17478"/>
      <w:r>
        <w:rPr>
          <w:rFonts w:hint="eastAsia" w:cs="宋体"/>
          <w:color w:val="auto"/>
          <w:highlight w:val="none"/>
          <w:lang w:val="en-US" w:eastAsia="zh-CN"/>
        </w:rPr>
        <w:t>7</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监狱企业声明函</w:t>
      </w:r>
      <w:bookmarkEnd w:id="138"/>
      <w:r>
        <w:rPr>
          <w:rFonts w:hint="eastAsia" w:ascii="宋体" w:hAnsi="宋体" w:eastAsia="宋体" w:cs="宋体"/>
          <w:color w:val="auto"/>
          <w:highlight w:val="none"/>
        </w:rPr>
        <w:t>（如是）</w:t>
      </w:r>
      <w:bookmarkEnd w:id="139"/>
      <w:bookmarkEnd w:id="140"/>
    </w:p>
    <w:p w14:paraId="56A06D12">
      <w:pPr>
        <w:adjustRightInd w:val="0"/>
        <w:snapToGrid w:val="0"/>
        <w:spacing w:line="360" w:lineRule="auto"/>
        <w:rPr>
          <w:rFonts w:hint="eastAsia" w:ascii="宋体" w:hAnsi="宋体" w:eastAsia="宋体" w:cs="宋体"/>
          <w:b/>
          <w:color w:val="auto"/>
          <w:kern w:val="0"/>
          <w:sz w:val="24"/>
          <w:highlight w:val="none"/>
        </w:rPr>
      </w:pPr>
    </w:p>
    <w:p w14:paraId="4EE4D9C8">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w:t>
      </w:r>
      <w:r>
        <w:rPr>
          <w:rFonts w:hint="eastAsia" w:ascii="宋体" w:hAnsi="宋体" w:eastAsia="宋体" w:cs="宋体"/>
          <w:color w:val="auto"/>
          <w:sz w:val="24"/>
          <w:highlight w:val="none"/>
          <w:u w:val="single"/>
        </w:rPr>
        <w:t>项目名称</w:t>
      </w:r>
      <w:r>
        <w:rPr>
          <w:rFonts w:hint="eastAsia" w:ascii="宋体" w:hAnsi="宋体" w:cs="宋体"/>
          <w:color w:val="auto"/>
          <w:sz w:val="24"/>
          <w:highlight w:val="none"/>
          <w:u w:val="single"/>
          <w:lang w:val="en-US" w:eastAsia="zh-CN"/>
        </w:rPr>
        <w:t>+标项号</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项目采购活动提供以下监狱企业制造的货物</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监狱企业承担的工程</w:t>
      </w:r>
      <w:r>
        <w:rPr>
          <w:rFonts w:hint="eastAsia" w:ascii="宋体" w:hAnsi="宋体" w:cs="宋体"/>
          <w:color w:val="auto"/>
          <w:kern w:val="0"/>
          <w:sz w:val="24"/>
          <w:highlight w:val="none"/>
          <w:lang w:eastAsia="zh-CN"/>
        </w:rPr>
        <w:t>或</w:t>
      </w:r>
      <w:r>
        <w:rPr>
          <w:rFonts w:hint="eastAsia" w:ascii="宋体" w:hAnsi="宋体" w:eastAsia="宋体" w:cs="宋体"/>
          <w:color w:val="auto"/>
          <w:kern w:val="0"/>
          <w:sz w:val="24"/>
          <w:highlight w:val="none"/>
        </w:rPr>
        <w:t>监狱企业承接的服务），具体情况如下：（按照实际情况勾选或填空）</w:t>
      </w:r>
    </w:p>
    <w:p w14:paraId="227D0F74">
      <w:pPr>
        <w:widowControl/>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14:paraId="5E3456A0">
      <w:pPr>
        <w:widowControl/>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14:paraId="2B2A5061">
      <w:pPr>
        <w:widowControl/>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14:paraId="78793FF0">
      <w:pPr>
        <w:widowControl/>
        <w:adjustRightInd w:val="0"/>
        <w:snapToGrid w:val="0"/>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14:paraId="391F317A">
      <w:pPr>
        <w:widowControl/>
        <w:adjustRightInd w:val="0"/>
        <w:snapToGrid w:val="0"/>
        <w:spacing w:line="360" w:lineRule="auto"/>
        <w:jc w:val="left"/>
        <w:rPr>
          <w:rFonts w:hint="eastAsia" w:ascii="宋体" w:hAnsi="宋体" w:eastAsia="宋体" w:cs="宋体"/>
          <w:color w:val="auto"/>
          <w:kern w:val="0"/>
          <w:sz w:val="24"/>
          <w:highlight w:val="none"/>
        </w:rPr>
      </w:pPr>
    </w:p>
    <w:p w14:paraId="4412DE40">
      <w:pPr>
        <w:widowControl/>
        <w:adjustRightInd w:val="0"/>
        <w:snapToGrid w:val="0"/>
        <w:spacing w:line="360" w:lineRule="auto"/>
        <w:jc w:val="left"/>
        <w:rPr>
          <w:rFonts w:hint="eastAsia" w:ascii="宋体" w:hAnsi="宋体" w:eastAsia="宋体" w:cs="宋体"/>
          <w:color w:val="auto"/>
          <w:kern w:val="0"/>
          <w:sz w:val="24"/>
          <w:highlight w:val="none"/>
        </w:rPr>
      </w:pPr>
    </w:p>
    <w:p w14:paraId="3042AD7F">
      <w:pPr>
        <w:widowControl/>
        <w:adjustRightInd w:val="0"/>
        <w:snapToGrid w:val="0"/>
        <w:spacing w:line="360" w:lineRule="auto"/>
        <w:jc w:val="left"/>
        <w:rPr>
          <w:rFonts w:hint="eastAsia" w:ascii="宋体" w:hAnsi="宋体" w:eastAsia="宋体" w:cs="宋体"/>
          <w:color w:val="auto"/>
          <w:kern w:val="0"/>
          <w:sz w:val="24"/>
          <w:highlight w:val="none"/>
        </w:rPr>
      </w:pPr>
    </w:p>
    <w:p w14:paraId="192940D4">
      <w:pPr>
        <w:adjustRightInd w:val="0"/>
        <w:snapToGrid w:val="0"/>
        <w:spacing w:line="360" w:lineRule="auto"/>
        <w:ind w:hanging="540"/>
        <w:jc w:val="center"/>
        <w:rPr>
          <w:rFonts w:hint="eastAsia" w:ascii="宋体" w:hAnsi="宋体" w:eastAsia="宋体" w:cs="宋体"/>
          <w:b/>
          <w:color w:val="auto"/>
          <w:kern w:val="0"/>
          <w:sz w:val="24"/>
          <w:highlight w:val="none"/>
        </w:rPr>
      </w:pPr>
    </w:p>
    <w:p w14:paraId="32C40599">
      <w:pPr>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14:paraId="48AA4BE3">
      <w:pPr>
        <w:widowControl/>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41093ED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F3748E6">
      <w:pPr>
        <w:pStyle w:val="5"/>
        <w:bidi w:val="0"/>
        <w:rPr>
          <w:rFonts w:hint="eastAsia" w:ascii="宋体" w:hAnsi="宋体" w:eastAsia="宋体" w:cs="宋体"/>
          <w:color w:val="auto"/>
          <w:highlight w:val="none"/>
        </w:rPr>
      </w:pPr>
      <w:bookmarkStart w:id="141" w:name="_Toc71631937"/>
      <w:bookmarkStart w:id="142" w:name="_Toc28543"/>
      <w:bookmarkStart w:id="143" w:name="_Toc19189"/>
      <w:bookmarkStart w:id="144" w:name="OLE_LINK14"/>
      <w:bookmarkStart w:id="145" w:name="OLE_LINK13"/>
      <w:r>
        <w:rPr>
          <w:rFonts w:hint="eastAsia" w:cs="宋体"/>
          <w:color w:val="auto"/>
          <w:highlight w:val="none"/>
          <w:lang w:val="en-US" w:eastAsia="zh-CN"/>
        </w:rPr>
        <w:t>7</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残疾人福利性单位声明函</w:t>
      </w:r>
      <w:bookmarkEnd w:id="141"/>
      <w:r>
        <w:rPr>
          <w:rFonts w:hint="eastAsia" w:ascii="宋体" w:hAnsi="宋体" w:eastAsia="宋体" w:cs="宋体"/>
          <w:color w:val="auto"/>
          <w:highlight w:val="none"/>
        </w:rPr>
        <w:t>（如是）</w:t>
      </w:r>
      <w:bookmarkEnd w:id="142"/>
      <w:bookmarkEnd w:id="143"/>
    </w:p>
    <w:bookmarkEnd w:id="144"/>
    <w:bookmarkEnd w:id="145"/>
    <w:p w14:paraId="4C597211">
      <w:pPr>
        <w:spacing w:line="360" w:lineRule="auto"/>
        <w:ind w:hanging="540"/>
        <w:jc w:val="center"/>
        <w:rPr>
          <w:rFonts w:hint="eastAsia" w:ascii="宋体" w:hAnsi="宋体" w:eastAsia="宋体" w:cs="宋体"/>
          <w:color w:val="auto"/>
          <w:kern w:val="0"/>
          <w:sz w:val="24"/>
          <w:szCs w:val="20"/>
          <w:highlight w:val="none"/>
        </w:rPr>
      </w:pPr>
    </w:p>
    <w:p w14:paraId="7E28C87A">
      <w:pPr>
        <w:spacing w:line="360" w:lineRule="auto"/>
        <w:ind w:firstLine="567"/>
        <w:rPr>
          <w:rFonts w:hint="eastAsia" w:ascii="宋体" w:hAnsi="宋体" w:eastAsia="宋体" w:cs="宋体"/>
          <w:color w:val="auto"/>
          <w:kern w:val="0"/>
          <w:sz w:val="24"/>
          <w:szCs w:val="20"/>
          <w:highlight w:val="none"/>
        </w:rPr>
      </w:pPr>
    </w:p>
    <w:p w14:paraId="6616C57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cs="宋体"/>
          <w:color w:val="auto"/>
          <w:kern w:val="0"/>
          <w:sz w:val="24"/>
          <w:highlight w:val="none"/>
          <w:u w:val="single"/>
          <w:lang w:eastAsia="zh-CN"/>
        </w:rPr>
        <w:t>（</w:t>
      </w:r>
      <w:r>
        <w:rPr>
          <w:rFonts w:hint="eastAsia" w:ascii="宋体" w:hAnsi="宋体" w:eastAsia="宋体" w:cs="宋体"/>
          <w:color w:val="auto"/>
          <w:sz w:val="24"/>
          <w:highlight w:val="none"/>
          <w:u w:val="single"/>
        </w:rPr>
        <w:t>项目名称</w:t>
      </w:r>
      <w:r>
        <w:rPr>
          <w:rFonts w:hint="eastAsia" w:ascii="宋体" w:hAnsi="宋体" w:cs="宋体"/>
          <w:color w:val="auto"/>
          <w:sz w:val="24"/>
          <w:highlight w:val="none"/>
          <w:u w:val="single"/>
          <w:lang w:val="en-US" w:eastAsia="zh-CN"/>
        </w:rPr>
        <w:t>+标项号</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项目采购活动提供本单位制造的货物（由本单位承担工程/提供服务），或者提供其他残疾人福利性单位制造的货物（不包括使用非残疾人福利性单位注册商标的货物）。</w:t>
      </w:r>
    </w:p>
    <w:p w14:paraId="6F669A3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14:paraId="17636D27">
      <w:pPr>
        <w:spacing w:line="360" w:lineRule="auto"/>
        <w:ind w:firstLine="480" w:firstLineChars="200"/>
        <w:rPr>
          <w:rFonts w:hint="eastAsia" w:ascii="宋体" w:hAnsi="宋体" w:eastAsia="宋体" w:cs="宋体"/>
          <w:color w:val="auto"/>
          <w:kern w:val="0"/>
          <w:sz w:val="24"/>
          <w:highlight w:val="none"/>
        </w:rPr>
      </w:pPr>
    </w:p>
    <w:p w14:paraId="25760638">
      <w:pPr>
        <w:spacing w:line="360" w:lineRule="auto"/>
        <w:ind w:firstLine="624" w:firstLineChars="200"/>
        <w:rPr>
          <w:rFonts w:hint="eastAsia" w:ascii="宋体" w:hAnsi="宋体" w:eastAsia="宋体" w:cs="宋体"/>
          <w:color w:val="auto"/>
          <w:spacing w:val="6"/>
          <w:sz w:val="30"/>
          <w:szCs w:val="30"/>
          <w:highlight w:val="none"/>
        </w:rPr>
      </w:pPr>
    </w:p>
    <w:p w14:paraId="5557492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单位名称（盖章）：</w:t>
      </w:r>
    </w:p>
    <w:p w14:paraId="0FEA2EF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p>
    <w:p w14:paraId="454F20D1">
      <w:pPr>
        <w:rPr>
          <w:rFonts w:hint="eastAsia" w:ascii="宋体" w:hAnsi="宋体" w:eastAsia="宋体" w:cs="宋体"/>
          <w:color w:val="auto"/>
          <w:highlight w:val="none"/>
          <w:lang w:val="en-US" w:eastAsia="zh-CN"/>
        </w:rPr>
      </w:pPr>
      <w:bookmarkStart w:id="146" w:name="_Toc2582330"/>
      <w:bookmarkStart w:id="147" w:name="_Toc20607"/>
      <w:bookmarkStart w:id="148" w:name="_Toc71631940"/>
      <w:bookmarkStart w:id="149" w:name="_Toc532473516"/>
      <w:bookmarkStart w:id="150" w:name="_Toc29152"/>
      <w:r>
        <w:rPr>
          <w:rFonts w:hint="eastAsia" w:ascii="宋体" w:hAnsi="宋体" w:eastAsia="宋体" w:cs="宋体"/>
          <w:color w:val="auto"/>
          <w:highlight w:val="none"/>
          <w:lang w:val="en-US" w:eastAsia="zh-CN"/>
        </w:rPr>
        <w:br w:type="page"/>
      </w:r>
    </w:p>
    <w:p w14:paraId="398789BD">
      <w:pPr>
        <w:pStyle w:val="5"/>
        <w:bidi w:val="0"/>
        <w:rPr>
          <w:rFonts w:hint="eastAsia" w:eastAsia="宋体"/>
          <w:color w:val="auto"/>
          <w:highlight w:val="none"/>
          <w:lang w:eastAsia="zh-CN"/>
        </w:rPr>
      </w:pPr>
      <w:r>
        <w:rPr>
          <w:rFonts w:hint="eastAsia"/>
          <w:color w:val="auto"/>
          <w:highlight w:val="none"/>
          <w:lang w:val="en-US" w:eastAsia="zh-CN"/>
        </w:rPr>
        <w:t>7-4</w:t>
      </w:r>
      <w:r>
        <w:rPr>
          <w:rFonts w:hint="eastAsia"/>
          <w:color w:val="auto"/>
          <w:highlight w:val="none"/>
        </w:rPr>
        <w:t>拟分包情况说明</w:t>
      </w:r>
      <w:r>
        <w:rPr>
          <w:rFonts w:hint="eastAsia"/>
          <w:color w:val="auto"/>
          <w:highlight w:val="none"/>
          <w:lang w:eastAsia="zh-CN"/>
        </w:rPr>
        <w:t>（</w:t>
      </w:r>
      <w:r>
        <w:rPr>
          <w:rFonts w:hint="eastAsia"/>
          <w:color w:val="auto"/>
          <w:highlight w:val="none"/>
          <w:lang w:val="en-US" w:eastAsia="zh-CN"/>
        </w:rPr>
        <w:t>标项3、4适用</w:t>
      </w:r>
      <w:r>
        <w:rPr>
          <w:rFonts w:hint="eastAsia"/>
          <w:color w:val="auto"/>
          <w:highlight w:val="none"/>
          <w:lang w:eastAsia="zh-CN"/>
        </w:rPr>
        <w:t>）</w:t>
      </w:r>
    </w:p>
    <w:p w14:paraId="42B3FBA8">
      <w:pPr>
        <w:widowControl/>
        <w:spacing w:line="5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w:t>
      </w:r>
    </w:p>
    <w:p w14:paraId="032891EF">
      <w:pPr>
        <w:widowControl/>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rPr>
        <w:t xml:space="preserve"> </w:t>
      </w:r>
    </w:p>
    <w:p w14:paraId="2D849A02">
      <w:pPr>
        <w:widowControl/>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我单位参加贵单位组织采购的项目编号为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（填写采购项目名称</w:t>
      </w:r>
      <w:r>
        <w:rPr>
          <w:rFonts w:hint="eastAsia" w:ascii="宋体" w:hAnsi="宋体" w:eastAsia="宋体" w:cs="宋体"/>
          <w:color w:val="auto"/>
          <w:sz w:val="24"/>
          <w:szCs w:val="24"/>
          <w:highlight w:val="none"/>
          <w:u w:val="single"/>
          <w:lang w:val="en-US" w:eastAsia="zh-CN"/>
        </w:rPr>
        <w:t>+标项号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项目的投标。拟签订分包合同的单位情况如下表所示，我单位承诺一旦在该项目中获得采购合同将按下表所列情况进行分包，同时承诺分包承担主体不再次分包。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12"/>
        <w:gridCol w:w="2155"/>
        <w:gridCol w:w="2255"/>
        <w:gridCol w:w="1430"/>
        <w:gridCol w:w="1415"/>
      </w:tblGrid>
      <w:tr w14:paraId="75A4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center"/>
          </w:tcPr>
          <w:p w14:paraId="5E1EFD82">
            <w:pPr>
              <w:widowControl w:val="0"/>
              <w:autoSpaceDE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72731F2E">
            <w:pPr>
              <w:widowControl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分包承担</w:t>
            </w:r>
          </w:p>
          <w:p w14:paraId="33902E58">
            <w:pPr>
              <w:widowControl w:val="0"/>
              <w:autoSpaceDE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主体名称</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157FB59F">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分包承担</w:t>
            </w:r>
          </w:p>
          <w:p w14:paraId="2D50FE1F">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主体类型</w:t>
            </w:r>
          </w:p>
          <w:p w14:paraId="5491F30E">
            <w:pPr>
              <w:widowControl/>
              <w:autoSpaceDE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（勾选）</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3C465E40">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w:t>
            </w:r>
          </w:p>
          <w:p w14:paraId="4C1E3E63">
            <w:pPr>
              <w:widowControl/>
              <w:autoSpaceDE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合同内容</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706387D">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w:t>
            </w:r>
          </w:p>
          <w:p w14:paraId="4D513800">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05ADA494">
            <w:pPr>
              <w:widowControl/>
              <w:autoSpaceDE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（人民币元）</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9CE77CB">
            <w:pPr>
              <w:widowControl w:val="0"/>
              <w:autoSpaceDE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占该采购包</w:t>
            </w:r>
            <w:r>
              <w:rPr>
                <w:rFonts w:hint="eastAsia" w:ascii="宋体" w:hAnsi="宋体" w:eastAsia="宋体" w:cs="宋体"/>
                <w:b/>
                <w:bCs/>
                <w:color w:val="auto"/>
                <w:sz w:val="24"/>
                <w:szCs w:val="24"/>
                <w:highlight w:val="none"/>
              </w:rPr>
              <w:t>预算金额的</w:t>
            </w:r>
            <w:r>
              <w:rPr>
                <w:rFonts w:hint="eastAsia" w:ascii="宋体" w:hAnsi="宋体" w:eastAsia="宋体" w:cs="宋体"/>
                <w:color w:val="auto"/>
                <w:sz w:val="24"/>
                <w:szCs w:val="24"/>
                <w:highlight w:val="none"/>
              </w:rPr>
              <w:t>比例（%）</w:t>
            </w:r>
          </w:p>
        </w:tc>
      </w:tr>
      <w:tr w14:paraId="5799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center"/>
          </w:tcPr>
          <w:p w14:paraId="1CC3A85A">
            <w:pPr>
              <w:widowControl w:val="0"/>
              <w:autoSpaceDE w:val="0"/>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1A25E7E">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14:paraId="0586C0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□小型企业</w:t>
            </w:r>
          </w:p>
          <w:p w14:paraId="6DD0C486">
            <w:pPr>
              <w:widowControl/>
              <w:autoSpaceDE w:val="0"/>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□微型企业</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2946F6F7">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B580C17">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7CA2C7E">
            <w:pPr>
              <w:widowControl w:val="0"/>
              <w:autoSpaceDE w:val="0"/>
              <w:spacing w:line="500" w:lineRule="exact"/>
              <w:ind w:firstLine="480"/>
              <w:jc w:val="center"/>
              <w:rPr>
                <w:rFonts w:hint="eastAsia" w:ascii="宋体" w:hAnsi="宋体" w:eastAsia="宋体" w:cs="宋体"/>
                <w:color w:val="auto"/>
                <w:sz w:val="24"/>
                <w:szCs w:val="24"/>
                <w:highlight w:val="none"/>
              </w:rPr>
            </w:pPr>
          </w:p>
        </w:tc>
      </w:tr>
      <w:tr w14:paraId="43A4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center"/>
          </w:tcPr>
          <w:p w14:paraId="4ACA1180">
            <w:pPr>
              <w:widowControl w:val="0"/>
              <w:autoSpaceDE w:val="0"/>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5161302">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14:paraId="2BE17A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□小型企业</w:t>
            </w:r>
          </w:p>
          <w:p w14:paraId="71B31CB3">
            <w:pPr>
              <w:widowControl/>
              <w:autoSpaceDE w:val="0"/>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□微型企业</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4BC3AFE">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9338D9A">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53CEC04">
            <w:pPr>
              <w:widowControl w:val="0"/>
              <w:autoSpaceDE w:val="0"/>
              <w:spacing w:line="500" w:lineRule="exact"/>
              <w:ind w:firstLine="480"/>
              <w:jc w:val="center"/>
              <w:rPr>
                <w:rFonts w:hint="eastAsia" w:ascii="宋体" w:hAnsi="宋体" w:eastAsia="宋体" w:cs="宋体"/>
                <w:color w:val="auto"/>
                <w:sz w:val="24"/>
                <w:szCs w:val="24"/>
                <w:highlight w:val="none"/>
              </w:rPr>
            </w:pPr>
          </w:p>
        </w:tc>
      </w:tr>
      <w:tr w14:paraId="7F66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noWrap w:val="0"/>
            <w:vAlign w:val="center"/>
          </w:tcPr>
          <w:p w14:paraId="38741EB1">
            <w:pPr>
              <w:widowControl w:val="0"/>
              <w:autoSpaceDE w:val="0"/>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2E155FD">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14:paraId="5207A26E">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center"/>
          </w:tcPr>
          <w:p w14:paraId="5FD22646">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B6EFB97">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7783E6">
            <w:pPr>
              <w:widowControl w:val="0"/>
              <w:autoSpaceDE w:val="0"/>
              <w:spacing w:line="500" w:lineRule="exact"/>
              <w:ind w:firstLine="480"/>
              <w:jc w:val="center"/>
              <w:rPr>
                <w:rFonts w:hint="eastAsia" w:ascii="宋体" w:hAnsi="宋体" w:eastAsia="宋体" w:cs="宋体"/>
                <w:color w:val="auto"/>
                <w:sz w:val="24"/>
                <w:szCs w:val="24"/>
                <w:highlight w:val="none"/>
              </w:rPr>
            </w:pPr>
          </w:p>
        </w:tc>
      </w:tr>
      <w:tr w14:paraId="7732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6" w:type="dxa"/>
            <w:gridSpan w:val="4"/>
            <w:tcBorders>
              <w:top w:val="single" w:color="auto" w:sz="4" w:space="0"/>
              <w:left w:val="single" w:color="auto" w:sz="4" w:space="0"/>
              <w:bottom w:val="single" w:color="auto" w:sz="4" w:space="0"/>
              <w:right w:val="single" w:color="auto" w:sz="4" w:space="0"/>
            </w:tcBorders>
            <w:noWrap w:val="0"/>
            <w:vAlign w:val="center"/>
          </w:tcPr>
          <w:p w14:paraId="7E57CD9A">
            <w:pPr>
              <w:widowControl w:val="0"/>
              <w:autoSpaceDE w:val="0"/>
              <w:spacing w:line="500" w:lineRule="exact"/>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E08DB66">
            <w:pPr>
              <w:widowControl w:val="0"/>
              <w:autoSpaceDE w:val="0"/>
              <w:spacing w:line="500" w:lineRule="exact"/>
              <w:ind w:firstLine="480"/>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DB4A547">
            <w:pPr>
              <w:widowControl w:val="0"/>
              <w:autoSpaceDE w:val="0"/>
              <w:spacing w:line="500" w:lineRule="exact"/>
              <w:ind w:firstLine="480"/>
              <w:jc w:val="center"/>
              <w:rPr>
                <w:rFonts w:hint="eastAsia" w:ascii="宋体" w:hAnsi="宋体" w:eastAsia="宋体" w:cs="宋体"/>
                <w:color w:val="auto"/>
                <w:sz w:val="24"/>
                <w:szCs w:val="24"/>
                <w:highlight w:val="none"/>
              </w:rPr>
            </w:pPr>
          </w:p>
        </w:tc>
      </w:tr>
    </w:tbl>
    <w:p w14:paraId="67CA98D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D64BDC3">
      <w:pPr>
        <w:autoSpaceDE w:val="0"/>
        <w:autoSpaceDN w:val="0"/>
        <w:adjustRightInd w:val="0"/>
        <w:spacing w:line="360" w:lineRule="auto"/>
        <w:jc w:val="left"/>
        <w:rPr>
          <w:rFonts w:hint="eastAsia" w:ascii="宋体" w:hAnsi="宋体" w:eastAsia="宋体" w:cs="宋体"/>
          <w:color w:val="auto"/>
          <w:sz w:val="24"/>
          <w:szCs w:val="24"/>
          <w:highlight w:val="none"/>
        </w:rPr>
      </w:pPr>
    </w:p>
    <w:p w14:paraId="181CCDF8">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电子签章</w:t>
      </w:r>
      <w:r>
        <w:rPr>
          <w:rFonts w:hint="eastAsia" w:ascii="宋体" w:hAnsi="宋体" w:eastAsia="宋体" w:cs="宋体"/>
          <w:color w:val="auto"/>
          <w:sz w:val="24"/>
          <w:szCs w:val="24"/>
          <w:highlight w:val="none"/>
        </w:rPr>
        <w:t>）</w:t>
      </w:r>
    </w:p>
    <w:p w14:paraId="4F87A88F">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lang w:val="en-US" w:eastAsia="zh-CN"/>
        </w:rPr>
        <w:t>电子签名或盖章</w:t>
      </w:r>
      <w:r>
        <w:rPr>
          <w:rFonts w:hint="eastAsia" w:ascii="宋体" w:hAnsi="宋体" w:eastAsia="宋体" w:cs="宋体"/>
          <w:color w:val="auto"/>
          <w:sz w:val="24"/>
          <w:szCs w:val="24"/>
          <w:highlight w:val="none"/>
        </w:rPr>
        <w:t>）</w:t>
      </w:r>
    </w:p>
    <w:p w14:paraId="66D6D099">
      <w:pPr>
        <w:widowControl/>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 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color w:val="auto"/>
          <w:sz w:val="24"/>
          <w:szCs w:val="24"/>
          <w:highlight w:val="none"/>
        </w:rPr>
        <w:t xml:space="preserve"> </w:t>
      </w:r>
    </w:p>
    <w:p w14:paraId="291CE54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B853AC3">
      <w:pPr>
        <w:widowControl/>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w:t>
      </w:r>
    </w:p>
    <w:p w14:paraId="71060DDE">
      <w:pPr>
        <w:widowControl/>
        <w:numPr>
          <w:ilvl w:val="0"/>
          <w:numId w:val="2"/>
        </w:numPr>
        <w:autoSpaceDE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本表仅在投标人“为落实政府采购政策”而向中小企业分包时填写。</w:t>
      </w:r>
    </w:p>
    <w:p w14:paraId="759BF90C">
      <w:pPr>
        <w:widowControl/>
        <w:numPr>
          <w:ilvl w:val="0"/>
          <w:numId w:val="2"/>
        </w:numPr>
        <w:autoSpaceDE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本项目分包承担主体应具备的相应资质条件，须在本表后附分包承担主体资格要求复印件加盖投标人公章（包含营业执照、</w:t>
      </w:r>
      <w:r>
        <w:rPr>
          <w:rFonts w:hint="eastAsia" w:ascii="宋体" w:hAnsi="宋体" w:eastAsia="宋体" w:cs="宋体"/>
          <w:color w:val="auto"/>
          <w:sz w:val="24"/>
          <w:highlight w:val="none"/>
        </w:rPr>
        <w:t>《食品生产许可证》</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5E00870">
      <w:pPr>
        <w:widowControl/>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与上述拟分包承担主体签署的《分包意向协议》后附。</w:t>
      </w:r>
    </w:p>
    <w:p w14:paraId="6C15398B">
      <w:pPr>
        <w:rPr>
          <w:rFonts w:hint="eastAsia"/>
          <w:color w:val="auto"/>
          <w:highlight w:val="none"/>
          <w:lang w:val="en-US" w:eastAsia="zh-CN"/>
        </w:rPr>
      </w:pPr>
      <w:r>
        <w:rPr>
          <w:rFonts w:hint="eastAsia"/>
          <w:color w:val="auto"/>
          <w:highlight w:val="none"/>
          <w:lang w:val="en-US" w:eastAsia="zh-CN"/>
        </w:rPr>
        <w:br w:type="page"/>
      </w:r>
    </w:p>
    <w:p w14:paraId="15C04FC0">
      <w:pPr>
        <w:pStyle w:val="5"/>
        <w:bidi w:val="0"/>
        <w:rPr>
          <w:rFonts w:hint="eastAsia"/>
          <w:color w:val="auto"/>
          <w:highlight w:val="none"/>
        </w:rPr>
      </w:pPr>
      <w:r>
        <w:rPr>
          <w:rFonts w:hint="eastAsia"/>
          <w:color w:val="auto"/>
          <w:highlight w:val="none"/>
          <w:lang w:val="en-US" w:eastAsia="zh-CN"/>
        </w:rPr>
        <w:t>7-5</w:t>
      </w:r>
      <w:r>
        <w:rPr>
          <w:rFonts w:hint="eastAsia"/>
          <w:color w:val="auto"/>
          <w:highlight w:val="none"/>
        </w:rPr>
        <w:t>分包意向协议（参考格式</w:t>
      </w:r>
      <w:r>
        <w:rPr>
          <w:rFonts w:hint="eastAsia"/>
          <w:color w:val="auto"/>
          <w:highlight w:val="none"/>
          <w:lang w:eastAsia="zh-CN"/>
        </w:rPr>
        <w:t>，</w:t>
      </w:r>
      <w:r>
        <w:rPr>
          <w:rFonts w:hint="eastAsia"/>
          <w:color w:val="auto"/>
          <w:highlight w:val="none"/>
          <w:lang w:val="en-US" w:eastAsia="zh-CN"/>
        </w:rPr>
        <w:t>标项3、4适用</w:t>
      </w:r>
      <w:r>
        <w:rPr>
          <w:rFonts w:hint="eastAsia"/>
          <w:color w:val="auto"/>
          <w:highlight w:val="none"/>
        </w:rPr>
        <w:t>）</w:t>
      </w:r>
    </w:p>
    <w:p w14:paraId="704C413B">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68122E">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D1A8DF1">
      <w:pPr>
        <w:bidi w:val="0"/>
        <w:spacing w:line="360" w:lineRule="auto"/>
        <w:rPr>
          <w:rFonts w:hint="eastAsia"/>
          <w:color w:val="auto"/>
          <w:highlight w:val="none"/>
        </w:rPr>
      </w:pPr>
      <w:r>
        <w:rPr>
          <w:rFonts w:hint="eastAsia"/>
          <w:color w:val="auto"/>
          <w:highlight w:val="none"/>
        </w:rPr>
        <w:t xml:space="preserve">甲方（投标人）：                 </w:t>
      </w:r>
    </w:p>
    <w:p w14:paraId="4DD1BA88">
      <w:pPr>
        <w:bidi w:val="0"/>
        <w:spacing w:line="360" w:lineRule="auto"/>
        <w:rPr>
          <w:rFonts w:hint="eastAsia"/>
          <w:color w:val="auto"/>
          <w:highlight w:val="none"/>
        </w:rPr>
      </w:pPr>
      <w:r>
        <w:rPr>
          <w:rFonts w:hint="eastAsia"/>
          <w:color w:val="auto"/>
          <w:highlight w:val="none"/>
        </w:rPr>
        <w:t xml:space="preserve">乙方（拟分包单位）：               </w:t>
      </w:r>
    </w:p>
    <w:p w14:paraId="4E65F2F6">
      <w:pPr>
        <w:bidi w:val="0"/>
        <w:spacing w:line="360" w:lineRule="auto"/>
        <w:rPr>
          <w:rFonts w:hint="eastAsia"/>
          <w:color w:val="auto"/>
          <w:highlight w:val="none"/>
        </w:rPr>
      </w:pPr>
      <w:r>
        <w:rPr>
          <w:rFonts w:hint="eastAsia"/>
          <w:color w:val="auto"/>
          <w:highlight w:val="none"/>
        </w:rPr>
        <w:t>甲方承诺，一旦在（采购项目名称</w:t>
      </w:r>
      <w:r>
        <w:rPr>
          <w:rFonts w:hint="eastAsia"/>
          <w:color w:val="auto"/>
          <w:highlight w:val="none"/>
          <w:lang w:val="en-US" w:eastAsia="zh-CN"/>
        </w:rPr>
        <w:t>+标项号</w:t>
      </w:r>
      <w:r>
        <w:rPr>
          <w:rFonts w:hint="eastAsia"/>
          <w:color w:val="auto"/>
          <w:highlight w:val="none"/>
        </w:rPr>
        <w:t xml:space="preserve">）（项目编号 ）招标采购项目中获得采购合同，将按照下述约定将合同项下部分内容分包给乙方： </w:t>
      </w:r>
    </w:p>
    <w:p w14:paraId="32B2472D">
      <w:pPr>
        <w:bidi w:val="0"/>
        <w:spacing w:line="360" w:lineRule="auto"/>
        <w:rPr>
          <w:rFonts w:hint="eastAsia"/>
          <w:color w:val="auto"/>
          <w:highlight w:val="none"/>
        </w:rPr>
      </w:pPr>
      <w:r>
        <w:rPr>
          <w:rFonts w:hint="eastAsia"/>
          <w:color w:val="auto"/>
          <w:highlight w:val="none"/>
        </w:rPr>
        <w:t xml:space="preserve">1.分包内容：       。 </w:t>
      </w:r>
    </w:p>
    <w:p w14:paraId="44906587">
      <w:pPr>
        <w:bidi w:val="0"/>
        <w:spacing w:line="360" w:lineRule="auto"/>
        <w:rPr>
          <w:rFonts w:hint="eastAsia"/>
          <w:color w:val="auto"/>
          <w:highlight w:val="none"/>
        </w:rPr>
      </w:pPr>
      <w:r>
        <w:rPr>
          <w:rFonts w:hint="eastAsia"/>
          <w:color w:val="auto"/>
          <w:highlight w:val="none"/>
        </w:rPr>
        <w:t xml:space="preserve">2.分包金额：       ，该金额占该采购包预算总金额的比例为      %。 </w:t>
      </w:r>
    </w:p>
    <w:p w14:paraId="3D930B58">
      <w:pPr>
        <w:bidi w:val="0"/>
        <w:spacing w:line="360" w:lineRule="auto"/>
        <w:rPr>
          <w:rFonts w:hint="eastAsia"/>
          <w:color w:val="auto"/>
          <w:highlight w:val="none"/>
        </w:rPr>
      </w:pPr>
      <w:r>
        <w:rPr>
          <w:rFonts w:hint="eastAsia"/>
          <w:color w:val="auto"/>
          <w:highlight w:val="none"/>
        </w:rPr>
        <w:t xml:space="preserve">乙方承诺将在上述情况下与甲方签订分包合同。 </w:t>
      </w:r>
    </w:p>
    <w:p w14:paraId="791B4481">
      <w:pPr>
        <w:bidi w:val="0"/>
        <w:spacing w:line="360" w:lineRule="auto"/>
        <w:rPr>
          <w:rFonts w:hint="eastAsia"/>
          <w:color w:val="auto"/>
          <w:highlight w:val="none"/>
        </w:rPr>
      </w:pPr>
      <w:r>
        <w:rPr>
          <w:rFonts w:hint="eastAsia"/>
          <w:color w:val="auto"/>
          <w:highlight w:val="none"/>
        </w:rPr>
        <w:t>本协议自各方盖章之日起生效，如甲方未在该项目（</w:t>
      </w:r>
      <w:r>
        <w:rPr>
          <w:rFonts w:hint="eastAsia"/>
          <w:color w:val="auto"/>
          <w:highlight w:val="none"/>
          <w:lang w:val="en-US" w:eastAsia="zh-CN"/>
        </w:rPr>
        <w:t>标项</w:t>
      </w:r>
      <w:r>
        <w:rPr>
          <w:rFonts w:hint="eastAsia"/>
          <w:color w:val="auto"/>
          <w:highlight w:val="none"/>
        </w:rPr>
        <w:t xml:space="preserve">）中标，本协议自动终止。 </w:t>
      </w:r>
    </w:p>
    <w:p w14:paraId="5BCE3E43">
      <w:pPr>
        <w:bidi w:val="0"/>
        <w:spacing w:line="360" w:lineRule="auto"/>
        <w:rPr>
          <w:rFonts w:hint="eastAsia"/>
          <w:color w:val="auto"/>
          <w:highlight w:val="none"/>
        </w:rPr>
      </w:pPr>
      <w:r>
        <w:rPr>
          <w:rFonts w:hint="eastAsia"/>
          <w:color w:val="auto"/>
          <w:highlight w:val="none"/>
        </w:rPr>
        <w:t xml:space="preserve"> </w:t>
      </w:r>
    </w:p>
    <w:p w14:paraId="38DAB75F">
      <w:pPr>
        <w:bidi w:val="0"/>
        <w:spacing w:line="360" w:lineRule="auto"/>
        <w:rPr>
          <w:rFonts w:hint="eastAsia"/>
          <w:color w:val="auto"/>
          <w:highlight w:val="none"/>
        </w:rPr>
      </w:pPr>
      <w:r>
        <w:rPr>
          <w:rFonts w:hint="eastAsia"/>
          <w:color w:val="auto"/>
          <w:highlight w:val="none"/>
        </w:rPr>
        <w:t xml:space="preserve">甲方（盖章）：         乙方（盖章）：           </w:t>
      </w:r>
    </w:p>
    <w:p w14:paraId="2379AF80">
      <w:pPr>
        <w:bidi w:val="0"/>
        <w:spacing w:line="360" w:lineRule="auto"/>
        <w:rPr>
          <w:rFonts w:hint="eastAsia"/>
          <w:color w:val="auto"/>
          <w:highlight w:val="none"/>
        </w:rPr>
      </w:pPr>
      <w:r>
        <w:rPr>
          <w:rFonts w:hint="eastAsia"/>
          <w:color w:val="auto"/>
          <w:highlight w:val="none"/>
        </w:rPr>
        <w:t xml:space="preserve">日期：     年    月    日 </w:t>
      </w:r>
    </w:p>
    <w:p w14:paraId="604860B7">
      <w:pPr>
        <w:bidi w:val="0"/>
        <w:spacing w:line="360" w:lineRule="auto"/>
        <w:rPr>
          <w:rFonts w:hint="eastAsia"/>
          <w:color w:val="auto"/>
          <w:highlight w:val="none"/>
        </w:rPr>
      </w:pPr>
      <w:r>
        <w:rPr>
          <w:rFonts w:hint="eastAsia"/>
          <w:color w:val="auto"/>
          <w:highlight w:val="none"/>
        </w:rPr>
        <w:t xml:space="preserve"> </w:t>
      </w:r>
    </w:p>
    <w:p w14:paraId="51C6E17D">
      <w:pPr>
        <w:bidi w:val="0"/>
        <w:spacing w:line="360" w:lineRule="auto"/>
        <w:rPr>
          <w:rFonts w:hint="eastAsia"/>
          <w:color w:val="auto"/>
          <w:highlight w:val="none"/>
        </w:rPr>
      </w:pPr>
      <w:r>
        <w:rPr>
          <w:rFonts w:hint="eastAsia"/>
          <w:color w:val="auto"/>
          <w:highlight w:val="none"/>
        </w:rPr>
        <w:t>说明：</w:t>
      </w:r>
      <w:r>
        <w:rPr>
          <w:rFonts w:hint="eastAsia"/>
          <w:color w:val="auto"/>
          <w:highlight w:val="none"/>
          <w:lang w:val="en-US" w:eastAsia="zh-CN"/>
        </w:rPr>
        <w:t>投标供应商</w:t>
      </w:r>
      <w:r>
        <w:rPr>
          <w:rFonts w:hint="eastAsia"/>
          <w:color w:val="auto"/>
          <w:highlight w:val="none"/>
        </w:rPr>
        <w:t>须与所有拟分包单位分别签订《分包意向协议》，每单位签订一份，并在投标文件中提交全部协议盖章原件扫描件，否则投标无效。</w:t>
      </w:r>
    </w:p>
    <w:p w14:paraId="529AC9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81C0A9A">
      <w:pPr>
        <w:pStyle w:val="4"/>
        <w:bidi w:val="0"/>
        <w:rPr>
          <w:rFonts w:hint="eastAsia" w:ascii="宋体" w:hAnsi="宋体" w:eastAsia="宋体" w:cs="宋体"/>
          <w:color w:val="auto"/>
          <w:highlight w:val="none"/>
        </w:rPr>
      </w:pPr>
      <w:bookmarkStart w:id="151" w:name="_Toc2505"/>
      <w:bookmarkStart w:id="152" w:name="_Toc23508"/>
      <w:r>
        <w:rPr>
          <w:rFonts w:hint="eastAsia" w:cs="宋体"/>
          <w:color w:val="auto"/>
          <w:highlight w:val="none"/>
          <w:lang w:val="en-US" w:eastAsia="zh-CN"/>
        </w:rPr>
        <w:t>八</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评审所需要的其他商务文件</w:t>
      </w:r>
      <w:bookmarkEnd w:id="146"/>
      <w:bookmarkEnd w:id="147"/>
      <w:bookmarkEnd w:id="148"/>
      <w:bookmarkEnd w:id="149"/>
      <w:bookmarkEnd w:id="150"/>
      <w:bookmarkEnd w:id="151"/>
      <w:bookmarkEnd w:id="152"/>
    </w:p>
    <w:p w14:paraId="2E144F70">
      <w:pPr>
        <w:pStyle w:val="44"/>
        <w:adjustRightInd w:val="0"/>
        <w:snapToGrid w:val="0"/>
        <w:spacing w:before="0" w:after="0" w:line="360" w:lineRule="auto"/>
        <w:rPr>
          <w:rFonts w:hint="eastAsia" w:ascii="宋体" w:hAnsi="宋体" w:eastAsia="宋体" w:cs="宋体"/>
          <w:b/>
          <w:bCs w:val="0"/>
          <w:color w:val="auto"/>
          <w:sz w:val="24"/>
          <w:highlight w:val="none"/>
        </w:rPr>
      </w:pPr>
    </w:p>
    <w:p w14:paraId="19DD96BB">
      <w:pPr>
        <w:pStyle w:val="44"/>
        <w:keepNext w:val="0"/>
        <w:keepLines w:val="0"/>
        <w:pageBreakBefore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投标保证金缴纳凭证复印件</w:t>
      </w:r>
    </w:p>
    <w:p w14:paraId="69AE803F">
      <w:pPr>
        <w:pStyle w:val="44"/>
        <w:keepNext w:val="0"/>
        <w:keepLines w:val="0"/>
        <w:pageBreakBefore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highlight w:val="none"/>
        </w:rPr>
      </w:pPr>
      <w:bookmarkStart w:id="153" w:name="_Toc71631941"/>
      <w:r>
        <w:rPr>
          <w:rFonts w:hint="eastAsia" w:ascii="宋体" w:hAnsi="宋体" w:eastAsia="宋体" w:cs="宋体"/>
          <w:color w:val="auto"/>
          <w:sz w:val="24"/>
          <w:highlight w:val="none"/>
        </w:rPr>
        <w:t>说明：供应商可将本项目保证金支付的汇款凭证或保证金转账凭证或供应商须知前附表规定的任意形式的复印件作为缴纳凭证放在响应文件中，复印件上应加盖本单位公章。</w:t>
      </w:r>
    </w:p>
    <w:p w14:paraId="053400A0">
      <w:pPr>
        <w:pStyle w:val="44"/>
        <w:keepNext w:val="0"/>
        <w:keepLines w:val="0"/>
        <w:pageBreakBefore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其他资料</w:t>
      </w:r>
    </w:p>
    <w:p w14:paraId="3ED2EF70">
      <w:pPr>
        <w:rPr>
          <w:rFonts w:hint="eastAsia" w:ascii="宋体" w:hAnsi="宋体" w:eastAsia="宋体" w:cs="宋体"/>
          <w:b/>
          <w:color w:val="auto"/>
          <w:sz w:val="24"/>
          <w:highlight w:val="none"/>
        </w:rPr>
      </w:pPr>
    </w:p>
    <w:p w14:paraId="59239AE8">
      <w:pPr>
        <w:rPr>
          <w:rFonts w:hint="eastAsia" w:ascii="宋体" w:hAnsi="宋体" w:eastAsia="宋体" w:cs="宋体"/>
          <w:color w:val="auto"/>
          <w:highlight w:val="none"/>
          <w:lang w:val="en-US" w:eastAsia="zh-CN"/>
        </w:rPr>
      </w:pPr>
      <w:bookmarkStart w:id="154" w:name="_Toc2602"/>
      <w:bookmarkStart w:id="155" w:name="_Toc29840"/>
      <w:r>
        <w:rPr>
          <w:rFonts w:hint="eastAsia" w:ascii="宋体" w:hAnsi="宋体" w:eastAsia="宋体" w:cs="宋体"/>
          <w:color w:val="auto"/>
          <w:highlight w:val="none"/>
          <w:lang w:val="en-US" w:eastAsia="zh-CN"/>
        </w:rPr>
        <w:br w:type="page"/>
      </w:r>
    </w:p>
    <w:p w14:paraId="1A11D710">
      <w:pPr>
        <w:pStyle w:val="4"/>
        <w:bidi w:val="0"/>
        <w:rPr>
          <w:rFonts w:hint="eastAsia" w:ascii="宋体" w:hAnsi="宋体" w:eastAsia="宋体" w:cs="宋体"/>
          <w:color w:val="auto"/>
          <w:highlight w:val="none"/>
        </w:rPr>
      </w:pPr>
      <w:bookmarkStart w:id="156" w:name="_Toc1437"/>
      <w:bookmarkStart w:id="157" w:name="_Toc3970"/>
      <w:r>
        <w:rPr>
          <w:rFonts w:hint="eastAsia" w:cs="宋体"/>
          <w:color w:val="auto"/>
          <w:highlight w:val="none"/>
          <w:lang w:val="en-US" w:eastAsia="zh-CN"/>
        </w:rPr>
        <w:t>九</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技术文件</w:t>
      </w:r>
      <w:bookmarkEnd w:id="153"/>
      <w:bookmarkEnd w:id="154"/>
      <w:bookmarkEnd w:id="155"/>
      <w:bookmarkEnd w:id="156"/>
      <w:bookmarkEnd w:id="157"/>
    </w:p>
    <w:p w14:paraId="01C8F867">
      <w:pPr>
        <w:pStyle w:val="44"/>
        <w:adjustRightInd w:val="0"/>
        <w:snapToGrid w:val="0"/>
        <w:spacing w:before="0" w:after="0" w:line="360" w:lineRule="auto"/>
        <w:rPr>
          <w:rFonts w:hint="eastAsia" w:ascii="宋体" w:hAnsi="宋体" w:eastAsia="宋体" w:cs="宋体"/>
          <w:color w:val="auto"/>
          <w:sz w:val="24"/>
          <w:highlight w:val="none"/>
        </w:rPr>
      </w:pPr>
    </w:p>
    <w:p w14:paraId="15CCFBBE">
      <w:pPr>
        <w:pStyle w:val="44"/>
        <w:keepNext w:val="0"/>
        <w:keepLines w:val="0"/>
        <w:pageBreakBefore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投标人应根据招标文件第五章、第六章的规定自行编写，详细叙述拟提供产品/服务情况。</w:t>
      </w:r>
    </w:p>
    <w:p w14:paraId="2E0339F5">
      <w:pPr>
        <w:pStyle w:val="44"/>
        <w:keepNext w:val="0"/>
        <w:keepLines w:val="0"/>
        <w:pageBreakBefore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color w:val="auto"/>
          <w:sz w:val="24"/>
          <w:highlight w:val="none"/>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57FB0D-3097-42B6-802F-1B8DF839FD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EBF3341-622B-498F-B26D-C9CE6AD06683}"/>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65CFC022-F7EC-4840-9A70-66CEED4FCEB3}"/>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embedRegular r:id="rId4" w:fontKey="{8FA7B073-8CD2-418A-975A-0B53B51E2596}"/>
  </w:font>
  <w:font w:name="方正小标宋简体">
    <w:panose1 w:val="02010600010101010101"/>
    <w:charset w:val="86"/>
    <w:family w:val="auto"/>
    <w:pitch w:val="default"/>
    <w:sig w:usb0="00000001" w:usb1="080E0000" w:usb2="00000000" w:usb3="00000000" w:csb0="00040000" w:csb1="00000000"/>
    <w:embedRegular r:id="rId5" w:fontKey="{5CA7546C-1056-4DEF-B511-C8674EAF08B2}"/>
  </w:font>
  <w:font w:name="汉仪瑞意宋简">
    <w:altName w:val="宋体"/>
    <w:panose1 w:val="00000000000000000000"/>
    <w:charset w:val="00"/>
    <w:family w:val="auto"/>
    <w:pitch w:val="default"/>
    <w:sig w:usb0="00000000" w:usb1="00000000" w:usb2="00000000" w:usb3="00000000" w:csb0="00000000" w:csb1="00000000"/>
    <w:embedRegular r:id="rId6" w:fontKey="{92444BFC-BFC3-4389-8D87-0E0142FF823C}"/>
  </w:font>
  <w:font w:name="方正仿宋_GB2312">
    <w:panose1 w:val="02000000000000000000"/>
    <w:charset w:val="86"/>
    <w:family w:val="auto"/>
    <w:pitch w:val="default"/>
    <w:sig w:usb0="A00002BF" w:usb1="184F6CFA" w:usb2="00000012" w:usb3="00000000" w:csb0="00040001" w:csb1="00000000"/>
    <w:embedRegular r:id="rId7" w:fontKey="{325A3991-39DF-49F9-8416-50CF02B514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7A7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2F90">
    <w:pPr>
      <w:spacing w:line="173" w:lineRule="auto"/>
      <w:ind w:left="4850"/>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801FD">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8801FD">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03B1">
    <w:pPr>
      <w:pStyle w:val="19"/>
      <w:ind w:right="360"/>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8F477">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8F477">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02CE">
    <w:pPr>
      <w:pStyle w:val="20"/>
      <w:pBdr>
        <w:bottom w:val="threeDEngrave" w:color="auto" w:sz="18" w:space="1"/>
      </w:pBdr>
      <w:rPr>
        <w:rFonts w:hint="default" w:eastAsiaTheme="minorEastAsia"/>
        <w:lang w:val="en-US" w:eastAsia="zh-CN"/>
      </w:rPr>
    </w:pPr>
    <w:r>
      <w:rPr>
        <w:rFonts w:hint="eastAsia" w:ascii="宋体" w:hAnsi="宋体" w:eastAsia="宋体" w:cs="宋体"/>
        <w:sz w:val="21"/>
        <w:lang w:eastAsia="zh-CN"/>
      </w:rPr>
      <w:drawing>
        <wp:anchor distT="0" distB="0" distL="114300" distR="114300" simplePos="0" relativeHeight="251663360" behindDoc="0" locked="0" layoutInCell="1" allowOverlap="1">
          <wp:simplePos x="0" y="0"/>
          <wp:positionH relativeFrom="column">
            <wp:posOffset>27305</wp:posOffset>
          </wp:positionH>
          <wp:positionV relativeFrom="paragraph">
            <wp:posOffset>-140970</wp:posOffset>
          </wp:positionV>
          <wp:extent cx="339725" cy="344170"/>
          <wp:effectExtent l="0" t="0" r="3175" b="17780"/>
          <wp:wrapNone/>
          <wp:docPr id="5" name="图片 5"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图片1.png图片1"/>
                  <pic:cNvPicPr>
                    <a:picLocks noChangeAspect="1"/>
                  </pic:cNvPicPr>
                </pic:nvPicPr>
                <pic:blipFill>
                  <a:blip r:embed="rId1"/>
                  <a:srcRect l="24911" t="11437" r="25348" b="35924"/>
                  <a:stretch>
                    <a:fillRect/>
                  </a:stretch>
                </pic:blipFill>
                <pic:spPr>
                  <a:xfrm>
                    <a:off x="0" y="0"/>
                    <a:ext cx="339725" cy="34417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b/>
        <w:bCs/>
        <w:sz w:val="24"/>
        <w:lang w:val="en-US" w:eastAsia="zh-CN"/>
      </w:rPr>
      <w:t>新疆新建联项目管理咨询有限公司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C0F3">
    <w:pPr>
      <w:pStyle w:val="20"/>
      <w:pBdr>
        <w:bottom w:val="threeDEngrave" w:color="auto" w:sz="18" w:space="1"/>
      </w:pBdr>
      <w:rPr>
        <w:rFonts w:hint="default" w:eastAsiaTheme="minorEastAsia"/>
        <w:lang w:val="en-US" w:eastAsia="zh-CN"/>
      </w:rPr>
    </w:pPr>
    <w:r>
      <w:rPr>
        <w:rFonts w:hint="eastAsia" w:ascii="宋体" w:hAnsi="宋体" w:eastAsia="宋体" w:cs="宋体"/>
        <w:sz w:val="21"/>
        <w:lang w:eastAsia="zh-CN"/>
      </w:rPr>
      <w:drawing>
        <wp:anchor distT="0" distB="0" distL="114300" distR="114300" simplePos="0" relativeHeight="251667456" behindDoc="0" locked="0" layoutInCell="1" allowOverlap="1">
          <wp:simplePos x="0" y="0"/>
          <wp:positionH relativeFrom="column">
            <wp:posOffset>27305</wp:posOffset>
          </wp:positionH>
          <wp:positionV relativeFrom="paragraph">
            <wp:posOffset>-140970</wp:posOffset>
          </wp:positionV>
          <wp:extent cx="339725" cy="344170"/>
          <wp:effectExtent l="0" t="0" r="3175" b="17780"/>
          <wp:wrapNone/>
          <wp:docPr id="9" name="图片 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图片1.png图片1"/>
                  <pic:cNvPicPr>
                    <a:picLocks noChangeAspect="1"/>
                  </pic:cNvPicPr>
                </pic:nvPicPr>
                <pic:blipFill>
                  <a:blip r:embed="rId1"/>
                  <a:srcRect l="24911" t="11437" r="25348" b="35924"/>
                  <a:stretch>
                    <a:fillRect/>
                  </a:stretch>
                </pic:blipFill>
                <pic:spPr>
                  <a:xfrm>
                    <a:off x="0" y="0"/>
                    <a:ext cx="339725" cy="34417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b/>
        <w:bCs/>
        <w:sz w:val="24"/>
        <w:lang w:val="en-US" w:eastAsia="zh-CN"/>
      </w:rPr>
      <w:t>新疆新建联项目管理咨询有限公司</w:t>
    </w:r>
  </w:p>
  <w:p w14:paraId="52F33E33">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18B03"/>
    <w:multiLevelType w:val="singleLevel"/>
    <w:tmpl w:val="EB618B03"/>
    <w:lvl w:ilvl="0" w:tentative="0">
      <w:start w:val="4"/>
      <w:numFmt w:val="chineseCounting"/>
      <w:suff w:val="nothing"/>
      <w:lvlText w:val="%1、"/>
      <w:lvlJc w:val="left"/>
      <w:rPr>
        <w:rFonts w:hint="eastAsia"/>
      </w:rPr>
    </w:lvl>
  </w:abstractNum>
  <w:abstractNum w:abstractNumId="1">
    <w:nsid w:val="616C341D"/>
    <w:multiLevelType w:val="multilevel"/>
    <w:tmpl w:val="616C34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ViNzlhN2E4NDhhZTc0MzMxMzdmZDU4ZGZkNWQifQ=="/>
    <w:docVar w:name="KSO_WPS_MARK_KEY" w:val="4632f785-79f5-4bb7-bbcb-f484c6ac28fa"/>
  </w:docVars>
  <w:rsids>
    <w:rsidRoot w:val="00172A27"/>
    <w:rsid w:val="00046C7B"/>
    <w:rsid w:val="00053EF7"/>
    <w:rsid w:val="00080A16"/>
    <w:rsid w:val="000F1186"/>
    <w:rsid w:val="00142E29"/>
    <w:rsid w:val="0017072F"/>
    <w:rsid w:val="001B25B2"/>
    <w:rsid w:val="001C3C29"/>
    <w:rsid w:val="001D0A79"/>
    <w:rsid w:val="001E4A40"/>
    <w:rsid w:val="00216589"/>
    <w:rsid w:val="002630BB"/>
    <w:rsid w:val="002F2458"/>
    <w:rsid w:val="00315154"/>
    <w:rsid w:val="00315182"/>
    <w:rsid w:val="00323E87"/>
    <w:rsid w:val="003250E8"/>
    <w:rsid w:val="003542B4"/>
    <w:rsid w:val="00364E9D"/>
    <w:rsid w:val="00370A8F"/>
    <w:rsid w:val="00370DEC"/>
    <w:rsid w:val="003B643A"/>
    <w:rsid w:val="003C0736"/>
    <w:rsid w:val="003D24DA"/>
    <w:rsid w:val="00405289"/>
    <w:rsid w:val="0043144A"/>
    <w:rsid w:val="0043235A"/>
    <w:rsid w:val="00442127"/>
    <w:rsid w:val="0044648D"/>
    <w:rsid w:val="004C5244"/>
    <w:rsid w:val="004D1797"/>
    <w:rsid w:val="004D43F6"/>
    <w:rsid w:val="00510A28"/>
    <w:rsid w:val="00574E4C"/>
    <w:rsid w:val="0058716D"/>
    <w:rsid w:val="00592A74"/>
    <w:rsid w:val="005A55D1"/>
    <w:rsid w:val="005E5889"/>
    <w:rsid w:val="00676E6F"/>
    <w:rsid w:val="006A18F9"/>
    <w:rsid w:val="006B629D"/>
    <w:rsid w:val="006C506F"/>
    <w:rsid w:val="006E3428"/>
    <w:rsid w:val="006F00C1"/>
    <w:rsid w:val="007C31AE"/>
    <w:rsid w:val="007D135C"/>
    <w:rsid w:val="007D2E43"/>
    <w:rsid w:val="0081729F"/>
    <w:rsid w:val="008314A8"/>
    <w:rsid w:val="00874293"/>
    <w:rsid w:val="00896529"/>
    <w:rsid w:val="008B2F24"/>
    <w:rsid w:val="008F7289"/>
    <w:rsid w:val="0096087A"/>
    <w:rsid w:val="00961A79"/>
    <w:rsid w:val="00986F34"/>
    <w:rsid w:val="009A2B3B"/>
    <w:rsid w:val="009B0B4F"/>
    <w:rsid w:val="009D41E2"/>
    <w:rsid w:val="009D68A4"/>
    <w:rsid w:val="00A30356"/>
    <w:rsid w:val="00A750E9"/>
    <w:rsid w:val="00AC6FB8"/>
    <w:rsid w:val="00AE0781"/>
    <w:rsid w:val="00BB49A7"/>
    <w:rsid w:val="00BC5729"/>
    <w:rsid w:val="00C143C1"/>
    <w:rsid w:val="00C17AA1"/>
    <w:rsid w:val="00C7123D"/>
    <w:rsid w:val="00C84CB9"/>
    <w:rsid w:val="00D45B6C"/>
    <w:rsid w:val="00D61B78"/>
    <w:rsid w:val="00D73097"/>
    <w:rsid w:val="00DD7172"/>
    <w:rsid w:val="00DE05C8"/>
    <w:rsid w:val="00DE1FFA"/>
    <w:rsid w:val="00DF555D"/>
    <w:rsid w:val="00E074F4"/>
    <w:rsid w:val="00E11CFF"/>
    <w:rsid w:val="00E4592E"/>
    <w:rsid w:val="00E56040"/>
    <w:rsid w:val="00E6169F"/>
    <w:rsid w:val="00F129B9"/>
    <w:rsid w:val="00F26E4F"/>
    <w:rsid w:val="00F71F82"/>
    <w:rsid w:val="00FA5A28"/>
    <w:rsid w:val="00FB2AC9"/>
    <w:rsid w:val="00FD77DD"/>
    <w:rsid w:val="014365C7"/>
    <w:rsid w:val="01527EDF"/>
    <w:rsid w:val="015C2B0C"/>
    <w:rsid w:val="01651067"/>
    <w:rsid w:val="016A5229"/>
    <w:rsid w:val="01BB3CD7"/>
    <w:rsid w:val="01F85E37"/>
    <w:rsid w:val="02235B0E"/>
    <w:rsid w:val="02324720"/>
    <w:rsid w:val="027707EA"/>
    <w:rsid w:val="02A03A18"/>
    <w:rsid w:val="02C95F7F"/>
    <w:rsid w:val="02D54924"/>
    <w:rsid w:val="030F21E7"/>
    <w:rsid w:val="03324ACC"/>
    <w:rsid w:val="03B67574"/>
    <w:rsid w:val="0414147C"/>
    <w:rsid w:val="041A178B"/>
    <w:rsid w:val="0421078C"/>
    <w:rsid w:val="043B190D"/>
    <w:rsid w:val="045975B7"/>
    <w:rsid w:val="046C750A"/>
    <w:rsid w:val="04AB6E68"/>
    <w:rsid w:val="05015EA4"/>
    <w:rsid w:val="056075D1"/>
    <w:rsid w:val="058C1C12"/>
    <w:rsid w:val="05A66A19"/>
    <w:rsid w:val="05BC001D"/>
    <w:rsid w:val="05BC3B5B"/>
    <w:rsid w:val="06170092"/>
    <w:rsid w:val="06643A03"/>
    <w:rsid w:val="06841479"/>
    <w:rsid w:val="06844A3E"/>
    <w:rsid w:val="0696261C"/>
    <w:rsid w:val="069A2461"/>
    <w:rsid w:val="06CC579E"/>
    <w:rsid w:val="06CF0127"/>
    <w:rsid w:val="06DA69AD"/>
    <w:rsid w:val="07022220"/>
    <w:rsid w:val="070954E4"/>
    <w:rsid w:val="07885DFC"/>
    <w:rsid w:val="079140F5"/>
    <w:rsid w:val="082779D0"/>
    <w:rsid w:val="08295284"/>
    <w:rsid w:val="0869623A"/>
    <w:rsid w:val="0870581B"/>
    <w:rsid w:val="08F57ACE"/>
    <w:rsid w:val="09BC05EC"/>
    <w:rsid w:val="0A1A20EC"/>
    <w:rsid w:val="0A2D3298"/>
    <w:rsid w:val="0A7479CD"/>
    <w:rsid w:val="0AB30927"/>
    <w:rsid w:val="0ACE6829"/>
    <w:rsid w:val="0AD42546"/>
    <w:rsid w:val="0AE112B0"/>
    <w:rsid w:val="0AFD0EBC"/>
    <w:rsid w:val="0B6E3B68"/>
    <w:rsid w:val="0BE36B6C"/>
    <w:rsid w:val="0BF71B26"/>
    <w:rsid w:val="0C786DEC"/>
    <w:rsid w:val="0CDA3674"/>
    <w:rsid w:val="0CF26AFC"/>
    <w:rsid w:val="0CFA3905"/>
    <w:rsid w:val="0D0429D6"/>
    <w:rsid w:val="0D362375"/>
    <w:rsid w:val="0D882F0E"/>
    <w:rsid w:val="0DC25720"/>
    <w:rsid w:val="0DCD726B"/>
    <w:rsid w:val="0E1F16F4"/>
    <w:rsid w:val="0E407A3D"/>
    <w:rsid w:val="0E6C30DA"/>
    <w:rsid w:val="0E6F2475"/>
    <w:rsid w:val="0EA03FF7"/>
    <w:rsid w:val="0EC66FB3"/>
    <w:rsid w:val="0ED07756"/>
    <w:rsid w:val="0F4E7F38"/>
    <w:rsid w:val="1077526D"/>
    <w:rsid w:val="10B17627"/>
    <w:rsid w:val="10B672CE"/>
    <w:rsid w:val="10E06F18"/>
    <w:rsid w:val="10E13124"/>
    <w:rsid w:val="10E87663"/>
    <w:rsid w:val="110034B4"/>
    <w:rsid w:val="11B36778"/>
    <w:rsid w:val="11B97C34"/>
    <w:rsid w:val="12212400"/>
    <w:rsid w:val="125D09B5"/>
    <w:rsid w:val="12681C41"/>
    <w:rsid w:val="12877022"/>
    <w:rsid w:val="12884AE6"/>
    <w:rsid w:val="128F2D41"/>
    <w:rsid w:val="12B4703C"/>
    <w:rsid w:val="12CC1578"/>
    <w:rsid w:val="12E110C3"/>
    <w:rsid w:val="12FC4127"/>
    <w:rsid w:val="137572E1"/>
    <w:rsid w:val="13AE269A"/>
    <w:rsid w:val="13EE6C09"/>
    <w:rsid w:val="140137CB"/>
    <w:rsid w:val="14223741"/>
    <w:rsid w:val="143B16C5"/>
    <w:rsid w:val="148B4C8F"/>
    <w:rsid w:val="14B8631E"/>
    <w:rsid w:val="14DD6BBD"/>
    <w:rsid w:val="14E85A38"/>
    <w:rsid w:val="14F20AAB"/>
    <w:rsid w:val="15215471"/>
    <w:rsid w:val="153951E6"/>
    <w:rsid w:val="159B19FD"/>
    <w:rsid w:val="15B14CB7"/>
    <w:rsid w:val="15B70A36"/>
    <w:rsid w:val="165F627F"/>
    <w:rsid w:val="16C406A5"/>
    <w:rsid w:val="16F413C5"/>
    <w:rsid w:val="174B576F"/>
    <w:rsid w:val="176C75B3"/>
    <w:rsid w:val="179761F4"/>
    <w:rsid w:val="180B6491"/>
    <w:rsid w:val="18167223"/>
    <w:rsid w:val="181C698A"/>
    <w:rsid w:val="18653DB2"/>
    <w:rsid w:val="18E64881"/>
    <w:rsid w:val="19341EB2"/>
    <w:rsid w:val="1951749F"/>
    <w:rsid w:val="197C5623"/>
    <w:rsid w:val="19AE38FB"/>
    <w:rsid w:val="19B66E06"/>
    <w:rsid w:val="19CF2654"/>
    <w:rsid w:val="19D76FCF"/>
    <w:rsid w:val="1A02204B"/>
    <w:rsid w:val="1A642D06"/>
    <w:rsid w:val="1ACC4407"/>
    <w:rsid w:val="1AD45A45"/>
    <w:rsid w:val="1B0818E3"/>
    <w:rsid w:val="1B5A7642"/>
    <w:rsid w:val="1B7E7DF7"/>
    <w:rsid w:val="1BE22A05"/>
    <w:rsid w:val="1C0316E3"/>
    <w:rsid w:val="1C2D3860"/>
    <w:rsid w:val="1C3B5CE8"/>
    <w:rsid w:val="1C5132E5"/>
    <w:rsid w:val="1C6F00EA"/>
    <w:rsid w:val="1C752FA8"/>
    <w:rsid w:val="1C8E0AA4"/>
    <w:rsid w:val="1CA73324"/>
    <w:rsid w:val="1CBA6C0D"/>
    <w:rsid w:val="1D011830"/>
    <w:rsid w:val="1D127B54"/>
    <w:rsid w:val="1D201DBF"/>
    <w:rsid w:val="1D344C11"/>
    <w:rsid w:val="1D903E12"/>
    <w:rsid w:val="1D94533E"/>
    <w:rsid w:val="1DE25732"/>
    <w:rsid w:val="1E195BB5"/>
    <w:rsid w:val="1E6A5646"/>
    <w:rsid w:val="1E710329"/>
    <w:rsid w:val="1E7948A6"/>
    <w:rsid w:val="1E8269F2"/>
    <w:rsid w:val="1E9D0594"/>
    <w:rsid w:val="1EBD71B4"/>
    <w:rsid w:val="1EE61241"/>
    <w:rsid w:val="1EE9133A"/>
    <w:rsid w:val="1EF5299E"/>
    <w:rsid w:val="1F200027"/>
    <w:rsid w:val="1F274352"/>
    <w:rsid w:val="1F506E4E"/>
    <w:rsid w:val="1FD82B05"/>
    <w:rsid w:val="20E26DDB"/>
    <w:rsid w:val="20E51C8A"/>
    <w:rsid w:val="20FA7F20"/>
    <w:rsid w:val="211918C5"/>
    <w:rsid w:val="21303941"/>
    <w:rsid w:val="213E4C31"/>
    <w:rsid w:val="215C4736"/>
    <w:rsid w:val="215F7D83"/>
    <w:rsid w:val="216058A9"/>
    <w:rsid w:val="216435EB"/>
    <w:rsid w:val="21817CF9"/>
    <w:rsid w:val="21A165ED"/>
    <w:rsid w:val="21A47E8B"/>
    <w:rsid w:val="21B43569"/>
    <w:rsid w:val="21F11323"/>
    <w:rsid w:val="222D1C2F"/>
    <w:rsid w:val="226D5A34"/>
    <w:rsid w:val="237815D0"/>
    <w:rsid w:val="239C7C69"/>
    <w:rsid w:val="23D305B4"/>
    <w:rsid w:val="24242EA1"/>
    <w:rsid w:val="245C5C18"/>
    <w:rsid w:val="248024EA"/>
    <w:rsid w:val="254F7574"/>
    <w:rsid w:val="25535E50"/>
    <w:rsid w:val="25563F83"/>
    <w:rsid w:val="255B4E2A"/>
    <w:rsid w:val="257A2EB0"/>
    <w:rsid w:val="25A77260"/>
    <w:rsid w:val="26064C71"/>
    <w:rsid w:val="265C2AE3"/>
    <w:rsid w:val="267B565F"/>
    <w:rsid w:val="268B33C8"/>
    <w:rsid w:val="26E56F7C"/>
    <w:rsid w:val="272F0B08"/>
    <w:rsid w:val="27335F39"/>
    <w:rsid w:val="27445D0D"/>
    <w:rsid w:val="274F2647"/>
    <w:rsid w:val="27591F3E"/>
    <w:rsid w:val="275B2D9A"/>
    <w:rsid w:val="278A562D"/>
    <w:rsid w:val="27B8614C"/>
    <w:rsid w:val="27E04333"/>
    <w:rsid w:val="27E46022"/>
    <w:rsid w:val="28783270"/>
    <w:rsid w:val="28C66939"/>
    <w:rsid w:val="28EC1A62"/>
    <w:rsid w:val="28F81C02"/>
    <w:rsid w:val="29492A99"/>
    <w:rsid w:val="295834A8"/>
    <w:rsid w:val="29B13146"/>
    <w:rsid w:val="29C72C3A"/>
    <w:rsid w:val="29DC0284"/>
    <w:rsid w:val="29E51041"/>
    <w:rsid w:val="2A293624"/>
    <w:rsid w:val="2ABF56F1"/>
    <w:rsid w:val="2AFB1C4F"/>
    <w:rsid w:val="2B0B1533"/>
    <w:rsid w:val="2B1F0627"/>
    <w:rsid w:val="2B397896"/>
    <w:rsid w:val="2B534CAD"/>
    <w:rsid w:val="2B6A7A50"/>
    <w:rsid w:val="2BDD46C6"/>
    <w:rsid w:val="2BFC200A"/>
    <w:rsid w:val="2C436F6A"/>
    <w:rsid w:val="2CC6515A"/>
    <w:rsid w:val="2D483DC1"/>
    <w:rsid w:val="2D4B5F95"/>
    <w:rsid w:val="2D881AA2"/>
    <w:rsid w:val="2D8C1F00"/>
    <w:rsid w:val="2D940DB4"/>
    <w:rsid w:val="2D9B0395"/>
    <w:rsid w:val="2E2A4ED2"/>
    <w:rsid w:val="2E844292"/>
    <w:rsid w:val="2E913546"/>
    <w:rsid w:val="2EC05D69"/>
    <w:rsid w:val="2F087CAC"/>
    <w:rsid w:val="2FA43479"/>
    <w:rsid w:val="30085C5B"/>
    <w:rsid w:val="30087837"/>
    <w:rsid w:val="30E12562"/>
    <w:rsid w:val="30F960DF"/>
    <w:rsid w:val="3138467B"/>
    <w:rsid w:val="314F17F5"/>
    <w:rsid w:val="317D2F62"/>
    <w:rsid w:val="31C92E6F"/>
    <w:rsid w:val="32014FA4"/>
    <w:rsid w:val="32247464"/>
    <w:rsid w:val="322A7F39"/>
    <w:rsid w:val="322D5E7C"/>
    <w:rsid w:val="326A0CF8"/>
    <w:rsid w:val="328C7B8F"/>
    <w:rsid w:val="32D10452"/>
    <w:rsid w:val="3310632C"/>
    <w:rsid w:val="332359AB"/>
    <w:rsid w:val="336B0809"/>
    <w:rsid w:val="33C2508B"/>
    <w:rsid w:val="33E072E4"/>
    <w:rsid w:val="33EA0182"/>
    <w:rsid w:val="34186C1D"/>
    <w:rsid w:val="34814C96"/>
    <w:rsid w:val="349074EA"/>
    <w:rsid w:val="34A264AC"/>
    <w:rsid w:val="34DA79F4"/>
    <w:rsid w:val="35286238"/>
    <w:rsid w:val="353F7B58"/>
    <w:rsid w:val="354237EC"/>
    <w:rsid w:val="3568160C"/>
    <w:rsid w:val="357D03B6"/>
    <w:rsid w:val="35805AE3"/>
    <w:rsid w:val="35A92073"/>
    <w:rsid w:val="35DE7EB8"/>
    <w:rsid w:val="35DF103A"/>
    <w:rsid w:val="35E26818"/>
    <w:rsid w:val="36AA789A"/>
    <w:rsid w:val="36E94DEA"/>
    <w:rsid w:val="373C4573"/>
    <w:rsid w:val="377F0D27"/>
    <w:rsid w:val="3850506D"/>
    <w:rsid w:val="38604D31"/>
    <w:rsid w:val="38724B29"/>
    <w:rsid w:val="38755052"/>
    <w:rsid w:val="388D7011"/>
    <w:rsid w:val="389A0EEE"/>
    <w:rsid w:val="392D0594"/>
    <w:rsid w:val="392E030F"/>
    <w:rsid w:val="39454485"/>
    <w:rsid w:val="39700927"/>
    <w:rsid w:val="399D1A4F"/>
    <w:rsid w:val="39A42FB8"/>
    <w:rsid w:val="39AB5E03"/>
    <w:rsid w:val="3A52627F"/>
    <w:rsid w:val="3A557B1D"/>
    <w:rsid w:val="3A610A55"/>
    <w:rsid w:val="3A7243E3"/>
    <w:rsid w:val="3AE645DF"/>
    <w:rsid w:val="3B20637D"/>
    <w:rsid w:val="3B2B2B63"/>
    <w:rsid w:val="3B356BB3"/>
    <w:rsid w:val="3B504F1D"/>
    <w:rsid w:val="3B6E0E96"/>
    <w:rsid w:val="3C0D3FB0"/>
    <w:rsid w:val="3C2B58B3"/>
    <w:rsid w:val="3C5B70AB"/>
    <w:rsid w:val="3C686B79"/>
    <w:rsid w:val="3C7B7229"/>
    <w:rsid w:val="3C7C75E3"/>
    <w:rsid w:val="3C821FEF"/>
    <w:rsid w:val="3D556B2E"/>
    <w:rsid w:val="3D5C1507"/>
    <w:rsid w:val="3D844214"/>
    <w:rsid w:val="3DD84FD9"/>
    <w:rsid w:val="3DE60F5F"/>
    <w:rsid w:val="3E002363"/>
    <w:rsid w:val="3E682515"/>
    <w:rsid w:val="3E9165F7"/>
    <w:rsid w:val="3ECA0ADA"/>
    <w:rsid w:val="3EE541E6"/>
    <w:rsid w:val="3F4060D8"/>
    <w:rsid w:val="3F9F3F9D"/>
    <w:rsid w:val="3FE07E89"/>
    <w:rsid w:val="3FFF0C57"/>
    <w:rsid w:val="402048BC"/>
    <w:rsid w:val="404B5C4A"/>
    <w:rsid w:val="405D1F09"/>
    <w:rsid w:val="405F34A4"/>
    <w:rsid w:val="4080623B"/>
    <w:rsid w:val="409C1C53"/>
    <w:rsid w:val="40CD665F"/>
    <w:rsid w:val="40FB215A"/>
    <w:rsid w:val="41162AE7"/>
    <w:rsid w:val="4136606E"/>
    <w:rsid w:val="41410DFB"/>
    <w:rsid w:val="4153263F"/>
    <w:rsid w:val="417D1965"/>
    <w:rsid w:val="41A748ED"/>
    <w:rsid w:val="41B73F29"/>
    <w:rsid w:val="41EF5FB2"/>
    <w:rsid w:val="42004812"/>
    <w:rsid w:val="422419F9"/>
    <w:rsid w:val="422B5D33"/>
    <w:rsid w:val="42562684"/>
    <w:rsid w:val="428B0580"/>
    <w:rsid w:val="429338D8"/>
    <w:rsid w:val="42CB252D"/>
    <w:rsid w:val="430B346F"/>
    <w:rsid w:val="43102654"/>
    <w:rsid w:val="43140575"/>
    <w:rsid w:val="432702E2"/>
    <w:rsid w:val="433F136A"/>
    <w:rsid w:val="434D0770"/>
    <w:rsid w:val="43C27B28"/>
    <w:rsid w:val="43D733FF"/>
    <w:rsid w:val="43F10520"/>
    <w:rsid w:val="43FD17EC"/>
    <w:rsid w:val="440B2CAD"/>
    <w:rsid w:val="441C7584"/>
    <w:rsid w:val="44444DF0"/>
    <w:rsid w:val="44C46314"/>
    <w:rsid w:val="44C67236"/>
    <w:rsid w:val="463227AE"/>
    <w:rsid w:val="464F7B16"/>
    <w:rsid w:val="46D954C8"/>
    <w:rsid w:val="47056CB0"/>
    <w:rsid w:val="473A2575"/>
    <w:rsid w:val="47525860"/>
    <w:rsid w:val="479043D1"/>
    <w:rsid w:val="47A44BEB"/>
    <w:rsid w:val="480F2B72"/>
    <w:rsid w:val="48133ED6"/>
    <w:rsid w:val="483F35B5"/>
    <w:rsid w:val="48551DB5"/>
    <w:rsid w:val="488E13FF"/>
    <w:rsid w:val="48B3461A"/>
    <w:rsid w:val="48D4369F"/>
    <w:rsid w:val="49080B71"/>
    <w:rsid w:val="498126DD"/>
    <w:rsid w:val="49F20EE5"/>
    <w:rsid w:val="49FF71D1"/>
    <w:rsid w:val="4A3C6ED6"/>
    <w:rsid w:val="4A472874"/>
    <w:rsid w:val="4A58268E"/>
    <w:rsid w:val="4AB30993"/>
    <w:rsid w:val="4B28331F"/>
    <w:rsid w:val="4B673388"/>
    <w:rsid w:val="4BE40F37"/>
    <w:rsid w:val="4BFF3076"/>
    <w:rsid w:val="4C362A52"/>
    <w:rsid w:val="4C786019"/>
    <w:rsid w:val="4C964ED6"/>
    <w:rsid w:val="4CA02E7A"/>
    <w:rsid w:val="4CAF130F"/>
    <w:rsid w:val="4D1D096E"/>
    <w:rsid w:val="4D7434AA"/>
    <w:rsid w:val="4D944D11"/>
    <w:rsid w:val="4DAD3AA0"/>
    <w:rsid w:val="4DB27309"/>
    <w:rsid w:val="4DD31361"/>
    <w:rsid w:val="4DE417A9"/>
    <w:rsid w:val="4E3A10AC"/>
    <w:rsid w:val="4E8D6CA7"/>
    <w:rsid w:val="4EA50115"/>
    <w:rsid w:val="4EAA7FE0"/>
    <w:rsid w:val="4EB75218"/>
    <w:rsid w:val="4F425B45"/>
    <w:rsid w:val="4F55619D"/>
    <w:rsid w:val="4FC82E13"/>
    <w:rsid w:val="50537E22"/>
    <w:rsid w:val="50697817"/>
    <w:rsid w:val="507C1CFC"/>
    <w:rsid w:val="50A90AE6"/>
    <w:rsid w:val="50B25872"/>
    <w:rsid w:val="50D457E8"/>
    <w:rsid w:val="5102680A"/>
    <w:rsid w:val="510B6295"/>
    <w:rsid w:val="51143E36"/>
    <w:rsid w:val="513226D0"/>
    <w:rsid w:val="51403806"/>
    <w:rsid w:val="51417D1D"/>
    <w:rsid w:val="514D6256"/>
    <w:rsid w:val="51520E1F"/>
    <w:rsid w:val="517448D5"/>
    <w:rsid w:val="51AB4FAD"/>
    <w:rsid w:val="51FD52C0"/>
    <w:rsid w:val="5205386E"/>
    <w:rsid w:val="52166DB8"/>
    <w:rsid w:val="52397FF8"/>
    <w:rsid w:val="5242394B"/>
    <w:rsid w:val="52906034"/>
    <w:rsid w:val="52E361B6"/>
    <w:rsid w:val="53000DD6"/>
    <w:rsid w:val="532B103B"/>
    <w:rsid w:val="53513120"/>
    <w:rsid w:val="53950D32"/>
    <w:rsid w:val="53A70F92"/>
    <w:rsid w:val="53C438F2"/>
    <w:rsid w:val="53CD28D8"/>
    <w:rsid w:val="53E8544D"/>
    <w:rsid w:val="54477BC7"/>
    <w:rsid w:val="549D698C"/>
    <w:rsid w:val="549E2395"/>
    <w:rsid w:val="549F0576"/>
    <w:rsid w:val="5511073E"/>
    <w:rsid w:val="55110DB9"/>
    <w:rsid w:val="5513389F"/>
    <w:rsid w:val="55410805"/>
    <w:rsid w:val="55730F23"/>
    <w:rsid w:val="55821CB6"/>
    <w:rsid w:val="558E28BF"/>
    <w:rsid w:val="55C76D69"/>
    <w:rsid w:val="56023682"/>
    <w:rsid w:val="560A5808"/>
    <w:rsid w:val="562A1363"/>
    <w:rsid w:val="56A310EE"/>
    <w:rsid w:val="56CE6A6E"/>
    <w:rsid w:val="56D73191"/>
    <w:rsid w:val="56FB37B7"/>
    <w:rsid w:val="57012F6E"/>
    <w:rsid w:val="57316A2B"/>
    <w:rsid w:val="575032C7"/>
    <w:rsid w:val="575569D3"/>
    <w:rsid w:val="577E200A"/>
    <w:rsid w:val="579241B3"/>
    <w:rsid w:val="579700CC"/>
    <w:rsid w:val="579A0002"/>
    <w:rsid w:val="57AF48B9"/>
    <w:rsid w:val="57E52089"/>
    <w:rsid w:val="57F329F7"/>
    <w:rsid w:val="58563CA2"/>
    <w:rsid w:val="58F62BCB"/>
    <w:rsid w:val="58FD05B3"/>
    <w:rsid w:val="59300C5B"/>
    <w:rsid w:val="594B0611"/>
    <w:rsid w:val="599902CF"/>
    <w:rsid w:val="5A317807"/>
    <w:rsid w:val="5A6D4479"/>
    <w:rsid w:val="5A7B4C04"/>
    <w:rsid w:val="5AE81382"/>
    <w:rsid w:val="5BAC35E9"/>
    <w:rsid w:val="5BC16969"/>
    <w:rsid w:val="5BDB3ECE"/>
    <w:rsid w:val="5C041660"/>
    <w:rsid w:val="5C16418D"/>
    <w:rsid w:val="5C1E2CAD"/>
    <w:rsid w:val="5C4C0928"/>
    <w:rsid w:val="5C992240"/>
    <w:rsid w:val="5CA2396B"/>
    <w:rsid w:val="5CB41E0F"/>
    <w:rsid w:val="5CB564CD"/>
    <w:rsid w:val="5CDD77D2"/>
    <w:rsid w:val="5D027237"/>
    <w:rsid w:val="5D186A5C"/>
    <w:rsid w:val="5D284EF1"/>
    <w:rsid w:val="5D437D5D"/>
    <w:rsid w:val="5D9C7014"/>
    <w:rsid w:val="5E2C2C48"/>
    <w:rsid w:val="5E873E9A"/>
    <w:rsid w:val="5EB576A8"/>
    <w:rsid w:val="5EE62E68"/>
    <w:rsid w:val="5EEA0A81"/>
    <w:rsid w:val="5EEB6C6C"/>
    <w:rsid w:val="5F3D5605"/>
    <w:rsid w:val="5F793362"/>
    <w:rsid w:val="5FE570CA"/>
    <w:rsid w:val="5FE61094"/>
    <w:rsid w:val="5FE62E42"/>
    <w:rsid w:val="6008100A"/>
    <w:rsid w:val="600D75AD"/>
    <w:rsid w:val="602033CF"/>
    <w:rsid w:val="60C9446E"/>
    <w:rsid w:val="611B4D6D"/>
    <w:rsid w:val="615305F2"/>
    <w:rsid w:val="61AB60F1"/>
    <w:rsid w:val="61C45448"/>
    <w:rsid w:val="61D40107"/>
    <w:rsid w:val="61E35820"/>
    <w:rsid w:val="620D0B5A"/>
    <w:rsid w:val="623A0F6B"/>
    <w:rsid w:val="62745CBE"/>
    <w:rsid w:val="62782477"/>
    <w:rsid w:val="627B7DF9"/>
    <w:rsid w:val="62C90F25"/>
    <w:rsid w:val="633A776F"/>
    <w:rsid w:val="634803BC"/>
    <w:rsid w:val="636B4573"/>
    <w:rsid w:val="637A21B5"/>
    <w:rsid w:val="6380211C"/>
    <w:rsid w:val="638D4C6B"/>
    <w:rsid w:val="63BD210C"/>
    <w:rsid w:val="643077A3"/>
    <w:rsid w:val="64790344"/>
    <w:rsid w:val="64D95604"/>
    <w:rsid w:val="654F4FE5"/>
    <w:rsid w:val="657828A5"/>
    <w:rsid w:val="65920D9F"/>
    <w:rsid w:val="65A310C5"/>
    <w:rsid w:val="66842731"/>
    <w:rsid w:val="66940B21"/>
    <w:rsid w:val="6695160F"/>
    <w:rsid w:val="67012F20"/>
    <w:rsid w:val="671E73D5"/>
    <w:rsid w:val="674A49FE"/>
    <w:rsid w:val="67EA3F7F"/>
    <w:rsid w:val="67F9528D"/>
    <w:rsid w:val="68210EBB"/>
    <w:rsid w:val="683F428D"/>
    <w:rsid w:val="691D1B6E"/>
    <w:rsid w:val="692769A5"/>
    <w:rsid w:val="6965127B"/>
    <w:rsid w:val="69834A47"/>
    <w:rsid w:val="6A534528"/>
    <w:rsid w:val="6A6E23B2"/>
    <w:rsid w:val="6A7E0A7E"/>
    <w:rsid w:val="6A7F300D"/>
    <w:rsid w:val="6AB95599"/>
    <w:rsid w:val="6B147CB3"/>
    <w:rsid w:val="6B237874"/>
    <w:rsid w:val="6B24699A"/>
    <w:rsid w:val="6B4444FB"/>
    <w:rsid w:val="6BF1329A"/>
    <w:rsid w:val="6C0277BF"/>
    <w:rsid w:val="6C177A31"/>
    <w:rsid w:val="6C2A779B"/>
    <w:rsid w:val="6C6D3E4F"/>
    <w:rsid w:val="6C90660F"/>
    <w:rsid w:val="6C9D1FC9"/>
    <w:rsid w:val="6C9E63AA"/>
    <w:rsid w:val="6CAE2F39"/>
    <w:rsid w:val="6CAF118B"/>
    <w:rsid w:val="6CDF15D5"/>
    <w:rsid w:val="6D574AD4"/>
    <w:rsid w:val="6D723F67"/>
    <w:rsid w:val="6DA2274A"/>
    <w:rsid w:val="6DC2748E"/>
    <w:rsid w:val="6DE36C13"/>
    <w:rsid w:val="6E0A419F"/>
    <w:rsid w:val="6E557E91"/>
    <w:rsid w:val="6E5969B2"/>
    <w:rsid w:val="6E6C09B6"/>
    <w:rsid w:val="6EA0458C"/>
    <w:rsid w:val="6ECA5458"/>
    <w:rsid w:val="6EF02EBB"/>
    <w:rsid w:val="6F2F0361"/>
    <w:rsid w:val="6F4F27B2"/>
    <w:rsid w:val="6FAF455C"/>
    <w:rsid w:val="6FB24AEE"/>
    <w:rsid w:val="6FB64299"/>
    <w:rsid w:val="6FFE53A0"/>
    <w:rsid w:val="70363732"/>
    <w:rsid w:val="704240C4"/>
    <w:rsid w:val="705F30BC"/>
    <w:rsid w:val="705F4C76"/>
    <w:rsid w:val="70601E4B"/>
    <w:rsid w:val="7073427E"/>
    <w:rsid w:val="70983097"/>
    <w:rsid w:val="70A5645C"/>
    <w:rsid w:val="70AC3977"/>
    <w:rsid w:val="70FF19CC"/>
    <w:rsid w:val="716C756B"/>
    <w:rsid w:val="719007B2"/>
    <w:rsid w:val="71AA35C6"/>
    <w:rsid w:val="72391860"/>
    <w:rsid w:val="728E389A"/>
    <w:rsid w:val="72A829DA"/>
    <w:rsid w:val="72C572DC"/>
    <w:rsid w:val="72FC49FE"/>
    <w:rsid w:val="730415AD"/>
    <w:rsid w:val="730E3259"/>
    <w:rsid w:val="73147DEA"/>
    <w:rsid w:val="733D0B73"/>
    <w:rsid w:val="7398423F"/>
    <w:rsid w:val="73AA40DA"/>
    <w:rsid w:val="73EB05CF"/>
    <w:rsid w:val="73FB6A64"/>
    <w:rsid w:val="74123DAE"/>
    <w:rsid w:val="74440D2C"/>
    <w:rsid w:val="74587C5D"/>
    <w:rsid w:val="7479678C"/>
    <w:rsid w:val="7487654A"/>
    <w:rsid w:val="74A215DF"/>
    <w:rsid w:val="74F20AD2"/>
    <w:rsid w:val="75475CD9"/>
    <w:rsid w:val="75855809"/>
    <w:rsid w:val="75A16179"/>
    <w:rsid w:val="75B0387E"/>
    <w:rsid w:val="75BB5B5E"/>
    <w:rsid w:val="7656046D"/>
    <w:rsid w:val="765842C1"/>
    <w:rsid w:val="767F64D7"/>
    <w:rsid w:val="76A71125"/>
    <w:rsid w:val="76AF7FDA"/>
    <w:rsid w:val="76BB697E"/>
    <w:rsid w:val="76C76A61"/>
    <w:rsid w:val="76CF20C9"/>
    <w:rsid w:val="76E47DBE"/>
    <w:rsid w:val="76E9146B"/>
    <w:rsid w:val="770519A8"/>
    <w:rsid w:val="77170059"/>
    <w:rsid w:val="77187810"/>
    <w:rsid w:val="777055CC"/>
    <w:rsid w:val="77E01A81"/>
    <w:rsid w:val="77EB3293"/>
    <w:rsid w:val="78073DAC"/>
    <w:rsid w:val="789277AB"/>
    <w:rsid w:val="78CC6C21"/>
    <w:rsid w:val="792A3754"/>
    <w:rsid w:val="793E110C"/>
    <w:rsid w:val="79507852"/>
    <w:rsid w:val="796C4196"/>
    <w:rsid w:val="79AA6A9C"/>
    <w:rsid w:val="79BC3029"/>
    <w:rsid w:val="79D4584F"/>
    <w:rsid w:val="79DD6C0C"/>
    <w:rsid w:val="79E32474"/>
    <w:rsid w:val="7A120D2A"/>
    <w:rsid w:val="7A5F5873"/>
    <w:rsid w:val="7AC51B7A"/>
    <w:rsid w:val="7ADD3367"/>
    <w:rsid w:val="7ADE49EA"/>
    <w:rsid w:val="7AF34EC0"/>
    <w:rsid w:val="7AFB37ED"/>
    <w:rsid w:val="7B227C26"/>
    <w:rsid w:val="7B39457F"/>
    <w:rsid w:val="7B453444"/>
    <w:rsid w:val="7B6F5FC1"/>
    <w:rsid w:val="7BAE0860"/>
    <w:rsid w:val="7BBA6D49"/>
    <w:rsid w:val="7BE92680"/>
    <w:rsid w:val="7CE56503"/>
    <w:rsid w:val="7CEE75BA"/>
    <w:rsid w:val="7D0C548C"/>
    <w:rsid w:val="7D3A1093"/>
    <w:rsid w:val="7D4A26D8"/>
    <w:rsid w:val="7D913F95"/>
    <w:rsid w:val="7DAC0F88"/>
    <w:rsid w:val="7DD704ED"/>
    <w:rsid w:val="7DF32433"/>
    <w:rsid w:val="7E0264C8"/>
    <w:rsid w:val="7E1846B6"/>
    <w:rsid w:val="7E4D632F"/>
    <w:rsid w:val="7EA7295A"/>
    <w:rsid w:val="7F7B069C"/>
    <w:rsid w:val="7FBF8184"/>
    <w:rsid w:val="FFF3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360" w:lineRule="auto"/>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39"/>
    <w:qFormat/>
    <w:uiPriority w:val="0"/>
    <w:pPr>
      <w:keepNext/>
      <w:keepLines/>
      <w:spacing w:line="360" w:lineRule="auto"/>
      <w:jc w:val="center"/>
      <w:outlineLvl w:val="0"/>
    </w:pPr>
    <w:rPr>
      <w:rFonts w:ascii="宋体" w:hAnsi="宋体" w:eastAsia="宋体" w:cs="宋体"/>
      <w:b/>
      <w:bCs/>
      <w:kern w:val="44"/>
      <w:sz w:val="32"/>
      <w:szCs w:val="32"/>
    </w:rPr>
  </w:style>
  <w:style w:type="paragraph" w:styleId="4">
    <w:name w:val="heading 2"/>
    <w:basedOn w:val="1"/>
    <w:next w:val="1"/>
    <w:link w:val="38"/>
    <w:qFormat/>
    <w:uiPriority w:val="0"/>
    <w:pPr>
      <w:keepNext/>
      <w:keepLines/>
      <w:spacing w:line="360" w:lineRule="auto"/>
      <w:jc w:val="center"/>
      <w:outlineLvl w:val="1"/>
    </w:pPr>
    <w:rPr>
      <w:rFonts w:ascii="宋体" w:hAnsi="宋体" w:eastAsia="宋体" w:cs="宋体"/>
      <w:b/>
      <w:bCs/>
      <w:sz w:val="30"/>
      <w:szCs w:val="30"/>
    </w:rPr>
  </w:style>
  <w:style w:type="paragraph" w:styleId="5">
    <w:name w:val="heading 3"/>
    <w:basedOn w:val="1"/>
    <w:next w:val="1"/>
    <w:qFormat/>
    <w:uiPriority w:val="0"/>
    <w:pPr>
      <w:keepNext/>
      <w:keepLines/>
      <w:autoSpaceDE w:val="0"/>
      <w:autoSpaceDN w:val="0"/>
      <w:adjustRightInd w:val="0"/>
      <w:spacing w:line="360" w:lineRule="auto"/>
      <w:jc w:val="center"/>
      <w:outlineLvl w:val="2"/>
    </w:pPr>
    <w:rPr>
      <w:rFonts w:ascii="宋体" w:hAnsi="宋体" w:eastAsia="宋体" w:cs="宋体"/>
      <w:b/>
      <w:bCs/>
      <w:kern w:val="0"/>
      <w:sz w:val="28"/>
      <w:szCs w:val="28"/>
    </w:rPr>
  </w:style>
  <w:style w:type="paragraph" w:styleId="6">
    <w:name w:val="heading 4"/>
    <w:basedOn w:val="1"/>
    <w:next w:val="2"/>
    <w:unhideWhenUsed/>
    <w:qFormat/>
    <w:uiPriority w:val="9"/>
    <w:pPr>
      <w:spacing w:line="360" w:lineRule="auto"/>
      <w:ind w:left="0"/>
      <w:jc w:val="center"/>
      <w:outlineLvl w:val="3"/>
    </w:pPr>
    <w:rPr>
      <w:rFonts w:ascii="宋体" w:hAnsi="宋体" w:eastAsia="宋体" w:cs="宋体"/>
      <w:b/>
      <w:bCs/>
      <w:sz w:val="24"/>
    </w:rPr>
  </w:style>
  <w:style w:type="paragraph" w:styleId="7">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paragraph" w:styleId="9">
    <w:name w:val="heading 7"/>
    <w:basedOn w:val="1"/>
    <w:next w:val="1"/>
    <w:qFormat/>
    <w:uiPriority w:val="1"/>
    <w:pPr>
      <w:ind w:left="360"/>
      <w:outlineLvl w:val="6"/>
    </w:pPr>
    <w:rPr>
      <w:rFonts w:ascii="仿宋" w:hAnsi="仿宋" w:eastAsia="仿宋" w:cs="仿宋"/>
      <w:b/>
      <w:bCs/>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semiHidden/>
    <w:qFormat/>
    <w:uiPriority w:val="0"/>
    <w:pPr>
      <w:jc w:val="left"/>
    </w:pPr>
  </w:style>
  <w:style w:type="paragraph" w:styleId="12">
    <w:name w:val="Body Text"/>
    <w:basedOn w:val="1"/>
    <w:next w:val="13"/>
    <w:qFormat/>
    <w:uiPriority w:val="1"/>
    <w:rPr>
      <w:rFonts w:ascii="楷体" w:hAnsi="楷体" w:eastAsia="楷体" w:cs="楷体"/>
      <w:sz w:val="24"/>
      <w:lang w:val="zh-CN" w:bidi="zh-CN"/>
    </w:rPr>
  </w:style>
  <w:style w:type="paragraph" w:styleId="13">
    <w:name w:val="Body Text First Indent"/>
    <w:basedOn w:val="12"/>
    <w:qFormat/>
    <w:uiPriority w:val="0"/>
    <w:pPr>
      <w:spacing w:line="360" w:lineRule="auto"/>
      <w:ind w:firstLine="200" w:firstLineChars="200"/>
    </w:pPr>
    <w:rPr>
      <w:rFonts w:ascii="仿宋_GB2312" w:eastAsia="仿宋_GB2312"/>
      <w:sz w:val="30"/>
      <w:szCs w:val="30"/>
    </w:rPr>
  </w:style>
  <w:style w:type="paragraph" w:styleId="14">
    <w:name w:val="Body Text Indent"/>
    <w:basedOn w:val="1"/>
    <w:qFormat/>
    <w:uiPriority w:val="0"/>
    <w:pPr>
      <w:spacing w:after="120"/>
      <w:ind w:left="420" w:leftChars="200"/>
    </w:pPr>
  </w:style>
  <w:style w:type="paragraph" w:styleId="15">
    <w:name w:val="Block Text"/>
    <w:basedOn w:val="1"/>
    <w:unhideWhenUsed/>
    <w:qFormat/>
    <w:uiPriority w:val="99"/>
    <w:pPr>
      <w:spacing w:after="120"/>
      <w:ind w:left="1440" w:leftChars="700" w:right="1440" w:rightChars="700"/>
    </w:pPr>
  </w:style>
  <w:style w:type="paragraph" w:styleId="16">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17">
    <w:name w:val="Plain Text"/>
    <w:basedOn w:val="1"/>
    <w:qFormat/>
    <w:uiPriority w:val="0"/>
    <w:rPr>
      <w:rFonts w:ascii="宋体" w:hAnsi="Courier New"/>
      <w:szCs w:val="22"/>
    </w:rPr>
  </w:style>
  <w:style w:type="paragraph" w:styleId="18">
    <w:name w:val="Balloon Text"/>
    <w:basedOn w:val="1"/>
    <w:link w:val="72"/>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style>
  <w:style w:type="paragraph" w:styleId="22">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23">
    <w:name w:val="footnote text"/>
    <w:basedOn w:val="1"/>
    <w:qFormat/>
    <w:uiPriority w:val="99"/>
    <w:pPr>
      <w:snapToGrid w:val="0"/>
      <w:jc w:val="left"/>
    </w:pPr>
    <w:rPr>
      <w:rFonts w:ascii="Times New Roman" w:hAnsi="Times New Roman"/>
      <w:sz w:val="18"/>
    </w:rPr>
  </w:style>
  <w:style w:type="paragraph" w:styleId="24">
    <w:name w:val="toc 2"/>
    <w:basedOn w:val="1"/>
    <w:next w:val="1"/>
    <w:qFormat/>
    <w:uiPriority w:val="0"/>
    <w:pPr>
      <w:ind w:left="420" w:leftChars="200"/>
    </w:pPr>
  </w:style>
  <w:style w:type="paragraph" w:styleId="25">
    <w:name w:val="Body Text 2"/>
    <w:basedOn w:val="1"/>
    <w:qFormat/>
    <w:uiPriority w:val="0"/>
    <w:pPr>
      <w:widowControl/>
      <w:jc w:val="left"/>
    </w:pPr>
    <w:rPr>
      <w:rFonts w:ascii="Times New Roman" w:hAnsi="Times New Roman" w:eastAsia="宋体" w:cs="Times New Roman"/>
      <w:sz w:val="24"/>
      <w:szCs w:val="20"/>
    </w:rPr>
  </w:style>
  <w:style w:type="paragraph" w:styleId="26">
    <w:name w:val="HTML Preformatted"/>
    <w:basedOn w:val="1"/>
    <w:qFormat/>
    <w:uiPriority w:val="99"/>
    <w:pPr>
      <w:widowControl/>
      <w:jc w:val="left"/>
    </w:pPr>
    <w:rPr>
      <w:rFonts w:ascii="Courier New" w:hAnsi="Courier New" w:cs="宋体"/>
      <w:kern w:val="0"/>
      <w:sz w:val="20"/>
      <w:szCs w:val="20"/>
      <w:lang w:val="zh-CN"/>
    </w:rPr>
  </w:style>
  <w:style w:type="paragraph" w:styleId="27">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qFormat/>
    <w:uiPriority w:val="98"/>
    <w:pPr>
      <w:spacing w:before="240" w:after="60"/>
      <w:jc w:val="center"/>
      <w:outlineLvl w:val="0"/>
    </w:pPr>
    <w:rPr>
      <w:rFonts w:ascii="等线 Light" w:hAnsi="等线 Light"/>
      <w:b/>
      <w:bCs/>
      <w:sz w:val="32"/>
      <w:szCs w:val="32"/>
    </w:rPr>
  </w:style>
  <w:style w:type="paragraph" w:styleId="29">
    <w:name w:val="Body Text First Indent 2"/>
    <w:basedOn w:val="14"/>
    <w:next w:val="12"/>
    <w:qFormat/>
    <w:uiPriority w:val="0"/>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qFormat/>
    <w:uiPriority w:val="0"/>
    <w:rPr>
      <w:color w:val="0000FF"/>
      <w:u w:val="single"/>
    </w:rPr>
  </w:style>
  <w:style w:type="character" w:styleId="36">
    <w:name w:val="annotation reference"/>
    <w:basedOn w:val="32"/>
    <w:qFormat/>
    <w:uiPriority w:val="0"/>
    <w:rPr>
      <w:sz w:val="21"/>
      <w:szCs w:val="21"/>
    </w:rPr>
  </w:style>
  <w:style w:type="character" w:styleId="37">
    <w:name w:val="HTML Sample"/>
    <w:basedOn w:val="32"/>
    <w:unhideWhenUsed/>
    <w:qFormat/>
    <w:uiPriority w:val="99"/>
    <w:rPr>
      <w:rFonts w:ascii="Courier New" w:hAnsi="Courier New"/>
    </w:rPr>
  </w:style>
  <w:style w:type="character" w:customStyle="1" w:styleId="38">
    <w:name w:val="标题 2 Char"/>
    <w:link w:val="4"/>
    <w:qFormat/>
    <w:uiPriority w:val="0"/>
    <w:rPr>
      <w:rFonts w:ascii="宋体" w:hAnsi="宋体" w:eastAsia="宋体" w:cs="宋体"/>
      <w:b/>
      <w:bCs/>
      <w:sz w:val="30"/>
      <w:szCs w:val="30"/>
    </w:rPr>
  </w:style>
  <w:style w:type="character" w:customStyle="1" w:styleId="39">
    <w:name w:val="标题 1 Char"/>
    <w:link w:val="3"/>
    <w:qFormat/>
    <w:uiPriority w:val="0"/>
    <w:rPr>
      <w:rFonts w:ascii="宋体" w:hAnsi="宋体" w:eastAsia="宋体" w:cs="宋体"/>
      <w:b/>
      <w:bCs/>
      <w:kern w:val="44"/>
      <w:sz w:val="32"/>
      <w:szCs w:val="32"/>
    </w:rPr>
  </w:style>
  <w:style w:type="paragraph" w:customStyle="1" w:styleId="40">
    <w:name w:val="Default"/>
    <w:basedOn w:val="28"/>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Char Char Char Char"/>
    <w:basedOn w:val="42"/>
    <w:qFormat/>
    <w:uiPriority w:val="0"/>
    <w:rPr>
      <w:szCs w:val="20"/>
    </w:rPr>
  </w:style>
  <w:style w:type="paragraph" w:customStyle="1" w:styleId="42">
    <w:name w:val="Normal_0"/>
    <w:next w:val="4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样式 正文 + 首行缩进:  2 字符"/>
    <w:basedOn w:val="1"/>
    <w:qFormat/>
    <w:uiPriority w:val="0"/>
    <w:pPr>
      <w:keepNext/>
      <w:keepLines/>
      <w:ind w:firstLine="880"/>
    </w:pPr>
    <w:rPr>
      <w:rFonts w:ascii="宋体" w:hAnsi="宋体" w:eastAsia="仿宋" w:cs="宋体"/>
      <w:kern w:val="0"/>
    </w:rPr>
  </w:style>
  <w:style w:type="paragraph" w:customStyle="1" w:styleId="44">
    <w:name w:val="表格文字2"/>
    <w:basedOn w:val="45"/>
    <w:qFormat/>
    <w:uiPriority w:val="99"/>
    <w:pPr>
      <w:spacing w:before="25" w:after="25"/>
      <w:jc w:val="left"/>
    </w:pPr>
    <w:rPr>
      <w:bCs/>
      <w:spacing w:val="10"/>
      <w:kern w:val="0"/>
    </w:rPr>
  </w:style>
  <w:style w:type="paragraph" w:customStyle="1" w:styleId="4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列出段落1"/>
    <w:basedOn w:val="1"/>
    <w:qFormat/>
    <w:uiPriority w:val="34"/>
    <w:pPr>
      <w:ind w:firstLine="420" w:firstLineChars="200"/>
    </w:pPr>
  </w:style>
  <w:style w:type="paragraph" w:customStyle="1" w:styleId="47">
    <w:name w:val="正文_3_0"/>
    <w:basedOn w:val="48"/>
    <w:next w:val="56"/>
    <w:qFormat/>
    <w:uiPriority w:val="0"/>
    <w:rPr>
      <w:rFonts w:ascii="Calibri" w:hAnsi="Calibri" w:cs="Calibri"/>
      <w:szCs w:val="21"/>
    </w:rPr>
  </w:style>
  <w:style w:type="paragraph" w:customStyle="1" w:styleId="48">
    <w:name w:val="正文_2"/>
    <w:basedOn w:val="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3"/>
    <w:basedOn w:val="50"/>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4"/>
    <w:basedOn w:val="51"/>
    <w:next w:val="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5"/>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首行缩进_1"/>
    <w:basedOn w:val="53"/>
    <w:qFormat/>
    <w:uiPriority w:val="0"/>
    <w:pPr>
      <w:ind w:firstLine="420" w:firstLineChars="100"/>
    </w:pPr>
    <w:rPr>
      <w:rFonts w:ascii="宋体"/>
    </w:rPr>
  </w:style>
  <w:style w:type="paragraph" w:customStyle="1" w:styleId="53">
    <w:name w:val="正文文本_2"/>
    <w:basedOn w:val="54"/>
    <w:qFormat/>
    <w:uiPriority w:val="0"/>
    <w:pPr>
      <w:spacing w:after="120"/>
    </w:pPr>
  </w:style>
  <w:style w:type="paragraph" w:customStyle="1" w:styleId="54">
    <w:name w:val="正文_7_1"/>
    <w:next w:val="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首行缩进"/>
    <w:basedOn w:val="1"/>
    <w:qFormat/>
    <w:uiPriority w:val="0"/>
    <w:pPr>
      <w:ind w:firstLine="480" w:firstLineChars="200"/>
    </w:pPr>
    <w:rPr>
      <w:lang w:val="zh-CN"/>
    </w:rPr>
  </w:style>
  <w:style w:type="paragraph" w:customStyle="1" w:styleId="56">
    <w:name w:val="页脚_2"/>
    <w:basedOn w:val="50"/>
    <w:unhideWhenUsed/>
    <w:qFormat/>
    <w:uiPriority w:val="0"/>
    <w:pPr>
      <w:tabs>
        <w:tab w:val="center" w:pos="4153"/>
        <w:tab w:val="right" w:pos="8306"/>
      </w:tabs>
      <w:snapToGrid w:val="0"/>
      <w:jc w:val="left"/>
    </w:pPr>
    <w:rPr>
      <w:sz w:val="18"/>
      <w:szCs w:val="18"/>
    </w:rPr>
  </w:style>
  <w:style w:type="paragraph" w:customStyle="1" w:styleId="57">
    <w:name w:val="页脚_0"/>
    <w:basedOn w:val="48"/>
    <w:unhideWhenUsed/>
    <w:qFormat/>
    <w:uiPriority w:val="99"/>
    <w:pPr>
      <w:tabs>
        <w:tab w:val="center" w:pos="4153"/>
        <w:tab w:val="right" w:pos="8306"/>
      </w:tabs>
      <w:snapToGrid w:val="0"/>
      <w:jc w:val="left"/>
    </w:pPr>
    <w:rPr>
      <w:rFonts w:ascii="Calibri" w:hAnsi="Calibri"/>
      <w:sz w:val="18"/>
      <w:szCs w:val="18"/>
    </w:rPr>
  </w:style>
  <w:style w:type="paragraph" w:customStyle="1" w:styleId="58">
    <w:name w:val="正文_0"/>
    <w:basedOn w:val="59"/>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
    <w:basedOn w:val="48"/>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列表_0"/>
    <w:basedOn w:val="59"/>
    <w:semiHidden/>
    <w:qFormat/>
    <w:locked/>
    <w:uiPriority w:val="0"/>
    <w:pPr>
      <w:ind w:left="200" w:hanging="200" w:hangingChars="200"/>
    </w:pPr>
  </w:style>
  <w:style w:type="paragraph" w:customStyle="1" w:styleId="61">
    <w:name w:val="正文_0_1"/>
    <w:basedOn w:val="59"/>
    <w:next w:val="59"/>
    <w:qFormat/>
    <w:uiPriority w:val="0"/>
    <w:rPr>
      <w:szCs w:val="21"/>
    </w:rPr>
  </w:style>
  <w:style w:type="paragraph" w:customStyle="1" w:styleId="62">
    <w:name w:val="Table Paragraph"/>
    <w:basedOn w:val="1"/>
    <w:qFormat/>
    <w:uiPriority w:val="1"/>
    <w:rPr>
      <w:rFonts w:ascii="楷体" w:hAnsi="楷体" w:eastAsia="楷体" w:cs="楷体"/>
      <w:lang w:val="zh-CN" w:bidi="zh-CN"/>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正文_1_0_0"/>
    <w:next w:val="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页脚_1_0"/>
    <w:basedOn w:val="66"/>
    <w:qFormat/>
    <w:uiPriority w:val="0"/>
    <w:pPr>
      <w:tabs>
        <w:tab w:val="center" w:pos="4153"/>
        <w:tab w:val="right" w:pos="8306"/>
      </w:tabs>
      <w:snapToGrid w:val="0"/>
      <w:jc w:val="left"/>
    </w:pPr>
    <w:rPr>
      <w:rFonts w:ascii="Calibri" w:hAnsi="Calibri"/>
      <w:sz w:val="18"/>
      <w:szCs w:val="18"/>
    </w:rPr>
  </w:style>
  <w:style w:type="paragraph" w:customStyle="1" w:styleId="68">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styleId="69">
    <w:name w:val="List Paragraph"/>
    <w:basedOn w:val="1"/>
    <w:qFormat/>
    <w:uiPriority w:val="34"/>
    <w:pPr>
      <w:ind w:firstLine="420" w:firstLineChars="200"/>
    </w:pPr>
  </w:style>
  <w:style w:type="paragraph" w:customStyle="1" w:styleId="7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列表段落1"/>
    <w:basedOn w:val="1"/>
    <w:qFormat/>
    <w:uiPriority w:val="34"/>
    <w:pPr>
      <w:ind w:firstLine="420" w:firstLineChars="200"/>
    </w:pPr>
    <w:rPr>
      <w:rFonts w:ascii="Times New Roman" w:hAnsi="Times New Roman" w:eastAsia="宋体" w:cs="Times New Roman"/>
      <w:szCs w:val="22"/>
    </w:rPr>
  </w:style>
  <w:style w:type="character" w:customStyle="1" w:styleId="72">
    <w:name w:val="批注框文本 字符"/>
    <w:basedOn w:val="32"/>
    <w:link w:val="18"/>
    <w:qFormat/>
    <w:uiPriority w:val="0"/>
    <w:rPr>
      <w:rFonts w:asciiTheme="minorHAnsi" w:hAnsiTheme="minorHAnsi" w:eastAsiaTheme="minorEastAsia" w:cstheme="minorBidi"/>
      <w:kern w:val="2"/>
      <w:sz w:val="18"/>
      <w:szCs w:val="18"/>
    </w:rPr>
  </w:style>
  <w:style w:type="character" w:customStyle="1" w:styleId="73">
    <w:name w:val="样式 仿宋"/>
    <w:qFormat/>
    <w:uiPriority w:val="0"/>
    <w:rPr>
      <w:rFonts w:ascii="仿宋" w:hAnsi="仿宋" w:eastAsia="仿宋"/>
      <w:kern w:val="1"/>
    </w:rPr>
  </w:style>
  <w:style w:type="paragraph" w:customStyle="1" w:styleId="74">
    <w:name w:val="正文首行缩进1"/>
    <w:basedOn w:val="12"/>
    <w:qFormat/>
    <w:uiPriority w:val="0"/>
    <w:pPr>
      <w:ind w:firstLine="420" w:firstLineChars="100"/>
    </w:pPr>
    <w:rPr>
      <w:rFonts w:ascii="Times New Roman" w:hAnsi="Times New Roman"/>
    </w:rPr>
  </w:style>
  <w:style w:type="paragraph" w:customStyle="1" w:styleId="7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76">
    <w:name w:val="List Paragraph1"/>
    <w:basedOn w:val="1"/>
    <w:qFormat/>
    <w:uiPriority w:val="99"/>
    <w:pPr>
      <w:ind w:firstLine="420" w:firstLineChars="200"/>
    </w:pPr>
  </w:style>
  <w:style w:type="paragraph" w:customStyle="1" w:styleId="77">
    <w:name w:val="Table Text"/>
    <w:basedOn w:val="1"/>
    <w:semiHidden/>
    <w:qFormat/>
    <w:uiPriority w:val="0"/>
    <w:rPr>
      <w:rFonts w:ascii="宋体" w:hAnsi="宋体" w:eastAsia="宋体" w:cs="宋体"/>
      <w:sz w:val="24"/>
      <w:szCs w:val="24"/>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正文_2_0"/>
    <w:basedOn w:val="80"/>
    <w:next w:val="85"/>
    <w:qFormat/>
    <w:uiPriority w:val="0"/>
    <w:rPr>
      <w:rFonts w:cs="Times New Roman"/>
    </w:rPr>
  </w:style>
  <w:style w:type="paragraph" w:customStyle="1" w:styleId="80">
    <w:name w:val="正文_3_0_0"/>
    <w:basedOn w:val="81"/>
    <w:next w:val="82"/>
    <w:qFormat/>
    <w:uiPriority w:val="0"/>
    <w:rPr>
      <w:rFonts w:cs="Calibri"/>
      <w:szCs w:val="21"/>
    </w:rPr>
  </w:style>
  <w:style w:type="paragraph" w:customStyle="1" w:styleId="81">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文本_1_0_0"/>
    <w:basedOn w:val="83"/>
    <w:unhideWhenUsed/>
    <w:qFormat/>
    <w:uiPriority w:val="0"/>
    <w:pPr>
      <w:spacing w:after="120"/>
    </w:pPr>
    <w:rPr>
      <w:rFonts w:ascii="Times New Roman" w:hAnsi="Times New Roman" w:eastAsia="宋体"/>
      <w:szCs w:val="20"/>
    </w:rPr>
  </w:style>
  <w:style w:type="paragraph" w:customStyle="1" w:styleId="83">
    <w:name w:val="正文_2_0_0_0_0"/>
    <w:basedOn w:val="84"/>
    <w:next w:val="82"/>
    <w:qFormat/>
    <w:uiPriority w:val="0"/>
    <w:rPr>
      <w:rFonts w:ascii="等线" w:hAnsi="等线" w:eastAsia="等线"/>
    </w:rPr>
  </w:style>
  <w:style w:type="paragraph" w:customStyle="1" w:styleId="84">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文本_2_0"/>
    <w:basedOn w:val="86"/>
    <w:qFormat/>
    <w:uiPriority w:val="0"/>
    <w:pPr>
      <w:spacing w:after="120"/>
    </w:pPr>
    <w:rPr>
      <w:rFonts w:ascii="Times New Roman" w:hAnsi="Times New Roman"/>
      <w:szCs w:val="24"/>
    </w:rPr>
  </w:style>
  <w:style w:type="paragraph" w:customStyle="1" w:styleId="8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Normal_3"/>
    <w:qFormat/>
    <w:uiPriority w:val="0"/>
    <w:rPr>
      <w:rFonts w:ascii="黑体" w:hAnsi="黑体" w:eastAsia="黑体" w:cs="Times New Roman"/>
      <w:b/>
      <w:sz w:val="32"/>
      <w:szCs w:val="24"/>
      <w:lang w:val="en-US" w:eastAsia="zh-CN" w:bidi="ar-SA"/>
    </w:rPr>
  </w:style>
  <w:style w:type="paragraph" w:customStyle="1" w:styleId="88">
    <w:name w:val="Normal_2"/>
    <w:qFormat/>
    <w:uiPriority w:val="0"/>
    <w:rPr>
      <w:rFonts w:ascii="黑体" w:hAnsi="黑体" w:eastAsia="黑体" w:cs="Times New Roman"/>
      <w:b/>
      <w:sz w:val="32"/>
      <w:szCs w:val="24"/>
      <w:lang w:val="en-US" w:eastAsia="zh-CN" w:bidi="ar-SA"/>
    </w:rPr>
  </w:style>
  <w:style w:type="paragraph" w:customStyle="1" w:styleId="89">
    <w:name w:val="正文2"/>
    <w:basedOn w:val="58"/>
    <w:next w:val="90"/>
    <w:qFormat/>
    <w:uiPriority w:val="0"/>
  </w:style>
  <w:style w:type="paragraph" w:customStyle="1" w:styleId="90">
    <w:name w:val="正文文本2"/>
    <w:basedOn w:val="89"/>
    <w:qFormat/>
    <w:uiPriority w:val="0"/>
    <w:pPr>
      <w:spacing w:after="120"/>
    </w:pPr>
  </w:style>
  <w:style w:type="paragraph" w:customStyle="1" w:styleId="91">
    <w:name w:val="Normal_12"/>
    <w:qFormat/>
    <w:uiPriority w:val="0"/>
    <w:rPr>
      <w:rFonts w:ascii="黑体" w:hAnsi="黑体" w:eastAsia="黑体" w:cs="Times New Roman"/>
      <w:b/>
      <w:sz w:val="32"/>
      <w:szCs w:val="24"/>
      <w:lang w:val="en-US" w:eastAsia="zh-CN" w:bidi="ar-SA"/>
    </w:rPr>
  </w:style>
  <w:style w:type="paragraph" w:customStyle="1" w:styleId="92">
    <w:name w:val="正文_6_0_0"/>
    <w:basedOn w:val="93"/>
    <w:qFormat/>
    <w:uiPriority w:val="0"/>
    <w:rPr>
      <w:rFonts w:cs="Calibri"/>
      <w:szCs w:val="21"/>
    </w:rPr>
  </w:style>
  <w:style w:type="paragraph" w:customStyle="1" w:styleId="93">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4_1_0"/>
    <w:basedOn w:val="95"/>
    <w:next w:val="96"/>
    <w:qFormat/>
    <w:uiPriority w:val="0"/>
    <w:rPr>
      <w:rFonts w:ascii="Times New Roman" w:hAnsi="Times New Roman"/>
      <w:szCs w:val="24"/>
    </w:rPr>
  </w:style>
  <w:style w:type="paragraph" w:customStyle="1" w:styleId="95">
    <w:name w:val="正文_4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引文目录标题_3_1_0"/>
    <w:basedOn w:val="94"/>
    <w:next w:val="94"/>
    <w:qFormat/>
    <w:uiPriority w:val="0"/>
    <w:pPr>
      <w:spacing w:before="120"/>
    </w:pPr>
    <w:rPr>
      <w:rFonts w:ascii="Cambria" w:hAnsi="Cambria"/>
      <w:sz w:val="24"/>
    </w:rPr>
  </w:style>
  <w:style w:type="character" w:customStyle="1" w:styleId="97">
    <w:name w:val="font31"/>
    <w:basedOn w:val="32"/>
    <w:qFormat/>
    <w:uiPriority w:val="0"/>
    <w:rPr>
      <w:rFonts w:hint="eastAsia" w:ascii="宋体" w:hAnsi="宋体" w:eastAsia="宋体" w:cs="宋体"/>
      <w:color w:val="000000"/>
      <w:sz w:val="18"/>
      <w:szCs w:val="18"/>
      <w:u w:val="none"/>
    </w:rPr>
  </w:style>
  <w:style w:type="character" w:customStyle="1" w:styleId="98">
    <w:name w:val="font71"/>
    <w:basedOn w:val="32"/>
    <w:qFormat/>
    <w:uiPriority w:val="0"/>
    <w:rPr>
      <w:rFonts w:hint="eastAsia" w:ascii="宋体" w:hAnsi="宋体" w:eastAsia="宋体" w:cs="宋体"/>
      <w:color w:val="FF0000"/>
      <w:sz w:val="18"/>
      <w:szCs w:val="18"/>
      <w:u w:val="none"/>
    </w:rPr>
  </w:style>
  <w:style w:type="character" w:customStyle="1" w:styleId="99">
    <w:name w:val="font01"/>
    <w:basedOn w:val="32"/>
    <w:qFormat/>
    <w:uiPriority w:val="0"/>
    <w:rPr>
      <w:rFonts w:hint="eastAsia" w:ascii="宋体" w:hAnsi="宋体" w:eastAsia="宋体" w:cs="宋体"/>
      <w:color w:val="000000"/>
      <w:sz w:val="22"/>
      <w:szCs w:val="22"/>
      <w:u w:val="none"/>
    </w:rPr>
  </w:style>
  <w:style w:type="character" w:customStyle="1" w:styleId="100">
    <w:name w:val="font51"/>
    <w:basedOn w:val="32"/>
    <w:qFormat/>
    <w:uiPriority w:val="0"/>
    <w:rPr>
      <w:rFonts w:hint="eastAsia" w:ascii="宋体" w:hAnsi="宋体" w:eastAsia="宋体" w:cs="宋体"/>
      <w:color w:val="FF0000"/>
      <w:sz w:val="18"/>
      <w:szCs w:val="18"/>
      <w:u w:val="none"/>
    </w:rPr>
  </w:style>
  <w:style w:type="character" w:customStyle="1" w:styleId="101">
    <w:name w:val="font41"/>
    <w:basedOn w:val="32"/>
    <w:qFormat/>
    <w:uiPriority w:val="0"/>
    <w:rPr>
      <w:rFonts w:hint="eastAsia" w:ascii="宋体" w:hAnsi="宋体" w:eastAsia="宋体" w:cs="宋体"/>
      <w:color w:val="000000"/>
      <w:sz w:val="20"/>
      <w:szCs w:val="20"/>
      <w:u w:val="none"/>
    </w:rPr>
  </w:style>
  <w:style w:type="character" w:customStyle="1" w:styleId="102">
    <w:name w:val="NormalCharacter"/>
    <w:qFormat/>
    <w:uiPriority w:val="0"/>
    <w:rPr>
      <w:rFonts w:ascii="宋体" w:hAnsi="宋体" w:eastAsia="宋体" w:cs="宋体"/>
      <w:kern w:val="2"/>
      <w:sz w:val="28"/>
      <w:szCs w:val="28"/>
      <w:lang w:val="en-US" w:eastAsia="zh-CN" w:bidi="ar-SA"/>
    </w:rPr>
  </w:style>
  <w:style w:type="paragraph" w:customStyle="1" w:styleId="103">
    <w:name w:val="LO-Normal"/>
    <w:qFormat/>
    <w:uiPriority w:val="0"/>
    <w:pPr>
      <w:suppressAutoHyphens/>
    </w:pPr>
    <w:rPr>
      <w:rFonts w:ascii="Times New Roman" w:hAnsi="Times New Roman" w:eastAsia="宋体" w:cs="Times New Roman"/>
      <w:sz w:val="24"/>
      <w:szCs w:val="24"/>
      <w:lang w:val="en-US" w:eastAsia="zh-CN" w:bidi="ar-SA"/>
    </w:rPr>
  </w:style>
  <w:style w:type="paragraph" w:styleId="10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5">
    <w:name w:val="font141"/>
    <w:basedOn w:val="32"/>
    <w:qFormat/>
    <w:uiPriority w:val="0"/>
    <w:rPr>
      <w:rFonts w:ascii="仿宋" w:hAnsi="仿宋" w:eastAsia="仿宋" w:cs="仿宋"/>
      <w:color w:val="000000"/>
      <w:sz w:val="30"/>
      <w:szCs w:val="30"/>
      <w:u w:val="none"/>
    </w:rPr>
  </w:style>
  <w:style w:type="character" w:customStyle="1" w:styleId="106">
    <w:name w:val="font91"/>
    <w:basedOn w:val="32"/>
    <w:qFormat/>
    <w:uiPriority w:val="0"/>
    <w:rPr>
      <w:rFonts w:ascii="宋体" w:hAnsi="宋体" w:eastAsia="宋体" w:cs="宋体"/>
      <w:color w:val="000000"/>
      <w:sz w:val="24"/>
      <w:szCs w:val="24"/>
      <w:u w:val="none"/>
    </w:rPr>
  </w:style>
  <w:style w:type="character" w:customStyle="1" w:styleId="107">
    <w:name w:val="font101"/>
    <w:basedOn w:val="32"/>
    <w:qFormat/>
    <w:uiPriority w:val="0"/>
    <w:rPr>
      <w:rFonts w:ascii="宋体" w:hAnsi="宋体" w:eastAsia="宋体" w:cs="宋体"/>
      <w:color w:val="403040"/>
      <w:sz w:val="24"/>
      <w:szCs w:val="24"/>
      <w:u w:val="none"/>
    </w:rPr>
  </w:style>
  <w:style w:type="character" w:customStyle="1" w:styleId="108">
    <w:name w:val="font112"/>
    <w:basedOn w:val="32"/>
    <w:qFormat/>
    <w:uiPriority w:val="0"/>
    <w:rPr>
      <w:rFonts w:ascii="宋体" w:hAnsi="宋体" w:eastAsia="宋体" w:cs="宋体"/>
      <w:color w:val="000000"/>
      <w:sz w:val="24"/>
      <w:szCs w:val="24"/>
      <w:u w:val="none"/>
    </w:rPr>
  </w:style>
  <w:style w:type="character" w:customStyle="1" w:styleId="109">
    <w:name w:val="font81"/>
    <w:basedOn w:val="32"/>
    <w:qFormat/>
    <w:uiPriority w:val="0"/>
    <w:rPr>
      <w:rFonts w:hint="eastAsia" w:ascii="宋体" w:hAnsi="宋体" w:eastAsia="宋体" w:cs="宋体"/>
      <w:color w:val="000000"/>
      <w:sz w:val="22"/>
      <w:szCs w:val="22"/>
      <w:u w:val="none"/>
    </w:rPr>
  </w:style>
  <w:style w:type="character" w:customStyle="1" w:styleId="110">
    <w:name w:val="font131"/>
    <w:basedOn w:val="32"/>
    <w:qFormat/>
    <w:uiPriority w:val="0"/>
    <w:rPr>
      <w:rFonts w:ascii="宋体" w:hAnsi="宋体" w:eastAsia="宋体" w:cs="宋体"/>
      <w:color w:val="403040"/>
      <w:sz w:val="24"/>
      <w:szCs w:val="24"/>
      <w:u w:val="none"/>
    </w:rPr>
  </w:style>
  <w:style w:type="paragraph" w:customStyle="1" w:styleId="111">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12">
    <w:name w:val="答复表头"/>
    <w:basedOn w:val="113"/>
    <w:next w:val="1"/>
    <w:qFormat/>
    <w:uiPriority w:val="0"/>
    <w:pPr>
      <w:tabs>
        <w:tab w:val="left" w:pos="480"/>
      </w:tabs>
    </w:pPr>
    <w:rPr>
      <w:b/>
    </w:rPr>
  </w:style>
  <w:style w:type="paragraph" w:customStyle="1" w:styleId="11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14">
    <w:name w:val="正文_1_0"/>
    <w:next w:val="7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48373</Words>
  <Characters>51270</Characters>
  <Lines>415</Lines>
  <Paragraphs>116</Paragraphs>
  <TotalTime>0</TotalTime>
  <ScaleCrop>false</ScaleCrop>
  <LinksUpToDate>false</LinksUpToDate>
  <CharactersWithSpaces>53106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2021-04-14T11:53:00Z</dcterms:created>
  <dc:creator>李航</dc:creator>
  <cp:lastModifiedBy>Administrator</cp:lastModifiedBy>
  <cp:lastPrinted>2025-09-25T10:44:00Z</cp:lastPrinted>
  <dcterms:modified xsi:type="dcterms:W3CDTF">2026-05-15T13:45:01Z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537B27E4D9654C18A2EE92101287D82D_13</vt:lpwstr>
  </property>
  <property fmtid="{D5CDD505-2E9C-101B-9397-08002B2CF9AE}" pid="4" name="KSOSaveFontToCloudKey">
    <vt:lpwstr>340659104_cloud</vt:lpwstr>
  </property>
  <property fmtid="{D5CDD505-2E9C-101B-9397-08002B2CF9AE}" pid="5" name="KSOTemplateDocerSaveRecord">
    <vt:lpwstr>eyJoZGlkIjoiOTQ4NTBkZDlhYWI3ZjIxZWZmYzY3Y2YyNzRjMjQ0YjYiLCJ1c2VySWQiOiI0MjMzMDc4MTAifQ==</vt:lpwstr>
  </property>
</Properties>
</file>