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0FD2670">
      <w:pPr>
        <w:spacing w:line="360" w:lineRule="auto"/>
        <w:ind w:firstLine="2205"/>
        <w:rPr>
          <w:rFonts w:ascii="宋体" w:hAnsi="宋体" w:eastAsia="宋体" w:cs="宋体"/>
          <w:highlight w:val="none"/>
        </w:rPr>
      </w:pPr>
      <w:r>
        <w:rPr>
          <w:rFonts w:ascii="宋体" w:hAnsi="宋体"/>
          <w:sz w:val="72"/>
          <w:szCs w:val="72"/>
          <w:highlight w:val="none"/>
        </w:rPr>
        <w:drawing>
          <wp:anchor distT="0" distB="0" distL="0" distR="0" simplePos="0" relativeHeight="251659264" behindDoc="0" locked="0" layoutInCell="1" allowOverlap="1">
            <wp:simplePos x="0" y="0"/>
            <wp:positionH relativeFrom="column">
              <wp:posOffset>-94615</wp:posOffset>
            </wp:positionH>
            <wp:positionV relativeFrom="paragraph">
              <wp:posOffset>54610</wp:posOffset>
            </wp:positionV>
            <wp:extent cx="720090" cy="796925"/>
            <wp:effectExtent l="0" t="0" r="11430" b="10795"/>
            <wp:wrapSquare wrapText="bothSides"/>
            <wp:docPr id="1026" name="Picture 5" descr="logo"/>
            <wp:cNvGraphicFramePr/>
            <a:graphic xmlns:a="http://schemas.openxmlformats.org/drawingml/2006/main">
              <a:graphicData uri="http://schemas.openxmlformats.org/drawingml/2006/picture">
                <pic:pic xmlns:pic="http://schemas.openxmlformats.org/drawingml/2006/picture">
                  <pic:nvPicPr>
                    <pic:cNvPr id="1026" name="Picture 5" descr="logo"/>
                    <pic:cNvPicPr/>
                  </pic:nvPicPr>
                  <pic:blipFill>
                    <a:blip r:embed="rId16" cstate="print"/>
                    <a:srcRect/>
                    <a:stretch>
                      <a:fillRect/>
                    </a:stretch>
                  </pic:blipFill>
                  <pic:spPr>
                    <a:xfrm>
                      <a:off x="0" y="0"/>
                      <a:ext cx="720090" cy="796925"/>
                    </a:xfrm>
                    <a:prstGeom prst="rect">
                      <a:avLst/>
                    </a:prstGeom>
                    <a:ln>
                      <a:noFill/>
                    </a:ln>
                  </pic:spPr>
                </pic:pic>
              </a:graphicData>
            </a:graphic>
          </wp:anchor>
        </w:drawing>
      </w:r>
    </w:p>
    <w:p w14:paraId="48EE2E18">
      <w:pPr>
        <w:spacing w:line="360" w:lineRule="auto"/>
        <w:rPr>
          <w:rFonts w:ascii="宋体" w:hAnsi="宋体" w:eastAsia="宋体" w:cs="宋体"/>
          <w:highlight w:val="none"/>
        </w:rPr>
      </w:pPr>
    </w:p>
    <w:p w14:paraId="39EA9B90">
      <w:pPr>
        <w:spacing w:line="360" w:lineRule="auto"/>
        <w:rPr>
          <w:rFonts w:ascii="宋体" w:hAnsi="宋体" w:eastAsia="宋体" w:cs="宋体"/>
          <w:highlight w:val="none"/>
        </w:rPr>
      </w:pPr>
    </w:p>
    <w:p w14:paraId="57A2179C">
      <w:pPr>
        <w:pStyle w:val="5"/>
        <w:keepNext w:val="0"/>
        <w:keepLines w:val="0"/>
        <w:widowControl/>
        <w:spacing w:line="360" w:lineRule="auto"/>
        <w:jc w:val="center"/>
        <w:rPr>
          <w:rFonts w:ascii="宋体" w:hAnsi="宋体" w:cs="宋体"/>
          <w:sz w:val="24"/>
          <w:szCs w:val="24"/>
          <w:highlight w:val="none"/>
        </w:rPr>
      </w:pPr>
      <w:bookmarkStart w:id="0" w:name="_Toc1151"/>
      <w:bookmarkStart w:id="1" w:name="_Toc17081"/>
      <w:bookmarkStart w:id="2" w:name="_Toc4140"/>
      <w:r>
        <w:rPr>
          <w:rFonts w:ascii="黑体" w:hAnsi="宋体" w:eastAsia="黑体"/>
          <w:sz w:val="52"/>
          <w:highlight w:val="none"/>
        </w:rPr>
        <w:drawing>
          <wp:anchor distT="0" distB="0" distL="0" distR="0" simplePos="0" relativeHeight="251659264" behindDoc="1" locked="0" layoutInCell="1" allowOverlap="1">
            <wp:simplePos x="0" y="0"/>
            <wp:positionH relativeFrom="margin">
              <wp:posOffset>470535</wp:posOffset>
            </wp:positionH>
            <wp:positionV relativeFrom="paragraph">
              <wp:posOffset>1005840</wp:posOffset>
            </wp:positionV>
            <wp:extent cx="4326255" cy="1840865"/>
            <wp:effectExtent l="224155" t="0" r="250189" b="829944"/>
            <wp:wrapNone/>
            <wp:docPr id="1027" name="图片 98"/>
            <wp:cNvGraphicFramePr/>
            <a:graphic xmlns:a="http://schemas.openxmlformats.org/drawingml/2006/main">
              <a:graphicData uri="http://schemas.openxmlformats.org/drawingml/2006/picture">
                <pic:pic xmlns:pic="http://schemas.openxmlformats.org/drawingml/2006/picture">
                  <pic:nvPicPr>
                    <pic:cNvPr id="1027" name="图片 98"/>
                    <pic:cNvPicPr/>
                  </pic:nvPicPr>
                  <pic:blipFill>
                    <a:blip r:embed="rId17" cstate="print"/>
                    <a:srcRect r="313" b="9343"/>
                    <a:stretch>
                      <a:fillRect/>
                    </a:stretch>
                  </pic:blipFill>
                  <pic:spPr>
                    <a:xfrm>
                      <a:off x="0" y="0"/>
                      <a:ext cx="4326255" cy="1840865"/>
                    </a:xfrm>
                    <a:prstGeom prst="rect">
                      <a:avLst/>
                    </a:prstGeom>
                    <a:ln>
                      <a:noFill/>
                    </a:ln>
                    <a:effectLst>
                      <a:reflection blurRad="6350" stA="50000" endA="300" endPos="55500" dist="101600" dir="5400000" sy="-100000" algn="bl" rotWithShape="0"/>
                    </a:effectLst>
                  </pic:spPr>
                </pic:pic>
              </a:graphicData>
            </a:graphic>
          </wp:anchor>
        </w:drawing>
      </w:r>
      <w:r>
        <w:rPr>
          <w:rFonts w:hint="eastAsia" w:ascii="宋体" w:hAnsi="宋体" w:cs="宋体"/>
          <w:sz w:val="84"/>
          <w:szCs w:val="84"/>
          <w:highlight w:val="none"/>
        </w:rPr>
        <w:t>竞争性磋商文件</w:t>
      </w:r>
      <w:bookmarkEnd w:id="0"/>
      <w:bookmarkEnd w:id="1"/>
      <w:bookmarkEnd w:id="2"/>
    </w:p>
    <w:p w14:paraId="7A49BCC2">
      <w:pPr>
        <w:spacing w:line="360" w:lineRule="auto"/>
        <w:jc w:val="left"/>
        <w:rPr>
          <w:rFonts w:ascii="宋体" w:hAnsi="宋体" w:cs="宋体"/>
          <w:b/>
          <w:bCs/>
          <w:sz w:val="24"/>
          <w:szCs w:val="24"/>
          <w:highlight w:val="none"/>
        </w:rPr>
      </w:pPr>
    </w:p>
    <w:p w14:paraId="5A563E5C">
      <w:pPr>
        <w:spacing w:line="360" w:lineRule="auto"/>
        <w:jc w:val="left"/>
        <w:rPr>
          <w:rFonts w:ascii="宋体" w:hAnsi="宋体" w:cs="宋体"/>
          <w:b/>
          <w:bCs/>
          <w:sz w:val="24"/>
          <w:szCs w:val="24"/>
          <w:highlight w:val="none"/>
        </w:rPr>
      </w:pPr>
    </w:p>
    <w:p w14:paraId="6655F076">
      <w:pPr>
        <w:spacing w:line="360" w:lineRule="auto"/>
        <w:jc w:val="left"/>
        <w:rPr>
          <w:rFonts w:ascii="宋体" w:hAnsi="宋体" w:cs="宋体"/>
          <w:b/>
          <w:bCs/>
          <w:sz w:val="24"/>
          <w:szCs w:val="24"/>
          <w:highlight w:val="none"/>
        </w:rPr>
      </w:pPr>
    </w:p>
    <w:p w14:paraId="37C0AF98">
      <w:pPr>
        <w:spacing w:line="360" w:lineRule="auto"/>
        <w:jc w:val="left"/>
        <w:rPr>
          <w:rFonts w:ascii="宋体" w:hAnsi="宋体" w:cs="宋体"/>
          <w:b/>
          <w:bCs/>
          <w:sz w:val="24"/>
          <w:szCs w:val="24"/>
          <w:highlight w:val="none"/>
        </w:rPr>
      </w:pPr>
    </w:p>
    <w:p w14:paraId="055A8547">
      <w:pPr>
        <w:spacing w:line="360" w:lineRule="auto"/>
        <w:jc w:val="left"/>
        <w:rPr>
          <w:rFonts w:ascii="宋体" w:hAnsi="宋体" w:cs="宋体"/>
          <w:b/>
          <w:bCs/>
          <w:sz w:val="24"/>
          <w:szCs w:val="24"/>
          <w:highlight w:val="none"/>
        </w:rPr>
      </w:pPr>
    </w:p>
    <w:p w14:paraId="1136D01A">
      <w:pPr>
        <w:spacing w:line="360" w:lineRule="auto"/>
        <w:jc w:val="left"/>
        <w:rPr>
          <w:rFonts w:ascii="宋体" w:hAnsi="宋体" w:cs="宋体"/>
          <w:b/>
          <w:bCs/>
          <w:sz w:val="24"/>
          <w:szCs w:val="24"/>
          <w:highlight w:val="none"/>
        </w:rPr>
      </w:pPr>
    </w:p>
    <w:p w14:paraId="602C232A">
      <w:pPr>
        <w:spacing w:line="360" w:lineRule="auto"/>
        <w:jc w:val="left"/>
        <w:rPr>
          <w:rFonts w:ascii="宋体" w:hAnsi="宋体" w:cs="宋体"/>
          <w:b/>
          <w:bCs/>
          <w:sz w:val="24"/>
          <w:szCs w:val="24"/>
          <w:highlight w:val="none"/>
        </w:rPr>
      </w:pPr>
    </w:p>
    <w:p w14:paraId="2DC7CFEF">
      <w:pPr>
        <w:spacing w:line="360" w:lineRule="auto"/>
        <w:jc w:val="left"/>
        <w:rPr>
          <w:rFonts w:ascii="宋体" w:hAnsi="宋体" w:cs="宋体"/>
          <w:b/>
          <w:bCs/>
          <w:sz w:val="24"/>
          <w:szCs w:val="24"/>
          <w:highlight w:val="none"/>
        </w:rPr>
      </w:pPr>
    </w:p>
    <w:p w14:paraId="30BF9161">
      <w:pPr>
        <w:spacing w:line="360" w:lineRule="auto"/>
        <w:jc w:val="left"/>
        <w:rPr>
          <w:rFonts w:ascii="宋体" w:hAnsi="宋体" w:cs="宋体"/>
          <w:b/>
          <w:bCs/>
          <w:sz w:val="24"/>
          <w:szCs w:val="24"/>
          <w:highlight w:val="none"/>
        </w:rPr>
      </w:pPr>
    </w:p>
    <w:p w14:paraId="39AA8363">
      <w:pPr>
        <w:snapToGrid w:val="0"/>
        <w:spacing w:line="360" w:lineRule="auto"/>
        <w:ind w:right="-191"/>
        <w:rPr>
          <w:rFonts w:ascii="宋体" w:hAnsi="宋体" w:eastAsia="宋体" w:cs="宋体"/>
          <w:b/>
          <w:sz w:val="32"/>
          <w:szCs w:val="32"/>
          <w:highlight w:val="none"/>
        </w:rPr>
      </w:pPr>
    </w:p>
    <w:p w14:paraId="7857BBC0">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yellow"/>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项目编号：TC269H0EB</w:t>
      </w:r>
    </w:p>
    <w:p w14:paraId="768FC5B5">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pPr>
      <w:r>
        <w:rPr>
          <w:rFonts w:hint="eastAsia" w:ascii="方正公文小标宋" w:hAnsi="方正公文小标宋" w:eastAsia="方正公文小标宋" w:cs="方正公文小标宋"/>
          <w:b w:val="0"/>
          <w:bCs w:val="0"/>
          <w:color w:val="000000"/>
          <w:sz w:val="24"/>
          <w:highlight w:val="none"/>
        </w:rPr>
        <w:t xml:space="preserve">项目名称: </w:t>
      </w:r>
      <w:r>
        <w:rPr>
          <w:rFonts w:hint="eastAsia" w:ascii="方正公文小标宋" w:hAnsi="方正公文小标宋" w:eastAsia="方正公文小标宋" w:cs="方正公文小标宋"/>
          <w:b w:val="0"/>
          <w:bCs w:val="0"/>
          <w:color w:val="000000"/>
          <w:sz w:val="24"/>
          <w:highlight w:val="none"/>
          <w:lang w:val="en-US" w:eastAsia="zh-CN"/>
        </w:rPr>
        <w:t>2026年中国新疆人才网示范推广项目</w:t>
      </w:r>
    </w:p>
    <w:p w14:paraId="4D1D1FE8">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rPr>
        <w:t>采 购 人（盖章）：</w:t>
      </w:r>
      <w:r>
        <w:rPr>
          <w:rFonts w:hint="eastAsia" w:ascii="方正公文小标宋" w:hAnsi="方正公文小标宋" w:eastAsia="方正公文小标宋" w:cs="方正公文小标宋"/>
          <w:b w:val="0"/>
          <w:bCs w:val="0"/>
          <w:color w:val="000000"/>
          <w:sz w:val="24"/>
          <w:highlight w:val="none"/>
          <w:lang w:val="en-US" w:eastAsia="zh-CN"/>
        </w:rPr>
        <w:t>新疆维吾尔自治区公共就业服务中心</w:t>
      </w:r>
    </w:p>
    <w:p w14:paraId="57503F75">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联系人：李彦</w:t>
      </w:r>
    </w:p>
    <w:p w14:paraId="10E6FA00">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rPr>
        <w:t>联系方式：</w:t>
      </w:r>
      <w:r>
        <w:rPr>
          <w:rFonts w:hint="eastAsia" w:ascii="方正公文小标宋" w:hAnsi="方正公文小标宋" w:eastAsia="方正公文小标宋" w:cs="方正公文小标宋"/>
          <w:b w:val="0"/>
          <w:bCs w:val="0"/>
          <w:color w:val="000000"/>
          <w:sz w:val="24"/>
          <w:highlight w:val="none"/>
          <w:lang w:val="en-US" w:eastAsia="zh-CN"/>
        </w:rPr>
        <w:t>18999127607</w:t>
      </w:r>
    </w:p>
    <w:p w14:paraId="32FB355D">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pPr>
      <w:r>
        <w:rPr>
          <w:rFonts w:hint="eastAsia" w:ascii="方正公文小标宋" w:hAnsi="方正公文小标宋" w:eastAsia="方正公文小标宋" w:cs="方正公文小标宋"/>
          <w:b w:val="0"/>
          <w:bCs w:val="0"/>
          <w:color w:val="000000"/>
          <w:sz w:val="24"/>
          <w:highlight w:val="none"/>
        </w:rPr>
        <mc:AlternateContent>
          <mc:Choice Requires="wps">
            <w:drawing>
              <wp:anchor distT="0" distB="0" distL="0" distR="0" simplePos="0" relativeHeight="251659264" behindDoc="0" locked="0" layoutInCell="1" allowOverlap="1">
                <wp:simplePos x="0" y="0"/>
                <wp:positionH relativeFrom="column">
                  <wp:posOffset>94615</wp:posOffset>
                </wp:positionH>
                <wp:positionV relativeFrom="paragraph">
                  <wp:posOffset>93345</wp:posOffset>
                </wp:positionV>
                <wp:extent cx="5626735" cy="0"/>
                <wp:effectExtent l="0" t="6350" r="0" b="6350"/>
                <wp:wrapNone/>
                <wp:docPr id="1028" name="直接连接符 5"/>
                <wp:cNvGraphicFramePr/>
                <a:graphic xmlns:a="http://schemas.openxmlformats.org/drawingml/2006/main">
                  <a:graphicData uri="http://schemas.microsoft.com/office/word/2010/wordprocessingShape">
                    <wps:wsp>
                      <wps:cNvCnPr/>
                      <wps:spPr>
                        <a:xfrm>
                          <a:off x="0" y="0"/>
                          <a:ext cx="5626735" cy="0"/>
                        </a:xfrm>
                        <a:prstGeom prst="line">
                          <a:avLst/>
                        </a:prstGeom>
                        <a:ln w="12700" cap="flat" cmpd="sng">
                          <a:solidFill>
                            <a:srgbClr val="000000"/>
                          </a:solidFill>
                          <a:prstDash val="sysDot"/>
                          <a:round/>
                          <a:headEnd type="none" w="med" len="med"/>
                          <a:tailEnd type="none" w="med" len="med"/>
                        </a:ln>
                      </wps:spPr>
                      <wps:bodyPr/>
                    </wps:wsp>
                  </a:graphicData>
                </a:graphic>
              </wp:anchor>
            </w:drawing>
          </mc:Choice>
          <mc:Fallback>
            <w:pict>
              <v:line id="直接连接符 5" o:spid="_x0000_s1026" o:spt="20" style="position:absolute;left:0pt;margin-left:7.45pt;margin-top:7.35pt;height:0pt;width:443.05pt;z-index:251659264;mso-width-relative:page;mso-height-relative:page;" filled="f" stroked="t" coordsize="21600,21600" o:gfxdata="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4sDrwNMAAAAIAQAADwAAAAAAAAABACAAAAAiAAAAZHJzL2Rvd25yZXYueG1sUEsBAhQA&#10;FAAAAAgAh07iQCsZLqn3AQAA5wMAAA4AAAAAAAAAAQAgAAAAIgEAAGRycy9lMm9Eb2MueG1sUEsF&#10;BgAAAAAGAAYAWQEAAIsFAAAAAA==&#10;">
                <v:fill on="f" focussize="0,0"/>
                <v:stroke weight="1pt" color="#000000" joinstyle="round" dashstyle="1 1"/>
                <v:imagedata o:title=""/>
                <o:lock v:ext="edit" aspectratio="f"/>
              </v:line>
            </w:pict>
          </mc:Fallback>
        </mc:AlternateContent>
      </w:r>
    </w:p>
    <w:p w14:paraId="43424A8A">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pPr>
      <w:r>
        <w:rPr>
          <w:rFonts w:hint="eastAsia" w:ascii="方正公文小标宋" w:hAnsi="方正公文小标宋" w:eastAsia="方正公文小标宋" w:cs="方正公文小标宋"/>
          <w:b w:val="0"/>
          <w:bCs w:val="0"/>
          <w:color w:val="000000"/>
          <w:sz w:val="24"/>
          <w:highlight w:val="none"/>
        </w:rPr>
        <w:t>采购代理机构（盖章）：</w:t>
      </w:r>
      <w:r>
        <w:rPr>
          <w:rFonts w:hint="eastAsia" w:ascii="方正公文小标宋" w:hAnsi="方正公文小标宋" w:eastAsia="方正公文小标宋" w:cs="方正公文小标宋"/>
          <w:b w:val="0"/>
          <w:bCs w:val="0"/>
          <w:color w:val="000000"/>
          <w:sz w:val="24"/>
          <w:highlight w:val="none"/>
          <w:lang w:val="en-US" w:eastAsia="zh-CN"/>
        </w:rPr>
        <w:t>中招国际招标有限公司</w:t>
      </w:r>
    </w:p>
    <w:p w14:paraId="5E08C322">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方正公文小标宋" w:hAnsi="方正公文小标宋" w:eastAsia="方正公文小标宋" w:cs="方正公文小标宋"/>
          <w:b w:val="0"/>
          <w:bCs w:val="0"/>
          <w:color w:val="000000"/>
          <w:sz w:val="24"/>
          <w:highlight w:val="none"/>
          <w:lang w:val="en-US"/>
        </w:rPr>
      </w:pPr>
      <w:r>
        <w:rPr>
          <w:rFonts w:hint="eastAsia" w:ascii="方正公文小标宋" w:hAnsi="方正公文小标宋" w:eastAsia="方正公文小标宋" w:cs="方正公文小标宋"/>
          <w:b w:val="0"/>
          <w:bCs w:val="0"/>
          <w:color w:val="000000"/>
          <w:sz w:val="24"/>
          <w:highlight w:val="none"/>
        </w:rPr>
        <w:t>项目联系人：</w:t>
      </w:r>
      <w:r>
        <w:rPr>
          <w:rFonts w:hint="eastAsia" w:ascii="方正公文小标宋" w:hAnsi="方正公文小标宋" w:eastAsia="方正公文小标宋" w:cs="方正公文小标宋"/>
          <w:b w:val="0"/>
          <w:bCs w:val="0"/>
          <w:color w:val="000000"/>
          <w:sz w:val="24"/>
          <w:highlight w:val="none"/>
          <w:lang w:val="en-US"/>
        </w:rPr>
        <w:t>侯秀英、</w:t>
      </w:r>
      <w:r>
        <w:rPr>
          <w:rFonts w:hint="eastAsia" w:ascii="方正公文小标宋" w:hAnsi="方正公文小标宋" w:eastAsia="方正公文小标宋" w:cs="方正公文小标宋"/>
          <w:b w:val="0"/>
          <w:bCs w:val="0"/>
          <w:color w:val="000000"/>
          <w:sz w:val="24"/>
          <w:highlight w:val="none"/>
          <w:lang w:val="en-US" w:eastAsia="zh-CN"/>
        </w:rPr>
        <w:t>张智伟</w:t>
      </w:r>
      <w:r>
        <w:rPr>
          <w:rFonts w:hint="eastAsia" w:ascii="方正公文小标宋" w:hAnsi="方正公文小标宋" w:eastAsia="方正公文小标宋" w:cs="方正公文小标宋"/>
          <w:b w:val="0"/>
          <w:bCs w:val="0"/>
          <w:color w:val="000000"/>
          <w:sz w:val="24"/>
          <w:highlight w:val="none"/>
          <w:lang w:val="en-US"/>
        </w:rPr>
        <w:t>、</w:t>
      </w:r>
      <w:r>
        <w:rPr>
          <w:rFonts w:hint="eastAsia" w:ascii="方正公文小标宋" w:hAnsi="方正公文小标宋" w:eastAsia="方正公文小标宋" w:cs="方正公文小标宋"/>
          <w:b w:val="0"/>
          <w:bCs w:val="0"/>
          <w:color w:val="000000"/>
          <w:sz w:val="24"/>
          <w:highlight w:val="none"/>
          <w:lang w:val="en-US" w:eastAsia="zh-CN"/>
        </w:rPr>
        <w:t>钱文雅</w:t>
      </w:r>
      <w:r>
        <w:rPr>
          <w:rFonts w:hint="eastAsia" w:ascii="方正公文小标宋" w:hAnsi="方正公文小标宋" w:eastAsia="方正公文小标宋" w:cs="方正公文小标宋"/>
          <w:b w:val="0"/>
          <w:bCs w:val="0"/>
          <w:color w:val="000000"/>
          <w:sz w:val="24"/>
          <w:highlight w:val="none"/>
          <w:lang w:val="en-US"/>
        </w:rPr>
        <w:t>、</w:t>
      </w:r>
      <w:r>
        <w:rPr>
          <w:rFonts w:hint="eastAsia" w:ascii="方正公文小标宋" w:hAnsi="方正公文小标宋" w:eastAsia="方正公文小标宋" w:cs="方正公文小标宋"/>
          <w:b w:val="0"/>
          <w:bCs w:val="0"/>
          <w:color w:val="000000"/>
          <w:sz w:val="24"/>
          <w:highlight w:val="none"/>
          <w:lang w:val="en-US" w:eastAsia="zh-CN"/>
        </w:rPr>
        <w:t>赵雄飞</w:t>
      </w:r>
    </w:p>
    <w:p w14:paraId="416DE292">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lang w:val="en-US" w:eastAsia="zh-CN"/>
        </w:rPr>
      </w:pPr>
      <w:r>
        <w:rPr>
          <w:rFonts w:hint="eastAsia" w:ascii="方正公文小标宋" w:hAnsi="方正公文小标宋" w:eastAsia="方正公文小标宋" w:cs="方正公文小标宋"/>
          <w:b w:val="0"/>
          <w:bCs w:val="0"/>
          <w:color w:val="000000"/>
          <w:sz w:val="24"/>
          <w:highlight w:val="none"/>
          <w:lang w:val="en-US" w:eastAsia="zh-CN"/>
        </w:rPr>
        <w:t>联系方式：18130866552、13579204530</w:t>
      </w:r>
    </w:p>
    <w:p w14:paraId="5E7C4BCA">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eastAsia" w:ascii="方正公文小标宋" w:hAnsi="方正公文小标宋" w:eastAsia="方正公文小标宋" w:cs="方正公文小标宋"/>
          <w:b w:val="0"/>
          <w:bCs w:val="0"/>
          <w:color w:val="000000"/>
          <w:sz w:val="24"/>
          <w:highlight w:val="none"/>
        </w:rPr>
        <w:sectPr>
          <w:headerReference r:id="rId5" w:type="default"/>
          <w:pgSz w:w="11906" w:h="16838"/>
          <w:pgMar w:top="1440" w:right="1800" w:bottom="1440" w:left="1800" w:header="851" w:footer="992" w:gutter="0"/>
          <w:cols w:space="425" w:num="1"/>
          <w:docGrid w:type="lines" w:linePitch="312" w:charSpace="0"/>
        </w:sectPr>
      </w:pPr>
      <w:r>
        <w:rPr>
          <w:rFonts w:hint="eastAsia" w:ascii="方正公文小标宋" w:hAnsi="方正公文小标宋" w:eastAsia="方正公文小标宋" w:cs="方正公文小标宋"/>
          <w:b w:val="0"/>
          <w:bCs w:val="0"/>
          <w:color w:val="000000"/>
          <w:sz w:val="24"/>
          <w:highlight w:val="none"/>
          <w:lang w:val="en-US" w:eastAsia="zh-CN"/>
        </w:rPr>
        <w:t>代理机构</w:t>
      </w:r>
      <w:r>
        <w:rPr>
          <w:rFonts w:hint="eastAsia" w:ascii="方正公文小标宋" w:hAnsi="方正公文小标宋" w:eastAsia="方正公文小标宋" w:cs="方正公文小标宋"/>
          <w:b w:val="0"/>
          <w:bCs w:val="0"/>
          <w:color w:val="000000"/>
          <w:sz w:val="24"/>
          <w:highlight w:val="none"/>
        </w:rPr>
        <w:t>地址：乌鲁木齐市水磨沟区南湖北路486号南湖明珠大厦南区8楼</w:t>
      </w:r>
    </w:p>
    <w:p w14:paraId="63BF5185">
      <w:pPr>
        <w:jc w:val="center"/>
        <w:rPr>
          <w:rFonts w:hint="eastAsia" w:ascii="宋体" w:hAnsi="宋体" w:eastAsia="宋体" w:cs="宋体"/>
          <w:b/>
          <w:bCs/>
          <w:i w:val="0"/>
          <w:iCs w:val="0"/>
          <w:color w:val="auto"/>
          <w:sz w:val="36"/>
          <w:szCs w:val="36"/>
          <w:highlight w:val="none"/>
        </w:rPr>
      </w:pPr>
      <w:r>
        <w:rPr>
          <w:rFonts w:hint="eastAsia" w:ascii="宋体" w:hAnsi="宋体" w:eastAsia="宋体" w:cs="宋体"/>
          <w:b/>
          <w:bCs/>
          <w:i w:val="0"/>
          <w:iCs w:val="0"/>
          <w:color w:val="auto"/>
          <w:sz w:val="36"/>
          <w:szCs w:val="36"/>
          <w:highlight w:val="none"/>
        </w:rPr>
        <w:t>目 录</w:t>
      </w:r>
    </w:p>
    <w:p w14:paraId="27FDC88F">
      <w:pPr>
        <w:pStyle w:val="21"/>
        <w:keepNext w:val="0"/>
        <w:keepLines w:val="0"/>
        <w:pageBreakBefore w:val="0"/>
        <w:widowControl w:val="0"/>
        <w:tabs>
          <w:tab w:val="left" w:pos="960"/>
          <w:tab w:val="right" w:leader="dot" w:pos="8296"/>
        </w:tabs>
        <w:kinsoku/>
        <w:wordWrap/>
        <w:overflowPunct/>
        <w:topLinePunct w:val="0"/>
        <w:autoSpaceDE/>
        <w:autoSpaceDN/>
        <w:bidi w:val="0"/>
        <w:adjustRightInd/>
        <w:snapToGrid/>
        <w:spacing w:line="360" w:lineRule="exact"/>
        <w:textAlignment w:val="auto"/>
        <w:rPr>
          <w:i w:val="0"/>
          <w:iCs w:val="0"/>
          <w:color w:val="auto"/>
          <w:highlight w:val="none"/>
        </w:rPr>
      </w:pPr>
    </w:p>
    <w:p w14:paraId="6D415974">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TOC \o "1-2" \h \u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_Toc15771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第一章 竞争性磋商公告</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_Toc15771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C214E2A">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_Toc26730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项目概况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_Toc26730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2F61F78">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_Toc29779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_Toc29779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35C9011">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_Toc19653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二、申请人的</w:t>
      </w:r>
      <w:r>
        <w:rPr>
          <w:rFonts w:hint="eastAsia" w:ascii="宋体" w:hAnsi="宋体" w:eastAsia="宋体" w:cs="宋体"/>
          <w:bCs/>
          <w:i w:val="0"/>
          <w:iCs w:val="0"/>
          <w:color w:val="auto"/>
          <w:kern w:val="2"/>
          <w:sz w:val="24"/>
          <w:szCs w:val="24"/>
          <w:highlight w:val="none"/>
          <w:lang w:val="hr-HR" w:eastAsia="zh-CN" w:bidi="ar-SA"/>
        </w:rPr>
        <w:t>资格要求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_Toc19653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98DB79E">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_Toc11100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w:t>
      </w:r>
      <w:r>
        <w:rPr>
          <w:rFonts w:hint="eastAsia" w:ascii="宋体" w:hAnsi="宋体" w:eastAsia="宋体" w:cs="宋体"/>
          <w:bCs/>
          <w:i w:val="0"/>
          <w:iCs w:val="0"/>
          <w:color w:val="auto"/>
          <w:kern w:val="2"/>
          <w:sz w:val="24"/>
          <w:szCs w:val="24"/>
          <w:highlight w:val="none"/>
          <w:lang w:val="hr-HR" w:eastAsia="zh-CN" w:bidi="ar-SA"/>
        </w:rPr>
        <w:t>获取</w:t>
      </w:r>
      <w:r>
        <w:rPr>
          <w:rFonts w:hint="eastAsia" w:ascii="宋体" w:hAnsi="宋体" w:eastAsia="宋体" w:cs="宋体"/>
          <w:bCs/>
          <w:i w:val="0"/>
          <w:iCs w:val="0"/>
          <w:color w:val="auto"/>
          <w:kern w:val="2"/>
          <w:sz w:val="24"/>
          <w:szCs w:val="24"/>
          <w:highlight w:val="none"/>
          <w:lang w:val="en-US" w:eastAsia="zh-CN" w:bidi="ar-SA"/>
        </w:rPr>
        <w:t>采购</w:t>
      </w:r>
      <w:r>
        <w:rPr>
          <w:rFonts w:hint="eastAsia" w:ascii="宋体" w:hAnsi="宋体" w:eastAsia="宋体" w:cs="宋体"/>
          <w:bCs/>
          <w:i w:val="0"/>
          <w:iCs w:val="0"/>
          <w:color w:val="auto"/>
          <w:kern w:val="2"/>
          <w:sz w:val="24"/>
          <w:szCs w:val="24"/>
          <w:highlight w:val="none"/>
          <w:lang w:val="hr-HR" w:eastAsia="zh-CN" w:bidi="ar-SA"/>
        </w:rPr>
        <w:t>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_Toc11100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FA75C11">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_Toc646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w:t>
      </w:r>
      <w:r>
        <w:rPr>
          <w:rFonts w:hint="eastAsia" w:ascii="宋体" w:hAnsi="宋体" w:eastAsia="宋体" w:cs="宋体"/>
          <w:bCs/>
          <w:i w:val="0"/>
          <w:iCs w:val="0"/>
          <w:color w:val="auto"/>
          <w:spacing w:val="-6"/>
          <w:kern w:val="2"/>
          <w:sz w:val="24"/>
          <w:szCs w:val="24"/>
          <w:highlight w:val="none"/>
          <w:lang w:val="hr-HR" w:eastAsia="zh-CN" w:bidi="ar-SA"/>
        </w:rPr>
        <w:t>响应文件提交</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_Toc646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AD9C28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_Toc25642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五、开启</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_Toc25642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6B0DC83">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w:t>
      </w:r>
      <w:r>
        <w:rPr>
          <w:rFonts w:hint="eastAsia" w:ascii="宋体" w:hAnsi="宋体" w:eastAsia="宋体" w:cs="宋体"/>
          <w:bCs/>
          <w:i w:val="0"/>
          <w:iCs w:val="0"/>
          <w:color w:val="auto"/>
          <w:kern w:val="2"/>
          <w:sz w:val="24"/>
          <w:szCs w:val="24"/>
          <w:highlight w:val="none"/>
          <w:lang w:val="hr-HR" w:eastAsia="zh-CN" w:bidi="ar-SA"/>
        </w:rPr>
        <w:t>公告期限</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F273612">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_Toc30600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八、</w:t>
      </w:r>
      <w:r>
        <w:rPr>
          <w:rFonts w:hint="eastAsia" w:ascii="宋体" w:hAnsi="宋体" w:eastAsia="宋体" w:cs="宋体"/>
          <w:bCs/>
          <w:i w:val="0"/>
          <w:iCs w:val="0"/>
          <w:color w:val="auto"/>
          <w:kern w:val="2"/>
          <w:sz w:val="24"/>
          <w:szCs w:val="24"/>
          <w:highlight w:val="none"/>
          <w:lang w:val="hr-HR" w:eastAsia="zh-CN" w:bidi="ar-SA"/>
        </w:rPr>
        <w:t>凡对本次采购提出询问，请按以下方式联系</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_Toc30600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5A082F0">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_Toc4980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第二章 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_Toc4980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3A6624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_Toc19787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一、供应商须知前附表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_Toc19787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FFEED9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_Toc1575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二、供应商须知</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_Toc1575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3FFA37D">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_Toc15068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第三章 项目采购需求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_Toc15068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- 38 -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9AABBB9">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_Toc1935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第四章 评审方法及标准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_Toc1935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D6160DF">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_Toc1780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一、</w:t>
      </w:r>
      <w:r>
        <w:rPr>
          <w:rFonts w:hint="eastAsia" w:ascii="宋体" w:hAnsi="宋体" w:eastAsia="宋体" w:cs="宋体"/>
          <w:i w:val="0"/>
          <w:iCs w:val="0"/>
          <w:color w:val="auto"/>
          <w:sz w:val="24"/>
          <w:szCs w:val="24"/>
          <w:highlight w:val="none"/>
          <w:lang w:val="zh-CN" w:eastAsia="zh-CN"/>
        </w:rPr>
        <w:t>评审方法</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B065C8E">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_Toc9851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二、</w:t>
      </w:r>
      <w:r>
        <w:rPr>
          <w:rFonts w:hint="eastAsia" w:ascii="宋体" w:hAnsi="宋体" w:eastAsia="宋体" w:cs="宋体"/>
          <w:i w:val="0"/>
          <w:iCs w:val="0"/>
          <w:color w:val="auto"/>
          <w:sz w:val="24"/>
          <w:szCs w:val="24"/>
          <w:highlight w:val="none"/>
          <w:lang w:val="zh-CN" w:eastAsia="zh-CN"/>
        </w:rPr>
        <w:t>评审程序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_Toc9851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- 47 -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0B89D93">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_Toc17459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三、</w:t>
      </w:r>
      <w:r>
        <w:rPr>
          <w:rFonts w:hint="eastAsia" w:ascii="宋体" w:hAnsi="宋体" w:eastAsia="宋体" w:cs="宋体"/>
          <w:i w:val="0"/>
          <w:iCs w:val="0"/>
          <w:color w:val="auto"/>
          <w:sz w:val="24"/>
          <w:szCs w:val="24"/>
          <w:highlight w:val="none"/>
          <w:lang w:val="zh-CN" w:eastAsia="zh-CN"/>
        </w:rPr>
        <w:t>评审</w:t>
      </w:r>
      <w:r>
        <w:rPr>
          <w:rFonts w:hint="eastAsia" w:ascii="宋体" w:hAnsi="宋体" w:eastAsia="宋体" w:cs="宋体"/>
          <w:i w:val="0"/>
          <w:iCs w:val="0"/>
          <w:color w:val="auto"/>
          <w:sz w:val="24"/>
          <w:szCs w:val="24"/>
          <w:highlight w:val="none"/>
          <w:lang w:val="en-US" w:eastAsia="zh-CN"/>
        </w:rPr>
        <w:t>其他要求</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_Toc17459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2D753CC">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_Toc13780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lang w:val="zh-CN" w:eastAsia="zh-CN"/>
        </w:rPr>
        <w:t>评审标准</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_Toc13780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- 55 -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15BC1F3">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_Toc383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第五章 </w:t>
      </w:r>
      <w:r>
        <w:rPr>
          <w:rFonts w:hint="eastAsia" w:ascii="宋体" w:hAnsi="宋体" w:eastAsia="宋体" w:cs="宋体"/>
          <w:bCs/>
          <w:i w:val="0"/>
          <w:iCs w:val="0"/>
          <w:color w:val="auto"/>
          <w:kern w:val="44"/>
          <w:sz w:val="24"/>
          <w:szCs w:val="24"/>
          <w:highlight w:val="none"/>
          <w:lang w:val="zh-CN" w:eastAsia="zh-CN" w:bidi="ar-SA"/>
        </w:rPr>
        <w:t>合同草案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_Toc383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4C40219">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_Toc31237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spacing w:val="-20"/>
          <w:kern w:val="44"/>
          <w:sz w:val="24"/>
          <w:szCs w:val="24"/>
          <w:highlight w:val="none"/>
          <w:lang w:val="en-US" w:eastAsia="zh-CN" w:bidi="ar-SA"/>
        </w:rPr>
        <w:t>政府采购合同参考范本</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_Toc1613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spacing w:val="-20"/>
          <w:kern w:val="44"/>
          <w:sz w:val="24"/>
          <w:szCs w:val="24"/>
          <w:highlight w:val="none"/>
          <w:lang w:val="en-US" w:eastAsia="zh-CN" w:bidi="ar-SA"/>
        </w:rPr>
        <w:t>（服务类）</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_Toc1613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002BF4C">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_Toc9879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第一部分 合同书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_Toc9879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- 67 -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DDFDD8B">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_Toc16962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第二部分 合同一般条款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_Toc16962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- 71 -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F95556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_Toc21974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第三部分 合同专用条款</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_Toc21974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- 75 -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27CFD5A8">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_Toc4816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44"/>
          <w:sz w:val="24"/>
          <w:szCs w:val="24"/>
          <w:highlight w:val="none"/>
          <w:lang w:val="en-US" w:eastAsia="zh-CN" w:bidi="ar-SA"/>
        </w:rPr>
        <w:t xml:space="preserve">第六章 </w:t>
      </w:r>
      <w:r>
        <w:rPr>
          <w:rFonts w:hint="eastAsia" w:ascii="宋体" w:hAnsi="宋体" w:eastAsia="宋体" w:cs="宋体"/>
          <w:i w:val="0"/>
          <w:iCs w:val="0"/>
          <w:color w:val="auto"/>
          <w:sz w:val="24"/>
          <w:szCs w:val="24"/>
          <w:highlight w:val="none"/>
        </w:rPr>
        <w:t>响应文件的格式</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_Toc4816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76</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188E72F">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_Toc12918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_Toc22197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_Toc22197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77</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83F026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_Toc2966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一、满足《中华人民共和国政府采购法》第二十二条规定</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_Toc2966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78</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BD6ED54">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_Toc18060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w:t>
      </w:r>
      <w:r>
        <w:rPr>
          <w:rFonts w:hint="eastAsia" w:ascii="宋体" w:hAnsi="宋体" w:eastAsia="宋体" w:cs="宋体"/>
          <w:bCs/>
          <w:i w:val="0"/>
          <w:iCs w:val="0"/>
          <w:color w:val="auto"/>
          <w:kern w:val="2"/>
          <w:sz w:val="24"/>
          <w:szCs w:val="24"/>
          <w:highlight w:val="none"/>
          <w:lang w:val="zh-CN" w:eastAsia="zh-CN" w:bidi="ar-SA"/>
        </w:rPr>
        <w:t>联合体协议书</w:t>
      </w:r>
      <w:r>
        <w:rPr>
          <w:rFonts w:hint="eastAsia" w:ascii="宋体" w:hAnsi="宋体" w:eastAsia="宋体" w:cs="宋体"/>
          <w:bCs w:val="0"/>
          <w:i w:val="0"/>
          <w:iCs w:val="0"/>
          <w:color w:val="auto"/>
          <w:kern w:val="2"/>
          <w:sz w:val="24"/>
          <w:szCs w:val="24"/>
          <w:highlight w:val="none"/>
          <w:lang w:val="zh-CN" w:eastAsia="zh-CN" w:bidi="ar-SA"/>
        </w:rPr>
        <w:t>【如适用】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_Toc18060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0E3FD38">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_Toc3468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kern w:val="0"/>
          <w:sz w:val="24"/>
          <w:szCs w:val="24"/>
          <w:highlight w:val="none"/>
        </w:rPr>
        <w:t>联合体协议书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_Toc3468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3FE57B9">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_Toc722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w:t>
      </w:r>
      <w:r>
        <w:rPr>
          <w:rFonts w:hint="eastAsia" w:ascii="宋体" w:hAnsi="宋体" w:eastAsia="宋体" w:cs="宋体"/>
          <w:bCs/>
          <w:i w:val="0"/>
          <w:iCs w:val="0"/>
          <w:color w:val="auto"/>
          <w:kern w:val="2"/>
          <w:sz w:val="24"/>
          <w:szCs w:val="24"/>
          <w:highlight w:val="none"/>
          <w:lang w:val="zh-CN" w:eastAsia="zh-CN" w:bidi="ar-SA"/>
        </w:rPr>
        <w:t>分包意向协议书【如适用】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_Toc722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83461B4">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_Toc28256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kern w:val="0"/>
          <w:sz w:val="24"/>
          <w:szCs w:val="24"/>
          <w:highlight w:val="none"/>
        </w:rPr>
        <w:t>分包意向协议</w:t>
      </w:r>
      <w:r>
        <w:rPr>
          <w:rFonts w:hint="eastAsia" w:ascii="宋体" w:hAnsi="宋体" w:eastAsia="宋体" w:cs="宋体"/>
          <w:i w:val="0"/>
          <w:iCs w:val="0"/>
          <w:color w:val="auto"/>
          <w:kern w:val="0"/>
          <w:sz w:val="24"/>
          <w:szCs w:val="24"/>
          <w:highlight w:val="none"/>
          <w:lang w:val="en-US" w:eastAsia="zh-CN"/>
        </w:rPr>
        <w:t>书</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_Toc2819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_Toc2819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82E10B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_Toc4839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四、落实政府采购政策相关证明文件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_Toc4839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- 89 -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E9B3EB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_Toc11970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五、不参与围标串标承诺书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_Toc11970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3F185F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_Toc6611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w:t>
      </w:r>
      <w:r>
        <w:rPr>
          <w:rFonts w:hint="eastAsia" w:ascii="宋体" w:hAnsi="宋体" w:eastAsia="宋体" w:cs="宋体"/>
          <w:bCs/>
          <w:i w:val="0"/>
          <w:iCs w:val="0"/>
          <w:color w:val="auto"/>
          <w:kern w:val="2"/>
          <w:sz w:val="24"/>
          <w:szCs w:val="24"/>
          <w:highlight w:val="none"/>
          <w:lang w:val="zh-CN" w:eastAsia="zh-CN" w:bidi="ar-SA"/>
        </w:rPr>
        <w:t>其他资格证明文件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_Toc6611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- 103 -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01F38DA3">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_Toc20777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rPr>
        <w:t>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_Toc25659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报价文件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_Toc25659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A21C3EE">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_Toc22453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一、报价一览表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_Toc22453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C6F760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_Toc12133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二、分项报价表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_Toc12133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- 106 -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DFEB36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HYPERLINK \l _Toc10600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三、关于符合本国产品标准的声明函或财政部规定的其他</w:t>
      </w:r>
      <w:r>
        <w:rPr>
          <w:rFonts w:hint="eastAsia" w:ascii="宋体" w:hAnsi="宋体" w:eastAsia="宋体" w:cs="宋体"/>
          <w:bCs/>
          <w:i w:val="0"/>
          <w:iCs w:val="0"/>
          <w:color w:val="auto"/>
          <w:kern w:val="2"/>
          <w:sz w:val="24"/>
          <w:szCs w:val="24"/>
          <w:highlight w:val="none"/>
          <w:lang w:val="en-US" w:eastAsia="zh-CN" w:bidi="ar-SA"/>
        </w:rPr>
        <w:fldChar w:fldCharType="end"/>
      </w: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HYPERLINK \l _Toc12759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证明文件</w:t>
      </w:r>
      <w:r>
        <w:rPr>
          <w:rFonts w:hint="eastAsia" w:ascii="宋体" w:hAnsi="宋体" w:eastAsia="宋体" w:cs="宋体"/>
          <w:bCs/>
          <w:i w:val="0"/>
          <w:iCs w:val="0"/>
          <w:color w:val="auto"/>
          <w:kern w:val="2"/>
          <w:sz w:val="24"/>
          <w:szCs w:val="24"/>
          <w:highlight w:val="none"/>
          <w:lang w:val="en-US" w:eastAsia="zh-CN" w:bidi="ar-SA"/>
        </w:rPr>
        <w:tab/>
      </w:r>
      <w:r>
        <w:rPr>
          <w:rFonts w:hint="eastAsia" w:ascii="宋体" w:hAnsi="宋体" w:eastAsia="宋体" w:cs="宋体"/>
          <w:bCs/>
          <w:i w:val="0"/>
          <w:iCs w:val="0"/>
          <w:color w:val="auto"/>
          <w:kern w:val="2"/>
          <w:sz w:val="24"/>
          <w:szCs w:val="24"/>
          <w:highlight w:val="none"/>
          <w:lang w:val="en-US" w:eastAsia="zh-CN" w:bidi="ar-SA"/>
        </w:rPr>
        <w:fldChar w:fldCharType="begin"/>
      </w:r>
      <w:r>
        <w:rPr>
          <w:rFonts w:hint="eastAsia" w:ascii="宋体" w:hAnsi="宋体" w:eastAsia="宋体" w:cs="宋体"/>
          <w:bCs/>
          <w:i w:val="0"/>
          <w:iCs w:val="0"/>
          <w:color w:val="auto"/>
          <w:kern w:val="2"/>
          <w:sz w:val="24"/>
          <w:szCs w:val="24"/>
          <w:highlight w:val="none"/>
          <w:lang w:val="en-US" w:eastAsia="zh-CN" w:bidi="ar-SA"/>
        </w:rPr>
        <w:instrText xml:space="preserve"> PAGEREF _Toc12759 \h </w:instrText>
      </w:r>
      <w:r>
        <w:rPr>
          <w:rFonts w:hint="eastAsia" w:ascii="宋体" w:hAnsi="宋体" w:eastAsia="宋体" w:cs="宋体"/>
          <w:bCs/>
          <w:i w:val="0"/>
          <w:iCs w:val="0"/>
          <w:color w:val="auto"/>
          <w:kern w:val="2"/>
          <w:sz w:val="24"/>
          <w:szCs w:val="24"/>
          <w:highlight w:val="none"/>
          <w:lang w:val="en-US" w:eastAsia="zh-CN" w:bidi="ar-SA"/>
        </w:rPr>
        <w:fldChar w:fldCharType="separate"/>
      </w:r>
      <w:r>
        <w:rPr>
          <w:rFonts w:hint="eastAsia" w:ascii="宋体" w:hAnsi="宋体" w:eastAsia="宋体" w:cs="宋体"/>
          <w:bCs/>
          <w:i w:val="0"/>
          <w:iCs w:val="0"/>
          <w:color w:val="auto"/>
          <w:kern w:val="2"/>
          <w:sz w:val="24"/>
          <w:szCs w:val="24"/>
          <w:highlight w:val="none"/>
          <w:lang w:val="en-US" w:eastAsia="zh-CN" w:bidi="ar-SA"/>
        </w:rPr>
        <w:t>- 107 -</w:t>
      </w:r>
      <w:r>
        <w:rPr>
          <w:rFonts w:hint="eastAsia" w:ascii="宋体" w:hAnsi="宋体" w:eastAsia="宋体" w:cs="宋体"/>
          <w:bCs/>
          <w:i w:val="0"/>
          <w:iCs w:val="0"/>
          <w:color w:val="auto"/>
          <w:kern w:val="2"/>
          <w:sz w:val="24"/>
          <w:szCs w:val="24"/>
          <w:highlight w:val="none"/>
          <w:lang w:val="en-US" w:eastAsia="zh-CN" w:bidi="ar-SA"/>
        </w:rPr>
        <w:fldChar w:fldCharType="end"/>
      </w:r>
      <w:r>
        <w:rPr>
          <w:rFonts w:hint="eastAsia" w:ascii="宋体" w:hAnsi="宋体" w:eastAsia="宋体" w:cs="宋体"/>
          <w:bCs/>
          <w:i w:val="0"/>
          <w:iCs w:val="0"/>
          <w:color w:val="auto"/>
          <w:kern w:val="2"/>
          <w:sz w:val="24"/>
          <w:szCs w:val="24"/>
          <w:highlight w:val="none"/>
          <w:lang w:val="en-US" w:eastAsia="zh-CN" w:bidi="ar-SA"/>
        </w:rPr>
        <w:fldChar w:fldCharType="end"/>
      </w:r>
    </w:p>
    <w:p w14:paraId="6D9DDDCE">
      <w:pPr>
        <w:pStyle w:val="21"/>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_Toc2066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响应文件</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_Toc32251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color w:val="auto"/>
          <w:sz w:val="24"/>
          <w:szCs w:val="24"/>
          <w:highlight w:val="none"/>
          <w:lang w:val="en-US" w:eastAsia="zh-CN"/>
        </w:rPr>
        <w:t>商务技术文件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_Toc32251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- 109 -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D96CD26">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_Toc7399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一、响应函</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_Toc7399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- 110 -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76E8EF5">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_Toc16089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二、法定代表人（单位负责人）身份证明</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_Toc16089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- 112 -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68342A3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_Toc6864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三、授权委托书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_Toc6864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- 113 -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96C4E99">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_Toc18359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四、</w:t>
      </w:r>
      <w:r>
        <w:rPr>
          <w:rFonts w:hint="eastAsia" w:ascii="宋体" w:hAnsi="宋体" w:eastAsia="宋体" w:cs="宋体"/>
          <w:bCs/>
          <w:i w:val="0"/>
          <w:iCs w:val="0"/>
          <w:color w:val="auto"/>
          <w:kern w:val="2"/>
          <w:sz w:val="24"/>
          <w:szCs w:val="24"/>
          <w:highlight w:val="none"/>
          <w:lang w:val="zh-CN" w:eastAsia="zh-CN" w:bidi="ar-SA"/>
        </w:rPr>
        <w:t>政府采购供应商廉洁自律承诺书</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_Toc18359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- 114 -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F8ECCE5">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_Toc11276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color w:val="auto"/>
          <w:kern w:val="2"/>
          <w:sz w:val="24"/>
          <w:szCs w:val="24"/>
          <w:highlight w:val="none"/>
          <w:lang w:val="en-US" w:eastAsia="zh-CN" w:bidi="ar-SA"/>
        </w:rPr>
        <w:t>五、实质性响应一览表</w:t>
      </w:r>
      <w:r>
        <w:rPr>
          <w:rFonts w:hint="eastAsia" w:ascii="宋体" w:hAnsi="宋体" w:eastAsia="宋体" w:cs="宋体"/>
          <w:bCs/>
          <w:color w:val="auto"/>
          <w:kern w:val="2"/>
          <w:sz w:val="24"/>
          <w:szCs w:val="24"/>
          <w:highlight w:val="none"/>
          <w:lang w:val="zh-CN" w:eastAsia="zh-CN" w:bidi="ar-SA"/>
        </w:rPr>
        <w:t>【</w:t>
      </w:r>
      <w:r>
        <w:rPr>
          <w:rFonts w:hint="eastAsia" w:ascii="宋体" w:hAnsi="宋体" w:eastAsia="宋体" w:cs="宋体"/>
          <w:bCs/>
          <w:color w:val="auto"/>
          <w:kern w:val="2"/>
          <w:sz w:val="24"/>
          <w:szCs w:val="24"/>
          <w:highlight w:val="none"/>
          <w:lang w:val="en-US" w:eastAsia="zh-CN" w:bidi="ar-SA"/>
        </w:rPr>
        <w:t>本表须与第四章的一致】</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_Toc11276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- 115 -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7B9F9980">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_Toc30110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六、商务响应偏离表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_Toc30110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- 116 -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F885494">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_Toc20003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七、业绩证明文件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_Toc20003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- 117 -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3F656927">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_Toc6673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八、拟派项目团队</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_Toc6673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- 118 -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1ED69F44">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_Toc5696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九、技术响应偏离表</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_Toc5696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- 119 -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51E3DF4A">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sz w:val="24"/>
          <w:szCs w:val="24"/>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_Toc8317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十、技术方案</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_Toc8317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- 120 -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621513D">
      <w:pPr>
        <w:pStyle w:val="25"/>
        <w:keepNext w:val="0"/>
        <w:keepLines w:val="0"/>
        <w:pageBreakBefore w:val="0"/>
        <w:widowControl w:val="0"/>
        <w:tabs>
          <w:tab w:val="right" w:leader="dot" w:pos="8306"/>
        </w:tabs>
        <w:kinsoku/>
        <w:wordWrap/>
        <w:overflowPunct/>
        <w:topLinePunct w:val="0"/>
        <w:autoSpaceDE/>
        <w:autoSpaceDN/>
        <w:bidi w:val="0"/>
        <w:adjustRightInd/>
        <w:snapToGrid/>
        <w:spacing w:line="440" w:lineRule="exact"/>
        <w:textAlignment w:val="auto"/>
        <w:rPr>
          <w:rFonts w:hint="eastAsia" w:ascii="宋体" w:hAnsi="宋体" w:eastAsia="宋体" w:cs="宋体"/>
          <w:color w:val="auto"/>
          <w:highlight w:val="none"/>
        </w:rPr>
      </w:pP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\l _Toc26972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bCs/>
          <w:i w:val="0"/>
          <w:iCs w:val="0"/>
          <w:color w:val="auto"/>
          <w:kern w:val="2"/>
          <w:sz w:val="24"/>
          <w:szCs w:val="24"/>
          <w:highlight w:val="none"/>
          <w:lang w:val="en-US" w:eastAsia="zh-CN" w:bidi="ar-SA"/>
        </w:rPr>
        <w:t>十一、其他文件</w:t>
      </w:r>
      <w:r>
        <w:rPr>
          <w:rFonts w:hint="eastAsia" w:ascii="宋体" w:hAnsi="宋体" w:eastAsia="宋体" w:cs="宋体"/>
          <w:color w:val="auto"/>
          <w:sz w:val="24"/>
          <w:szCs w:val="24"/>
          <w:highlight w:val="none"/>
        </w:rPr>
        <w:tab/>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PAGEREF _Toc26972 \h </w:instrText>
      </w:r>
      <w:r>
        <w:rPr>
          <w:rFonts w:hint="eastAsia" w:ascii="宋体" w:hAnsi="宋体" w:eastAsia="宋体" w:cs="宋体"/>
          <w:color w:val="auto"/>
          <w:sz w:val="24"/>
          <w:szCs w:val="24"/>
          <w:highlight w:val="none"/>
        </w:rPr>
        <w:fldChar w:fldCharType="separate"/>
      </w:r>
      <w:r>
        <w:rPr>
          <w:rFonts w:hint="eastAsia" w:ascii="宋体" w:hAnsi="宋体" w:eastAsia="宋体" w:cs="宋体"/>
          <w:color w:val="auto"/>
          <w:sz w:val="24"/>
          <w:szCs w:val="24"/>
          <w:highlight w:val="none"/>
        </w:rPr>
        <w:t>- 121 -</w:t>
      </w:r>
      <w:r>
        <w:rPr>
          <w:rFonts w:hint="eastAsia" w:ascii="宋体" w:hAnsi="宋体" w:eastAsia="宋体" w:cs="宋体"/>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end"/>
      </w:r>
    </w:p>
    <w:p w14:paraId="4D90D7D4">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ascii="宋体" w:hAnsi="宋体" w:eastAsia="宋体" w:cs="宋体"/>
          <w:i w:val="0"/>
          <w:iCs w:val="0"/>
          <w:color w:val="auto"/>
          <w:sz w:val="32"/>
          <w:szCs w:val="32"/>
          <w:highlight w:val="none"/>
        </w:rPr>
      </w:pPr>
      <w:r>
        <w:rPr>
          <w:rFonts w:hint="eastAsia" w:ascii="宋体" w:hAnsi="宋体" w:eastAsia="宋体" w:cs="宋体"/>
          <w:i w:val="0"/>
          <w:iCs w:val="0"/>
          <w:color w:val="auto"/>
          <w:szCs w:val="24"/>
          <w:highlight w:val="none"/>
        </w:rPr>
        <w:fldChar w:fldCharType="end"/>
      </w:r>
    </w:p>
    <w:p w14:paraId="54642629">
      <w:pPr>
        <w:jc w:val="center"/>
        <w:rPr>
          <w:rFonts w:hint="eastAsia" w:ascii="宋体" w:hAnsi="宋体" w:eastAsia="宋体" w:cs="宋体"/>
          <w:i w:val="0"/>
          <w:iCs w:val="0"/>
          <w:color w:val="auto"/>
          <w:sz w:val="32"/>
          <w:szCs w:val="32"/>
          <w:highlight w:val="none"/>
        </w:rPr>
        <w:sectPr>
          <w:headerReference r:id="rId6" w:type="default"/>
          <w:pgSz w:w="11906" w:h="16838"/>
          <w:pgMar w:top="1440" w:right="1800" w:bottom="1440" w:left="1800" w:header="851" w:footer="992" w:gutter="0"/>
          <w:pgNumType w:fmt="numberInDash"/>
          <w:cols w:space="425" w:num="1"/>
          <w:docGrid w:type="lines" w:linePitch="312" w:charSpace="0"/>
        </w:sectPr>
      </w:pPr>
    </w:p>
    <w:p w14:paraId="0DDCC6E5">
      <w:pPr>
        <w:pStyle w:val="5"/>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3" w:name="_Toc163493599"/>
      <w:bookmarkStart w:id="4" w:name="_Toc15771"/>
      <w:r>
        <w:rPr>
          <w:rFonts w:hint="eastAsia" w:ascii="宋体" w:hAnsi="宋体" w:eastAsia="宋体" w:cs="宋体"/>
          <w:b/>
          <w:bCs/>
          <w:i w:val="0"/>
          <w:iCs w:val="0"/>
          <w:color w:val="auto"/>
          <w:kern w:val="44"/>
          <w:sz w:val="36"/>
          <w:szCs w:val="36"/>
          <w:highlight w:val="none"/>
          <w:lang w:val="en-US" w:eastAsia="zh-CN" w:bidi="ar-SA"/>
        </w:rPr>
        <w:t>第一章 竞争性磋商</w:t>
      </w:r>
      <w:bookmarkEnd w:id="3"/>
      <w:r>
        <w:rPr>
          <w:rFonts w:hint="eastAsia" w:ascii="宋体" w:hAnsi="宋体" w:eastAsia="宋体" w:cs="宋体"/>
          <w:b/>
          <w:bCs/>
          <w:i w:val="0"/>
          <w:iCs w:val="0"/>
          <w:color w:val="auto"/>
          <w:kern w:val="44"/>
          <w:sz w:val="36"/>
          <w:szCs w:val="36"/>
          <w:highlight w:val="none"/>
          <w:lang w:val="en-US" w:eastAsia="zh-CN" w:bidi="ar-SA"/>
        </w:rPr>
        <w:t>公告</w:t>
      </w:r>
      <w:bookmarkEnd w:id="4"/>
    </w:p>
    <w:tbl>
      <w:tblPr>
        <w:tblStyle w:val="3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4756E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73D0F96B">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i w:val="0"/>
                <w:iCs w:val="0"/>
                <w:color w:val="auto"/>
                <w:sz w:val="24"/>
                <w:szCs w:val="24"/>
                <w:highlight w:val="none"/>
                <w:lang w:val="en-US" w:eastAsia="zh-CN"/>
              </w:rPr>
            </w:pPr>
            <w:bookmarkStart w:id="5" w:name="_Toc2027"/>
            <w:bookmarkStart w:id="6" w:name="_Toc26730"/>
            <w:bookmarkStart w:id="7" w:name="_Toc163492812"/>
            <w:bookmarkStart w:id="8" w:name="_Toc155185860"/>
            <w:bookmarkStart w:id="9" w:name="_Toc109899410"/>
            <w:bookmarkStart w:id="10" w:name="_Toc44583628"/>
            <w:bookmarkStart w:id="11" w:name="_Toc28359012"/>
            <w:bookmarkStart w:id="12" w:name="_Toc35393798"/>
            <w:bookmarkStart w:id="13" w:name="_Toc140132745"/>
            <w:bookmarkStart w:id="14" w:name="_Toc35393629"/>
            <w:bookmarkStart w:id="15" w:name="_Toc28359089"/>
            <w:bookmarkStart w:id="16" w:name="_Toc109900248"/>
            <w:bookmarkStart w:id="17" w:name="_Toc109899829"/>
            <w:r>
              <w:rPr>
                <w:rFonts w:hint="eastAsia"/>
                <w:i w:val="0"/>
                <w:iCs w:val="0"/>
                <w:color w:val="auto"/>
                <w:sz w:val="24"/>
                <w:szCs w:val="24"/>
                <w:highlight w:val="none"/>
                <w:lang w:val="en-US" w:eastAsia="zh-CN"/>
              </w:rPr>
              <w:t>项目概况：</w:t>
            </w:r>
            <w:bookmarkEnd w:id="5"/>
            <w:bookmarkEnd w:id="6"/>
          </w:p>
          <w:p w14:paraId="6CBC7B9E">
            <w:pPr>
              <w:ind w:firstLine="480" w:firstLineChars="200"/>
              <w:rPr>
                <w:rFonts w:hint="default"/>
                <w:i w:val="0"/>
                <w:iCs w:val="0"/>
                <w:color w:val="auto"/>
                <w:highlight w:val="none"/>
                <w:lang w:val="en-US" w:eastAsia="zh-CN"/>
              </w:rPr>
            </w:pPr>
            <w:r>
              <w:rPr>
                <w:rFonts w:hint="eastAsia" w:cs="宋体"/>
                <w:kern w:val="0"/>
                <w:sz w:val="24"/>
                <w:szCs w:val="24"/>
                <w:highlight w:val="none"/>
                <w:lang w:val="hr-HR" w:eastAsia="zh-CN"/>
              </w:rPr>
              <w:t>2026年中国新疆人才网示范推广项目</w:t>
            </w:r>
            <w:r>
              <w:rPr>
                <w:rFonts w:hint="eastAsia" w:cs="宋体"/>
                <w:kern w:val="0"/>
                <w:sz w:val="24"/>
                <w:szCs w:val="24"/>
                <w:highlight w:val="none"/>
                <w:lang w:val="en-US" w:eastAsia="zh-CN"/>
              </w:rPr>
              <w:t>采购</w:t>
            </w:r>
            <w:r>
              <w:rPr>
                <w:rFonts w:hint="eastAsia" w:ascii="宋体" w:hAnsi="宋体" w:eastAsia="宋体" w:cs="宋体"/>
                <w:kern w:val="0"/>
                <w:sz w:val="24"/>
                <w:szCs w:val="24"/>
                <w:highlight w:val="none"/>
                <w:lang w:val="hr-HR"/>
              </w:rPr>
              <w:t>项目的潜在</w:t>
            </w:r>
            <w:r>
              <w:rPr>
                <w:rFonts w:hint="eastAsia" w:ascii="宋体" w:hAnsi="宋体" w:eastAsia="宋体" w:cs="宋体"/>
                <w:kern w:val="0"/>
                <w:sz w:val="24"/>
                <w:szCs w:val="24"/>
                <w:highlight w:val="none"/>
                <w:lang w:val="en-US" w:eastAsia="zh-CN"/>
              </w:rPr>
              <w:t>供应商</w:t>
            </w:r>
            <w:r>
              <w:rPr>
                <w:rFonts w:hint="eastAsia" w:ascii="宋体" w:hAnsi="宋体" w:eastAsia="宋体" w:cs="宋体"/>
                <w:kern w:val="0"/>
                <w:sz w:val="24"/>
                <w:szCs w:val="24"/>
                <w:highlight w:val="none"/>
                <w:lang w:val="hr-HR"/>
              </w:rPr>
              <w:t>应在政采云平台线上（网址：https://www.zcygov.cn/）获取</w:t>
            </w:r>
            <w:r>
              <w:rPr>
                <w:rFonts w:hint="eastAsia" w:ascii="宋体" w:hAnsi="宋体" w:eastAsia="宋体" w:cs="宋体"/>
                <w:kern w:val="0"/>
                <w:sz w:val="24"/>
                <w:szCs w:val="24"/>
                <w:highlight w:val="none"/>
              </w:rPr>
              <w:t>采购文件</w:t>
            </w:r>
            <w:r>
              <w:rPr>
                <w:rFonts w:hint="eastAsia" w:ascii="宋体" w:hAnsi="宋体" w:eastAsia="宋体" w:cs="宋体"/>
                <w:kern w:val="0"/>
                <w:sz w:val="24"/>
                <w:szCs w:val="24"/>
                <w:highlight w:val="none"/>
                <w:lang w:val="hr-HR"/>
              </w:rPr>
              <w:t>，并于</w:t>
            </w:r>
            <w:r>
              <w:rPr>
                <w:rFonts w:hint="eastAsia" w:ascii="宋体" w:hAnsi="宋体" w:eastAsia="宋体" w:cs="宋体"/>
                <w:kern w:val="0"/>
                <w:sz w:val="24"/>
                <w:szCs w:val="24"/>
                <w:highlight w:val="none"/>
                <w:lang w:val="en-US"/>
              </w:rPr>
              <w:t>2026</w:t>
            </w:r>
            <w:r>
              <w:rPr>
                <w:rFonts w:hint="eastAsia" w:ascii="宋体" w:hAnsi="宋体" w:eastAsia="宋体" w:cs="宋体"/>
                <w:kern w:val="0"/>
                <w:sz w:val="24"/>
                <w:szCs w:val="24"/>
                <w:highlight w:val="none"/>
                <w:lang w:val="hr-HR"/>
              </w:rPr>
              <w:t>年</w:t>
            </w:r>
            <w:r>
              <w:rPr>
                <w:rFonts w:hint="eastAsia" w:cs="宋体"/>
                <w:kern w:val="0"/>
                <w:sz w:val="24"/>
                <w:szCs w:val="24"/>
                <w:highlight w:val="none"/>
                <w:lang w:val="en-US" w:eastAsia="zh-CN"/>
              </w:rPr>
              <w:t>6</w:t>
            </w:r>
            <w:r>
              <w:rPr>
                <w:rFonts w:hint="eastAsia" w:ascii="宋体" w:hAnsi="宋体" w:eastAsia="宋体" w:cs="宋体"/>
                <w:kern w:val="0"/>
                <w:sz w:val="24"/>
                <w:szCs w:val="24"/>
                <w:highlight w:val="none"/>
                <w:lang w:val="hr-HR"/>
              </w:rPr>
              <w:t>月</w:t>
            </w:r>
            <w:r>
              <w:rPr>
                <w:rFonts w:hint="eastAsia" w:cs="宋体"/>
                <w:kern w:val="0"/>
                <w:sz w:val="24"/>
                <w:szCs w:val="24"/>
                <w:highlight w:val="none"/>
                <w:lang w:val="en-US" w:eastAsia="zh-CN"/>
              </w:rPr>
              <w:t>1</w:t>
            </w:r>
            <w:r>
              <w:rPr>
                <w:rFonts w:hint="eastAsia" w:ascii="宋体" w:hAnsi="宋体" w:eastAsia="宋体" w:cs="宋体"/>
                <w:kern w:val="0"/>
                <w:sz w:val="24"/>
                <w:szCs w:val="24"/>
                <w:highlight w:val="none"/>
                <w:lang w:val="hr-HR"/>
              </w:rPr>
              <w:t>日</w:t>
            </w:r>
            <w:r>
              <w:rPr>
                <w:rFonts w:hint="eastAsia" w:ascii="宋体" w:hAnsi="宋体" w:eastAsia="宋体" w:cs="宋体"/>
                <w:kern w:val="0"/>
                <w:sz w:val="24"/>
                <w:szCs w:val="24"/>
                <w:highlight w:val="none"/>
                <w:lang w:val="en-US"/>
              </w:rPr>
              <w:t>11</w:t>
            </w:r>
            <w:r>
              <w:rPr>
                <w:rFonts w:hint="eastAsia" w:ascii="宋体" w:hAnsi="宋体" w:eastAsia="宋体" w:cs="宋体"/>
                <w:kern w:val="0"/>
                <w:sz w:val="24"/>
                <w:szCs w:val="24"/>
                <w:highlight w:val="none"/>
              </w:rPr>
              <w:t>时</w:t>
            </w:r>
            <w:r>
              <w:rPr>
                <w:rFonts w:hint="eastAsia" w:ascii="宋体" w:hAnsi="宋体" w:eastAsia="宋体" w:cs="宋体"/>
                <w:kern w:val="0"/>
                <w:sz w:val="24"/>
                <w:szCs w:val="24"/>
                <w:highlight w:val="none"/>
                <w:lang w:val="en-US"/>
              </w:rPr>
              <w:t>00</w:t>
            </w:r>
            <w:r>
              <w:rPr>
                <w:rFonts w:hint="eastAsia" w:ascii="宋体" w:hAnsi="宋体" w:eastAsia="宋体" w:cs="宋体"/>
                <w:kern w:val="0"/>
                <w:sz w:val="24"/>
                <w:szCs w:val="24"/>
                <w:highlight w:val="none"/>
                <w:lang w:val="hr-HR"/>
              </w:rPr>
              <w:t>分（北京时间）前递交</w:t>
            </w:r>
            <w:r>
              <w:rPr>
                <w:rFonts w:hint="eastAsia" w:cs="宋体"/>
                <w:kern w:val="0"/>
                <w:sz w:val="24"/>
                <w:szCs w:val="24"/>
                <w:highlight w:val="none"/>
                <w:lang w:val="en-US" w:eastAsia="zh-CN"/>
              </w:rPr>
              <w:t>响应</w:t>
            </w:r>
            <w:r>
              <w:rPr>
                <w:rFonts w:hint="eastAsia" w:ascii="宋体" w:hAnsi="宋体" w:eastAsia="宋体" w:cs="宋体"/>
                <w:kern w:val="0"/>
                <w:sz w:val="24"/>
                <w:szCs w:val="24"/>
                <w:highlight w:val="none"/>
                <w:lang w:val="hr-HR"/>
              </w:rPr>
              <w:t>文件。</w:t>
            </w:r>
          </w:p>
        </w:tc>
      </w:tr>
    </w:tbl>
    <w:p w14:paraId="4072DEF0">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i w:val="0"/>
          <w:iCs w:val="0"/>
          <w:color w:val="auto"/>
          <w:sz w:val="24"/>
          <w:szCs w:val="24"/>
          <w:highlight w:val="none"/>
          <w:lang w:val="hr-HR"/>
        </w:rPr>
      </w:pPr>
      <w:bookmarkStart w:id="18" w:name="_Toc29779"/>
      <w:r>
        <w:rPr>
          <w:rFonts w:hint="eastAsia" w:ascii="宋体" w:hAnsi="宋体" w:eastAsia="宋体" w:cs="宋体"/>
          <w:b/>
          <w:bCs/>
          <w:i w:val="0"/>
          <w:iCs w:val="0"/>
          <w:color w:val="auto"/>
          <w:kern w:val="2"/>
          <w:sz w:val="24"/>
          <w:szCs w:val="24"/>
          <w:highlight w:val="none"/>
          <w:lang w:val="hr-HR" w:eastAsia="zh-CN" w:bidi="ar-SA"/>
        </w:rPr>
        <w:t>一、</w:t>
      </w:r>
      <w:r>
        <w:rPr>
          <w:rFonts w:hint="eastAsia" w:ascii="宋体" w:hAnsi="宋体" w:eastAsia="宋体" w:cs="宋体"/>
          <w:i w:val="0"/>
          <w:iCs w:val="0"/>
          <w:color w:val="auto"/>
          <w:sz w:val="24"/>
          <w:szCs w:val="24"/>
          <w:highlight w:val="none"/>
          <w:lang w:val="hr-HR"/>
        </w:rPr>
        <w:t>项目基本情况</w:t>
      </w:r>
      <w:bookmarkEnd w:id="7"/>
      <w:bookmarkEnd w:id="8"/>
      <w:bookmarkEnd w:id="9"/>
      <w:bookmarkEnd w:id="10"/>
      <w:bookmarkEnd w:id="11"/>
      <w:bookmarkEnd w:id="12"/>
      <w:bookmarkEnd w:id="13"/>
      <w:bookmarkEnd w:id="14"/>
      <w:bookmarkEnd w:id="15"/>
      <w:bookmarkEnd w:id="16"/>
      <w:bookmarkEnd w:id="17"/>
      <w:bookmarkEnd w:id="18"/>
    </w:p>
    <w:p w14:paraId="5E3A1EB6">
      <w:pPr>
        <w:pStyle w:val="36"/>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lang w:val="hr-HR"/>
        </w:rPr>
        <w:t>项目编号</w:t>
      </w:r>
      <w:r>
        <w:rPr>
          <w:rFonts w:hint="eastAsia"/>
          <w:i w:val="0"/>
          <w:iCs w:val="0"/>
          <w:color w:val="auto"/>
          <w:sz w:val="24"/>
          <w:highlight w:val="none"/>
          <w:lang w:val="en-US" w:eastAsia="zh-CN"/>
        </w:rPr>
        <w:t>/包号</w:t>
      </w:r>
      <w:r>
        <w:rPr>
          <w:rFonts w:hint="eastAsia" w:ascii="宋体" w:hAnsi="宋体" w:eastAsia="宋体" w:cs="宋体"/>
          <w:i w:val="0"/>
          <w:iCs w:val="0"/>
          <w:color w:val="auto"/>
          <w:sz w:val="24"/>
          <w:szCs w:val="24"/>
          <w:highlight w:val="none"/>
          <w:lang w:val="hr-HR"/>
        </w:rPr>
        <w:t>：TC269H0EB</w:t>
      </w:r>
    </w:p>
    <w:p w14:paraId="1C4E1862">
      <w:pPr>
        <w:pStyle w:val="36"/>
        <w:rPr>
          <w:rFonts w:hint="eastAsia" w:ascii="宋体" w:hAnsi="宋体" w:eastAsia="宋体" w:cs="宋体"/>
          <w:i w:val="0"/>
          <w:iCs w:val="0"/>
          <w:color w:val="auto"/>
          <w:sz w:val="24"/>
          <w:szCs w:val="24"/>
          <w:highlight w:val="none"/>
          <w:u w:val="none"/>
          <w:lang w:val="hr-HR" w:eastAsia="zh-CN"/>
        </w:rPr>
      </w:pPr>
      <w:r>
        <w:rPr>
          <w:rFonts w:hint="eastAsia" w:ascii="宋体" w:hAnsi="宋体" w:eastAsia="宋体" w:cs="宋体"/>
          <w:i w:val="0"/>
          <w:iCs w:val="0"/>
          <w:color w:val="auto"/>
          <w:sz w:val="24"/>
          <w:szCs w:val="24"/>
          <w:highlight w:val="none"/>
          <w:lang w:val="hr-HR"/>
        </w:rPr>
        <w:t>项目名称：</w:t>
      </w:r>
      <w:r>
        <w:rPr>
          <w:rFonts w:hint="eastAsia" w:ascii="宋体" w:hAnsi="宋体" w:eastAsia="宋体" w:cs="宋体"/>
          <w:i w:val="0"/>
          <w:iCs w:val="0"/>
          <w:color w:val="auto"/>
          <w:sz w:val="24"/>
          <w:szCs w:val="24"/>
          <w:highlight w:val="none"/>
          <w:u w:val="none"/>
        </w:rPr>
        <w:t xml:space="preserve"> </w:t>
      </w:r>
      <w:r>
        <w:rPr>
          <w:rFonts w:hint="eastAsia" w:cs="宋体"/>
          <w:i w:val="0"/>
          <w:iCs w:val="0"/>
          <w:color w:val="auto"/>
          <w:sz w:val="24"/>
          <w:szCs w:val="24"/>
          <w:highlight w:val="none"/>
          <w:u w:val="none"/>
          <w:lang w:val="hr-HR" w:eastAsia="zh-CN"/>
        </w:rPr>
        <w:t>2026年中国新疆人才网示范推广项目</w:t>
      </w:r>
    </w:p>
    <w:p w14:paraId="6CEB84EC">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采购方式：</w:t>
      </w:r>
      <w:r>
        <w:rPr>
          <w:rFonts w:hint="eastAsia" w:ascii="宋体" w:hAnsi="宋体" w:eastAsia="宋体" w:cs="宋体"/>
          <w:i w:val="0"/>
          <w:iCs w:val="0"/>
          <w:color w:val="auto"/>
          <w:sz w:val="24"/>
          <w:szCs w:val="24"/>
          <w:highlight w:val="none"/>
          <w:lang w:val="en-US" w:eastAsia="zh-CN"/>
        </w:rPr>
        <w:t>竞争性磋商</w:t>
      </w:r>
    </w:p>
    <w:p w14:paraId="1578BD4E">
      <w:pPr>
        <w:pStyle w:val="36"/>
        <w:rPr>
          <w:rFonts w:hint="eastAsia" w:ascii="宋体" w:hAnsi="宋体" w:eastAsia="宋体" w:cs="宋体"/>
          <w:i w:val="0"/>
          <w:iCs w:val="0"/>
          <w:color w:val="auto"/>
          <w:sz w:val="24"/>
          <w:szCs w:val="24"/>
          <w:highlight w:val="none"/>
          <w:lang w:val="hr-HR"/>
        </w:rPr>
      </w:pPr>
      <w:r>
        <w:rPr>
          <w:rFonts w:hint="eastAsia" w:ascii="宋体" w:hAnsi="宋体" w:eastAsia="宋体" w:cs="宋体"/>
          <w:i w:val="0"/>
          <w:iCs w:val="0"/>
          <w:color w:val="auto"/>
          <w:sz w:val="24"/>
          <w:szCs w:val="24"/>
          <w:highlight w:val="none"/>
          <w:lang w:val="hr-HR"/>
        </w:rPr>
        <w:t>预算金额（元）：</w:t>
      </w:r>
      <w:r>
        <w:rPr>
          <w:rFonts w:hint="eastAsia" w:cs="宋体"/>
          <w:i w:val="0"/>
          <w:iCs w:val="0"/>
          <w:color w:val="auto"/>
          <w:sz w:val="24"/>
          <w:szCs w:val="24"/>
          <w:highlight w:val="none"/>
          <w:u w:val="none"/>
          <w:lang w:val="en-US" w:eastAsia="zh-CN"/>
        </w:rPr>
        <w:t>934000.00</w:t>
      </w:r>
      <w:r>
        <w:rPr>
          <w:rFonts w:hint="eastAsia" w:ascii="宋体" w:hAnsi="宋体" w:eastAsia="宋体" w:cs="宋体"/>
          <w:i w:val="0"/>
          <w:iCs w:val="0"/>
          <w:color w:val="auto"/>
          <w:sz w:val="24"/>
          <w:szCs w:val="24"/>
          <w:highlight w:val="none"/>
          <w:u w:val="none"/>
        </w:rPr>
        <w:t xml:space="preserve">  </w:t>
      </w:r>
      <w:bookmarkStart w:id="733" w:name="_GoBack"/>
      <w:bookmarkEnd w:id="733"/>
    </w:p>
    <w:p w14:paraId="539C601C">
      <w:pPr>
        <w:pStyle w:val="36"/>
        <w:rPr>
          <w:rFonts w:hint="eastAsia" w:ascii="宋体" w:hAnsi="宋体" w:eastAsia="宋体" w:cs="宋体"/>
          <w:i w:val="0"/>
          <w:iCs w:val="0"/>
          <w:color w:val="auto"/>
          <w:sz w:val="24"/>
          <w:szCs w:val="24"/>
          <w:highlight w:val="none"/>
          <w:lang w:val="hr-HR" w:eastAsia="zh-CN"/>
        </w:rPr>
      </w:pPr>
      <w:r>
        <w:rPr>
          <w:rFonts w:hint="eastAsia" w:ascii="宋体" w:hAnsi="宋体" w:eastAsia="宋体" w:cs="宋体"/>
          <w:i w:val="0"/>
          <w:iCs w:val="0"/>
          <w:color w:val="auto"/>
          <w:sz w:val="24"/>
          <w:szCs w:val="24"/>
          <w:highlight w:val="none"/>
        </w:rPr>
        <w:t>最高限价（元）</w:t>
      </w:r>
      <w:r>
        <w:rPr>
          <w:rFonts w:hint="eastAsia" w:ascii="宋体" w:hAnsi="宋体" w:eastAsia="宋体" w:cs="宋体"/>
          <w:i w:val="0"/>
          <w:iCs w:val="0"/>
          <w:color w:val="auto"/>
          <w:sz w:val="24"/>
          <w:szCs w:val="24"/>
          <w:highlight w:val="none"/>
          <w:lang w:val="hr-HR"/>
        </w:rPr>
        <w:t>：</w:t>
      </w:r>
      <w:r>
        <w:rPr>
          <w:rFonts w:hint="eastAsia" w:cs="宋体"/>
          <w:i w:val="0"/>
          <w:iCs w:val="0"/>
          <w:color w:val="auto"/>
          <w:sz w:val="24"/>
          <w:szCs w:val="24"/>
          <w:highlight w:val="none"/>
          <w:u w:val="none"/>
          <w:lang w:val="en-US" w:eastAsia="zh-CN"/>
        </w:rPr>
        <w:t>934000.00</w:t>
      </w:r>
      <w:r>
        <w:rPr>
          <w:rFonts w:hint="eastAsia" w:ascii="宋体" w:hAnsi="宋体" w:eastAsia="宋体" w:cs="宋体"/>
          <w:i w:val="0"/>
          <w:iCs w:val="0"/>
          <w:color w:val="auto"/>
          <w:sz w:val="24"/>
          <w:szCs w:val="24"/>
          <w:highlight w:val="none"/>
          <w:u w:val="none"/>
        </w:rPr>
        <w:t xml:space="preserve">   </w:t>
      </w:r>
    </w:p>
    <w:p w14:paraId="666CC197">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firstLine="480" w:firstLineChars="20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采购需求</w:t>
      </w:r>
      <w:bookmarkStart w:id="19" w:name="_Toc35393630"/>
      <w:bookmarkStart w:id="20" w:name="_Toc19653"/>
      <w:bookmarkStart w:id="21" w:name="_Toc35393799"/>
      <w:bookmarkStart w:id="22" w:name="_Toc163492813"/>
      <w:bookmarkStart w:id="23" w:name="_Toc44583629"/>
      <w:bookmarkStart w:id="24" w:name="_Toc109899830"/>
      <w:bookmarkStart w:id="25" w:name="_Toc28359090"/>
      <w:bookmarkStart w:id="26" w:name="_Toc109899411"/>
      <w:bookmarkStart w:id="27" w:name="_Toc109900249"/>
      <w:bookmarkStart w:id="28" w:name="_Toc28359013"/>
      <w:bookmarkStart w:id="29" w:name="_Toc155185861"/>
      <w:bookmarkStart w:id="30" w:name="_Toc140132746"/>
      <w:r>
        <w:rPr>
          <w:rFonts w:hint="eastAsia" w:ascii="宋体" w:hAnsi="宋体" w:eastAsia="宋体" w:cs="宋体"/>
          <w:b w:val="0"/>
          <w:bCs w:val="0"/>
          <w:i w:val="0"/>
          <w:iCs w:val="0"/>
          <w:color w:val="auto"/>
          <w:sz w:val="24"/>
          <w:szCs w:val="24"/>
          <w:highlight w:val="none"/>
          <w:lang w:val="hr-HR"/>
        </w:rPr>
        <w:t>：</w:t>
      </w:r>
    </w:p>
    <w:p w14:paraId="172F74EA">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eastAsia="zh-CN"/>
        </w:rPr>
      </w:pPr>
      <w:r>
        <w:rPr>
          <w:rFonts w:hint="eastAsia" w:ascii="宋体" w:hAnsi="宋体" w:eastAsia="宋体" w:cs="宋体"/>
          <w:b w:val="0"/>
          <w:bCs w:val="0"/>
          <w:i w:val="0"/>
          <w:iCs w:val="0"/>
          <w:color w:val="auto"/>
          <w:sz w:val="24"/>
          <w:szCs w:val="24"/>
          <w:highlight w:val="none"/>
          <w:lang w:val="hr-HR"/>
        </w:rPr>
        <w:t>标项名称:</w:t>
      </w:r>
      <w:r>
        <w:rPr>
          <w:rFonts w:hint="eastAsia" w:ascii="宋体" w:hAnsi="宋体" w:cs="宋体"/>
          <w:b w:val="0"/>
          <w:bCs w:val="0"/>
          <w:i w:val="0"/>
          <w:iCs w:val="0"/>
          <w:color w:val="auto"/>
          <w:sz w:val="24"/>
          <w:szCs w:val="24"/>
          <w:highlight w:val="none"/>
          <w:lang w:val="hr-HR" w:eastAsia="zh-CN"/>
        </w:rPr>
        <w:t>2026年中国新疆人才网示范推广项目</w:t>
      </w:r>
    </w:p>
    <w:p w14:paraId="7BA58A16">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数量:1</w:t>
      </w:r>
    </w:p>
    <w:p w14:paraId="0947AD55">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 xml:space="preserve"> 预算金额（元）:</w:t>
      </w:r>
      <w:r>
        <w:rPr>
          <w:rFonts w:hint="eastAsia" w:ascii="宋体" w:hAnsi="宋体" w:eastAsia="宋体" w:cs="宋体"/>
          <w:b w:val="0"/>
          <w:bCs w:val="0"/>
          <w:i w:val="0"/>
          <w:iCs w:val="0"/>
          <w:color w:val="auto"/>
          <w:kern w:val="2"/>
          <w:sz w:val="24"/>
          <w:szCs w:val="24"/>
          <w:highlight w:val="none"/>
          <w:u w:val="none"/>
          <w:lang w:val="en-US" w:eastAsia="zh-CN" w:bidi="ar-SA"/>
        </w:rPr>
        <w:t>934000.00</w:t>
      </w:r>
      <w:r>
        <w:rPr>
          <w:rFonts w:hint="eastAsia" w:ascii="宋体" w:hAnsi="宋体" w:eastAsia="宋体" w:cs="宋体"/>
          <w:b w:val="0"/>
          <w:bCs w:val="0"/>
          <w:i w:val="0"/>
          <w:iCs w:val="0"/>
          <w:color w:val="auto"/>
          <w:kern w:val="2"/>
          <w:sz w:val="24"/>
          <w:szCs w:val="24"/>
          <w:highlight w:val="none"/>
          <w:u w:val="none"/>
          <w:lang w:val="hr-HR" w:eastAsia="zh-CN" w:bidi="ar-SA"/>
        </w:rPr>
        <w:t xml:space="preserve">    </w:t>
      </w:r>
      <w:r>
        <w:rPr>
          <w:rFonts w:hint="eastAsia" w:ascii="宋体" w:hAnsi="宋体" w:eastAsia="宋体" w:cs="宋体"/>
          <w:b w:val="0"/>
          <w:bCs w:val="0"/>
          <w:i w:val="0"/>
          <w:iCs w:val="0"/>
          <w:color w:val="auto"/>
          <w:sz w:val="24"/>
          <w:szCs w:val="24"/>
          <w:highlight w:val="none"/>
          <w:lang w:val="hr-HR"/>
        </w:rPr>
        <w:t xml:space="preserve"> </w:t>
      </w:r>
    </w:p>
    <w:p w14:paraId="042F8C4B">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 xml:space="preserve"> 单位：件 </w:t>
      </w:r>
    </w:p>
    <w:p w14:paraId="179651A1">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简要规格描述：</w:t>
      </w:r>
      <w:r>
        <w:rPr>
          <w:rFonts w:hint="eastAsia" w:ascii="宋体" w:hAnsi="宋体" w:cs="宋体"/>
          <w:b w:val="0"/>
          <w:bCs w:val="0"/>
          <w:i w:val="0"/>
          <w:iCs w:val="0"/>
          <w:color w:val="auto"/>
          <w:sz w:val="24"/>
          <w:szCs w:val="24"/>
          <w:highlight w:val="none"/>
          <w:lang w:val="hr-HR" w:eastAsia="zh-CN"/>
        </w:rPr>
        <w:t>2026年中国新疆人才网示范推广项目</w:t>
      </w:r>
      <w:r>
        <w:rPr>
          <w:rFonts w:hint="eastAsia" w:ascii="宋体" w:hAnsi="宋体" w:eastAsia="宋体" w:cs="宋体"/>
          <w:b w:val="0"/>
          <w:bCs w:val="0"/>
          <w:i w:val="0"/>
          <w:iCs w:val="0"/>
          <w:color w:val="auto"/>
          <w:sz w:val="24"/>
          <w:szCs w:val="24"/>
          <w:highlight w:val="none"/>
          <w:lang w:val="hr-HR"/>
        </w:rPr>
        <w:t>，具体详见磋商文件。</w:t>
      </w:r>
    </w:p>
    <w:p w14:paraId="4F61A1E9">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 xml:space="preserve">  </w:t>
      </w:r>
      <w:r>
        <w:rPr>
          <w:rFonts w:hint="eastAsia" w:ascii="宋体" w:hAnsi="宋体" w:cs="宋体"/>
          <w:b w:val="0"/>
          <w:bCs w:val="0"/>
          <w:i w:val="0"/>
          <w:iCs w:val="0"/>
          <w:color w:val="auto"/>
          <w:sz w:val="24"/>
          <w:szCs w:val="24"/>
          <w:highlight w:val="none"/>
          <w:lang w:val="en-US" w:eastAsia="zh-CN"/>
        </w:rPr>
        <w:t xml:space="preserve">  </w:t>
      </w:r>
      <w:r>
        <w:rPr>
          <w:rFonts w:hint="eastAsia" w:ascii="宋体" w:hAnsi="宋体" w:eastAsia="宋体" w:cs="宋体"/>
          <w:b w:val="0"/>
          <w:bCs w:val="0"/>
          <w:i w:val="0"/>
          <w:iCs w:val="0"/>
          <w:color w:val="auto"/>
          <w:sz w:val="24"/>
          <w:szCs w:val="24"/>
          <w:highlight w:val="none"/>
          <w:lang w:val="hr-HR"/>
        </w:rPr>
        <w:t>备注：</w:t>
      </w:r>
    </w:p>
    <w:p w14:paraId="3C3AB6D0">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i w:val="0"/>
          <w:iCs w:val="0"/>
          <w:color w:val="auto"/>
          <w:sz w:val="24"/>
          <w:szCs w:val="24"/>
          <w:highlight w:val="none"/>
          <w:lang w:val="hr-HR" w:eastAsia="zh-CN"/>
        </w:rPr>
      </w:pPr>
      <w:r>
        <w:rPr>
          <w:rFonts w:hint="eastAsia" w:ascii="宋体" w:hAnsi="宋体" w:eastAsia="宋体" w:cs="宋体"/>
          <w:b w:val="0"/>
          <w:bCs w:val="0"/>
          <w:i w:val="0"/>
          <w:iCs w:val="0"/>
          <w:color w:val="auto"/>
          <w:sz w:val="24"/>
          <w:szCs w:val="24"/>
          <w:highlight w:val="none"/>
          <w:lang w:val="hr-HR"/>
        </w:rPr>
        <w:t>合同履约期限：</w:t>
      </w:r>
      <w:r>
        <w:rPr>
          <w:rFonts w:hint="eastAsia" w:ascii="宋体" w:hAnsi="宋体" w:eastAsia="宋体" w:cs="宋体"/>
          <w:b w:val="0"/>
          <w:bCs w:val="0"/>
          <w:i w:val="0"/>
          <w:iCs w:val="0"/>
          <w:color w:val="auto"/>
          <w:sz w:val="24"/>
          <w:szCs w:val="24"/>
          <w:highlight w:val="none"/>
          <w:lang w:val="en-US" w:eastAsia="zh-CN"/>
        </w:rPr>
        <w:t>合同签订生效之日起至2026年11月30日止。</w:t>
      </w:r>
    </w:p>
    <w:p w14:paraId="3A1641EA">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80" w:leftChars="200" w:firstLine="60" w:firstLineChars="25"/>
        <w:textAlignment w:val="auto"/>
        <w:rPr>
          <w:rFonts w:hint="eastAsia" w:ascii="宋体" w:hAnsi="宋体" w:eastAsia="宋体" w:cs="宋体"/>
          <w:b w:val="0"/>
          <w:bCs w:val="0"/>
          <w:i w:val="0"/>
          <w:iCs w:val="0"/>
          <w:color w:val="auto"/>
          <w:sz w:val="24"/>
          <w:szCs w:val="24"/>
          <w:highlight w:val="none"/>
          <w:lang w:val="hr-HR"/>
        </w:rPr>
      </w:pPr>
      <w:r>
        <w:rPr>
          <w:rFonts w:hint="eastAsia" w:ascii="宋体" w:hAnsi="宋体" w:eastAsia="宋体" w:cs="宋体"/>
          <w:b w:val="0"/>
          <w:bCs w:val="0"/>
          <w:i w:val="0"/>
          <w:iCs w:val="0"/>
          <w:color w:val="auto"/>
          <w:sz w:val="24"/>
          <w:szCs w:val="24"/>
          <w:highlight w:val="none"/>
          <w:lang w:val="hr-HR"/>
        </w:rPr>
        <w:t>本项目（否）接受联合体</w:t>
      </w:r>
      <w:r>
        <w:rPr>
          <w:rFonts w:hint="eastAsia" w:ascii="宋体" w:hAnsi="宋体" w:cs="宋体"/>
          <w:b w:val="0"/>
          <w:bCs w:val="0"/>
          <w:i w:val="0"/>
          <w:iCs w:val="0"/>
          <w:color w:val="auto"/>
          <w:sz w:val="24"/>
          <w:szCs w:val="24"/>
          <w:highlight w:val="none"/>
          <w:lang w:val="en-US" w:eastAsia="zh-CN"/>
        </w:rPr>
        <w:t>响应</w:t>
      </w:r>
      <w:r>
        <w:rPr>
          <w:rFonts w:hint="eastAsia" w:ascii="宋体" w:hAnsi="宋体" w:eastAsia="宋体" w:cs="宋体"/>
          <w:b w:val="0"/>
          <w:bCs w:val="0"/>
          <w:i w:val="0"/>
          <w:iCs w:val="0"/>
          <w:color w:val="auto"/>
          <w:sz w:val="24"/>
          <w:szCs w:val="24"/>
          <w:highlight w:val="none"/>
          <w:lang w:val="hr-HR"/>
        </w:rPr>
        <w:t>。</w:t>
      </w:r>
    </w:p>
    <w:p w14:paraId="2D55BBD7">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二、申请人的</w:t>
      </w:r>
      <w:r>
        <w:rPr>
          <w:rFonts w:hint="eastAsia" w:ascii="宋体" w:hAnsi="宋体" w:eastAsia="宋体" w:cs="宋体"/>
          <w:b/>
          <w:bCs/>
          <w:i w:val="0"/>
          <w:iCs w:val="0"/>
          <w:color w:val="auto"/>
          <w:kern w:val="2"/>
          <w:sz w:val="24"/>
          <w:szCs w:val="24"/>
          <w:highlight w:val="none"/>
          <w:lang w:val="hr-HR" w:eastAsia="zh-CN" w:bidi="ar-SA"/>
        </w:rPr>
        <w:t>资格要求</w:t>
      </w:r>
      <w:bookmarkEnd w:id="19"/>
      <w:bookmarkEnd w:id="20"/>
      <w:bookmarkEnd w:id="21"/>
      <w:bookmarkEnd w:id="22"/>
      <w:bookmarkEnd w:id="23"/>
      <w:bookmarkEnd w:id="24"/>
      <w:bookmarkEnd w:id="25"/>
      <w:bookmarkEnd w:id="26"/>
      <w:bookmarkEnd w:id="27"/>
      <w:bookmarkEnd w:id="28"/>
      <w:bookmarkEnd w:id="29"/>
      <w:bookmarkEnd w:id="30"/>
    </w:p>
    <w:p w14:paraId="06488171">
      <w:pPr>
        <w:ind w:firstLine="480" w:firstLineChars="200"/>
        <w:rPr>
          <w:rFonts w:hint="eastAsia" w:ascii="宋体" w:hAnsi="宋体" w:eastAsia="宋体" w:cs="宋体"/>
          <w:i w:val="0"/>
          <w:iCs w:val="0"/>
          <w:strike/>
          <w:color w:val="auto"/>
          <w:sz w:val="24"/>
          <w:szCs w:val="24"/>
          <w:highlight w:val="none"/>
          <w:lang w:val="en-US" w:eastAsia="zh-CN"/>
        </w:rPr>
      </w:pPr>
      <w:bookmarkStart w:id="31" w:name="_Toc44583630"/>
      <w:bookmarkStart w:id="32" w:name="_Toc28359014"/>
      <w:bookmarkStart w:id="33" w:name="_Toc35393800"/>
      <w:bookmarkStart w:id="34" w:name="_Toc35393631"/>
      <w:bookmarkStart w:id="35" w:name="_Toc28359091"/>
      <w:r>
        <w:rPr>
          <w:rFonts w:hint="eastAsia" w:ascii="宋体" w:hAnsi="宋体" w:eastAsia="宋体" w:cs="宋体"/>
          <w:i w:val="0"/>
          <w:iCs w:val="0"/>
          <w:color w:val="auto"/>
          <w:sz w:val="24"/>
          <w:szCs w:val="24"/>
          <w:highlight w:val="none"/>
          <w:lang w:val="en-US" w:eastAsia="zh-CN"/>
        </w:rPr>
        <w:t>1. 满足《中华人民共和国政府采购法》第二十二条规定；</w:t>
      </w:r>
    </w:p>
    <w:p w14:paraId="576EFADE">
      <w:pPr>
        <w:ind w:firstLine="480" w:firstLineChars="200"/>
        <w:rPr>
          <w:rFonts w:hint="eastAsia" w:ascii="宋体" w:hAnsi="宋体" w:eastAsia="宋体" w:cs="宋体"/>
          <w:i w:val="0"/>
          <w:iCs w:val="0"/>
          <w:color w:val="auto"/>
          <w:sz w:val="24"/>
          <w:szCs w:val="24"/>
          <w:highlight w:val="none"/>
          <w:u w:val="none"/>
          <w:lang w:val="en-US" w:eastAsia="zh-CN"/>
        </w:rPr>
      </w:pPr>
      <w:bookmarkStart w:id="36" w:name="_Hlk89807755"/>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.落实政府采购政策需满足的资格要求：标项1：</w:t>
      </w:r>
      <w:r>
        <w:rPr>
          <w:rFonts w:hint="eastAsia" w:ascii="宋体" w:hAnsi="宋体" w:eastAsia="宋体" w:cs="宋体"/>
          <w:b/>
          <w:bCs/>
          <w:i w:val="0"/>
          <w:iCs w:val="0"/>
          <w:color w:val="auto"/>
          <w:sz w:val="24"/>
          <w:szCs w:val="24"/>
          <w:highlight w:val="none"/>
        </w:rPr>
        <w:t>本项目专门面向中小企业</w:t>
      </w:r>
      <w:r>
        <w:rPr>
          <w:rFonts w:hint="eastAsia" w:ascii="宋体" w:hAnsi="宋体" w:eastAsia="宋体" w:cs="宋体"/>
          <w:i w:val="0"/>
          <w:iCs w:val="0"/>
          <w:color w:val="auto"/>
          <w:sz w:val="24"/>
          <w:szCs w:val="24"/>
          <w:highlight w:val="none"/>
        </w:rPr>
        <w:t>，供应商须按</w:t>
      </w:r>
      <w:r>
        <w:rPr>
          <w:rFonts w:hint="eastAsia"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文件要求提供《中小企业声明函》。</w:t>
      </w:r>
      <w:r>
        <w:rPr>
          <w:rFonts w:hint="eastAsia" w:ascii="宋体" w:hAnsi="宋体" w:eastAsia="宋体" w:cs="宋体"/>
          <w:i w:val="0"/>
          <w:iCs w:val="0"/>
          <w:color w:val="auto"/>
          <w:sz w:val="24"/>
          <w:szCs w:val="24"/>
          <w:highlight w:val="none"/>
          <w:u w:val="none"/>
          <w:lang w:val="en-US" w:eastAsia="zh-CN"/>
        </w:rPr>
        <w:t xml:space="preserve">        </w:t>
      </w:r>
    </w:p>
    <w:p w14:paraId="4254C44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3.本项目的特定资格要求：</w:t>
      </w:r>
    </w:p>
    <w:p w14:paraId="1540EDE7">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（1）法定代表人或单位负责人为同一人或者存在直接控股、管理关系的不同供应商，不得参加同一合同项下的政府采购活动。</w:t>
      </w:r>
    </w:p>
    <w:p w14:paraId="7306F0EC">
      <w:pPr>
        <w:ind w:firstLine="480" w:firstLineChars="200"/>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（2）除单一来源采购项目外，为采购项目提供整体设计、规范编制或者项目管理、监理、检测等服务的供应商，不得再参加该采购项目的其他采购活动。</w:t>
      </w:r>
    </w:p>
    <w:p w14:paraId="4C77B10C">
      <w:pPr>
        <w:ind w:firstLine="480" w:firstLineChars="200"/>
        <w:rPr>
          <w:rFonts w:hint="eastAsia" w:ascii="宋体" w:hAnsi="宋体" w:eastAsia="宋体" w:cs="宋体"/>
          <w:i w:val="0"/>
          <w:iCs w:val="0"/>
          <w:color w:val="auto"/>
          <w:sz w:val="24"/>
          <w:szCs w:val="24"/>
          <w:highlight w:val="none"/>
          <w:u w:val="single"/>
          <w:lang w:val="en-US" w:eastAsia="zh-CN"/>
        </w:rPr>
      </w:pPr>
      <w:r>
        <w:rPr>
          <w:rFonts w:hint="eastAsia" w:ascii="宋体" w:hAnsi="宋体" w:eastAsia="宋体" w:cs="宋体"/>
          <w:i w:val="0"/>
          <w:iCs w:val="0"/>
          <w:color w:val="auto"/>
          <w:sz w:val="24"/>
          <w:szCs w:val="24"/>
          <w:highlight w:val="none"/>
          <w:u w:val="none"/>
          <w:lang w:val="en-US" w:eastAsia="zh-CN"/>
        </w:rPr>
        <w:t>（3）供应商的信用行为：在资格审查阶段经查询，</w:t>
      </w:r>
      <w:r>
        <w:rPr>
          <w:rFonts w:hint="eastAsia" w:cs="宋体"/>
          <w:i w:val="0"/>
          <w:iCs w:val="0"/>
          <w:color w:val="auto"/>
          <w:sz w:val="24"/>
          <w:szCs w:val="24"/>
          <w:highlight w:val="none"/>
          <w:u w:val="none"/>
          <w:lang w:val="en-US" w:eastAsia="zh-CN"/>
        </w:rPr>
        <w:t>供应商</w:t>
      </w:r>
      <w:r>
        <w:rPr>
          <w:rFonts w:hint="eastAsia" w:ascii="宋体" w:hAnsi="宋体" w:eastAsia="宋体" w:cs="宋体"/>
          <w:i w:val="0"/>
          <w:iCs w:val="0"/>
          <w:color w:val="auto"/>
          <w:sz w:val="24"/>
          <w:szCs w:val="24"/>
          <w:highlight w:val="none"/>
          <w:u w:val="none"/>
          <w:lang w:val="en-US" w:eastAsia="zh-CN"/>
        </w:rPr>
        <w:t>未被列入“信用中国”网站(www.creditchina.gov.cn)“记录失信被执行人或重大税收违法案件当事人名单或政府采购严重违法失信行为”记录名单；未处于中国政府采购网(www.ccgp.gov.cn)“政府采购严重违法失信行为信息记录”中(以采购代理机构于递交</w:t>
      </w:r>
      <w:r>
        <w:rPr>
          <w:rFonts w:hint="eastAsia" w:cs="宋体"/>
          <w:i w:val="0"/>
          <w:iCs w:val="0"/>
          <w:color w:val="auto"/>
          <w:sz w:val="24"/>
          <w:szCs w:val="24"/>
          <w:highlight w:val="none"/>
          <w:u w:val="none"/>
          <w:lang w:val="en-US" w:eastAsia="zh-CN"/>
        </w:rPr>
        <w:t>响应</w:t>
      </w:r>
      <w:r>
        <w:rPr>
          <w:rFonts w:hint="eastAsia" w:ascii="宋体" w:hAnsi="宋体" w:eastAsia="宋体" w:cs="宋体"/>
          <w:i w:val="0"/>
          <w:iCs w:val="0"/>
          <w:color w:val="auto"/>
          <w:sz w:val="24"/>
          <w:szCs w:val="24"/>
          <w:highlight w:val="none"/>
          <w:u w:val="none"/>
          <w:lang w:val="en-US" w:eastAsia="zh-CN"/>
        </w:rPr>
        <w:t>文件截止日当天在“信用中国”网站(www.creditchina.gov.cn)及中国政府采购网(www.ccgp.gov.cn)查询结果为准)。如有以上不良信用记录之一的，其</w:t>
      </w:r>
      <w:r>
        <w:rPr>
          <w:rFonts w:hint="eastAsia" w:ascii="宋体" w:hAnsi="宋体" w:eastAsia="宋体" w:cs="宋体"/>
          <w:b/>
          <w:bCs/>
          <w:i w:val="0"/>
          <w:iCs w:val="0"/>
          <w:color w:val="auto"/>
          <w:sz w:val="24"/>
          <w:szCs w:val="24"/>
          <w:highlight w:val="none"/>
          <w:u w:val="none"/>
          <w:lang w:val="en-US" w:eastAsia="zh-CN"/>
        </w:rPr>
        <w:t>投标无效</w:t>
      </w:r>
      <w:r>
        <w:rPr>
          <w:rFonts w:hint="eastAsia" w:ascii="宋体" w:hAnsi="宋体" w:eastAsia="宋体" w:cs="宋体"/>
          <w:i w:val="0"/>
          <w:iCs w:val="0"/>
          <w:color w:val="auto"/>
          <w:sz w:val="24"/>
          <w:szCs w:val="24"/>
          <w:highlight w:val="none"/>
          <w:u w:val="none"/>
          <w:lang w:val="en-US" w:eastAsia="zh-CN"/>
        </w:rPr>
        <w:t>。</w:t>
      </w:r>
    </w:p>
    <w:bookmarkEnd w:id="36"/>
    <w:p w14:paraId="7687021F">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37" w:name="_Toc155185862"/>
      <w:bookmarkStart w:id="38" w:name="_Toc109900250"/>
      <w:bookmarkStart w:id="39" w:name="_Toc109899412"/>
      <w:bookmarkStart w:id="40" w:name="_Toc163492814"/>
      <w:bookmarkStart w:id="41" w:name="_Toc109899831"/>
      <w:bookmarkStart w:id="42" w:name="_Toc140132747"/>
      <w:bookmarkStart w:id="43" w:name="_Toc11100"/>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hr-HR" w:eastAsia="zh-CN" w:bidi="ar-SA"/>
        </w:rPr>
        <w:t>获取</w:t>
      </w:r>
      <w:r>
        <w:rPr>
          <w:rFonts w:hint="eastAsia" w:ascii="宋体" w:hAnsi="宋体" w:eastAsia="宋体" w:cs="宋体"/>
          <w:b/>
          <w:bCs/>
          <w:i w:val="0"/>
          <w:iCs w:val="0"/>
          <w:color w:val="auto"/>
          <w:kern w:val="2"/>
          <w:sz w:val="24"/>
          <w:szCs w:val="24"/>
          <w:highlight w:val="none"/>
          <w:lang w:val="en-US" w:eastAsia="zh-CN" w:bidi="ar-SA"/>
        </w:rPr>
        <w:t>采购</w:t>
      </w:r>
      <w:r>
        <w:rPr>
          <w:rFonts w:hint="eastAsia" w:ascii="宋体" w:hAnsi="宋体" w:eastAsia="宋体" w:cs="宋体"/>
          <w:b/>
          <w:bCs/>
          <w:i w:val="0"/>
          <w:iCs w:val="0"/>
          <w:color w:val="auto"/>
          <w:kern w:val="2"/>
          <w:sz w:val="24"/>
          <w:szCs w:val="24"/>
          <w:highlight w:val="none"/>
          <w:lang w:val="hr-HR" w:eastAsia="zh-CN" w:bidi="ar-SA"/>
        </w:rPr>
        <w:t>文件</w:t>
      </w:r>
      <w:bookmarkEnd w:id="31"/>
      <w:bookmarkEnd w:id="32"/>
      <w:bookmarkEnd w:id="33"/>
      <w:bookmarkEnd w:id="34"/>
      <w:bookmarkEnd w:id="35"/>
      <w:bookmarkEnd w:id="37"/>
      <w:bookmarkEnd w:id="38"/>
      <w:bookmarkEnd w:id="39"/>
      <w:bookmarkEnd w:id="40"/>
      <w:bookmarkEnd w:id="41"/>
      <w:bookmarkEnd w:id="42"/>
      <w:bookmarkEnd w:id="43"/>
      <w:r>
        <w:rPr>
          <w:rFonts w:hint="eastAsia" w:ascii="宋体" w:hAnsi="宋体" w:eastAsia="宋体" w:cs="宋体"/>
          <w:b/>
          <w:bCs/>
          <w:i w:val="0"/>
          <w:iCs w:val="0"/>
          <w:color w:val="auto"/>
          <w:kern w:val="2"/>
          <w:sz w:val="24"/>
          <w:szCs w:val="24"/>
          <w:highlight w:val="none"/>
          <w:lang w:val="hr-HR" w:eastAsia="zh-CN" w:bidi="ar-SA"/>
        </w:rPr>
        <w:t xml:space="preserve"> </w:t>
      </w:r>
    </w:p>
    <w:p w14:paraId="09318E6D">
      <w:pPr>
        <w:pStyle w:val="36"/>
        <w:rPr>
          <w:rFonts w:hint="eastAsia" w:ascii="宋体" w:hAnsi="宋体" w:eastAsia="宋体" w:cs="宋体"/>
          <w:i w:val="0"/>
          <w:iCs w:val="0"/>
          <w:color w:val="auto"/>
          <w:sz w:val="24"/>
          <w:szCs w:val="24"/>
          <w:highlight w:val="none"/>
          <w:lang w:val="en-US" w:eastAsia="zh-CN"/>
        </w:rPr>
      </w:pPr>
      <w:bookmarkStart w:id="44" w:name="_Toc163492815"/>
      <w:bookmarkStart w:id="45" w:name="_Toc155185863"/>
      <w:bookmarkStart w:id="46" w:name="_Toc109899413"/>
      <w:bookmarkStart w:id="47" w:name="_Toc140132748"/>
      <w:bookmarkStart w:id="48" w:name="_Toc109900251"/>
      <w:bookmarkStart w:id="49" w:name="_Toc109899832"/>
      <w:bookmarkStart w:id="50" w:name="_Toc646"/>
      <w:r>
        <w:rPr>
          <w:rFonts w:hint="eastAsia" w:ascii="宋体" w:hAnsi="宋体" w:eastAsia="宋体" w:cs="宋体"/>
          <w:i w:val="0"/>
          <w:iCs w:val="0"/>
          <w:color w:val="auto"/>
          <w:sz w:val="24"/>
          <w:szCs w:val="24"/>
          <w:highlight w:val="none"/>
          <w:lang w:val="en-US" w:eastAsia="zh-CN"/>
        </w:rPr>
        <w:t>时间：2026年</w:t>
      </w:r>
      <w:r>
        <w:rPr>
          <w:rFonts w:hint="eastAsia"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en-US" w:eastAsia="zh-CN"/>
        </w:rPr>
        <w:t>月</w:t>
      </w:r>
      <w:r>
        <w:rPr>
          <w:rFonts w:hint="eastAsia" w:cs="宋体"/>
          <w:i w:val="0"/>
          <w:iCs w:val="0"/>
          <w:color w:val="auto"/>
          <w:sz w:val="24"/>
          <w:szCs w:val="24"/>
          <w:highlight w:val="none"/>
          <w:lang w:val="en-US" w:eastAsia="zh-CN"/>
        </w:rPr>
        <w:t>19</w:t>
      </w:r>
      <w:r>
        <w:rPr>
          <w:rFonts w:hint="eastAsia" w:ascii="宋体" w:hAnsi="宋体" w:eastAsia="宋体" w:cs="宋体"/>
          <w:i w:val="0"/>
          <w:iCs w:val="0"/>
          <w:color w:val="auto"/>
          <w:sz w:val="24"/>
          <w:szCs w:val="24"/>
          <w:highlight w:val="none"/>
          <w:lang w:val="en-US" w:eastAsia="zh-CN"/>
        </w:rPr>
        <w:t>日至2026年</w:t>
      </w:r>
      <w:r>
        <w:rPr>
          <w:rFonts w:hint="eastAsia"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en-US" w:eastAsia="zh-CN"/>
        </w:rPr>
        <w:t>月</w:t>
      </w:r>
      <w:r>
        <w:rPr>
          <w:rFonts w:hint="eastAsia" w:cs="宋体"/>
          <w:i w:val="0"/>
          <w:iCs w:val="0"/>
          <w:color w:val="auto"/>
          <w:sz w:val="24"/>
          <w:szCs w:val="24"/>
          <w:highlight w:val="none"/>
          <w:lang w:val="en-US" w:eastAsia="zh-CN"/>
        </w:rPr>
        <w:t>26</w:t>
      </w:r>
      <w:r>
        <w:rPr>
          <w:rFonts w:hint="eastAsia" w:ascii="宋体" w:hAnsi="宋体" w:eastAsia="宋体" w:cs="宋体"/>
          <w:i w:val="0"/>
          <w:iCs w:val="0"/>
          <w:color w:val="auto"/>
          <w:sz w:val="24"/>
          <w:szCs w:val="24"/>
          <w:highlight w:val="none"/>
          <w:lang w:val="en-US" w:eastAsia="zh-CN"/>
        </w:rPr>
        <w:t>日，每天上午00:00 至23:59。（北京时间，法定节假日除外）。</w:t>
      </w:r>
    </w:p>
    <w:p w14:paraId="4B157D50">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地点：请登录政采云投标客户端</w:t>
      </w:r>
      <w:r>
        <w:rPr>
          <w:rFonts w:hint="eastAsia"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val="en-US" w:eastAsia="zh-CN"/>
        </w:rPr>
        <w:t>（网址：https://www.zcygov.cn/）。</w:t>
      </w:r>
    </w:p>
    <w:p w14:paraId="1CACE909">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方式：投标供应商登录政采云平台https://www.zcygov.cn/在线申请，免费获取电子采购文件（进入“项目采购”应用，在获取采购文件菜单中选择项目，申请获取采购文件）。</w:t>
      </w:r>
    </w:p>
    <w:p w14:paraId="6E7F4932">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售价</w:t>
      </w:r>
      <w:r>
        <w:rPr>
          <w:rFonts w:hint="eastAsia" w:ascii="宋体" w:hAnsi="宋体" w:eastAsia="宋体" w:cs="宋体"/>
          <w:i w:val="0"/>
          <w:iCs w:val="0"/>
          <w:color w:val="auto"/>
          <w:sz w:val="24"/>
          <w:szCs w:val="24"/>
          <w:highlight w:val="none"/>
          <w:lang w:val="hr-HR"/>
        </w:rPr>
        <w:t>（元）</w:t>
      </w:r>
      <w:r>
        <w:rPr>
          <w:rFonts w:hint="eastAsia" w:ascii="宋体" w:hAnsi="宋体" w:eastAsia="宋体" w:cs="宋体"/>
          <w:i w:val="0"/>
          <w:iCs w:val="0"/>
          <w:color w:val="auto"/>
          <w:sz w:val="24"/>
          <w:szCs w:val="24"/>
          <w:highlight w:val="none"/>
          <w:lang w:val="en-US" w:eastAsia="zh-CN"/>
        </w:rPr>
        <w:t xml:space="preserve">： 0 </w:t>
      </w:r>
    </w:p>
    <w:p w14:paraId="0681F60E">
      <w:pPr>
        <w:pStyle w:val="36"/>
        <w:rPr>
          <w:rFonts w:hint="eastAsia" w:ascii="宋体" w:hAnsi="宋体" w:eastAsia="宋体" w:cs="宋体"/>
          <w:b/>
          <w:bCs/>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en-US" w:eastAsia="zh-CN" w:bidi="ar-SA"/>
        </w:rPr>
        <w:t>四、</w:t>
      </w:r>
      <w:bookmarkEnd w:id="44"/>
      <w:bookmarkEnd w:id="45"/>
      <w:bookmarkEnd w:id="46"/>
      <w:bookmarkEnd w:id="47"/>
      <w:bookmarkEnd w:id="48"/>
      <w:bookmarkEnd w:id="49"/>
      <w:r>
        <w:rPr>
          <w:rFonts w:hint="eastAsia" w:ascii="宋体" w:hAnsi="宋体" w:eastAsia="宋体" w:cs="宋体"/>
          <w:b/>
          <w:bCs/>
          <w:i w:val="0"/>
          <w:iCs w:val="0"/>
          <w:color w:val="auto"/>
          <w:spacing w:val="-6"/>
          <w:kern w:val="2"/>
          <w:sz w:val="24"/>
          <w:szCs w:val="24"/>
          <w:highlight w:val="none"/>
          <w:lang w:val="hr-HR" w:eastAsia="zh-CN" w:bidi="ar-SA"/>
        </w:rPr>
        <w:t>响应文件提交</w:t>
      </w:r>
      <w:bookmarkEnd w:id="50"/>
    </w:p>
    <w:p w14:paraId="58C51A7B">
      <w:pPr>
        <w:pStyle w:val="36"/>
        <w:rPr>
          <w:rFonts w:hint="eastAsia" w:ascii="宋体" w:hAnsi="宋体" w:eastAsia="宋体" w:cs="宋体"/>
          <w:i w:val="0"/>
          <w:iCs w:val="0"/>
          <w:color w:val="auto"/>
          <w:sz w:val="24"/>
          <w:szCs w:val="24"/>
          <w:highlight w:val="none"/>
        </w:rPr>
      </w:pPr>
      <w:bookmarkStart w:id="51" w:name="_Hlk130457395"/>
      <w:bookmarkStart w:id="52" w:name="_Toc44583633"/>
      <w:bookmarkStart w:id="53" w:name="_Toc28359094"/>
      <w:bookmarkStart w:id="54" w:name="_Toc28359017"/>
      <w:bookmarkStart w:id="55" w:name="_Toc35393634"/>
      <w:bookmarkStart w:id="56" w:name="_Toc35393803"/>
      <w:r>
        <w:rPr>
          <w:rFonts w:hint="eastAsia" w:ascii="宋体" w:hAnsi="宋体" w:eastAsia="宋体" w:cs="宋体"/>
          <w:i w:val="0"/>
          <w:iCs w:val="0"/>
          <w:color w:val="auto"/>
          <w:sz w:val="24"/>
          <w:szCs w:val="24"/>
          <w:highlight w:val="none"/>
        </w:rPr>
        <w:t>1.截止时间</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2026年</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val="en-US" w:eastAsia="zh-CN"/>
        </w:rPr>
        <w:t>月</w:t>
      </w:r>
      <w:r>
        <w:rPr>
          <w:rFonts w:hint="eastAsia" w:cs="宋体"/>
          <w:i w:val="0"/>
          <w:iCs w:val="0"/>
          <w:color w:val="auto"/>
          <w:sz w:val="24"/>
          <w:szCs w:val="24"/>
          <w:highlight w:val="none"/>
          <w:u w:val="single"/>
          <w:lang w:val="en-US" w:eastAsia="zh-CN"/>
        </w:rPr>
        <w:t>1</w:t>
      </w:r>
      <w:r>
        <w:rPr>
          <w:rFonts w:hint="eastAsia" w:ascii="宋体" w:hAnsi="宋体" w:eastAsia="宋体" w:cs="宋体"/>
          <w:i w:val="0"/>
          <w:iCs w:val="0"/>
          <w:color w:val="auto"/>
          <w:sz w:val="24"/>
          <w:szCs w:val="24"/>
          <w:highlight w:val="none"/>
          <w:u w:val="single"/>
          <w:lang w:val="en-US" w:eastAsia="zh-CN"/>
        </w:rPr>
        <w:t>日</w:t>
      </w:r>
      <w:r>
        <w:rPr>
          <w:rFonts w:hint="eastAsia" w:cs="宋体"/>
          <w:i w:val="0"/>
          <w:iCs w:val="0"/>
          <w:color w:val="auto"/>
          <w:sz w:val="24"/>
          <w:szCs w:val="24"/>
          <w:highlight w:val="none"/>
          <w:u w:val="single"/>
          <w:lang w:val="en-US" w:eastAsia="zh-CN"/>
        </w:rPr>
        <w:t>11</w:t>
      </w:r>
      <w:r>
        <w:rPr>
          <w:rFonts w:hint="eastAsia" w:ascii="宋体" w:hAnsi="宋体" w:eastAsia="宋体" w:cs="宋体"/>
          <w:i w:val="0"/>
          <w:iCs w:val="0"/>
          <w:color w:val="auto"/>
          <w:sz w:val="24"/>
          <w:szCs w:val="24"/>
          <w:highlight w:val="none"/>
          <w:u w:val="single"/>
        </w:rPr>
        <w:t>时</w:t>
      </w:r>
      <w:r>
        <w:rPr>
          <w:rFonts w:hint="eastAsia"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single"/>
        </w:rPr>
        <w:t>分</w:t>
      </w:r>
      <w:r>
        <w:rPr>
          <w:rFonts w:hint="eastAsia" w:ascii="宋体" w:hAnsi="宋体" w:eastAsia="宋体" w:cs="宋体"/>
          <w:i w:val="0"/>
          <w:iCs w:val="0"/>
          <w:color w:val="auto"/>
          <w:sz w:val="24"/>
          <w:szCs w:val="24"/>
          <w:highlight w:val="none"/>
        </w:rPr>
        <w:t>（北京时间）</w:t>
      </w:r>
    </w:p>
    <w:p w14:paraId="63FC81BC">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：请登录政采云投标客户端投标。</w:t>
      </w:r>
    </w:p>
    <w:bookmarkEnd w:id="51"/>
    <w:p w14:paraId="6BAC9797">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57" w:name="_Toc25642"/>
      <w:bookmarkStart w:id="58" w:name="_Toc109899833"/>
      <w:bookmarkStart w:id="59" w:name="_Toc163492816"/>
      <w:bookmarkStart w:id="60" w:name="_Toc155185864"/>
      <w:bookmarkStart w:id="61" w:name="_Toc140132749"/>
      <w:bookmarkStart w:id="62" w:name="_Toc109899414"/>
      <w:bookmarkStart w:id="63" w:name="_Toc109900252"/>
      <w:r>
        <w:rPr>
          <w:rFonts w:hint="eastAsia" w:ascii="宋体" w:hAnsi="宋体" w:eastAsia="宋体" w:cs="宋体"/>
          <w:b/>
          <w:bCs/>
          <w:i w:val="0"/>
          <w:iCs w:val="0"/>
          <w:color w:val="auto"/>
          <w:kern w:val="2"/>
          <w:sz w:val="24"/>
          <w:szCs w:val="24"/>
          <w:highlight w:val="none"/>
          <w:lang w:val="en-US" w:eastAsia="zh-CN" w:bidi="ar-SA"/>
        </w:rPr>
        <w:t>五、开启</w:t>
      </w:r>
      <w:bookmarkEnd w:id="57"/>
    </w:p>
    <w:p w14:paraId="508C6E16">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2026年</w:t>
      </w:r>
      <w:r>
        <w:rPr>
          <w:rFonts w:hint="eastAsia" w:cs="宋体"/>
          <w:i w:val="0"/>
          <w:iCs w:val="0"/>
          <w:color w:val="auto"/>
          <w:sz w:val="24"/>
          <w:szCs w:val="24"/>
          <w:highlight w:val="none"/>
          <w:u w:val="single"/>
          <w:lang w:val="en-US" w:eastAsia="zh-CN"/>
        </w:rPr>
        <w:t>6</w:t>
      </w:r>
      <w:r>
        <w:rPr>
          <w:rFonts w:hint="eastAsia" w:ascii="宋体" w:hAnsi="宋体" w:eastAsia="宋体" w:cs="宋体"/>
          <w:i w:val="0"/>
          <w:iCs w:val="0"/>
          <w:color w:val="auto"/>
          <w:sz w:val="24"/>
          <w:szCs w:val="24"/>
          <w:highlight w:val="none"/>
          <w:u w:val="single"/>
          <w:lang w:val="en-US" w:eastAsia="zh-CN"/>
        </w:rPr>
        <w:t>月</w:t>
      </w:r>
      <w:r>
        <w:rPr>
          <w:rFonts w:hint="eastAsia" w:cs="宋体"/>
          <w:i w:val="0"/>
          <w:iCs w:val="0"/>
          <w:color w:val="auto"/>
          <w:sz w:val="24"/>
          <w:szCs w:val="24"/>
          <w:highlight w:val="none"/>
          <w:u w:val="single"/>
          <w:lang w:val="en-US" w:eastAsia="zh-CN"/>
        </w:rPr>
        <w:t>1</w:t>
      </w:r>
      <w:r>
        <w:rPr>
          <w:rFonts w:hint="eastAsia" w:ascii="宋体" w:hAnsi="宋体" w:eastAsia="宋体" w:cs="宋体"/>
          <w:i w:val="0"/>
          <w:iCs w:val="0"/>
          <w:color w:val="auto"/>
          <w:sz w:val="24"/>
          <w:szCs w:val="24"/>
          <w:highlight w:val="none"/>
          <w:u w:val="single"/>
          <w:lang w:val="en-US" w:eastAsia="zh-CN"/>
        </w:rPr>
        <w:t>日</w:t>
      </w:r>
      <w:r>
        <w:rPr>
          <w:rFonts w:hint="eastAsia" w:cs="宋体"/>
          <w:i w:val="0"/>
          <w:iCs w:val="0"/>
          <w:color w:val="auto"/>
          <w:sz w:val="24"/>
          <w:szCs w:val="24"/>
          <w:highlight w:val="none"/>
          <w:u w:val="single"/>
          <w:lang w:val="en-US" w:eastAsia="zh-CN"/>
        </w:rPr>
        <w:t>11</w:t>
      </w:r>
      <w:r>
        <w:rPr>
          <w:rFonts w:hint="eastAsia" w:ascii="宋体" w:hAnsi="宋体" w:eastAsia="宋体" w:cs="宋体"/>
          <w:i w:val="0"/>
          <w:iCs w:val="0"/>
          <w:color w:val="auto"/>
          <w:sz w:val="24"/>
          <w:szCs w:val="24"/>
          <w:highlight w:val="none"/>
          <w:u w:val="single"/>
        </w:rPr>
        <w:t>时</w:t>
      </w:r>
      <w:r>
        <w:rPr>
          <w:rFonts w:hint="eastAsia" w:cs="宋体"/>
          <w:i w:val="0"/>
          <w:iCs w:val="0"/>
          <w:color w:val="auto"/>
          <w:sz w:val="24"/>
          <w:szCs w:val="24"/>
          <w:highlight w:val="none"/>
          <w:u w:val="single"/>
          <w:lang w:val="en-US" w:eastAsia="zh-CN"/>
        </w:rPr>
        <w:t>00</w:t>
      </w:r>
      <w:r>
        <w:rPr>
          <w:rFonts w:hint="eastAsia" w:ascii="宋体" w:hAnsi="宋体" w:eastAsia="宋体" w:cs="宋体"/>
          <w:i w:val="0"/>
          <w:iCs w:val="0"/>
          <w:color w:val="auto"/>
          <w:sz w:val="24"/>
          <w:szCs w:val="24"/>
          <w:highlight w:val="none"/>
          <w:u w:val="single"/>
        </w:rPr>
        <w:t>分</w:t>
      </w:r>
      <w:r>
        <w:rPr>
          <w:rFonts w:hint="eastAsia" w:ascii="宋体" w:hAnsi="宋体" w:eastAsia="宋体" w:cs="宋体"/>
          <w:i w:val="0"/>
          <w:iCs w:val="0"/>
          <w:color w:val="auto"/>
          <w:sz w:val="24"/>
          <w:szCs w:val="24"/>
          <w:highlight w:val="none"/>
        </w:rPr>
        <w:t>（北京时间）。</w:t>
      </w:r>
    </w:p>
    <w:p w14:paraId="71EF07E7">
      <w:pPr>
        <w:pStyle w:val="36"/>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rPr>
        <w:t>地点</w:t>
      </w:r>
      <w:r>
        <w:rPr>
          <w:rFonts w:hint="eastAsia" w:ascii="宋体" w:hAnsi="宋体" w:eastAsia="宋体" w:cs="宋体"/>
          <w:i w:val="0"/>
          <w:iCs w:val="0"/>
          <w:color w:val="auto"/>
          <w:sz w:val="24"/>
          <w:szCs w:val="24"/>
          <w:highlight w:val="none"/>
        </w:rPr>
        <w:t>：投标人登录政采云平台https://www.zcygov.cn/，进入“项目采购-开标评标-右边选择对应项目点击“进入项目”进入开标大厅。</w:t>
      </w:r>
    </w:p>
    <w:p w14:paraId="72A987BA">
      <w:pPr>
        <w:pStyle w:val="6"/>
        <w:keepNext/>
        <w:keepLines/>
        <w:pageBreakBefore w:val="0"/>
        <w:widowControl w:val="0"/>
        <w:numPr>
          <w:ilvl w:val="0"/>
          <w:numId w:val="0"/>
        </w:numPr>
        <w:kinsoku/>
        <w:wordWrap/>
        <w:overflowPunct/>
        <w:topLinePunct w:val="0"/>
        <w:autoSpaceDE/>
        <w:autoSpaceDN/>
        <w:bidi w:val="0"/>
        <w:adjustRightInd/>
        <w:snapToGrid/>
        <w:spacing w:before="60" w:after="6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hr-HR" w:eastAsia="zh-CN" w:bidi="ar-SA"/>
        </w:rPr>
      </w:pPr>
      <w:bookmarkStart w:id="64" w:name="_Toc2566"/>
      <w:r>
        <w:rPr>
          <w:rFonts w:hint="eastAsia" w:ascii="宋体" w:hAnsi="宋体" w:eastAsia="宋体" w:cs="宋体"/>
          <w:b/>
          <w:bCs/>
          <w:i w:val="0"/>
          <w:iCs w:val="0"/>
          <w:color w:val="auto"/>
          <w:kern w:val="2"/>
          <w:sz w:val="24"/>
          <w:szCs w:val="24"/>
          <w:highlight w:val="none"/>
          <w:lang w:val="en-US" w:eastAsia="zh-CN" w:bidi="ar-SA"/>
        </w:rPr>
        <w:t>六、</w:t>
      </w:r>
      <w:r>
        <w:rPr>
          <w:rFonts w:hint="eastAsia" w:ascii="宋体" w:hAnsi="宋体" w:eastAsia="宋体" w:cs="宋体"/>
          <w:b/>
          <w:bCs/>
          <w:i w:val="0"/>
          <w:iCs w:val="0"/>
          <w:color w:val="auto"/>
          <w:kern w:val="2"/>
          <w:sz w:val="24"/>
          <w:szCs w:val="24"/>
          <w:highlight w:val="none"/>
          <w:lang w:val="hr-HR" w:eastAsia="zh-CN" w:bidi="ar-SA"/>
        </w:rPr>
        <w:t>公告期限</w:t>
      </w:r>
      <w:bookmarkEnd w:id="52"/>
      <w:bookmarkEnd w:id="53"/>
      <w:bookmarkEnd w:id="54"/>
      <w:bookmarkEnd w:id="55"/>
      <w:bookmarkEnd w:id="56"/>
      <w:bookmarkEnd w:id="58"/>
      <w:bookmarkEnd w:id="59"/>
      <w:bookmarkEnd w:id="60"/>
      <w:bookmarkEnd w:id="61"/>
      <w:bookmarkEnd w:id="62"/>
      <w:bookmarkEnd w:id="63"/>
      <w:bookmarkEnd w:id="64"/>
    </w:p>
    <w:p w14:paraId="187C1FE3">
      <w:pPr>
        <w:pageBreakBefore w:val="0"/>
        <w:kinsoku/>
        <w:wordWrap/>
        <w:overflowPunct/>
        <w:topLinePunct w:val="0"/>
        <w:bidi w:val="0"/>
        <w:snapToGrid w:val="0"/>
        <w:spacing w:line="348" w:lineRule="auto"/>
        <w:ind w:left="0" w:leftChars="0" w:firstLine="480" w:firstLineChars="200"/>
        <w:jc w:val="both"/>
        <w:outlineLvl w:val="9"/>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自本公告发布之日起3个工作日。</w:t>
      </w:r>
      <w:bookmarkStart w:id="65" w:name="_Toc140132750"/>
      <w:bookmarkStart w:id="66" w:name="_Toc109899415"/>
      <w:bookmarkStart w:id="67" w:name="_Toc35393635"/>
      <w:bookmarkStart w:id="68" w:name="_Toc109899834"/>
      <w:bookmarkStart w:id="69" w:name="_Toc44583634"/>
      <w:bookmarkStart w:id="70" w:name="_Toc155185865"/>
      <w:bookmarkStart w:id="71" w:name="_Toc109900253"/>
      <w:bookmarkStart w:id="72" w:name="_Toc35393804"/>
      <w:bookmarkStart w:id="73" w:name="_Toc163492817"/>
    </w:p>
    <w:p w14:paraId="20DD1AA0">
      <w:pPr>
        <w:pageBreakBefore w:val="0"/>
        <w:kinsoku/>
        <w:wordWrap/>
        <w:overflowPunct/>
        <w:topLinePunct w:val="0"/>
        <w:bidi w:val="0"/>
        <w:snapToGrid w:val="0"/>
        <w:spacing w:line="348" w:lineRule="auto"/>
        <w:jc w:val="both"/>
        <w:outlineLvl w:val="9"/>
        <w:rPr>
          <w:rFonts w:hint="eastAsia" w:ascii="宋体" w:hAnsi="宋体" w:eastAsia="宋体" w:cs="宋体"/>
          <w:b w:val="0"/>
          <w:bCs w:val="0"/>
          <w:i w:val="0"/>
          <w:iCs w:val="0"/>
          <w:color w:val="auto"/>
          <w:kern w:val="2"/>
          <w:sz w:val="24"/>
          <w:szCs w:val="24"/>
          <w:highlight w:val="none"/>
          <w:lang w:val="hr-HR" w:eastAsia="zh-CN" w:bidi="ar-SA"/>
        </w:rPr>
      </w:pPr>
      <w:r>
        <w:rPr>
          <w:rFonts w:hint="eastAsia" w:ascii="宋体" w:hAnsi="宋体" w:eastAsia="宋体" w:cs="宋体"/>
          <w:b/>
          <w:bCs/>
          <w:i w:val="0"/>
          <w:iCs w:val="0"/>
          <w:color w:val="auto"/>
          <w:kern w:val="2"/>
          <w:sz w:val="24"/>
          <w:szCs w:val="24"/>
          <w:highlight w:val="none"/>
          <w:lang w:val="hr-HR" w:eastAsia="zh-CN" w:bidi="ar-SA"/>
        </w:rPr>
        <w:t>七、其他补充事宜</w:t>
      </w:r>
      <w:bookmarkEnd w:id="65"/>
      <w:bookmarkEnd w:id="66"/>
      <w:bookmarkEnd w:id="67"/>
      <w:bookmarkEnd w:id="68"/>
      <w:bookmarkEnd w:id="69"/>
      <w:bookmarkEnd w:id="70"/>
      <w:bookmarkEnd w:id="71"/>
      <w:bookmarkEnd w:id="72"/>
      <w:bookmarkEnd w:id="73"/>
    </w:p>
    <w:p w14:paraId="7735A957">
      <w:pPr>
        <w:pStyle w:val="36"/>
        <w:rPr>
          <w:rFonts w:hint="eastAsia" w:ascii="宋体" w:hAnsi="宋体" w:eastAsia="宋体" w:cs="宋体"/>
          <w:color w:val="auto"/>
          <w:sz w:val="24"/>
          <w:szCs w:val="24"/>
          <w:highlight w:val="none"/>
          <w:lang w:val="hr-HR" w:eastAsia="zh-CN"/>
        </w:rPr>
      </w:pPr>
      <w:r>
        <w:rPr>
          <w:rFonts w:hint="eastAsia" w:ascii="宋体" w:hAnsi="宋体" w:eastAsia="宋体" w:cs="宋体"/>
          <w:color w:val="auto"/>
          <w:sz w:val="24"/>
          <w:szCs w:val="24"/>
          <w:highlight w:val="none"/>
          <w:lang w:val="hr-HR" w:eastAsia="zh-CN"/>
        </w:rPr>
        <w:t>1、本项目实行网上</w:t>
      </w:r>
      <w:r>
        <w:rPr>
          <w:rFonts w:hint="eastAsia" w:ascii="宋体" w:hAnsi="宋体" w:eastAsia="宋体" w:cs="宋体"/>
          <w:color w:val="auto"/>
          <w:sz w:val="24"/>
          <w:szCs w:val="24"/>
          <w:highlight w:val="none"/>
          <w:lang w:val="en-US" w:eastAsia="zh-CN"/>
        </w:rPr>
        <w:t>响应</w:t>
      </w:r>
      <w:r>
        <w:rPr>
          <w:rFonts w:hint="eastAsia" w:ascii="宋体" w:hAnsi="宋体" w:eastAsia="宋体" w:cs="宋体"/>
          <w:color w:val="auto"/>
          <w:sz w:val="24"/>
          <w:szCs w:val="24"/>
          <w:highlight w:val="none"/>
          <w:lang w:val="hr-HR" w:eastAsia="zh-CN"/>
        </w:rPr>
        <w:t>，采用电子响应文件。</w:t>
      </w:r>
    </w:p>
    <w:p w14:paraId="4930EF65">
      <w:pPr>
        <w:pStyle w:val="36"/>
        <w:rPr>
          <w:rFonts w:hint="eastAsia" w:ascii="宋体" w:hAnsi="宋体" w:eastAsia="宋体" w:cs="宋体"/>
          <w:color w:val="auto"/>
          <w:sz w:val="24"/>
          <w:szCs w:val="24"/>
          <w:highlight w:val="none"/>
          <w:lang w:val="en-US" w:eastAsia="zh-CN"/>
        </w:rPr>
      </w:pPr>
      <w:bookmarkStart w:id="74" w:name="_Toc30600"/>
      <w:r>
        <w:rPr>
          <w:rFonts w:hint="eastAsia" w:ascii="宋体" w:hAnsi="宋体" w:eastAsia="宋体" w:cs="宋体"/>
          <w:color w:val="auto"/>
          <w:sz w:val="24"/>
          <w:szCs w:val="24"/>
          <w:highlight w:val="none"/>
          <w:lang w:val="en-US" w:eastAsia="zh-CN"/>
        </w:rPr>
        <w:t xml:space="preserve"> 2、各供应商应在开标前确保成为正式注册入库供应商，并完成CA数字证书(符合国密标准)申领。因未注册入库、未办理CA数字证书等原因造成无法投标或投标失败等后果由供应商自行承担。如需咨询，请联系新疆-安信CA服务热线0991-7810912；翔晟CA服务热线025-66085508；新疆CA服务热线4000921999。</w:t>
      </w:r>
    </w:p>
    <w:p w14:paraId="2E2F6705">
      <w:pPr>
        <w:pStyle w:val="3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3、供应商将政采云电子交易客户端下载、安装完成后，可通过账号密码或CA登录客户端进行投标文件的制作。在使用政采云投标客户端时，建议使用WIN7及以上操作系统。</w:t>
      </w:r>
    </w:p>
    <w:p w14:paraId="692B7884">
      <w:pPr>
        <w:pStyle w:val="36"/>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4、其他事项：</w:t>
      </w:r>
      <w:bookmarkEnd w:id="74"/>
      <w:r>
        <w:rPr>
          <w:rFonts w:hint="eastAsia" w:cs="宋体"/>
          <w:kern w:val="0"/>
          <w:szCs w:val="24"/>
        </w:rPr>
        <w:t>①如需咨询，可联系新疆CA服务热线 0991-2819290；②供应商须注意事项：1)本项目实行电子招投标，供应商须登录政采云平台https://www.zcygov.cn/申请获取招标文件，并通过政采云电子投标客户端制作响应文件，同时自行承担与投标有关的一切费用；2）根据国办函〔2019〕41号文促进数字证书（CA）跨平台、跨部门、跨区域互认要求，政府采购云平台目前已支持包括新疆CA、翔晟CA及汇信CA等多家CA的办理及使用。供应商可通过政府采购网-办理指南—供应商—CA证书办理操作指南-进入CA办理界面，按需选择办理任意一家CA厂商的数字证书。CA证书办理操作指南链接：http://u3v.cn/5F3afc；3）客户端请至政采云平台https://www.zcygov.cn/下载专区查看，如有问题可拨打政采云客户服务热线95763进行咨询。如因供应商自身原因导致在规定时间内无法正常解密的（如：浏览器故障、未安装相关驱动、网络故障、加密CA与解密CA不一致等），采购代理机构不予异常处理，视为供应商自动弃标。</w:t>
      </w:r>
      <w:r>
        <w:rPr>
          <w:rFonts w:hint="eastAsia" w:cs="宋体"/>
          <w:kern w:val="0"/>
          <w:szCs w:val="24"/>
          <w:lang w:val="en-US" w:eastAsia="zh-CN"/>
        </w:rPr>
        <w:t>1</w:t>
      </w:r>
      <w:r>
        <w:rPr>
          <w:rFonts w:hint="eastAsia" w:cs="宋体"/>
          <w:kern w:val="0"/>
          <w:szCs w:val="24"/>
        </w:rPr>
        <w:t>）本项目采用不见面开标，供应商须在投标截止时间前通过CA在政采云平台上传加密的电子响应文件。供应商对不见面开评标系统的技术操作咨询，可通过https://edu.zcygov.cn/luban/xinjiang-e-biding自助查询，也可在政采云帮助中心常见问题解答和操作流程讲解视频中自助查询，网址为：https://service.zcygov.cn/#/help，“项目采购”—“操作流程-电子招投标”—“政府采购项目电子交易管理操作指南-供应商”版面获取操作指南，同时对自助查询无法解决的问题可通过钉钉群及政采云在线客服获取服务支持。如需咨询，可联系新疆CA服务热线 0991-2819290</w:t>
      </w:r>
      <w:r>
        <w:rPr>
          <w:rFonts w:hint="eastAsia" w:cs="宋体"/>
          <w:kern w:val="0"/>
          <w:szCs w:val="24"/>
          <w:lang w:eastAsia="zh-CN"/>
        </w:rPr>
        <w:t>。</w:t>
      </w:r>
    </w:p>
    <w:p w14:paraId="619A5B56">
      <w:pPr>
        <w:pStyle w:val="27"/>
        <w:keepNext w:val="0"/>
        <w:keepLines w:val="0"/>
        <w:widowControl/>
        <w:suppressLineNumbers w:val="0"/>
        <w:wordWrap w:val="0"/>
        <w:spacing w:before="60" w:beforeAutospacing="0" w:after="60" w:afterAutospacing="0"/>
        <w:ind w:left="0" w:right="0" w:firstLine="0"/>
        <w:rPr>
          <w:rFonts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特别提示：</w:t>
      </w:r>
    </w:p>
    <w:p w14:paraId="1533FEC9">
      <w:pPr>
        <w:pStyle w:val="27"/>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1、采购限额标准以上，200万元以下的货物和服务采购项目、400万元以下的工程采购项目，适宜由中小企业提供的，采购人应当专门面向中小企业采购。</w:t>
      </w:r>
    </w:p>
    <w:p w14:paraId="61DA72D5">
      <w:pPr>
        <w:pStyle w:val="27"/>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2、超过200万元的货物和服务采购项目，预留该部分采购项目预算总额的30%以上专门面向中小企业采购，其中预留给小微企业的比例不低于60%。</w:t>
      </w:r>
    </w:p>
    <w:p w14:paraId="324C3695">
      <w:pPr>
        <w:pStyle w:val="27"/>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3、超过400万元的工程采购项目中适宜由中小企业提供的，预留该部分采购项目预算总额的40%以上专门面向中小企业采购，其中预留给小微企业的比例不低于60%。</w:t>
      </w:r>
    </w:p>
    <w:p w14:paraId="5FA5FD6D">
      <w:pPr>
        <w:pStyle w:val="27"/>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4、对于未预留份额专门面向中小企业的采购项目，以及预留份额项目中的非预留部分采购包，采购人、采购代理机构应当对符合规定的小微企业报价给予10%~20%（工程项目为3%~5%）的扣除，用扣除后的价格参加评审。适用招标投标法的政府采购工程建设项目，采用综合评</w:t>
      </w:r>
      <w:r>
        <w:rPr>
          <w:rFonts w:hint="eastAsia" w:ascii="Noto Sans SC" w:hAnsi="Noto Sans SC" w:eastAsia="Noto Sans SC" w:cs="Noto Sans SC"/>
          <w:i w:val="0"/>
          <w:iCs w:val="0"/>
          <w:caps w:val="0"/>
          <w:color w:val="000000"/>
          <w:spacing w:val="0"/>
          <w:sz w:val="24"/>
          <w:szCs w:val="24"/>
          <w:lang w:val="en-US" w:eastAsia="zh-CN"/>
        </w:rPr>
        <w:t>分</w:t>
      </w:r>
      <w:r>
        <w:rPr>
          <w:rFonts w:hint="eastAsia" w:ascii="Noto Sans SC" w:hAnsi="Noto Sans SC" w:eastAsia="Noto Sans SC" w:cs="Noto Sans SC"/>
          <w:i w:val="0"/>
          <w:iCs w:val="0"/>
          <w:caps w:val="0"/>
          <w:color w:val="000000"/>
          <w:spacing w:val="0"/>
          <w:sz w:val="24"/>
          <w:szCs w:val="24"/>
        </w:rPr>
        <w:t>法但未采用低价优先法计算价格分的，评标时应当在采用原报价进行评分的基础上增加其价格得分的3%~5%作为其价格分。</w:t>
      </w:r>
    </w:p>
    <w:p w14:paraId="4A3304DF">
      <w:pPr>
        <w:pStyle w:val="27"/>
        <w:keepNext w:val="0"/>
        <w:keepLines w:val="0"/>
        <w:widowControl/>
        <w:suppressLineNumbers w:val="0"/>
        <w:wordWrap w:val="0"/>
        <w:spacing w:before="60" w:beforeAutospacing="0" w:after="60" w:afterAutospacing="0"/>
        <w:ind w:left="0" w:right="0" w:firstLine="0"/>
        <w:rPr>
          <w:rFonts w:hint="eastAsia" w:ascii="Noto Sans SC" w:hAnsi="Noto Sans SC" w:eastAsia="Noto Sans SC" w:cs="Noto Sans SC"/>
          <w:i w:val="0"/>
          <w:iCs w:val="0"/>
          <w:caps w:val="0"/>
          <w:color w:val="000000"/>
          <w:spacing w:val="0"/>
          <w:sz w:val="24"/>
          <w:szCs w:val="24"/>
        </w:rPr>
      </w:pPr>
      <w:r>
        <w:rPr>
          <w:rFonts w:hint="eastAsia" w:ascii="Noto Sans SC" w:hAnsi="Noto Sans SC" w:eastAsia="Noto Sans SC" w:cs="Noto Sans SC"/>
          <w:i w:val="0"/>
          <w:iCs w:val="0"/>
          <w:caps w:val="0"/>
          <w:color w:val="000000"/>
          <w:spacing w:val="0"/>
          <w:sz w:val="24"/>
          <w:szCs w:val="24"/>
        </w:rPr>
        <w:t>        5、接受大中型企业与小微企业组成联合体或者允许大中型企业向一家或者多家小微企业分包的采购项目，对于联合协议或者分包意向协议约定小微企业的合同份额占到合同总金额30%以上的，采购人、采购代理机构应当对联合体或者大中型企业的报价给予4%~6%（工程项目为1%~2%）的扣除，用扣除后的价格参加评审。适用招标投标法的政府采购工程建设项目，采用综合评</w:t>
      </w:r>
      <w:r>
        <w:rPr>
          <w:rFonts w:hint="eastAsia" w:ascii="Noto Sans SC" w:hAnsi="Noto Sans SC" w:eastAsia="Noto Sans SC" w:cs="Noto Sans SC"/>
          <w:i w:val="0"/>
          <w:iCs w:val="0"/>
          <w:caps w:val="0"/>
          <w:color w:val="000000"/>
          <w:spacing w:val="0"/>
          <w:sz w:val="24"/>
          <w:szCs w:val="24"/>
          <w:lang w:val="en-US" w:eastAsia="zh-CN"/>
        </w:rPr>
        <w:t>分</w:t>
      </w:r>
      <w:r>
        <w:rPr>
          <w:rFonts w:hint="eastAsia" w:ascii="Noto Sans SC" w:hAnsi="Noto Sans SC" w:eastAsia="Noto Sans SC" w:cs="Noto Sans SC"/>
          <w:i w:val="0"/>
          <w:iCs w:val="0"/>
          <w:caps w:val="0"/>
          <w:color w:val="000000"/>
          <w:spacing w:val="0"/>
          <w:sz w:val="24"/>
          <w:szCs w:val="24"/>
        </w:rPr>
        <w:t>法但未采用低价优先法计算价格分的，评标时应当在采用原报价进行评分的基础上增加其价格得分的1%~2%作为其价格分。</w:t>
      </w:r>
    </w:p>
    <w:p w14:paraId="7788A5A3">
      <w:pPr>
        <w:pageBreakBefore w:val="0"/>
        <w:kinsoku/>
        <w:wordWrap/>
        <w:overflowPunct/>
        <w:topLinePunct w:val="0"/>
        <w:bidi w:val="0"/>
        <w:snapToGrid w:val="0"/>
        <w:spacing w:line="348" w:lineRule="auto"/>
        <w:jc w:val="both"/>
        <w:outlineLvl w:val="9"/>
        <w:rPr>
          <w:rFonts w:hint="default"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hr-HR" w:eastAsia="zh-CN" w:bidi="ar-SA"/>
        </w:rPr>
        <w:t>八、凡对本次招标提出询问，请按以下方式联系</w:t>
      </w:r>
    </w:p>
    <w:p w14:paraId="74D4D291">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eastAsia" w:ascii="宋体" w:hAnsi="宋体" w:eastAsia="宋体" w:cs="宋体"/>
          <w:i w:val="0"/>
          <w:iCs w:val="0"/>
          <w:color w:val="auto"/>
          <w:sz w:val="24"/>
          <w:szCs w:val="24"/>
          <w:highlight w:val="none"/>
        </w:rPr>
      </w:pPr>
      <w:bookmarkStart w:id="75" w:name="_Toc28359096"/>
      <w:bookmarkStart w:id="76" w:name="_Toc35393637"/>
      <w:bookmarkStart w:id="77" w:name="_Toc35393806"/>
      <w:bookmarkStart w:id="78" w:name="_Toc28359019"/>
      <w:r>
        <w:rPr>
          <w:rFonts w:hint="eastAsia" w:ascii="宋体" w:hAnsi="宋体" w:eastAsia="宋体" w:cs="宋体"/>
          <w:i w:val="0"/>
          <w:iCs w:val="0"/>
          <w:color w:val="auto"/>
          <w:sz w:val="24"/>
          <w:szCs w:val="24"/>
          <w:highlight w:val="none"/>
        </w:rPr>
        <w:t>1.采购人信息</w:t>
      </w:r>
      <w:bookmarkEnd w:id="75"/>
      <w:bookmarkEnd w:id="76"/>
      <w:bookmarkEnd w:id="77"/>
      <w:bookmarkEnd w:id="78"/>
    </w:p>
    <w:p w14:paraId="699333D4">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名称：</w:t>
      </w:r>
      <w:r>
        <w:rPr>
          <w:rFonts w:hint="eastAsia" w:cs="宋体"/>
          <w:i w:val="0"/>
          <w:iCs w:val="0"/>
          <w:color w:val="auto"/>
          <w:sz w:val="24"/>
          <w:szCs w:val="24"/>
          <w:highlight w:val="none"/>
          <w:lang w:val="en-US" w:eastAsia="zh-CN"/>
        </w:rPr>
        <w:t>新疆维吾尔自治区公共就业服务中心</w:t>
      </w:r>
    </w:p>
    <w:p w14:paraId="04F1E9D3">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地址</w:t>
      </w: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"https://baike.baidu.com/item/%E4%B9%8C%E9%B2%81%E6%9C%A8%E9%BD%90%E5%B8%82/14890073?fromModule=lemma_inlink" \t "https://baike.baidu.com/item/%E6%96%B0%E7%96%86%E7%BB%B4%E5%90%BE%E5%B0%94%E8%87%AA%E6%B2%BB%E5%8C%BA%E5%85%AC%E5%85%B1%E5%B0%B1%E4%B8%9A%E6%9C%8D%E5%8A%A1%E4%B8%AD%E5%BF%83/_blank"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rPr>
        <w:t>乌鲁木齐市</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fldChar w:fldCharType="begin"/>
      </w:r>
      <w:r>
        <w:rPr>
          <w:rFonts w:hint="eastAsia" w:ascii="宋体" w:hAnsi="宋体" w:eastAsia="宋体" w:cs="宋体"/>
          <w:i w:val="0"/>
          <w:iCs w:val="0"/>
          <w:color w:val="auto"/>
          <w:sz w:val="24"/>
          <w:szCs w:val="24"/>
          <w:highlight w:val="none"/>
        </w:rPr>
        <w:instrText xml:space="preserve"> HYPERLINK "https://baike.baidu.com/item/%E6%B0%B4%E7%A3%A8%E6%B2%9F%E5%8C%BA/3880021?fromModule=lemma_inlink" \t "https://baike.baidu.com/item/%E6%96%B0%E7%96%86%E7%BB%B4%E5%90%BE%E5%B0%94%E8%87%AA%E6%B2%BB%E5%8C%BA%E5%85%AC%E5%85%B1%E5%B0%B1%E4%B8%9A%E6%9C%8D%E5%8A%A1%E4%B8%AD%E5%BF%83/_blank" </w:instrText>
      </w:r>
      <w:r>
        <w:rPr>
          <w:rFonts w:hint="eastAsia" w:ascii="宋体" w:hAnsi="宋体" w:eastAsia="宋体" w:cs="宋体"/>
          <w:i w:val="0"/>
          <w:iCs w:val="0"/>
          <w:color w:val="auto"/>
          <w:sz w:val="24"/>
          <w:szCs w:val="24"/>
          <w:highlight w:val="none"/>
        </w:rPr>
        <w:fldChar w:fldCharType="separate"/>
      </w:r>
      <w:r>
        <w:rPr>
          <w:rFonts w:hint="eastAsia" w:ascii="宋体" w:hAnsi="宋体" w:eastAsia="宋体" w:cs="宋体"/>
          <w:i w:val="0"/>
          <w:iCs w:val="0"/>
          <w:color w:val="auto"/>
          <w:sz w:val="24"/>
          <w:szCs w:val="24"/>
          <w:highlight w:val="none"/>
        </w:rPr>
        <w:t>水磨沟区</w:t>
      </w:r>
      <w:r>
        <w:rPr>
          <w:rFonts w:hint="eastAsia" w:ascii="宋体" w:hAnsi="宋体" w:eastAsia="宋体" w:cs="宋体"/>
          <w:i w:val="0"/>
          <w:iCs w:val="0"/>
          <w:color w:val="auto"/>
          <w:sz w:val="24"/>
          <w:szCs w:val="24"/>
          <w:highlight w:val="none"/>
        </w:rPr>
        <w:fldChar w:fldCharType="end"/>
      </w:r>
      <w:r>
        <w:rPr>
          <w:rFonts w:hint="eastAsia" w:ascii="宋体" w:hAnsi="宋体" w:eastAsia="宋体" w:cs="宋体"/>
          <w:i w:val="0"/>
          <w:iCs w:val="0"/>
          <w:color w:val="auto"/>
          <w:sz w:val="24"/>
          <w:szCs w:val="24"/>
          <w:highlight w:val="none"/>
        </w:rPr>
        <w:t>南湖东路19号</w:t>
      </w:r>
    </w:p>
    <w:p w14:paraId="35D32478">
      <w:pPr>
        <w:keepNext w:val="0"/>
        <w:keepLines w:val="0"/>
        <w:pageBreakBefore w:val="0"/>
        <w:widowControl w:val="0"/>
        <w:kinsoku/>
        <w:wordWrap/>
        <w:overflowPunct/>
        <w:topLinePunct w:val="0"/>
        <w:autoSpaceDE/>
        <w:autoSpaceDN/>
        <w:bidi w:val="0"/>
        <w:adjustRightInd w:val="0"/>
        <w:snapToGrid w:val="0"/>
        <w:spacing w:line="312" w:lineRule="auto"/>
        <w:ind w:left="2117" w:leftChars="104" w:right="-413" w:rightChars="-172" w:hanging="1867" w:hangingChars="778"/>
        <w:textAlignment w:val="auto"/>
        <w:rPr>
          <w:rFonts w:hint="default"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联系方式：</w:t>
      </w:r>
      <w:bookmarkStart w:id="79" w:name="_Hlk46775675"/>
      <w:r>
        <w:rPr>
          <w:rFonts w:hint="eastAsia" w:ascii="宋体" w:hAnsi="宋体" w:eastAsia="宋体" w:cs="宋体"/>
          <w:i w:val="0"/>
          <w:iCs w:val="0"/>
          <w:color w:val="auto"/>
          <w:sz w:val="24"/>
          <w:szCs w:val="24"/>
          <w:highlight w:val="none"/>
          <w:lang w:val="en-US" w:eastAsia="zh-CN"/>
        </w:rPr>
        <w:t>18999127607</w:t>
      </w:r>
    </w:p>
    <w:bookmarkEnd w:id="79"/>
    <w:p w14:paraId="7B446FC3">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eastAsia" w:ascii="宋体" w:hAnsi="宋体" w:eastAsia="宋体" w:cs="宋体"/>
          <w:i w:val="0"/>
          <w:iCs w:val="0"/>
          <w:color w:val="auto"/>
          <w:sz w:val="24"/>
          <w:szCs w:val="24"/>
          <w:highlight w:val="none"/>
        </w:rPr>
      </w:pPr>
      <w:bookmarkStart w:id="80" w:name="_Toc35393807"/>
      <w:bookmarkStart w:id="81" w:name="_Toc35393638"/>
      <w:bookmarkStart w:id="82" w:name="_Toc28359020"/>
      <w:bookmarkStart w:id="83" w:name="_Toc28359097"/>
      <w:r>
        <w:rPr>
          <w:rFonts w:hint="eastAsia" w:ascii="宋体" w:hAnsi="宋体" w:eastAsia="宋体" w:cs="宋体"/>
          <w:i w:val="0"/>
          <w:iCs w:val="0"/>
          <w:color w:val="auto"/>
          <w:sz w:val="24"/>
          <w:szCs w:val="24"/>
          <w:highlight w:val="none"/>
        </w:rPr>
        <w:t>2.采购代理机构信息</w:t>
      </w:r>
      <w:bookmarkEnd w:id="80"/>
      <w:bookmarkEnd w:id="81"/>
      <w:bookmarkEnd w:id="82"/>
      <w:bookmarkEnd w:id="83"/>
    </w:p>
    <w:p w14:paraId="1F7AEAA3">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名称：中招国际招标有限公司</w:t>
      </w:r>
    </w:p>
    <w:p w14:paraId="4D667F1C">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u w:val="none"/>
          <w:lang w:val="en-US" w:eastAsia="zh-CN"/>
        </w:rPr>
        <w:t>代理机构</w:t>
      </w:r>
      <w:r>
        <w:rPr>
          <w:rFonts w:hint="default" w:ascii="宋体" w:hAnsi="宋体" w:eastAsia="宋体" w:cs="宋体"/>
          <w:i w:val="0"/>
          <w:iCs w:val="0"/>
          <w:color w:val="auto"/>
          <w:sz w:val="24"/>
          <w:szCs w:val="24"/>
          <w:highlight w:val="none"/>
          <w:u w:val="none"/>
          <w:lang w:val="en-US" w:eastAsia="zh-CN"/>
        </w:rPr>
        <w:t>地址</w:t>
      </w:r>
      <w:r>
        <w:rPr>
          <w:rFonts w:hint="eastAsia" w:cs="宋体"/>
          <w:i w:val="0"/>
          <w:iCs w:val="0"/>
          <w:color w:val="auto"/>
          <w:sz w:val="24"/>
          <w:szCs w:val="24"/>
          <w:highlight w:val="none"/>
          <w:u w:val="none"/>
          <w:lang w:val="en-US" w:eastAsia="zh-CN"/>
        </w:rPr>
        <w:t>：</w:t>
      </w:r>
      <w:r>
        <w:rPr>
          <w:rFonts w:hint="eastAsia" w:ascii="宋体" w:hAnsi="宋体" w:eastAsia="宋体" w:cs="宋体"/>
          <w:i w:val="0"/>
          <w:iCs w:val="0"/>
          <w:color w:val="auto"/>
          <w:sz w:val="24"/>
          <w:szCs w:val="24"/>
          <w:highlight w:val="none"/>
          <w:u w:val="none"/>
          <w:lang w:val="en-US" w:eastAsia="zh-CN"/>
        </w:rPr>
        <w:t>乌鲁木齐市水磨沟区南湖北路486号南湖明珠大厦南区8楼</w:t>
      </w:r>
    </w:p>
    <w:p w14:paraId="738BDE2E">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联系方式：18130866552、13579204530</w:t>
      </w:r>
    </w:p>
    <w:p w14:paraId="10F3BD4A">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3.项目联系方式</w:t>
      </w:r>
    </w:p>
    <w:p w14:paraId="466F8F98">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项目联系人：侯秀英、张智伟、钱文雅、赵雄飞</w:t>
      </w:r>
    </w:p>
    <w:p w14:paraId="2CF72A66">
      <w:pPr>
        <w:pStyle w:val="36"/>
        <w:keepNext w:val="0"/>
        <w:keepLines w:val="0"/>
        <w:pageBreakBefore w:val="0"/>
        <w:widowControl w:val="0"/>
        <w:kinsoku/>
        <w:wordWrap w:val="0"/>
        <w:overflowPunct/>
        <w:topLinePunct w:val="0"/>
        <w:autoSpaceDE/>
        <w:autoSpaceDN/>
        <w:bidi w:val="0"/>
        <w:adjustRightInd/>
        <w:snapToGrid/>
        <w:spacing w:line="400" w:lineRule="exact"/>
        <w:ind w:left="0" w:leftChars="0" w:firstLine="240" w:firstLineChars="100"/>
        <w:textAlignment w:val="auto"/>
        <w:rPr>
          <w:rFonts w:hint="default" w:ascii="宋体" w:hAnsi="宋体" w:eastAsia="宋体" w:cs="宋体"/>
          <w:i w:val="0"/>
          <w:iCs w:val="0"/>
          <w:color w:val="auto"/>
          <w:sz w:val="24"/>
          <w:szCs w:val="24"/>
          <w:highlight w:val="none"/>
          <w:u w:val="none"/>
          <w:lang w:val="en-US" w:eastAsia="zh-CN"/>
        </w:rPr>
      </w:pPr>
      <w:r>
        <w:rPr>
          <w:rFonts w:hint="default" w:ascii="宋体" w:hAnsi="宋体" w:eastAsia="宋体" w:cs="宋体"/>
          <w:i w:val="0"/>
          <w:iCs w:val="0"/>
          <w:color w:val="auto"/>
          <w:sz w:val="24"/>
          <w:szCs w:val="24"/>
          <w:highlight w:val="none"/>
          <w:u w:val="none"/>
          <w:lang w:val="en-US" w:eastAsia="zh-CN"/>
        </w:rPr>
        <w:t>电话：18130866552、13579204530</w:t>
      </w:r>
    </w:p>
    <w:p w14:paraId="6A35DE0E">
      <w:pPr>
        <w:ind w:left="0" w:leftChars="0" w:firstLine="240" w:firstLineChars="100"/>
        <w:rPr>
          <w:i w:val="0"/>
          <w:iCs w:val="0"/>
          <w:color w:val="auto"/>
          <w:highlight w:val="none"/>
        </w:rPr>
        <w:sectPr>
          <w:footerReference r:id="rId7" w:type="default"/>
          <w:pgSz w:w="11906" w:h="16838"/>
          <w:pgMar w:top="1440" w:right="1800" w:bottom="1440" w:left="1800" w:header="851" w:footer="992" w:gutter="0"/>
          <w:pgBorders>
            <w:top w:val="none" w:sz="0" w:space="0"/>
            <w:left w:val="none" w:sz="0" w:space="0"/>
            <w:bottom w:val="none" w:sz="0" w:space="0"/>
            <w:right w:val="none" w:sz="0" w:space="0"/>
          </w:pgBorders>
          <w:pgNumType w:fmt="numberInDash" w:start="1"/>
          <w:cols w:space="425" w:num="1"/>
          <w:docGrid w:type="lines" w:linePitch="312" w:charSpace="0"/>
        </w:sectPr>
      </w:pPr>
    </w:p>
    <w:p w14:paraId="1E2C9AB2">
      <w:pPr>
        <w:pStyle w:val="5"/>
        <w:keepNext/>
        <w:keepLines/>
        <w:pageBreakBefore w:val="0"/>
        <w:widowControl w:val="0"/>
        <w:numPr>
          <w:ilvl w:val="0"/>
          <w:numId w:val="0"/>
        </w:numPr>
        <w:kinsoku/>
        <w:wordWrap/>
        <w:overflowPunct/>
        <w:topLinePunct w:val="0"/>
        <w:autoSpaceDE/>
        <w:autoSpaceDN/>
        <w:bidi w:val="0"/>
        <w:adjustRightInd/>
        <w:snapToGrid/>
        <w:spacing w:before="100" w:after="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84" w:name="_Toc163493608"/>
      <w:bookmarkStart w:id="85" w:name="_Toc4980"/>
      <w:r>
        <w:rPr>
          <w:rFonts w:hint="eastAsia" w:ascii="宋体" w:hAnsi="宋体" w:eastAsia="宋体" w:cs="宋体"/>
          <w:b/>
          <w:bCs/>
          <w:i w:val="0"/>
          <w:iCs w:val="0"/>
          <w:color w:val="auto"/>
          <w:kern w:val="44"/>
          <w:sz w:val="36"/>
          <w:szCs w:val="36"/>
          <w:highlight w:val="none"/>
          <w:lang w:val="en-US" w:eastAsia="zh-CN" w:bidi="ar-SA"/>
        </w:rPr>
        <w:t>第二章 供应商须知</w:t>
      </w:r>
      <w:bookmarkEnd w:id="84"/>
      <w:bookmarkEnd w:id="85"/>
    </w:p>
    <w:p w14:paraId="224924B5">
      <w:pPr>
        <w:pStyle w:val="6"/>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86" w:name="_Toc19787"/>
      <w:bookmarkStart w:id="87" w:name="_Toc163493609"/>
      <w:r>
        <w:rPr>
          <w:rFonts w:hint="eastAsia" w:ascii="等线 Light" w:hAnsi="等线 Light" w:eastAsia="宋体" w:cs="宋体"/>
          <w:b/>
          <w:bCs/>
          <w:i w:val="0"/>
          <w:iCs w:val="0"/>
          <w:color w:val="auto"/>
          <w:kern w:val="2"/>
          <w:sz w:val="28"/>
          <w:szCs w:val="28"/>
          <w:highlight w:val="none"/>
          <w:lang w:val="en-US" w:eastAsia="zh-CN" w:bidi="ar-SA"/>
        </w:rPr>
        <w:t>一、供应商须知前附表</w:t>
      </w:r>
      <w:bookmarkEnd w:id="86"/>
      <w:bookmarkEnd w:id="87"/>
    </w:p>
    <w:p w14:paraId="016068EF">
      <w:pPr>
        <w:pStyle w:val="36"/>
        <w:ind w:firstLine="480"/>
        <w:rPr>
          <w:i w:val="0"/>
          <w:iCs w:val="0"/>
          <w:color w:val="auto"/>
          <w:highlight w:val="none"/>
        </w:rPr>
      </w:pPr>
      <w:r>
        <w:rPr>
          <w:rFonts w:hint="eastAsia"/>
          <w:i w:val="0"/>
          <w:iCs w:val="0"/>
          <w:color w:val="auto"/>
          <w:highlight w:val="none"/>
        </w:rPr>
        <w:t>磋商供应商应仔细阅读本磋商文件的第二章“供应商须知”，下面所列资料是对“供应商须知”的具体补充和说明。如有矛盾，应以本表为准。</w:t>
      </w:r>
      <w:r>
        <w:rPr>
          <w:rFonts w:hint="eastAsia"/>
          <w:i w:val="0"/>
          <w:iCs w:val="0"/>
          <w:color w:val="auto"/>
          <w:highlight w:val="none"/>
          <w:lang w:val="en-US" w:eastAsia="zh-CN"/>
        </w:rPr>
        <w:t>标记“</w:t>
      </w:r>
      <w:r>
        <w:rPr>
          <w:rFonts w:hint="eastAsia" w:ascii="宋体" w:hAnsi="宋体" w:eastAsia="宋体"/>
          <w:i w:val="0"/>
          <w:iCs w:val="0"/>
          <w:color w:val="auto"/>
          <w:highlight w:val="none"/>
          <w:lang w:val="en-US" w:eastAsia="zh-CN"/>
        </w:rPr>
        <w:t>☑”的选项意为适用于本项目，标记“□”的选项意为不适用于本项目。</w:t>
      </w:r>
    </w:p>
    <w:tbl>
      <w:tblPr>
        <w:tblStyle w:val="30"/>
        <w:tblW w:w="9391" w:type="dxa"/>
        <w:tblInd w:w="-456"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57" w:type="dxa"/>
          <w:left w:w="108" w:type="dxa"/>
          <w:bottom w:w="57" w:type="dxa"/>
          <w:right w:w="108" w:type="dxa"/>
        </w:tblCellMar>
      </w:tblPr>
      <w:tblGrid>
        <w:gridCol w:w="970"/>
        <w:gridCol w:w="1971"/>
        <w:gridCol w:w="6450"/>
      </w:tblGrid>
      <w:tr w14:paraId="5EEA9AB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63" w:hRule="atLeast"/>
          <w:tblHeader/>
        </w:trPr>
        <w:tc>
          <w:tcPr>
            <w:tcW w:w="970" w:type="dxa"/>
            <w:tcBorders>
              <w:top w:val="single" w:color="auto" w:sz="4" w:space="0"/>
              <w:left w:val="single" w:color="auto" w:sz="4" w:space="0"/>
              <w:bottom w:val="single" w:color="auto" w:sz="4" w:space="0"/>
              <w:right w:val="single" w:color="auto" w:sz="4" w:space="0"/>
            </w:tcBorders>
            <w:shd w:val="clear" w:color="auto" w:fill="D8D8D8"/>
            <w:vAlign w:val="center"/>
          </w:tcPr>
          <w:p w14:paraId="55EA5529">
            <w:pPr>
              <w:pStyle w:val="47"/>
              <w:jc w:val="center"/>
              <w:rPr>
                <w:rFonts w:hint="eastAsia" w:ascii="宋体" w:hAnsi="宋体" w:eastAsia="宋体" w:cs="宋体"/>
                <w:b/>
                <w:bCs/>
                <w:i w:val="0"/>
                <w:iCs w:val="0"/>
                <w:color w:val="auto"/>
                <w:sz w:val="24"/>
                <w:szCs w:val="24"/>
                <w:highlight w:val="none"/>
              </w:rPr>
            </w:pPr>
            <w:bookmarkStart w:id="88" w:name="_Hlk161703381"/>
            <w:r>
              <w:rPr>
                <w:rFonts w:hint="eastAsia" w:ascii="宋体" w:hAnsi="宋体" w:eastAsia="宋体" w:cs="宋体"/>
                <w:b/>
                <w:bCs/>
                <w:i w:val="0"/>
                <w:iCs w:val="0"/>
                <w:color w:val="auto"/>
                <w:sz w:val="24"/>
                <w:szCs w:val="24"/>
                <w:highlight w:val="none"/>
              </w:rPr>
              <w:t>条款号</w:t>
            </w:r>
          </w:p>
        </w:tc>
        <w:tc>
          <w:tcPr>
            <w:tcW w:w="1971" w:type="dxa"/>
            <w:tcBorders>
              <w:top w:val="single" w:color="auto" w:sz="4" w:space="0"/>
              <w:left w:val="single" w:color="auto" w:sz="4" w:space="0"/>
              <w:bottom w:val="single" w:color="auto" w:sz="4" w:space="0"/>
              <w:right w:val="single" w:color="auto" w:sz="4" w:space="0"/>
            </w:tcBorders>
            <w:shd w:val="clear" w:color="auto" w:fill="D8D8D8"/>
            <w:vAlign w:val="center"/>
          </w:tcPr>
          <w:p w14:paraId="560503F1">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条款名称</w:t>
            </w:r>
          </w:p>
        </w:tc>
        <w:tc>
          <w:tcPr>
            <w:tcW w:w="6450" w:type="dxa"/>
            <w:tcBorders>
              <w:top w:val="single" w:color="auto" w:sz="4" w:space="0"/>
              <w:left w:val="single" w:color="auto" w:sz="4" w:space="0"/>
              <w:bottom w:val="single" w:color="auto" w:sz="4" w:space="0"/>
              <w:right w:val="single" w:color="auto" w:sz="4" w:space="0"/>
            </w:tcBorders>
            <w:shd w:val="clear" w:color="auto" w:fill="D8D8D8"/>
            <w:vAlign w:val="center"/>
          </w:tcPr>
          <w:p w14:paraId="6777820C">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内  容</w:t>
            </w:r>
          </w:p>
        </w:tc>
      </w:tr>
      <w:tr w14:paraId="00CDAA8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12" w:hRule="atLeast"/>
        </w:trPr>
        <w:tc>
          <w:tcPr>
            <w:tcW w:w="970" w:type="dxa"/>
            <w:tcBorders>
              <w:top w:val="single" w:color="auto" w:sz="2" w:space="0"/>
              <w:left w:val="single" w:color="auto" w:sz="2" w:space="0"/>
              <w:bottom w:val="single" w:color="auto" w:sz="2" w:space="0"/>
              <w:right w:val="single" w:color="auto" w:sz="2" w:space="0"/>
            </w:tcBorders>
            <w:vAlign w:val="center"/>
          </w:tcPr>
          <w:p w14:paraId="66D2FF53">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w:t>
            </w:r>
          </w:p>
        </w:tc>
        <w:tc>
          <w:tcPr>
            <w:tcW w:w="1971" w:type="dxa"/>
            <w:tcBorders>
              <w:top w:val="single" w:color="auto" w:sz="2" w:space="0"/>
              <w:left w:val="single" w:color="auto" w:sz="2" w:space="0"/>
              <w:bottom w:val="single" w:color="auto" w:sz="2" w:space="0"/>
              <w:right w:val="single" w:color="auto" w:sz="2" w:space="0"/>
            </w:tcBorders>
            <w:vAlign w:val="center"/>
          </w:tcPr>
          <w:p w14:paraId="7ACDA765">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服务内容</w:t>
            </w:r>
          </w:p>
        </w:tc>
        <w:tc>
          <w:tcPr>
            <w:tcW w:w="6450" w:type="dxa"/>
            <w:tcBorders>
              <w:top w:val="single" w:color="auto" w:sz="2" w:space="0"/>
              <w:left w:val="single" w:color="auto" w:sz="2" w:space="0"/>
              <w:bottom w:val="single" w:color="auto" w:sz="2" w:space="0"/>
              <w:right w:val="single" w:color="auto" w:sz="2" w:space="0"/>
            </w:tcBorders>
            <w:vAlign w:val="center"/>
          </w:tcPr>
          <w:p w14:paraId="090866C0">
            <w:pPr>
              <w:pStyle w:val="47"/>
              <w:keepNext w:val="0"/>
              <w:keepLines w:val="0"/>
              <w:pageBreakBefore w:val="0"/>
              <w:widowControl w:val="0"/>
              <w:kinsoku/>
              <w:wordWrap/>
              <w:overflowPunct/>
              <w:topLinePunct w:val="0"/>
              <w:autoSpaceDE/>
              <w:autoSpaceDN/>
              <w:bidi w:val="0"/>
              <w:adjustRightInd/>
              <w:snapToGrid/>
              <w:jc w:val="both"/>
              <w:textAlignment w:val="auto"/>
              <w:rPr>
                <w:rFonts w:hint="eastAsia" w:ascii="宋体" w:hAnsi="宋体" w:eastAsia="宋体" w:cs="宋体"/>
                <w:i w:val="0"/>
                <w:iCs w:val="0"/>
                <w:color w:val="auto"/>
                <w:sz w:val="24"/>
                <w:szCs w:val="24"/>
                <w:highlight w:val="none"/>
                <w:u w:val="single"/>
                <w:lang w:val="en-US" w:eastAsia="zh-CN"/>
              </w:rPr>
            </w:pPr>
            <w:r>
              <w:rPr>
                <w:rFonts w:hint="eastAsia" w:cs="宋体"/>
                <w:i w:val="0"/>
                <w:iCs w:val="0"/>
                <w:color w:val="auto"/>
                <w:sz w:val="24"/>
                <w:szCs w:val="24"/>
                <w:highlight w:val="none"/>
                <w:u w:val="single"/>
                <w:lang w:val="en-US" w:eastAsia="zh-CN"/>
              </w:rPr>
              <w:t>2026年中国新疆人才网示范推广项目</w:t>
            </w:r>
            <w:r>
              <w:rPr>
                <w:rFonts w:hint="eastAsia" w:ascii="宋体" w:hAnsi="宋体" w:eastAsia="宋体" w:cs="宋体"/>
                <w:i w:val="0"/>
                <w:iCs w:val="0"/>
                <w:color w:val="auto"/>
                <w:sz w:val="24"/>
                <w:szCs w:val="24"/>
                <w:highlight w:val="none"/>
                <w:u w:val="single"/>
                <w:lang w:val="en-US" w:eastAsia="zh-CN"/>
              </w:rPr>
              <w:t>（详见采购需求） 。</w:t>
            </w:r>
          </w:p>
        </w:tc>
      </w:tr>
      <w:tr w14:paraId="7054717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2AEE4073">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rPr>
              <w:t>9</w:t>
            </w:r>
            <w:r>
              <w:rPr>
                <w:rFonts w:hint="eastAsia" w:ascii="宋体" w:hAnsi="宋体" w:eastAsia="宋体" w:cs="宋体"/>
                <w:i w:val="0"/>
                <w:iCs w:val="0"/>
                <w:color w:val="auto"/>
                <w:sz w:val="24"/>
                <w:szCs w:val="24"/>
                <w:highlight w:val="none"/>
                <w:lang w:val="en-US" w:eastAsia="zh-CN"/>
              </w:rPr>
              <w:t>.1</w:t>
            </w:r>
          </w:p>
        </w:tc>
        <w:tc>
          <w:tcPr>
            <w:tcW w:w="1971" w:type="dxa"/>
            <w:tcBorders>
              <w:top w:val="single" w:color="auto" w:sz="2" w:space="0"/>
              <w:left w:val="single" w:color="auto" w:sz="2" w:space="0"/>
              <w:bottom w:val="single" w:color="auto" w:sz="2" w:space="0"/>
              <w:right w:val="single" w:color="auto" w:sz="2" w:space="0"/>
            </w:tcBorders>
            <w:vAlign w:val="center"/>
          </w:tcPr>
          <w:p w14:paraId="71CF8DC6">
            <w:pPr>
              <w:pStyle w:val="47"/>
              <w:rPr>
                <w:rFonts w:hint="eastAsia" w:ascii="宋体" w:hAnsi="宋体" w:eastAsia="宋体" w:cs="宋体"/>
                <w:i w:val="0"/>
                <w:iCs w:val="0"/>
                <w:color w:val="auto"/>
                <w:sz w:val="24"/>
                <w:szCs w:val="24"/>
                <w:highlight w:val="none"/>
              </w:rPr>
            </w:pPr>
            <w:bookmarkStart w:id="89" w:name="_Hlk143529175"/>
            <w:r>
              <w:rPr>
                <w:rFonts w:hint="eastAsia" w:ascii="宋体" w:hAnsi="宋体" w:eastAsia="宋体" w:cs="宋体"/>
                <w:i w:val="0"/>
                <w:iCs w:val="0"/>
                <w:color w:val="auto"/>
                <w:sz w:val="24"/>
                <w:szCs w:val="24"/>
                <w:highlight w:val="none"/>
              </w:rPr>
              <w:t>现场考察</w:t>
            </w:r>
            <w:bookmarkEnd w:id="89"/>
          </w:p>
        </w:tc>
        <w:tc>
          <w:tcPr>
            <w:tcW w:w="6450" w:type="dxa"/>
            <w:tcBorders>
              <w:top w:val="single" w:color="auto" w:sz="2" w:space="0"/>
              <w:left w:val="single" w:color="auto" w:sz="2" w:space="0"/>
              <w:bottom w:val="single" w:color="auto" w:sz="2" w:space="0"/>
              <w:right w:val="single" w:color="auto" w:sz="2" w:space="0"/>
            </w:tcBorders>
            <w:vAlign w:val="center"/>
          </w:tcPr>
          <w:p w14:paraId="5E2B3EE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不组织，供应商自行前往</w:t>
            </w:r>
          </w:p>
          <w:p w14:paraId="2238EF6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rPr>
              <w:t>组织</w:t>
            </w:r>
          </w:p>
          <w:p w14:paraId="047A7004">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1520FC15">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263D18D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6DD5B89A">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9.5</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4D60B551">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答疑会</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251DA069">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不组织</w:t>
            </w:r>
          </w:p>
          <w:p w14:paraId="6CDDB2B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组织</w:t>
            </w:r>
          </w:p>
          <w:p w14:paraId="22E645A0">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5421787D">
            <w:pPr>
              <w:pStyle w:val="47"/>
              <w:ind w:firstLine="240" w:firstLineChars="1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50FF56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CBF1A30">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4A7BE250">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询问</w:t>
            </w:r>
          </w:p>
        </w:tc>
        <w:tc>
          <w:tcPr>
            <w:tcW w:w="6450" w:type="dxa"/>
            <w:tcBorders>
              <w:top w:val="single" w:color="auto" w:sz="2" w:space="0"/>
              <w:left w:val="single" w:color="auto" w:sz="2" w:space="0"/>
              <w:bottom w:val="single" w:color="auto" w:sz="2" w:space="0"/>
              <w:right w:val="single" w:color="auto" w:sz="2" w:space="0"/>
            </w:tcBorders>
            <w:vAlign w:val="center"/>
          </w:tcPr>
          <w:p w14:paraId="139B6F6B">
            <w:pPr>
              <w:pStyle w:val="47"/>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方式：</w:t>
            </w:r>
            <w:r>
              <w:rPr>
                <w:rFonts w:hint="eastAsia" w:ascii="宋体" w:hAnsi="宋体" w:eastAsia="宋体" w:cs="宋体"/>
                <w:i w:val="0"/>
                <w:iCs w:val="0"/>
                <w:color w:val="auto"/>
                <w:sz w:val="24"/>
                <w:szCs w:val="24"/>
                <w:highlight w:val="none"/>
                <w:u w:val="single"/>
              </w:rPr>
              <w:t xml:space="preserve"> 在供应商客户端中按照格式填写询问函，并在生成询问函后加盖电子印章提交</w:t>
            </w:r>
            <w:r>
              <w:rPr>
                <w:rFonts w:hint="eastAsia" w:ascii="宋体" w:hAnsi="宋体" w:eastAsia="宋体"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其他询问方式： </w:t>
            </w:r>
            <w:r>
              <w:rPr>
                <w:rFonts w:hint="eastAsia" w:ascii="宋体" w:hAnsi="宋体" w:eastAsia="宋体" w:cs="宋体"/>
                <w:i w:val="0"/>
                <w:iCs w:val="0"/>
                <w:color w:val="auto"/>
                <w:sz w:val="24"/>
                <w:szCs w:val="24"/>
                <w:highlight w:val="none"/>
                <w:u w:val="single"/>
                <w:lang w:val="en-US" w:eastAsia="zh-CN"/>
              </w:rPr>
              <w:t>电话咨询</w:t>
            </w:r>
            <w:r>
              <w:rPr>
                <w:rFonts w:hint="eastAsia" w:ascii="宋体" w:hAnsi="宋体" w:eastAsia="宋体" w:cs="宋体"/>
                <w:i w:val="0"/>
                <w:iCs w:val="0"/>
                <w:color w:val="auto"/>
                <w:sz w:val="24"/>
                <w:szCs w:val="24"/>
                <w:highlight w:val="none"/>
                <w:u w:val="single"/>
              </w:rPr>
              <w:t>。</w:t>
            </w:r>
          </w:p>
          <w:p w14:paraId="631C46F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时间</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000000"/>
                <w:sz w:val="24"/>
                <w:szCs w:val="24"/>
                <w:highlight w:val="none"/>
                <w:u w:val="single"/>
              </w:rPr>
              <w:t>每天上午</w:t>
            </w:r>
            <w:r>
              <w:rPr>
                <w:rFonts w:hint="eastAsia" w:cs="宋体"/>
                <w:i w:val="0"/>
                <w:iCs w:val="0"/>
                <w:color w:val="000000"/>
                <w:sz w:val="24"/>
                <w:szCs w:val="24"/>
                <w:highlight w:val="none"/>
                <w:u w:val="single"/>
                <w:lang w:val="en-US" w:eastAsia="zh-CN"/>
              </w:rPr>
              <w:t>1</w:t>
            </w:r>
            <w:r>
              <w:rPr>
                <w:rFonts w:hint="eastAsia" w:ascii="宋体" w:hAnsi="宋体" w:eastAsia="宋体" w:cs="宋体"/>
                <w:i w:val="0"/>
                <w:iCs w:val="0"/>
                <w:color w:val="000000"/>
                <w:sz w:val="24"/>
                <w:szCs w:val="24"/>
                <w:highlight w:val="none"/>
                <w:u w:val="single"/>
              </w:rPr>
              <w:t>0:00 至</w:t>
            </w:r>
            <w:r>
              <w:rPr>
                <w:rFonts w:hint="eastAsia" w:cs="宋体"/>
                <w:i w:val="0"/>
                <w:iCs w:val="0"/>
                <w:color w:val="000000"/>
                <w:sz w:val="24"/>
                <w:szCs w:val="24"/>
                <w:highlight w:val="none"/>
                <w:u w:val="single"/>
                <w:lang w:val="en-US" w:eastAsia="zh-CN"/>
              </w:rPr>
              <w:t>13</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3</w:t>
            </w:r>
            <w:r>
              <w:rPr>
                <w:rFonts w:hint="eastAsia" w:ascii="宋体" w:hAnsi="宋体" w:eastAsia="宋体" w:cs="宋体"/>
                <w:i w:val="0"/>
                <w:iCs w:val="0"/>
                <w:color w:val="000000"/>
                <w:sz w:val="24"/>
                <w:szCs w:val="24"/>
                <w:highlight w:val="none"/>
                <w:u w:val="single"/>
              </w:rPr>
              <w:t>0，下午1</w:t>
            </w:r>
            <w:r>
              <w:rPr>
                <w:rFonts w:hint="eastAsia" w:cs="宋体"/>
                <w:i w:val="0"/>
                <w:iCs w:val="0"/>
                <w:color w:val="000000"/>
                <w:sz w:val="24"/>
                <w:szCs w:val="24"/>
                <w:highlight w:val="none"/>
                <w:u w:val="single"/>
                <w:lang w:val="en-US" w:eastAsia="zh-CN"/>
              </w:rPr>
              <w:t>5</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3</w:t>
            </w:r>
            <w:r>
              <w:rPr>
                <w:rFonts w:hint="eastAsia" w:ascii="宋体" w:hAnsi="宋体" w:eastAsia="宋体" w:cs="宋体"/>
                <w:i w:val="0"/>
                <w:iCs w:val="0"/>
                <w:color w:val="000000"/>
                <w:sz w:val="24"/>
                <w:szCs w:val="24"/>
                <w:highlight w:val="none"/>
                <w:u w:val="single"/>
              </w:rPr>
              <w:t>0至</w:t>
            </w:r>
            <w:r>
              <w:rPr>
                <w:rFonts w:hint="eastAsia" w:cs="宋体"/>
                <w:i w:val="0"/>
                <w:iCs w:val="0"/>
                <w:color w:val="000000"/>
                <w:sz w:val="24"/>
                <w:szCs w:val="24"/>
                <w:highlight w:val="none"/>
                <w:u w:val="single"/>
                <w:lang w:val="en-US" w:eastAsia="zh-CN"/>
              </w:rPr>
              <w:t>19</w:t>
            </w:r>
            <w:r>
              <w:rPr>
                <w:rFonts w:hint="eastAsia" w:ascii="宋体" w:hAnsi="宋体" w:eastAsia="宋体" w:cs="宋体"/>
                <w:i w:val="0"/>
                <w:iCs w:val="0"/>
                <w:color w:val="000000"/>
                <w:sz w:val="24"/>
                <w:szCs w:val="24"/>
                <w:highlight w:val="none"/>
                <w:u w:val="single"/>
              </w:rPr>
              <w:t>:</w:t>
            </w:r>
            <w:r>
              <w:rPr>
                <w:rFonts w:hint="eastAsia" w:cs="宋体"/>
                <w:i w:val="0"/>
                <w:iCs w:val="0"/>
                <w:color w:val="000000"/>
                <w:sz w:val="24"/>
                <w:szCs w:val="24"/>
                <w:highlight w:val="none"/>
                <w:u w:val="single"/>
                <w:lang w:val="en-US" w:eastAsia="zh-CN"/>
              </w:rPr>
              <w:t>00</w:t>
            </w:r>
            <w:r>
              <w:rPr>
                <w:rFonts w:hint="eastAsia" w:ascii="宋体" w:hAnsi="宋体" w:eastAsia="宋体" w:cs="宋体"/>
                <w:i w:val="0"/>
                <w:iCs w:val="0"/>
                <w:color w:val="000000"/>
                <w:sz w:val="24"/>
                <w:szCs w:val="24"/>
                <w:highlight w:val="none"/>
                <w:u w:val="single"/>
              </w:rPr>
              <w:t>（北京时间，法定节假日除外）</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571B9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697CBDA8">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56E4A3E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响应文件有效期</w:t>
            </w:r>
          </w:p>
        </w:tc>
        <w:tc>
          <w:tcPr>
            <w:tcW w:w="6450" w:type="dxa"/>
            <w:tcBorders>
              <w:top w:val="single" w:color="auto" w:sz="2" w:space="0"/>
              <w:left w:val="single" w:color="auto" w:sz="2" w:space="0"/>
              <w:bottom w:val="single" w:color="auto" w:sz="2" w:space="0"/>
              <w:right w:val="single" w:color="auto" w:sz="2" w:space="0"/>
            </w:tcBorders>
            <w:vAlign w:val="center"/>
          </w:tcPr>
          <w:p w14:paraId="7A8404D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响应文件递交截止日期后</w:t>
            </w:r>
            <w:r>
              <w:rPr>
                <w:rFonts w:hint="eastAsia" w:ascii="宋体" w:hAnsi="宋体" w:eastAsia="宋体" w:cs="宋体"/>
                <w:i w:val="0"/>
                <w:iCs w:val="0"/>
                <w:color w:val="auto"/>
                <w:sz w:val="24"/>
                <w:szCs w:val="24"/>
                <w:highlight w:val="none"/>
                <w:u w:val="single"/>
              </w:rPr>
              <w:t>90</w:t>
            </w:r>
            <w:r>
              <w:rPr>
                <w:rFonts w:hint="eastAsia" w:ascii="宋体" w:hAnsi="宋体" w:eastAsia="宋体" w:cs="宋体"/>
                <w:i w:val="0"/>
                <w:iCs w:val="0"/>
                <w:color w:val="auto"/>
                <w:sz w:val="24"/>
                <w:szCs w:val="24"/>
                <w:highlight w:val="none"/>
              </w:rPr>
              <w:t>日历日。</w:t>
            </w:r>
          </w:p>
        </w:tc>
      </w:tr>
      <w:tr w14:paraId="49C77E5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791" w:hRule="atLeast"/>
        </w:trPr>
        <w:tc>
          <w:tcPr>
            <w:tcW w:w="970" w:type="dxa"/>
            <w:tcBorders>
              <w:top w:val="single" w:color="auto" w:sz="2" w:space="0"/>
              <w:left w:val="single" w:color="auto" w:sz="2" w:space="0"/>
              <w:bottom w:val="single" w:color="auto" w:sz="2" w:space="0"/>
              <w:right w:val="single" w:color="auto" w:sz="2" w:space="0"/>
            </w:tcBorders>
            <w:vAlign w:val="center"/>
          </w:tcPr>
          <w:p w14:paraId="26C48057">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17.1</w:t>
            </w:r>
          </w:p>
        </w:tc>
        <w:tc>
          <w:tcPr>
            <w:tcW w:w="1971" w:type="dxa"/>
            <w:tcBorders>
              <w:top w:val="single" w:color="auto" w:sz="2" w:space="0"/>
              <w:left w:val="single" w:color="auto" w:sz="2" w:space="0"/>
              <w:bottom w:val="single" w:color="auto" w:sz="2" w:space="0"/>
              <w:right w:val="single" w:color="auto" w:sz="2" w:space="0"/>
            </w:tcBorders>
            <w:vAlign w:val="center"/>
          </w:tcPr>
          <w:p w14:paraId="60D2F551">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磋商保证金</w:t>
            </w:r>
          </w:p>
        </w:tc>
        <w:tc>
          <w:tcPr>
            <w:tcW w:w="6450" w:type="dxa"/>
            <w:tcBorders>
              <w:top w:val="single" w:color="auto" w:sz="2" w:space="0"/>
              <w:left w:val="single" w:color="auto" w:sz="2" w:space="0"/>
              <w:bottom w:val="single" w:color="auto" w:sz="2" w:space="0"/>
              <w:right w:val="single" w:color="auto" w:sz="2" w:space="0"/>
            </w:tcBorders>
            <w:vAlign w:val="center"/>
          </w:tcPr>
          <w:p w14:paraId="69857404">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79A6A2C6">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2A1155DF">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预算金额</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lang w:eastAsia="zh-CN"/>
              </w:rPr>
              <w:t>。</w:t>
            </w:r>
          </w:p>
          <w:p w14:paraId="03B51C49">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lang w:eastAsia="zh-CN"/>
              </w:rPr>
            </w:pPr>
            <w:r>
              <w:rPr>
                <w:rFonts w:hint="eastAsia" w:ascii="宋体" w:hAnsi="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 xml:space="preserve">人民币 </w:t>
            </w:r>
            <w:r>
              <w:rPr>
                <w:rFonts w:hint="eastAsia" w:ascii="宋体" w:hAnsi="宋体" w:cs="宋体"/>
                <w:i w:val="0"/>
                <w:iCs w:val="0"/>
                <w:color w:val="auto"/>
                <w:sz w:val="24"/>
                <w:szCs w:val="24"/>
                <w:highlight w:val="none"/>
                <w:u w:val="single"/>
                <w:lang w:val="en-US" w:eastAsia="zh-CN"/>
              </w:rPr>
              <w:t>10000</w:t>
            </w:r>
            <w:r>
              <w:rPr>
                <w:rFonts w:hint="eastAsia" w:ascii="宋体" w:hAnsi="宋体" w:eastAsia="宋体" w:cs="宋体"/>
                <w:i w:val="0"/>
                <w:iCs w:val="0"/>
                <w:color w:val="auto"/>
                <w:sz w:val="24"/>
                <w:szCs w:val="24"/>
                <w:highlight w:val="none"/>
                <w:u w:val="single"/>
              </w:rPr>
              <w:t xml:space="preserve"> 元</w:t>
            </w:r>
            <w:r>
              <w:rPr>
                <w:rFonts w:hint="eastAsia" w:ascii="宋体" w:hAnsi="宋体" w:eastAsia="宋体" w:cs="宋体"/>
                <w:i w:val="0"/>
                <w:iCs w:val="0"/>
                <w:color w:val="auto"/>
                <w:sz w:val="24"/>
                <w:szCs w:val="24"/>
                <w:highlight w:val="none"/>
                <w:lang w:eastAsia="zh-CN"/>
              </w:rPr>
              <w:t>。</w:t>
            </w:r>
          </w:p>
          <w:p w14:paraId="67CC6444">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2</w:t>
            </w:r>
            <w:r>
              <w:rPr>
                <w:rFonts w:hint="eastAsia" w:ascii="宋体" w:hAnsi="宋体" w:eastAsia="宋体" w:cs="宋体"/>
                <w:i w:val="0"/>
                <w:iCs w:val="0"/>
                <w:color w:val="000000"/>
                <w:sz w:val="24"/>
                <w:szCs w:val="24"/>
                <w:highlight w:val="none"/>
                <w:lang w:val="en-US" w:eastAsia="zh-CN"/>
              </w:rPr>
              <w:t>.</w:t>
            </w:r>
            <w:r>
              <w:rPr>
                <w:rFonts w:hint="eastAsia" w:ascii="宋体" w:hAnsi="宋体" w:eastAsia="宋体" w:cs="宋体"/>
                <w:i w:val="0"/>
                <w:iCs w:val="0"/>
                <w:color w:val="000000"/>
                <w:sz w:val="24"/>
                <w:szCs w:val="24"/>
                <w:highlight w:val="none"/>
              </w:rPr>
              <w:t>支付方式：</w:t>
            </w:r>
          </w:p>
          <w:p w14:paraId="6FE9AC5F">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240" w:firstLineChars="100"/>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供应商可自主选择以支票、汇票、本票、电汇、转账、网银、保函等非现金形式缴纳或提交保证金。</w:t>
            </w:r>
          </w:p>
          <w:p w14:paraId="72C03436">
            <w:pPr>
              <w:pStyle w:val="58"/>
              <w:keepNext w:val="0"/>
              <w:keepLines w:val="0"/>
              <w:pageBreakBefore w:val="0"/>
              <w:widowControl w:val="0"/>
              <w:shd w:val="clear" w:color="auto" w:fill="auto"/>
              <w:kinsoku/>
              <w:wordWrap/>
              <w:overflowPunct/>
              <w:topLinePunct w:val="0"/>
              <w:autoSpaceDE/>
              <w:autoSpaceDN/>
              <w:bidi w:val="0"/>
              <w:adjustRightInd/>
              <w:snapToGrid/>
              <w:spacing w:line="240" w:lineRule="auto"/>
              <w:textAlignment w:val="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3.</w:t>
            </w:r>
            <w:r>
              <w:rPr>
                <w:rFonts w:hint="eastAsia" w:ascii="宋体" w:hAnsi="宋体" w:eastAsia="宋体" w:cs="宋体"/>
                <w:i w:val="0"/>
                <w:iCs w:val="0"/>
                <w:color w:val="000000"/>
                <w:sz w:val="24"/>
                <w:szCs w:val="24"/>
                <w:highlight w:val="none"/>
              </w:rPr>
              <w:t>收取单位：</w:t>
            </w:r>
            <w:r>
              <w:rPr>
                <w:rFonts w:hint="eastAsia" w:ascii="宋体" w:hAnsi="宋体" w:cs="宋体"/>
                <w:color w:val="000000"/>
                <w:kern w:val="0"/>
                <w:sz w:val="24"/>
                <w:szCs w:val="24"/>
                <w:highlight w:val="none"/>
              </w:rPr>
              <w:t>中招国际招标有限公司新疆分公司</w:t>
            </w:r>
            <w:r>
              <w:rPr>
                <w:rFonts w:hint="eastAsia" w:ascii="宋体" w:hAnsi="宋体" w:eastAsia="宋体" w:cs="宋体"/>
                <w:i w:val="0"/>
                <w:iCs w:val="0"/>
                <w:color w:val="000000"/>
                <w:sz w:val="24"/>
                <w:szCs w:val="24"/>
                <w:highlight w:val="none"/>
              </w:rPr>
              <w:t xml:space="preserve">                            </w:t>
            </w:r>
          </w:p>
          <w:p w14:paraId="36147025">
            <w:pPr>
              <w:pStyle w:val="55"/>
              <w:spacing w:line="240" w:lineRule="auto"/>
              <w:rPr>
                <w:rFonts w:hint="eastAsia" w:ascii="宋体" w:hAnsi="宋体" w:eastAsia="宋体" w:cs="宋体"/>
                <w:i w:val="0"/>
                <w:iCs w:val="0"/>
                <w:color w:val="000000"/>
                <w:sz w:val="24"/>
                <w:szCs w:val="24"/>
                <w:highlight w:val="none"/>
                <w:lang w:val="en-US" w:eastAsia="zh-CN"/>
              </w:rPr>
            </w:pPr>
            <w:r>
              <w:rPr>
                <w:rFonts w:hint="eastAsia" w:ascii="宋体" w:hAnsi="宋体" w:eastAsia="宋体" w:cs="宋体"/>
                <w:i w:val="0"/>
                <w:iCs w:val="0"/>
                <w:color w:val="000000"/>
                <w:sz w:val="24"/>
                <w:szCs w:val="24"/>
                <w:highlight w:val="none"/>
                <w:lang w:val="en-US" w:eastAsia="zh-CN"/>
              </w:rPr>
              <w:t>4.收取账号：</w:t>
            </w:r>
          </w:p>
          <w:p w14:paraId="42533858">
            <w:pPr>
              <w:pStyle w:val="58"/>
              <w:numPr>
                <w:ilvl w:val="0"/>
                <w:numId w:val="0"/>
              </w:num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lang w:val="en-US" w:eastAsia="zh-CN"/>
              </w:rPr>
              <w:t>户    名</w:t>
            </w:r>
            <w:r>
              <w:rPr>
                <w:rFonts w:hint="eastAsia" w:ascii="宋体" w:hAnsi="宋体" w:cs="宋体"/>
                <w:color w:val="auto"/>
                <w:sz w:val="24"/>
                <w:szCs w:val="24"/>
                <w:highlight w:val="none"/>
              </w:rPr>
              <w:t>：中招国际招标有限公司新疆分公司</w:t>
            </w:r>
          </w:p>
          <w:p w14:paraId="6DE42E55">
            <w:pPr>
              <w:pStyle w:val="58"/>
              <w:numPr>
                <w:ilvl w:val="0"/>
                <w:numId w:val="0"/>
              </w:numPr>
              <w:spacing w:line="240" w:lineRule="auto"/>
              <w:rPr>
                <w:rFonts w:ascii="宋体" w:hAnsi="宋体" w:cs="宋体"/>
                <w:color w:val="auto"/>
                <w:sz w:val="24"/>
                <w:szCs w:val="24"/>
                <w:highlight w:val="none"/>
              </w:rPr>
            </w:pPr>
            <w:r>
              <w:rPr>
                <w:rFonts w:hint="eastAsia" w:ascii="宋体" w:hAnsi="宋体" w:cs="宋体"/>
                <w:color w:val="auto"/>
                <w:sz w:val="24"/>
                <w:szCs w:val="24"/>
                <w:highlight w:val="none"/>
              </w:rPr>
              <w:t>账</w:t>
            </w:r>
            <w:r>
              <w:rPr>
                <w:rFonts w:hint="eastAsia" w:ascii="宋体" w:hAnsi="宋体" w:cs="宋体"/>
                <w:color w:val="auto"/>
                <w:sz w:val="24"/>
                <w:szCs w:val="24"/>
                <w:highlight w:val="none"/>
                <w:lang w:val="en-US" w:eastAsia="zh-CN"/>
              </w:rPr>
              <w:t xml:space="preserve">    </w:t>
            </w:r>
            <w:r>
              <w:rPr>
                <w:rFonts w:hint="eastAsia" w:ascii="宋体" w:hAnsi="宋体" w:cs="宋体"/>
                <w:color w:val="auto"/>
                <w:sz w:val="24"/>
                <w:szCs w:val="24"/>
                <w:highlight w:val="none"/>
              </w:rPr>
              <w:t xml:space="preserve">号：3002012819100057504                       </w:t>
            </w:r>
          </w:p>
          <w:p w14:paraId="6767ED1F">
            <w:pPr>
              <w:pStyle w:val="58"/>
              <w:numPr>
                <w:ilvl w:val="0"/>
                <w:numId w:val="0"/>
              </w:numPr>
              <w:spacing w:line="240" w:lineRule="auto"/>
              <w:ind w:leftChars="0"/>
              <w:rPr>
                <w:rFonts w:hint="eastAsia" w:ascii="宋体" w:hAnsi="宋体" w:cs="宋体"/>
                <w:color w:val="auto"/>
                <w:sz w:val="24"/>
                <w:szCs w:val="24"/>
                <w:highlight w:val="none"/>
              </w:rPr>
            </w:pPr>
            <w:r>
              <w:rPr>
                <w:rFonts w:hint="eastAsia" w:ascii="宋体" w:hAnsi="宋体" w:cs="宋体"/>
                <w:color w:val="auto"/>
                <w:sz w:val="24"/>
                <w:szCs w:val="24"/>
                <w:highlight w:val="none"/>
              </w:rPr>
              <w:t xml:space="preserve">开户银行：中国工商银行股份有限公司南湖北路支行    </w:t>
            </w:r>
          </w:p>
          <w:p w14:paraId="473EF811">
            <w:pPr>
              <w:pStyle w:val="58"/>
              <w:numPr>
                <w:ilvl w:val="0"/>
                <w:numId w:val="0"/>
              </w:numPr>
              <w:spacing w:line="240" w:lineRule="auto"/>
              <w:ind w:leftChars="0"/>
              <w:rPr>
                <w:rFonts w:hint="eastAsia" w:ascii="宋体" w:hAnsi="宋体" w:cs="宋体"/>
                <w:color w:val="auto"/>
                <w:sz w:val="24"/>
                <w:szCs w:val="24"/>
                <w:highlight w:val="none"/>
              </w:rPr>
            </w:pPr>
            <w:r>
              <w:rPr>
                <w:rFonts w:hint="eastAsia" w:ascii="宋体" w:hAnsi="宋体" w:eastAsia="宋体" w:cs="宋体"/>
                <w:i w:val="0"/>
                <w:iCs w:val="0"/>
                <w:color w:val="auto"/>
                <w:sz w:val="24"/>
                <w:szCs w:val="24"/>
                <w:highlight w:val="none"/>
                <w:lang w:val="en-US" w:eastAsia="zh-CN"/>
              </w:rPr>
              <w:t>行    号：102881001281</w:t>
            </w:r>
            <w:r>
              <w:rPr>
                <w:rFonts w:hint="eastAsia" w:ascii="宋体" w:hAnsi="宋体" w:cs="宋体"/>
                <w:color w:val="auto"/>
                <w:sz w:val="24"/>
                <w:szCs w:val="24"/>
                <w:highlight w:val="none"/>
              </w:rPr>
              <w:t xml:space="preserve">     </w:t>
            </w:r>
          </w:p>
          <w:p w14:paraId="6A324BBA">
            <w:pPr>
              <w:pStyle w:val="68"/>
              <w:spacing w:line="240" w:lineRule="auto"/>
              <w:rPr>
                <w:color w:val="auto"/>
                <w:highlight w:val="none"/>
              </w:rPr>
            </w:pPr>
            <w:r>
              <w:rPr>
                <w:rFonts w:hint="eastAsia" w:ascii="宋体" w:hAnsi="宋体" w:eastAsia="宋体" w:cs="宋体"/>
                <w:b/>
                <w:bCs/>
                <w:i w:val="0"/>
                <w:iCs w:val="0"/>
                <w:color w:val="auto"/>
                <w:sz w:val="24"/>
                <w:szCs w:val="24"/>
                <w:highlight w:val="none"/>
                <w:u w:val="single"/>
              </w:rPr>
              <w:t>汇款备注：项目简称+项目编号</w:t>
            </w:r>
          </w:p>
          <w:p w14:paraId="288EAA33">
            <w:pPr>
              <w:widowControl/>
              <w:spacing w:line="240" w:lineRule="auto"/>
              <w:rPr>
                <w:rFonts w:hint="eastAsia" w:ascii="宋体" w:hAnsi="宋体" w:eastAsia="宋体" w:cs="宋体"/>
                <w:i w:val="0"/>
                <w:iCs w:val="0"/>
                <w:color w:val="auto"/>
                <w:sz w:val="24"/>
                <w:szCs w:val="24"/>
                <w:highlight w:val="none"/>
              </w:rPr>
            </w:pPr>
            <w:r>
              <w:rPr>
                <w:rFonts w:hint="eastAsia" w:cs="宋体"/>
                <w:color w:val="auto"/>
                <w:szCs w:val="24"/>
                <w:highlight w:val="none"/>
                <w:lang w:val="en-US" w:eastAsia="zh-CN"/>
              </w:rPr>
              <w:t>5.</w:t>
            </w:r>
            <w:r>
              <w:rPr>
                <w:rFonts w:hint="eastAsia" w:cs="宋体"/>
                <w:color w:val="auto"/>
                <w:szCs w:val="24"/>
                <w:highlight w:val="none"/>
              </w:rPr>
              <w:t>退还时间：</w:t>
            </w:r>
            <w:r>
              <w:rPr>
                <w:rFonts w:hint="eastAsia" w:cs="宋体"/>
                <w:color w:val="auto"/>
                <w:kern w:val="0"/>
                <w:szCs w:val="24"/>
                <w:highlight w:val="none"/>
              </w:rPr>
              <w:t>自中标通知书发出之日起</w:t>
            </w:r>
            <w:r>
              <w:rPr>
                <w:rFonts w:ascii="Times New Roman" w:hAnsi="Times New Roman" w:cs="Times New Roman"/>
                <w:color w:val="auto"/>
                <w:kern w:val="0"/>
                <w:szCs w:val="24"/>
                <w:highlight w:val="none"/>
              </w:rPr>
              <w:t>5</w:t>
            </w:r>
            <w:r>
              <w:rPr>
                <w:rFonts w:hint="eastAsia" w:cs="宋体"/>
                <w:color w:val="auto"/>
                <w:kern w:val="0"/>
                <w:szCs w:val="24"/>
                <w:highlight w:val="none"/>
              </w:rPr>
              <w:t>个工作日内退还未中标供应商的</w:t>
            </w:r>
            <w:r>
              <w:rPr>
                <w:rFonts w:hint="eastAsia" w:cs="宋体"/>
                <w:color w:val="auto"/>
                <w:kern w:val="0"/>
                <w:szCs w:val="24"/>
                <w:highlight w:val="none"/>
                <w:lang w:val="en-US" w:eastAsia="zh-CN"/>
              </w:rPr>
              <w:t>磋商</w:t>
            </w:r>
            <w:r>
              <w:rPr>
                <w:rFonts w:hint="eastAsia" w:cs="宋体"/>
                <w:color w:val="auto"/>
                <w:kern w:val="0"/>
                <w:szCs w:val="24"/>
                <w:highlight w:val="none"/>
              </w:rPr>
              <w:t xml:space="preserve">保证金，自政府采购合同签订之日起 </w:t>
            </w:r>
            <w:r>
              <w:rPr>
                <w:rFonts w:ascii="Times New Roman" w:hAnsi="Times New Roman" w:cs="Times New Roman"/>
                <w:color w:val="auto"/>
                <w:kern w:val="0"/>
                <w:szCs w:val="24"/>
                <w:highlight w:val="none"/>
              </w:rPr>
              <w:t xml:space="preserve">5 </w:t>
            </w:r>
            <w:r>
              <w:rPr>
                <w:rFonts w:hint="eastAsia" w:cs="宋体"/>
                <w:color w:val="auto"/>
                <w:kern w:val="0"/>
                <w:szCs w:val="24"/>
                <w:highlight w:val="none"/>
              </w:rPr>
              <w:t>个工作 日内退还中标供应商的</w:t>
            </w:r>
            <w:r>
              <w:rPr>
                <w:rFonts w:hint="eastAsia" w:cs="宋体"/>
                <w:color w:val="auto"/>
                <w:kern w:val="0"/>
                <w:szCs w:val="24"/>
                <w:highlight w:val="none"/>
                <w:lang w:val="en-US" w:eastAsia="zh-CN"/>
              </w:rPr>
              <w:t>磋商</w:t>
            </w:r>
            <w:r>
              <w:rPr>
                <w:rFonts w:hint="eastAsia" w:cs="宋体"/>
                <w:color w:val="auto"/>
                <w:kern w:val="0"/>
                <w:szCs w:val="24"/>
                <w:highlight w:val="none"/>
              </w:rPr>
              <w:t>保证金</w:t>
            </w:r>
            <w:r>
              <w:rPr>
                <w:rFonts w:hint="eastAsia" w:ascii="宋体" w:hAnsi="宋体" w:eastAsia="宋体" w:cs="宋体"/>
                <w:i w:val="0"/>
                <w:iCs w:val="0"/>
                <w:color w:val="auto"/>
                <w:sz w:val="24"/>
                <w:szCs w:val="24"/>
                <w:highlight w:val="none"/>
              </w:rPr>
              <w:t xml:space="preserve">             </w:t>
            </w:r>
          </w:p>
          <w:p w14:paraId="47FE9EBD">
            <w:pPr>
              <w:pStyle w:val="58"/>
              <w:spacing w:line="240" w:lineRule="auto"/>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lang w:val="en-US" w:eastAsia="zh-CN"/>
              </w:rPr>
              <w:t>5.</w:t>
            </w:r>
            <w:r>
              <w:rPr>
                <w:rFonts w:hint="eastAsia" w:ascii="宋体" w:hAnsi="宋体" w:eastAsia="宋体" w:cs="宋体"/>
                <w:i w:val="0"/>
                <w:iCs w:val="0"/>
                <w:color w:val="000000"/>
                <w:sz w:val="24"/>
                <w:szCs w:val="24"/>
                <w:highlight w:val="none"/>
              </w:rPr>
              <w:t>退还时间：</w:t>
            </w:r>
            <w:r>
              <w:rPr>
                <w:rFonts w:hint="eastAsia" w:ascii="宋体" w:hAnsi="宋体" w:cs="宋体"/>
                <w:i w:val="0"/>
                <w:iCs w:val="0"/>
                <w:color w:val="000000"/>
                <w:sz w:val="24"/>
                <w:szCs w:val="24"/>
                <w:highlight w:val="none"/>
                <w:lang w:val="en-US" w:eastAsia="zh-CN"/>
              </w:rPr>
              <w:t>中标结果发布后5个工作日内。</w:t>
            </w:r>
            <w:r>
              <w:rPr>
                <w:rFonts w:hint="eastAsia" w:ascii="宋体" w:hAnsi="宋体" w:eastAsia="宋体" w:cs="宋体"/>
                <w:i w:val="0"/>
                <w:iCs w:val="0"/>
                <w:color w:val="000000"/>
                <w:sz w:val="24"/>
                <w:szCs w:val="24"/>
                <w:highlight w:val="none"/>
              </w:rPr>
              <w:t xml:space="preserve">             </w:t>
            </w:r>
          </w:p>
          <w:p w14:paraId="4A629899">
            <w:pPr>
              <w:pStyle w:val="58"/>
              <w:spacing w:line="240" w:lineRule="auto"/>
              <w:rPr>
                <w:rFonts w:hint="eastAsia" w:ascii="宋体" w:hAnsi="宋体" w:eastAsia="宋体" w:cs="宋体"/>
                <w:i w:val="0"/>
                <w:iCs w:val="0"/>
                <w:color w:val="000000"/>
                <w:sz w:val="24"/>
                <w:szCs w:val="24"/>
                <w:highlight w:val="none"/>
              </w:rPr>
            </w:pPr>
            <w:r>
              <w:rPr>
                <w:rFonts w:hint="eastAsia" w:ascii="宋体" w:hAnsi="宋体" w:eastAsia="宋体" w:cs="宋体"/>
                <w:b/>
                <w:bCs/>
                <w:i w:val="0"/>
                <w:iCs w:val="0"/>
                <w:color w:val="000000"/>
                <w:sz w:val="24"/>
                <w:szCs w:val="24"/>
                <w:highlight w:val="none"/>
              </w:rPr>
              <w:t>注意事项：</w:t>
            </w:r>
          </w:p>
          <w:p w14:paraId="5981A1F1">
            <w:pPr>
              <w:pStyle w:val="58"/>
              <w:spacing w:line="240" w:lineRule="auto"/>
              <w:ind w:firstLine="240" w:firstLineChars="100"/>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1.以上各类机构出具的以担保函、保证保险承担责任的方式均须满足无条件见索即付条件。</w:t>
            </w:r>
          </w:p>
          <w:p w14:paraId="6F4DD1CE">
            <w:pPr>
              <w:pStyle w:val="58"/>
              <w:spacing w:line="340" w:lineRule="exact"/>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000000"/>
                <w:sz w:val="24"/>
                <w:szCs w:val="24"/>
                <w:highlight w:val="none"/>
              </w:rPr>
              <w:t>2.以担保函、保证保险形式缴纳</w:t>
            </w:r>
            <w:r>
              <w:rPr>
                <w:rFonts w:hint="eastAsia" w:ascii="宋体" w:hAnsi="宋体" w:cs="宋体"/>
                <w:i w:val="0"/>
                <w:iCs w:val="0"/>
                <w:color w:val="000000"/>
                <w:sz w:val="24"/>
                <w:szCs w:val="24"/>
                <w:highlight w:val="none"/>
                <w:lang w:val="en-US" w:eastAsia="zh-CN"/>
              </w:rPr>
              <w:t>磋商</w:t>
            </w:r>
            <w:r>
              <w:rPr>
                <w:rFonts w:hint="eastAsia" w:ascii="宋体" w:hAnsi="宋体" w:eastAsia="宋体" w:cs="宋体"/>
                <w:i w:val="0"/>
                <w:iCs w:val="0"/>
                <w:color w:val="000000"/>
                <w:sz w:val="24"/>
                <w:szCs w:val="24"/>
                <w:highlight w:val="none"/>
              </w:rPr>
              <w:t>保证金的，受益人和收取单位须为采购人。</w:t>
            </w:r>
            <w:r>
              <w:rPr>
                <w:rFonts w:hint="eastAsia" w:ascii="宋体" w:hAnsi="宋体" w:eastAsia="宋体" w:cs="宋体"/>
                <w:i w:val="0"/>
                <w:iCs w:val="0"/>
                <w:color w:val="000000"/>
                <w:sz w:val="24"/>
                <w:szCs w:val="24"/>
                <w:highlight w:val="none"/>
              </w:rPr>
              <w:br w:type="textWrapping"/>
            </w:r>
            <w:r>
              <w:rPr>
                <w:rFonts w:hint="eastAsia" w:ascii="宋体" w:hAnsi="宋体" w:cs="宋体"/>
                <w:i w:val="0"/>
                <w:iCs w:val="0"/>
                <w:color w:val="000000"/>
                <w:sz w:val="24"/>
                <w:szCs w:val="24"/>
                <w:highlight w:val="none"/>
                <w:lang w:val="en-US" w:eastAsia="zh-CN"/>
              </w:rPr>
              <w:t xml:space="preserve">  </w:t>
            </w:r>
            <w:r>
              <w:rPr>
                <w:rFonts w:hint="eastAsia" w:ascii="宋体" w:hAnsi="宋体" w:cs="宋体"/>
                <w:b/>
                <w:bCs/>
                <w:i w:val="0"/>
                <w:iCs w:val="0"/>
                <w:color w:val="000000"/>
                <w:sz w:val="24"/>
                <w:szCs w:val="24"/>
                <w:highlight w:val="none"/>
                <w:lang w:val="en-US" w:eastAsia="zh-CN"/>
              </w:rPr>
              <w:t>3.供应商</w:t>
            </w:r>
            <w:r>
              <w:rPr>
                <w:rFonts w:hint="eastAsia" w:ascii="宋体" w:hAnsi="宋体" w:eastAsia="宋体" w:cs="宋体"/>
                <w:b/>
                <w:bCs/>
                <w:i w:val="0"/>
                <w:iCs w:val="0"/>
                <w:color w:val="000000"/>
                <w:sz w:val="24"/>
                <w:szCs w:val="24"/>
                <w:highlight w:val="none"/>
              </w:rPr>
              <w:t>以</w:t>
            </w:r>
            <w:r>
              <w:rPr>
                <w:rFonts w:hint="eastAsia" w:ascii="宋体" w:hAnsi="宋体" w:eastAsia="宋体" w:cs="宋体"/>
                <w:b/>
                <w:bCs/>
                <w:i w:val="0"/>
                <w:iCs w:val="0"/>
                <w:color w:val="000000"/>
                <w:sz w:val="24"/>
                <w:szCs w:val="24"/>
                <w:highlight w:val="none"/>
                <w:lang w:val="en-US" w:eastAsia="zh-CN"/>
              </w:rPr>
              <w:t>保证金</w:t>
            </w:r>
            <w:r>
              <w:rPr>
                <w:rFonts w:hint="eastAsia" w:ascii="宋体" w:hAnsi="宋体" w:eastAsia="宋体" w:cs="宋体"/>
                <w:b/>
                <w:bCs/>
                <w:i w:val="0"/>
                <w:iCs w:val="0"/>
                <w:color w:val="000000"/>
                <w:sz w:val="24"/>
                <w:szCs w:val="24"/>
                <w:highlight w:val="none"/>
              </w:rPr>
              <w:t>形式缴纳</w:t>
            </w:r>
            <w:r>
              <w:rPr>
                <w:rFonts w:hint="eastAsia" w:ascii="宋体" w:hAnsi="宋体" w:cs="宋体"/>
                <w:b/>
                <w:bCs/>
                <w:i w:val="0"/>
                <w:iCs w:val="0"/>
                <w:color w:val="000000"/>
                <w:sz w:val="24"/>
                <w:szCs w:val="24"/>
                <w:highlight w:val="none"/>
                <w:lang w:val="en-US" w:eastAsia="zh-CN"/>
              </w:rPr>
              <w:t>磋商</w:t>
            </w:r>
            <w:r>
              <w:rPr>
                <w:rFonts w:hint="eastAsia" w:ascii="宋体" w:hAnsi="宋体" w:eastAsia="宋体" w:cs="宋体"/>
                <w:b/>
                <w:bCs/>
                <w:i w:val="0"/>
                <w:iCs w:val="0"/>
                <w:color w:val="000000"/>
                <w:sz w:val="24"/>
                <w:szCs w:val="24"/>
                <w:highlight w:val="none"/>
              </w:rPr>
              <w:t>保证金的</w:t>
            </w:r>
            <w:r>
              <w:rPr>
                <w:rFonts w:hint="eastAsia" w:ascii="宋体" w:hAnsi="宋体" w:cs="宋体"/>
                <w:b/>
                <w:bCs/>
                <w:i w:val="0"/>
                <w:iCs w:val="0"/>
                <w:color w:val="000000"/>
                <w:sz w:val="24"/>
                <w:szCs w:val="24"/>
                <w:highlight w:val="none"/>
                <w:lang w:val="en-US" w:eastAsia="zh-CN"/>
              </w:rPr>
              <w:t>时请在汇款时注明“项目编号”，对因未注明项目简称及汇款事由而造成保证金不能及时到账的，后果由供应商自负。</w:t>
            </w:r>
          </w:p>
        </w:tc>
      </w:tr>
      <w:tr w14:paraId="7111AC9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345" w:hRule="atLeast"/>
        </w:trPr>
        <w:tc>
          <w:tcPr>
            <w:tcW w:w="970" w:type="dxa"/>
            <w:tcBorders>
              <w:top w:val="single" w:color="auto" w:sz="2" w:space="0"/>
              <w:left w:val="single" w:color="auto" w:sz="2" w:space="0"/>
              <w:bottom w:val="single" w:color="auto" w:sz="2" w:space="0"/>
              <w:right w:val="single" w:color="auto" w:sz="2" w:space="0"/>
            </w:tcBorders>
            <w:vAlign w:val="center"/>
          </w:tcPr>
          <w:p w14:paraId="61BD2EB4">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22.1</w:t>
            </w:r>
          </w:p>
        </w:tc>
        <w:tc>
          <w:tcPr>
            <w:tcW w:w="1971" w:type="dxa"/>
            <w:tcBorders>
              <w:top w:val="single" w:color="auto" w:sz="2" w:space="0"/>
              <w:left w:val="single" w:color="auto" w:sz="2" w:space="0"/>
              <w:bottom w:val="single" w:color="auto" w:sz="2" w:space="0"/>
              <w:right w:val="single" w:color="auto" w:sz="2" w:space="0"/>
            </w:tcBorders>
            <w:vAlign w:val="center"/>
          </w:tcPr>
          <w:p w14:paraId="5DF0914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实物样品</w:t>
            </w:r>
          </w:p>
        </w:tc>
        <w:tc>
          <w:tcPr>
            <w:tcW w:w="6450" w:type="dxa"/>
            <w:tcBorders>
              <w:top w:val="single" w:color="auto" w:sz="2" w:space="0"/>
              <w:left w:val="single" w:color="auto" w:sz="2" w:space="0"/>
              <w:bottom w:val="single" w:color="auto" w:sz="2" w:space="0"/>
              <w:right w:val="single" w:color="auto" w:sz="2" w:space="0"/>
            </w:tcBorders>
            <w:vAlign w:val="center"/>
          </w:tcPr>
          <w:p w14:paraId="71E1560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磋商样品递交： </w:t>
            </w:r>
          </w:p>
          <w:p w14:paraId="4CAFCF88">
            <w:pPr>
              <w:pStyle w:val="47"/>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不需要 </w:t>
            </w:r>
          </w:p>
          <w:p w14:paraId="7F574AF9">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□需要，具体要求如下： </w:t>
            </w:r>
          </w:p>
          <w:p w14:paraId="0F4017F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1.样品制作的标准和要求：____</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 xml:space="preserve">_____； </w:t>
            </w:r>
          </w:p>
          <w:p w14:paraId="47AA8C8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2.是否需要随样品提交相关检测报告： </w:t>
            </w:r>
          </w:p>
          <w:p w14:paraId="78BACEC2">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□不需要 </w:t>
            </w:r>
          </w:p>
          <w:p w14:paraId="49DF4476">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□需要 </w:t>
            </w:r>
          </w:p>
          <w:p w14:paraId="3ABCB7B6">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3.样品递交要求：</w:t>
            </w:r>
          </w:p>
          <w:p w14:paraId="7A9B4B4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递交时间：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w:t>
            </w:r>
          </w:p>
          <w:p w14:paraId="5D7E607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，逾期提供的样品将不予接受。</w:t>
            </w:r>
            <w:r>
              <w:rPr>
                <w:rFonts w:hint="eastAsia" w:ascii="宋体" w:hAnsi="宋体" w:eastAsia="宋体" w:cs="宋体"/>
                <w:i w:val="0"/>
                <w:iCs w:val="0"/>
                <w:color w:val="auto"/>
                <w:sz w:val="24"/>
                <w:szCs w:val="24"/>
                <w:highlight w:val="none"/>
                <w:lang w:val="en-US" w:eastAsia="zh-CN"/>
              </w:rPr>
              <w:t xml:space="preserve"> </w:t>
            </w:r>
          </w:p>
          <w:p w14:paraId="65899C8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4.未中标人样品退还：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7CAFECE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5.中标人样品保管、封存及退还：</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 xml:space="preserve">； </w:t>
            </w:r>
          </w:p>
          <w:p w14:paraId="3483D19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6.其他要求（如有）：</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lang w:val="en-US" w:eastAsia="zh-CN"/>
              </w:rPr>
              <w:t>。</w:t>
            </w:r>
          </w:p>
        </w:tc>
      </w:tr>
      <w:tr w14:paraId="0492E4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989" w:hRule="atLeast"/>
        </w:trPr>
        <w:tc>
          <w:tcPr>
            <w:tcW w:w="970" w:type="dxa"/>
            <w:tcBorders>
              <w:top w:val="single" w:color="auto" w:sz="2" w:space="0"/>
              <w:left w:val="single" w:color="auto" w:sz="2" w:space="0"/>
              <w:bottom w:val="single" w:color="auto" w:sz="2" w:space="0"/>
              <w:right w:val="single" w:color="auto" w:sz="2" w:space="0"/>
            </w:tcBorders>
            <w:vAlign w:val="center"/>
          </w:tcPr>
          <w:p w14:paraId="733F5245">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w:t>
            </w:r>
          </w:p>
        </w:tc>
        <w:tc>
          <w:tcPr>
            <w:tcW w:w="1971" w:type="dxa"/>
            <w:tcBorders>
              <w:top w:val="single" w:color="auto" w:sz="2" w:space="0"/>
              <w:left w:val="single" w:color="auto" w:sz="2" w:space="0"/>
              <w:bottom w:val="single" w:color="auto" w:sz="2" w:space="0"/>
              <w:right w:val="single" w:color="auto" w:sz="2" w:space="0"/>
            </w:tcBorders>
            <w:vAlign w:val="center"/>
          </w:tcPr>
          <w:p w14:paraId="4ABD3E0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演示</w:t>
            </w:r>
          </w:p>
        </w:tc>
        <w:tc>
          <w:tcPr>
            <w:tcW w:w="6450" w:type="dxa"/>
            <w:tcBorders>
              <w:top w:val="single" w:color="auto" w:sz="2" w:space="0"/>
              <w:left w:val="single" w:color="auto" w:sz="2" w:space="0"/>
              <w:bottom w:val="single" w:color="auto" w:sz="2" w:space="0"/>
              <w:right w:val="single" w:color="auto" w:sz="2" w:space="0"/>
            </w:tcBorders>
            <w:vAlign w:val="center"/>
          </w:tcPr>
          <w:p w14:paraId="2794EEA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不进行</w:t>
            </w:r>
          </w:p>
          <w:p w14:paraId="1B031671">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进行，远程线上演示/现场演示</w:t>
            </w:r>
          </w:p>
          <w:p w14:paraId="0D779AAC">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1.演示时间不得超过</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p>
          <w:p w14:paraId="7D605738">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2.进行远程线上演示的，供应商应提前自行准备好演示的软硬配置环境和网络环境，做好演示的各项准备工作。因供应商自身原因无法演示或者演示效果不理想的，导致的后果由供应商自行承担。</w:t>
            </w:r>
          </w:p>
          <w:p w14:paraId="18545CBA">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3.进行现场演示的，演示人员不得超过</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rPr>
              <w:t>人，演示现场提供</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tc>
      </w:tr>
      <w:tr w14:paraId="4181FF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5" w:hRule="atLeast"/>
        </w:trPr>
        <w:tc>
          <w:tcPr>
            <w:tcW w:w="970" w:type="dxa"/>
            <w:tcBorders>
              <w:top w:val="single" w:color="auto" w:sz="2" w:space="0"/>
              <w:left w:val="single" w:color="auto" w:sz="2" w:space="0"/>
              <w:bottom w:val="single" w:color="auto" w:sz="2" w:space="0"/>
              <w:right w:val="single" w:color="auto" w:sz="2" w:space="0"/>
            </w:tcBorders>
            <w:vAlign w:val="center"/>
          </w:tcPr>
          <w:p w14:paraId="75DCCD86">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w:t>
            </w:r>
          </w:p>
        </w:tc>
        <w:tc>
          <w:tcPr>
            <w:tcW w:w="1971" w:type="dxa"/>
            <w:tcBorders>
              <w:top w:val="single" w:color="auto" w:sz="2" w:space="0"/>
              <w:left w:val="single" w:color="auto" w:sz="2" w:space="0"/>
              <w:bottom w:val="single" w:color="auto" w:sz="2" w:space="0"/>
              <w:right w:val="single" w:color="auto" w:sz="2" w:space="0"/>
            </w:tcBorders>
            <w:vAlign w:val="center"/>
          </w:tcPr>
          <w:p w14:paraId="747E8F8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解密响应文件的时限</w:t>
            </w:r>
          </w:p>
        </w:tc>
        <w:tc>
          <w:tcPr>
            <w:tcW w:w="6450" w:type="dxa"/>
            <w:tcBorders>
              <w:top w:val="single" w:color="auto" w:sz="2" w:space="0"/>
              <w:left w:val="single" w:color="auto" w:sz="2" w:space="0"/>
              <w:bottom w:val="single" w:color="auto" w:sz="2" w:space="0"/>
              <w:right w:val="single" w:color="auto" w:sz="2" w:space="0"/>
            </w:tcBorders>
            <w:vAlign w:val="center"/>
          </w:tcPr>
          <w:p w14:paraId="308957C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不见面开标默认解密时长：</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30</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分钟</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 xml:space="preserve"> </w:t>
            </w:r>
          </w:p>
          <w:p w14:paraId="590AA3C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eastAsia="zh-CN"/>
              </w:rPr>
              <w:t>注：</w:t>
            </w:r>
            <w:r>
              <w:rPr>
                <w:rFonts w:hint="eastAsia" w:ascii="宋体" w:hAnsi="宋体" w:eastAsia="宋体" w:cs="宋体"/>
                <w:i w:val="0"/>
                <w:iCs w:val="0"/>
                <w:color w:val="auto"/>
                <w:sz w:val="24"/>
                <w:szCs w:val="24"/>
                <w:highlight w:val="none"/>
              </w:rPr>
              <w:t>除因交易平台发生故障导致响应文件无法按时解密外，响应文件未按时解密的，视为未按规定提交响应文件</w:t>
            </w:r>
            <w:r>
              <w:rPr>
                <w:rFonts w:hint="eastAsia" w:ascii="宋体" w:hAnsi="宋体" w:eastAsia="宋体" w:cs="宋体"/>
                <w:i w:val="0"/>
                <w:iCs w:val="0"/>
                <w:color w:val="auto"/>
                <w:sz w:val="24"/>
                <w:szCs w:val="24"/>
                <w:highlight w:val="none"/>
                <w:lang w:eastAsia="zh-CN"/>
              </w:rPr>
              <w:t>，响应无效。</w:t>
            </w:r>
          </w:p>
        </w:tc>
      </w:tr>
      <w:tr w14:paraId="23C639A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5"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068A18BA">
            <w:pPr>
              <w:pStyle w:val="47"/>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29.1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7F0B1563">
            <w:pPr>
              <w:pStyle w:val="47"/>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磋商轮次及磋商顺序</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55F232E9">
            <w:pPr>
              <w:pStyle w:val="47"/>
              <w:rPr>
                <w:rFonts w:hint="eastAsia" w:ascii="宋体" w:hAnsi="宋体" w:eastAsia="宋体" w:cs="宋体"/>
                <w:color w:val="auto"/>
                <w:sz w:val="24"/>
                <w:szCs w:val="24"/>
                <w:highlight w:val="none"/>
              </w:rPr>
            </w:pPr>
            <w:r>
              <w:rPr>
                <w:rFonts w:hint="eastAsia" w:cs="宋体"/>
                <w:color w:val="auto"/>
                <w:sz w:val="24"/>
                <w:szCs w:val="24"/>
                <w:highlight w:val="none"/>
                <w:lang w:val="en-US" w:eastAsia="zh-CN"/>
              </w:rPr>
              <w:t>磋商轮次：</w:t>
            </w:r>
          </w:p>
          <w:p w14:paraId="4C0FD4A3">
            <w:pPr>
              <w:pStyle w:val="47"/>
              <w:ind w:firstLine="240" w:firstLineChars="100"/>
              <w:rPr>
                <w:rFonts w:hint="eastAsia" w:cs="宋体"/>
                <w:color w:val="auto"/>
                <w:sz w:val="24"/>
                <w:szCs w:val="24"/>
                <w:highlight w:val="none"/>
                <w:lang w:val="en-US" w:eastAsia="zh-CN"/>
              </w:rPr>
            </w:pPr>
            <w:r>
              <w:rPr>
                <w:rFonts w:hint="eastAsia" w:ascii="宋体" w:hAnsi="宋体" w:eastAsia="宋体" w:cs="宋体"/>
                <w:color w:val="auto"/>
                <w:sz w:val="24"/>
                <w:szCs w:val="24"/>
                <w:highlight w:val="none"/>
              </w:rPr>
              <w:sym w:font="Wingdings" w:char="00A8"/>
            </w:r>
            <w:r>
              <w:rPr>
                <w:rFonts w:hint="eastAsia" w:cs="宋体"/>
                <w:color w:val="auto"/>
                <w:sz w:val="24"/>
                <w:szCs w:val="24"/>
                <w:highlight w:val="none"/>
                <w:lang w:val="en-US" w:eastAsia="zh-CN"/>
              </w:rPr>
              <w:t>本项目共进行</w:t>
            </w:r>
            <w:r>
              <w:rPr>
                <w:rFonts w:hint="eastAsia" w:cs="宋体"/>
                <w:color w:val="auto"/>
                <w:sz w:val="24"/>
                <w:szCs w:val="24"/>
                <w:highlight w:val="none"/>
                <w:u w:val="single"/>
                <w:lang w:val="en-US" w:eastAsia="zh-CN"/>
              </w:rPr>
              <w:t xml:space="preserve">    /    </w:t>
            </w:r>
            <w:r>
              <w:rPr>
                <w:rFonts w:hint="eastAsia" w:cs="宋体"/>
                <w:color w:val="auto"/>
                <w:sz w:val="24"/>
                <w:szCs w:val="24"/>
                <w:highlight w:val="none"/>
                <w:lang w:val="en-US" w:eastAsia="zh-CN"/>
              </w:rPr>
              <w:t>轮磋商。</w:t>
            </w:r>
          </w:p>
          <w:p w14:paraId="383A2BDE">
            <w:pPr>
              <w:pStyle w:val="47"/>
              <w:ind w:firstLine="240" w:firstLineChars="100"/>
              <w:rPr>
                <w:rFonts w:hint="eastAsia" w:cs="宋体"/>
                <w:color w:val="auto"/>
                <w:sz w:val="24"/>
                <w:szCs w:val="24"/>
                <w:highlight w:val="none"/>
                <w:lang w:eastAsia="zh-CN"/>
              </w:rPr>
            </w:pPr>
            <w:r>
              <w:rPr>
                <w:rFonts w:hint="eastAsia" w:ascii="宋体" w:hAnsi="宋体" w:eastAsia="宋体" w:cs="宋体"/>
                <w:color w:val="auto"/>
                <w:sz w:val="24"/>
                <w:szCs w:val="24"/>
                <w:highlight w:val="none"/>
              </w:rPr>
              <w:sym w:font="Wingdings" w:char="00FE"/>
            </w:r>
            <w:r>
              <w:rPr>
                <w:rFonts w:hint="eastAsia" w:ascii="宋体" w:hAnsi="宋体" w:eastAsia="宋体" w:cs="宋体"/>
                <w:color w:val="auto"/>
                <w:sz w:val="24"/>
                <w:szCs w:val="24"/>
                <w:highlight w:val="none"/>
                <w:lang w:eastAsia="zh-CN"/>
              </w:rPr>
              <w:t>本项目不事先确定</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轮次，</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小组根据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情况确定，并在最后一轮</w:t>
            </w:r>
            <w:r>
              <w:rPr>
                <w:rFonts w:hint="eastAsia" w:cs="宋体"/>
                <w:color w:val="auto"/>
                <w:sz w:val="24"/>
                <w:szCs w:val="24"/>
                <w:highlight w:val="none"/>
                <w:lang w:val="en-US" w:eastAsia="zh-CN"/>
              </w:rPr>
              <w:t>磋商</w:t>
            </w:r>
            <w:r>
              <w:rPr>
                <w:rFonts w:hint="eastAsia" w:ascii="宋体" w:hAnsi="宋体" w:eastAsia="宋体" w:cs="宋体"/>
                <w:color w:val="auto"/>
                <w:sz w:val="24"/>
                <w:szCs w:val="24"/>
                <w:highlight w:val="none"/>
                <w:lang w:eastAsia="zh-CN"/>
              </w:rPr>
              <w:t>前告知供应商</w:t>
            </w:r>
            <w:r>
              <w:rPr>
                <w:rFonts w:hint="eastAsia" w:cs="宋体"/>
                <w:color w:val="auto"/>
                <w:sz w:val="24"/>
                <w:szCs w:val="24"/>
                <w:highlight w:val="none"/>
                <w:lang w:eastAsia="zh-CN"/>
              </w:rPr>
              <w:t>。</w:t>
            </w:r>
          </w:p>
          <w:p w14:paraId="67E6A24B">
            <w:pPr>
              <w:pStyle w:val="47"/>
              <w:keepNext w:val="0"/>
              <w:keepLines w:val="0"/>
              <w:pageBreakBefore w:val="0"/>
              <w:widowControl w:val="0"/>
              <w:kinsoku/>
              <w:wordWrap/>
              <w:overflowPunct/>
              <w:topLinePunct w:val="0"/>
              <w:autoSpaceDE/>
              <w:autoSpaceDN/>
              <w:bidi w:val="0"/>
              <w:adjustRightInd/>
              <w:snapToGrid/>
              <w:spacing w:before="157" w:beforeLines="50"/>
              <w:textAlignment w:val="auto"/>
              <w:rPr>
                <w:rFonts w:hint="eastAsia" w:ascii="宋体" w:hAnsi="宋体" w:eastAsia="宋体" w:cs="宋体"/>
                <w:color w:val="auto"/>
                <w:kern w:val="2"/>
                <w:sz w:val="24"/>
                <w:szCs w:val="24"/>
                <w:highlight w:val="none"/>
                <w:u w:val="none"/>
                <w:lang w:val="en-US" w:eastAsia="zh-CN" w:bidi="ar-SA"/>
              </w:rPr>
            </w:pPr>
            <w:r>
              <w:rPr>
                <w:rFonts w:hint="eastAsia" w:cs="宋体"/>
                <w:color w:val="auto"/>
                <w:sz w:val="24"/>
                <w:szCs w:val="24"/>
                <w:highlight w:val="none"/>
                <w:lang w:val="en-US" w:eastAsia="zh-CN"/>
              </w:rPr>
              <w:t>磋商顺序：</w:t>
            </w:r>
            <w:r>
              <w:rPr>
                <w:rFonts w:hint="eastAsia" w:cs="宋体"/>
                <w:color w:val="auto"/>
                <w:sz w:val="24"/>
                <w:szCs w:val="24"/>
                <w:highlight w:val="none"/>
                <w:u w:val="single"/>
                <w:lang w:val="en-US" w:eastAsia="zh-CN"/>
              </w:rPr>
              <w:t xml:space="preserve"> 按评审顺序 </w:t>
            </w:r>
            <w:r>
              <w:rPr>
                <w:rFonts w:hint="eastAsia" w:cs="宋体"/>
                <w:color w:val="auto"/>
                <w:sz w:val="24"/>
                <w:szCs w:val="24"/>
                <w:highlight w:val="none"/>
                <w:u w:val="none"/>
                <w:lang w:val="en-US" w:eastAsia="zh-CN"/>
              </w:rPr>
              <w:t>。</w:t>
            </w:r>
          </w:p>
        </w:tc>
      </w:tr>
      <w:tr w14:paraId="55F302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38" w:hRule="atLeast"/>
        </w:trPr>
        <w:tc>
          <w:tcPr>
            <w:tcW w:w="970" w:type="dxa"/>
            <w:tcBorders>
              <w:top w:val="single" w:color="auto" w:sz="2" w:space="0"/>
              <w:left w:val="single" w:color="auto" w:sz="2" w:space="0"/>
              <w:bottom w:val="single" w:color="auto" w:sz="2" w:space="0"/>
              <w:right w:val="single" w:color="auto" w:sz="2" w:space="0"/>
            </w:tcBorders>
            <w:vAlign w:val="center"/>
          </w:tcPr>
          <w:p w14:paraId="0A512A01">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29.2</w:t>
            </w:r>
          </w:p>
        </w:tc>
        <w:tc>
          <w:tcPr>
            <w:tcW w:w="1971" w:type="dxa"/>
            <w:tcBorders>
              <w:top w:val="single" w:color="auto" w:sz="2" w:space="0"/>
              <w:left w:val="single" w:color="auto" w:sz="2" w:space="0"/>
              <w:bottom w:val="single" w:color="auto" w:sz="2" w:space="0"/>
              <w:right w:val="single" w:color="auto" w:sz="2" w:space="0"/>
            </w:tcBorders>
            <w:vAlign w:val="center"/>
          </w:tcPr>
          <w:p w14:paraId="3B1D8DC9">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推荐成交候选供应商</w:t>
            </w:r>
          </w:p>
        </w:tc>
        <w:tc>
          <w:tcPr>
            <w:tcW w:w="6450" w:type="dxa"/>
            <w:tcBorders>
              <w:top w:val="single" w:color="auto" w:sz="2" w:space="0"/>
              <w:left w:val="single" w:color="auto" w:sz="2" w:space="0"/>
              <w:bottom w:val="single" w:color="auto" w:sz="2" w:space="0"/>
              <w:right w:val="single" w:color="auto" w:sz="2" w:space="0"/>
            </w:tcBorders>
            <w:vAlign w:val="center"/>
          </w:tcPr>
          <w:p w14:paraId="67201373">
            <w:pPr>
              <w:pStyle w:val="47"/>
              <w:rPr>
                <w:rFonts w:hint="eastAsia" w:ascii="宋体" w:hAnsi="宋体" w:eastAsia="宋体" w:cs="宋体"/>
                <w:i w:val="0"/>
                <w:iCs w:val="0"/>
                <w:color w:val="auto"/>
                <w:sz w:val="24"/>
                <w:szCs w:val="24"/>
                <w:highlight w:val="none"/>
                <w:u w:val="none"/>
                <w:lang w:val="en-US" w:eastAsia="zh-CN"/>
              </w:rPr>
            </w:pPr>
            <w:r>
              <w:rPr>
                <w:rFonts w:hint="eastAsia" w:ascii="宋体" w:hAnsi="宋体" w:eastAsia="宋体" w:cs="宋体"/>
                <w:i w:val="0"/>
                <w:iCs w:val="0"/>
                <w:color w:val="auto"/>
                <w:sz w:val="24"/>
                <w:szCs w:val="24"/>
                <w:highlight w:val="none"/>
                <w:lang w:val="en-US" w:eastAsia="zh-CN"/>
              </w:rPr>
              <w:t>成交候选供应商数量</w:t>
            </w:r>
            <w:r>
              <w:rPr>
                <w:rFonts w:hint="eastAsia" w:ascii="宋体" w:hAnsi="宋体" w:eastAsia="宋体" w:cs="宋体"/>
                <w:i w:val="0"/>
                <w:iCs w:val="0"/>
                <w:color w:val="auto"/>
                <w:sz w:val="24"/>
                <w:szCs w:val="24"/>
                <w:highlight w:val="none"/>
                <w:u w:val="single"/>
                <w:lang w:val="en-US" w:eastAsia="zh-CN"/>
              </w:rPr>
              <w:t xml:space="preserve">  </w:t>
            </w:r>
            <w:r>
              <w:rPr>
                <w:rFonts w:hint="eastAsia" w:cs="宋体"/>
                <w:i w:val="0"/>
                <w:iCs w:val="0"/>
                <w:color w:val="auto"/>
                <w:sz w:val="24"/>
                <w:szCs w:val="24"/>
                <w:highlight w:val="none"/>
                <w:u w:val="single"/>
                <w:lang w:val="en-US" w:eastAsia="zh-CN"/>
              </w:rPr>
              <w:t>3</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none"/>
                <w:lang w:val="en-US" w:eastAsia="zh-CN"/>
              </w:rPr>
              <w:t>家</w:t>
            </w:r>
          </w:p>
        </w:tc>
      </w:tr>
      <w:tr w14:paraId="15B571E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1215" w:hRule="atLeast"/>
        </w:trPr>
        <w:tc>
          <w:tcPr>
            <w:tcW w:w="970" w:type="dxa"/>
            <w:tcBorders>
              <w:top w:val="single" w:color="auto" w:sz="2" w:space="0"/>
              <w:left w:val="single" w:color="auto" w:sz="2" w:space="0"/>
              <w:bottom w:val="single" w:color="auto" w:sz="2" w:space="0"/>
              <w:right w:val="single" w:color="auto" w:sz="2" w:space="0"/>
            </w:tcBorders>
            <w:vAlign w:val="center"/>
          </w:tcPr>
          <w:p w14:paraId="37AC9C03">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30</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7F76907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确定成交供应商</w:t>
            </w:r>
          </w:p>
        </w:tc>
        <w:tc>
          <w:tcPr>
            <w:tcW w:w="6450" w:type="dxa"/>
            <w:tcBorders>
              <w:top w:val="single" w:color="auto" w:sz="2" w:space="0"/>
              <w:left w:val="single" w:color="auto" w:sz="2" w:space="0"/>
              <w:bottom w:val="single" w:color="auto" w:sz="2" w:space="0"/>
              <w:right w:val="single" w:color="auto" w:sz="2" w:space="0"/>
            </w:tcBorders>
            <w:vAlign w:val="center"/>
          </w:tcPr>
          <w:p w14:paraId="59D1D95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w:t>
            </w:r>
            <w:r>
              <w:rPr>
                <w:rFonts w:hint="eastAsia" w:ascii="宋体" w:hAnsi="宋体" w:eastAsia="宋体" w:cs="宋体"/>
                <w:i w:val="0"/>
                <w:iCs w:val="0"/>
                <w:color w:val="auto"/>
                <w:sz w:val="24"/>
                <w:szCs w:val="24"/>
                <w:highlight w:val="none"/>
                <w:lang w:eastAsia="zh-CN"/>
              </w:rPr>
              <w:t>在</w:t>
            </w:r>
            <w:r>
              <w:rPr>
                <w:rFonts w:hint="eastAsia" w:ascii="宋体" w:hAnsi="宋体" w:eastAsia="宋体" w:cs="宋体"/>
                <w:i w:val="0"/>
                <w:iCs w:val="0"/>
                <w:color w:val="auto"/>
                <w:sz w:val="24"/>
                <w:szCs w:val="24"/>
                <w:highlight w:val="none"/>
              </w:rPr>
              <w:t>收到评审报告后5个工作日内，按评审报告中推荐的成交候选人排序确定成交供应商。</w:t>
            </w:r>
          </w:p>
          <w:p w14:paraId="481AA3B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采购人委托磋商小组直接确定成交供应商。</w:t>
            </w:r>
          </w:p>
        </w:tc>
      </w:tr>
      <w:tr w14:paraId="024268E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977" w:hRule="atLeast"/>
        </w:trPr>
        <w:tc>
          <w:tcPr>
            <w:tcW w:w="970" w:type="dxa"/>
            <w:tcBorders>
              <w:top w:val="single" w:color="auto" w:sz="2" w:space="0"/>
              <w:left w:val="single" w:color="auto" w:sz="2" w:space="0"/>
              <w:bottom w:val="single" w:color="auto" w:sz="2" w:space="0"/>
              <w:right w:val="single" w:color="auto" w:sz="2" w:space="0"/>
            </w:tcBorders>
            <w:vAlign w:val="center"/>
          </w:tcPr>
          <w:p w14:paraId="027ED33D">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6AB44AED">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履约保证金</w:t>
            </w:r>
          </w:p>
        </w:tc>
        <w:tc>
          <w:tcPr>
            <w:tcW w:w="6450" w:type="dxa"/>
            <w:tcBorders>
              <w:top w:val="single" w:color="auto" w:sz="2" w:space="0"/>
              <w:left w:val="single" w:color="auto" w:sz="2" w:space="0"/>
              <w:bottom w:val="single" w:color="auto" w:sz="2" w:space="0"/>
              <w:right w:val="single" w:color="auto" w:sz="2" w:space="0"/>
            </w:tcBorders>
            <w:vAlign w:val="center"/>
          </w:tcPr>
          <w:p w14:paraId="08247B4B">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金额：</w:t>
            </w:r>
          </w:p>
          <w:p w14:paraId="18E8C640">
            <w:pPr>
              <w:pStyle w:val="47"/>
              <w:ind w:firstLine="240" w:firstLineChars="100"/>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免收</w:t>
            </w:r>
          </w:p>
          <w:p w14:paraId="45051CB9">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p>
          <w:p w14:paraId="77DCE896">
            <w:pPr>
              <w:pStyle w:val="47"/>
              <w:ind w:firstLine="240" w:firstLineChars="1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□定额收取：</w:t>
            </w:r>
            <w:r>
              <w:rPr>
                <w:rFonts w:hint="eastAsia" w:ascii="宋体" w:hAnsi="宋体" w:eastAsia="宋体" w:cs="宋体"/>
                <w:i w:val="0"/>
                <w:iCs w:val="0"/>
                <w:color w:val="auto"/>
                <w:sz w:val="24"/>
                <w:szCs w:val="24"/>
                <w:highlight w:val="none"/>
                <w:u w:val="single"/>
              </w:rPr>
              <w:t>人民币           元</w:t>
            </w:r>
          </w:p>
          <w:p w14:paraId="601DBCC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支付方式：</w:t>
            </w:r>
          </w:p>
          <w:p w14:paraId="1076A323">
            <w:pPr>
              <w:pStyle w:val="58"/>
              <w:keepNext w:val="0"/>
              <w:keepLines w:val="0"/>
              <w:pageBreakBefore w:val="0"/>
              <w:widowControl w:val="0"/>
              <w:shd w:val="clear" w:color="auto" w:fill="auto"/>
              <w:kinsoku/>
              <w:wordWrap/>
              <w:overflowPunct/>
              <w:topLinePunct w:val="0"/>
              <w:autoSpaceDE/>
              <w:autoSpaceDN/>
              <w:bidi w:val="0"/>
              <w:adjustRightInd/>
              <w:snapToGrid/>
              <w:spacing w:line="340" w:lineRule="exact"/>
              <w:ind w:firstLine="240" w:firstLineChars="100"/>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供应商可自主选择以支票、汇票、本票、电汇、转账、网银、保函等非现金形式缴纳或提交保证金。</w:t>
            </w:r>
          </w:p>
          <w:p w14:paraId="62C268E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 xml:space="preserve">收取单位：                            </w:t>
            </w:r>
          </w:p>
          <w:p w14:paraId="586EF0F6">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4.收取账号：</w:t>
            </w:r>
            <w:r>
              <w:rPr>
                <w:rFonts w:hint="eastAsia" w:ascii="宋体" w:hAnsi="宋体" w:eastAsia="宋体" w:cs="宋体"/>
                <w:i w:val="0"/>
                <w:iCs w:val="0"/>
                <w:color w:val="auto"/>
                <w:sz w:val="24"/>
                <w:szCs w:val="24"/>
                <w:highlight w:val="none"/>
              </w:rPr>
              <w:t xml:space="preserve">              </w:t>
            </w:r>
          </w:p>
          <w:p w14:paraId="012A090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 xml:space="preserve">退还时间：              </w:t>
            </w:r>
          </w:p>
          <w:p w14:paraId="669D6D76">
            <w:pPr>
              <w:pStyle w:val="47"/>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注意事项：</w:t>
            </w:r>
          </w:p>
          <w:p w14:paraId="2E2158B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以上各类机构出具的以担保函、保证保险承担责任的方式均须满足无条件见索即付条件。</w:t>
            </w:r>
          </w:p>
          <w:p w14:paraId="158E6C8E">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以担保函、保证保险形式缴纳履约保证金的，受益人和收取单位须为采购人。</w:t>
            </w:r>
          </w:p>
        </w:tc>
      </w:tr>
      <w:tr w14:paraId="64B5E4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077" w:hRule="atLeast"/>
        </w:trPr>
        <w:tc>
          <w:tcPr>
            <w:tcW w:w="970" w:type="dxa"/>
            <w:tcBorders>
              <w:top w:val="single" w:color="auto" w:sz="2" w:space="0"/>
              <w:left w:val="single" w:color="auto" w:sz="2" w:space="0"/>
              <w:bottom w:val="single" w:color="auto" w:sz="2" w:space="0"/>
              <w:right w:val="single" w:color="auto" w:sz="2" w:space="0"/>
            </w:tcBorders>
            <w:vAlign w:val="center"/>
          </w:tcPr>
          <w:p w14:paraId="0861755C">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34.5</w:t>
            </w:r>
          </w:p>
        </w:tc>
        <w:tc>
          <w:tcPr>
            <w:tcW w:w="1971" w:type="dxa"/>
            <w:tcBorders>
              <w:top w:val="single" w:color="auto" w:sz="2" w:space="0"/>
              <w:left w:val="single" w:color="auto" w:sz="2" w:space="0"/>
              <w:bottom w:val="single" w:color="auto" w:sz="2" w:space="0"/>
              <w:right w:val="single" w:color="auto" w:sz="2" w:space="0"/>
            </w:tcBorders>
            <w:vAlign w:val="center"/>
          </w:tcPr>
          <w:p w14:paraId="04D9510B">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合同分包</w:t>
            </w:r>
          </w:p>
        </w:tc>
        <w:tc>
          <w:tcPr>
            <w:tcW w:w="6450" w:type="dxa"/>
            <w:tcBorders>
              <w:top w:val="single" w:color="auto" w:sz="2" w:space="0"/>
              <w:left w:val="single" w:color="auto" w:sz="2" w:space="0"/>
              <w:bottom w:val="single" w:color="auto" w:sz="2" w:space="0"/>
              <w:right w:val="single" w:color="auto" w:sz="2" w:space="0"/>
            </w:tcBorders>
            <w:vAlign w:val="center"/>
          </w:tcPr>
          <w:p w14:paraId="4344EC45">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本项目的非主体、非关键性工作是否允许分包： </w:t>
            </w:r>
          </w:p>
          <w:p w14:paraId="3D901FC0">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不允许 </w:t>
            </w:r>
          </w:p>
          <w:p w14:paraId="56DFA0F7">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□允许，具体要求： </w:t>
            </w:r>
          </w:p>
          <w:p w14:paraId="6C445FF2">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1.可以分包履行的具体内容：___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__； </w:t>
            </w:r>
          </w:p>
          <w:p w14:paraId="71BE067E">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2.允许分包的金额或者比例：___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 xml:space="preserve">__； </w:t>
            </w:r>
          </w:p>
          <w:p w14:paraId="3628979B">
            <w:pPr>
              <w:pStyle w:val="47"/>
              <w:ind w:firstLine="480" w:firstLineChars="200"/>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kern w:val="2"/>
                <w:sz w:val="24"/>
                <w:szCs w:val="24"/>
                <w:highlight w:val="none"/>
                <w:lang w:val="en-US" w:eastAsia="zh-CN" w:bidi="ar-SA"/>
              </w:rPr>
              <w:t xml:space="preserve"> 3.其他要求：___</w:t>
            </w:r>
            <w:r>
              <w:rPr>
                <w:rFonts w:hint="eastAsia" w:cs="宋体"/>
                <w:i w:val="0"/>
                <w:iCs w:val="0"/>
                <w:color w:val="auto"/>
                <w:kern w:val="2"/>
                <w:sz w:val="24"/>
                <w:szCs w:val="24"/>
                <w:highlight w:val="none"/>
                <w:lang w:val="en-US" w:eastAsia="zh-CN" w:bidi="ar-SA"/>
              </w:rPr>
              <w:t>/</w:t>
            </w:r>
            <w:r>
              <w:rPr>
                <w:rFonts w:hint="eastAsia" w:ascii="宋体" w:hAnsi="宋体" w:eastAsia="宋体" w:cs="宋体"/>
                <w:i w:val="0"/>
                <w:iCs w:val="0"/>
                <w:color w:val="auto"/>
                <w:kern w:val="2"/>
                <w:sz w:val="24"/>
                <w:szCs w:val="24"/>
                <w:highlight w:val="none"/>
                <w:lang w:val="en-US" w:eastAsia="zh-CN" w:bidi="ar-SA"/>
              </w:rPr>
              <w:t>__。</w:t>
            </w:r>
          </w:p>
        </w:tc>
      </w:tr>
      <w:tr w14:paraId="749FBCF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F3EF9C4">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35.1</w:t>
            </w:r>
          </w:p>
        </w:tc>
        <w:tc>
          <w:tcPr>
            <w:tcW w:w="1971" w:type="dxa"/>
            <w:tcBorders>
              <w:top w:val="single" w:color="auto" w:sz="2" w:space="0"/>
              <w:left w:val="single" w:color="auto" w:sz="2" w:space="0"/>
              <w:bottom w:val="single" w:color="auto" w:sz="2" w:space="0"/>
              <w:right w:val="single" w:color="auto" w:sz="2" w:space="0"/>
            </w:tcBorders>
            <w:vAlign w:val="center"/>
          </w:tcPr>
          <w:p w14:paraId="66EBB004">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质疑</w:t>
            </w:r>
          </w:p>
        </w:tc>
        <w:tc>
          <w:tcPr>
            <w:tcW w:w="6450" w:type="dxa"/>
            <w:tcBorders>
              <w:top w:val="single" w:color="auto" w:sz="2" w:space="0"/>
              <w:left w:val="single" w:color="auto" w:sz="2" w:space="0"/>
              <w:bottom w:val="single" w:color="auto" w:sz="2" w:space="0"/>
              <w:right w:val="single" w:color="auto" w:sz="2" w:space="0"/>
            </w:tcBorders>
            <w:vAlign w:val="center"/>
          </w:tcPr>
          <w:p w14:paraId="351DBD8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递交方式：</w:t>
            </w:r>
            <w:r>
              <w:rPr>
                <w:rFonts w:hint="eastAsia" w:ascii="宋体" w:eastAsia="宋体" w:cs="宋体"/>
                <w:color w:val="000000"/>
                <w:sz w:val="24"/>
                <w:highlight w:val="none"/>
              </w:rPr>
              <w:t>纸质版盖章</w:t>
            </w:r>
            <w:r>
              <w:rPr>
                <w:rFonts w:hint="eastAsia" w:ascii="宋体" w:eastAsia="宋体" w:cs="宋体"/>
                <w:color w:val="000000"/>
                <w:sz w:val="24"/>
                <w:highlight w:val="none"/>
                <w:lang w:val="en-US" w:eastAsia="zh-CN"/>
              </w:rPr>
              <w:t>质疑</w:t>
            </w:r>
            <w:r>
              <w:rPr>
                <w:rFonts w:hint="eastAsia" w:ascii="宋体" w:eastAsia="宋体" w:cs="宋体"/>
                <w:color w:val="000000"/>
                <w:sz w:val="24"/>
                <w:highlight w:val="none"/>
              </w:rPr>
              <w:t>函</w:t>
            </w:r>
            <w:r>
              <w:rPr>
                <w:rFonts w:hint="eastAsia" w:ascii="宋体" w:eastAsia="宋体" w:cs="宋体"/>
                <w:color w:val="000000"/>
                <w:sz w:val="24"/>
                <w:highlight w:val="none"/>
                <w:lang w:val="en-US" w:eastAsia="zh-CN"/>
              </w:rPr>
              <w:t>原件</w:t>
            </w:r>
            <w:r>
              <w:rPr>
                <w:rFonts w:hint="eastAsia" w:ascii="宋体" w:eastAsia="宋体" w:cs="宋体"/>
                <w:color w:val="000000"/>
                <w:sz w:val="24"/>
                <w:highlight w:val="none"/>
              </w:rPr>
              <w:t>递交至采购代理公司</w:t>
            </w:r>
            <w:r>
              <w:rPr>
                <w:rFonts w:hint="eastAsia" w:ascii="宋体" w:hAnsi="宋体" w:eastAsia="宋体" w:cs="宋体"/>
                <w:i w:val="0"/>
                <w:iCs w:val="0"/>
                <w:color w:val="000000"/>
                <w:kern w:val="2"/>
                <w:sz w:val="24"/>
                <w:szCs w:val="24"/>
                <w:highlight w:val="none"/>
                <w:lang w:val="zh-CN" w:eastAsia="zh-CN" w:bidi="ar-SA"/>
              </w:rPr>
              <w:t xml:space="preserve">              </w:t>
            </w:r>
          </w:p>
          <w:p w14:paraId="6243BB1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接收部门：</w:t>
            </w:r>
            <w:r>
              <w:rPr>
                <w:rFonts w:hint="eastAsia" w:ascii="宋体" w:hAnsi="宋体" w:eastAsia="宋体" w:cs="宋体"/>
                <w:i w:val="0"/>
                <w:iCs w:val="0"/>
                <w:color w:val="000000"/>
                <w:kern w:val="2"/>
                <w:sz w:val="24"/>
                <w:szCs w:val="24"/>
                <w:highlight w:val="none"/>
                <w:lang w:val="en-US" w:eastAsia="zh-CN" w:bidi="ar-SA"/>
              </w:rPr>
              <w:t>招标五部</w:t>
            </w:r>
            <w:r>
              <w:rPr>
                <w:rFonts w:hint="eastAsia" w:ascii="宋体" w:hAnsi="宋体" w:eastAsia="宋体" w:cs="宋体"/>
                <w:i w:val="0"/>
                <w:iCs w:val="0"/>
                <w:color w:val="000000"/>
                <w:kern w:val="2"/>
                <w:sz w:val="24"/>
                <w:szCs w:val="24"/>
                <w:highlight w:val="none"/>
                <w:lang w:val="zh-CN" w:eastAsia="zh-CN" w:bidi="ar-SA"/>
              </w:rPr>
              <w:t xml:space="preserve">              </w:t>
            </w:r>
          </w:p>
          <w:p w14:paraId="26247B29">
            <w:pPr>
              <w:pStyle w:val="55"/>
              <w:keepNext w:val="0"/>
              <w:keepLines w:val="0"/>
              <w:pageBreakBefore w:val="0"/>
              <w:widowControl w:val="0"/>
              <w:kinsoku/>
              <w:wordWrap/>
              <w:overflowPunct/>
              <w:topLinePunct w:val="0"/>
              <w:autoSpaceDE w:val="0"/>
              <w:autoSpaceDN w:val="0"/>
              <w:bidi w:val="0"/>
              <w:adjustRightInd w:val="0"/>
              <w:snapToGrid/>
              <w:spacing w:line="240" w:lineRule="auto"/>
              <w:jc w:val="left"/>
              <w:textAlignment w:val="auto"/>
              <w:rPr>
                <w:rFonts w:hint="eastAsia" w:ascii="宋体" w:hAnsi="宋体" w:eastAsia="宋体" w:cs="宋体"/>
                <w:i w:val="0"/>
                <w:iCs w:val="0"/>
                <w:color w:val="000000"/>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联系电话：</w:t>
            </w:r>
            <w:r>
              <w:rPr>
                <w:rFonts w:hint="eastAsia" w:ascii="宋体" w:hAnsi="宋体" w:cs="宋体"/>
                <w:i w:val="0"/>
                <w:iCs w:val="0"/>
                <w:color w:val="000000"/>
                <w:kern w:val="2"/>
                <w:sz w:val="24"/>
                <w:szCs w:val="24"/>
                <w:highlight w:val="none"/>
                <w:lang w:val="en-US" w:eastAsia="zh-CN" w:bidi="ar-SA"/>
              </w:rPr>
              <w:t>张智伟、</w:t>
            </w:r>
            <w:r>
              <w:rPr>
                <w:rFonts w:hint="eastAsia" w:ascii="宋体" w:cs="宋体"/>
                <w:color w:val="000000"/>
                <w:sz w:val="24"/>
                <w:highlight w:val="none"/>
                <w:lang w:val="en-US" w:eastAsia="zh-CN"/>
              </w:rPr>
              <w:t>侯秀英18130866552、</w:t>
            </w:r>
            <w:r>
              <w:rPr>
                <w:rFonts w:hint="eastAsia" w:ascii="宋体" w:hAnsi="宋体" w:eastAsia="宋体" w:cs="宋体"/>
                <w:color w:val="000000"/>
                <w:sz w:val="24"/>
                <w:highlight w:val="none"/>
                <w:lang w:val="en-US" w:eastAsia="zh-CN"/>
              </w:rPr>
              <w:t>13579204530</w:t>
            </w:r>
            <w:r>
              <w:rPr>
                <w:rFonts w:hint="eastAsia" w:ascii="宋体" w:hAnsi="宋体" w:eastAsia="宋体" w:cs="宋体"/>
                <w:i w:val="0"/>
                <w:iCs w:val="0"/>
                <w:color w:val="000000"/>
                <w:kern w:val="2"/>
                <w:sz w:val="24"/>
                <w:szCs w:val="24"/>
                <w:highlight w:val="none"/>
                <w:lang w:val="zh-CN" w:eastAsia="zh-CN" w:bidi="ar-SA"/>
              </w:rPr>
              <w:t xml:space="preserve">          </w:t>
            </w:r>
          </w:p>
          <w:p w14:paraId="6C71E447">
            <w:pPr>
              <w:pStyle w:val="55"/>
              <w:keepNext w:val="0"/>
              <w:keepLines w:val="0"/>
              <w:pageBreakBefore w:val="0"/>
              <w:widowControl w:val="0"/>
              <w:kinsoku/>
              <w:wordWrap/>
              <w:overflowPunct/>
              <w:topLinePunct w:val="0"/>
              <w:autoSpaceDE w:val="0"/>
              <w:autoSpaceDN w:val="0"/>
              <w:bidi w:val="0"/>
              <w:adjustRightInd w:val="0"/>
              <w:snapToGrid/>
              <w:spacing w:line="240" w:lineRule="auto"/>
              <w:textAlignment w:val="auto"/>
              <w:rPr>
                <w:rFonts w:hint="eastAsia" w:ascii="宋体" w:hAnsi="宋体" w:eastAsia="宋体" w:cs="宋体"/>
                <w:i w:val="0"/>
                <w:iCs w:val="0"/>
                <w:color w:val="auto"/>
                <w:kern w:val="2"/>
                <w:sz w:val="24"/>
                <w:szCs w:val="24"/>
                <w:highlight w:val="none"/>
                <w:lang w:val="zh-CN" w:eastAsia="zh-CN" w:bidi="ar-SA"/>
              </w:rPr>
            </w:pPr>
            <w:r>
              <w:rPr>
                <w:rFonts w:hint="eastAsia" w:ascii="宋体" w:hAnsi="宋体" w:eastAsia="宋体" w:cs="宋体"/>
                <w:i w:val="0"/>
                <w:iCs w:val="0"/>
                <w:color w:val="000000"/>
                <w:kern w:val="2"/>
                <w:sz w:val="24"/>
                <w:szCs w:val="24"/>
                <w:highlight w:val="none"/>
                <w:lang w:val="zh-CN" w:eastAsia="zh-CN" w:bidi="ar-SA"/>
              </w:rPr>
              <w:t>通讯地址：</w:t>
            </w:r>
            <w:r>
              <w:rPr>
                <w:rFonts w:hint="eastAsia" w:ascii="宋体" w:hAnsi="宋体" w:cs="宋体"/>
                <w:color w:val="000000"/>
                <w:kern w:val="0"/>
                <w:sz w:val="24"/>
                <w:szCs w:val="24"/>
                <w:highlight w:val="none"/>
                <w:lang w:eastAsia="zh-CN"/>
              </w:rPr>
              <w:t>新疆乌鲁木齐市486号南湖明珠大厦南区8楼</w:t>
            </w:r>
            <w:r>
              <w:rPr>
                <w:rFonts w:hint="eastAsia" w:ascii="宋体" w:hAnsi="宋体" w:eastAsia="宋体" w:cs="宋体"/>
                <w:i w:val="0"/>
                <w:iCs w:val="0"/>
                <w:color w:val="000000"/>
                <w:kern w:val="2"/>
                <w:sz w:val="24"/>
                <w:szCs w:val="24"/>
                <w:highlight w:val="none"/>
                <w:lang w:val="zh-CN" w:eastAsia="zh-CN" w:bidi="ar-SA"/>
              </w:rPr>
              <w:t xml:space="preserve"> </w:t>
            </w:r>
            <w:r>
              <w:rPr>
                <w:rFonts w:hint="eastAsia" w:ascii="宋体" w:hAnsi="宋体" w:eastAsia="宋体" w:cs="宋体"/>
                <w:i w:val="0"/>
                <w:iCs w:val="0"/>
                <w:color w:val="auto"/>
                <w:kern w:val="2"/>
                <w:sz w:val="24"/>
                <w:szCs w:val="24"/>
                <w:highlight w:val="none"/>
                <w:lang w:val="zh-CN" w:eastAsia="zh-CN" w:bidi="ar-SA"/>
              </w:rPr>
              <w:t xml:space="preserve"> </w:t>
            </w:r>
          </w:p>
        </w:tc>
      </w:tr>
      <w:tr w14:paraId="33386A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B4B8253">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vAlign w:val="center"/>
          </w:tcPr>
          <w:p w14:paraId="620FF725">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采购代理服务费收取方式和标准</w:t>
            </w:r>
          </w:p>
        </w:tc>
        <w:tc>
          <w:tcPr>
            <w:tcW w:w="6450" w:type="dxa"/>
            <w:tcBorders>
              <w:top w:val="single" w:color="auto" w:sz="2" w:space="0"/>
              <w:left w:val="single" w:color="auto" w:sz="2" w:space="0"/>
              <w:bottom w:val="single" w:color="auto" w:sz="2" w:space="0"/>
              <w:right w:val="single" w:color="auto" w:sz="2" w:space="0"/>
            </w:tcBorders>
            <w:vAlign w:val="center"/>
          </w:tcPr>
          <w:p w14:paraId="5048158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收</w:t>
            </w:r>
            <w:r>
              <w:rPr>
                <w:rFonts w:hint="eastAsia" w:ascii="宋体" w:hAnsi="宋体" w:eastAsia="宋体" w:cs="宋体"/>
                <w:i w:val="0"/>
                <w:iCs w:val="0"/>
                <w:color w:val="auto"/>
                <w:sz w:val="24"/>
                <w:szCs w:val="24"/>
                <w:highlight w:val="none"/>
              </w:rPr>
              <w:t>费</w:t>
            </w:r>
            <w:r>
              <w:rPr>
                <w:rFonts w:hint="eastAsia" w:ascii="宋体" w:hAnsi="宋体" w:eastAsia="宋体" w:cs="宋体"/>
                <w:i w:val="0"/>
                <w:iCs w:val="0"/>
                <w:color w:val="auto"/>
                <w:sz w:val="24"/>
                <w:szCs w:val="24"/>
                <w:highlight w:val="none"/>
                <w:lang w:val="en-US" w:eastAsia="zh-CN"/>
              </w:rPr>
              <w:t>对象</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rPr>
              <w:sym w:font="Wingdings" w:char="00A8"/>
            </w:r>
            <w:r>
              <w:rPr>
                <w:rFonts w:hint="eastAsia" w:ascii="宋体" w:hAnsi="宋体" w:eastAsia="宋体" w:cs="宋体"/>
                <w:i w:val="0"/>
                <w:iCs w:val="0"/>
                <w:color w:val="auto"/>
                <w:sz w:val="24"/>
                <w:szCs w:val="24"/>
                <w:highlight w:val="none"/>
              </w:rPr>
              <w:t xml:space="preserve">采购人支付 </w:t>
            </w: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 xml:space="preserve">人支付 </w:t>
            </w:r>
          </w:p>
          <w:p w14:paraId="050688A0">
            <w:pPr>
              <w:pStyle w:val="47"/>
              <w:rPr>
                <w:rFonts w:hint="eastAsia" w:ascii="宋体" w:hAnsi="宋体" w:eastAsia="宋体" w:cs="宋体"/>
                <w:i w:val="0"/>
                <w:iCs w:val="0"/>
                <w:color w:val="000000"/>
                <w:sz w:val="24"/>
                <w:szCs w:val="24"/>
                <w:highlight w:val="none"/>
                <w:lang w:eastAsia="zh-CN"/>
              </w:rPr>
            </w:pPr>
            <w:r>
              <w:rPr>
                <w:rFonts w:hint="eastAsia" w:ascii="宋体" w:hAnsi="宋体" w:eastAsia="宋体" w:cs="宋体"/>
                <w:i w:val="0"/>
                <w:iCs w:val="0"/>
                <w:color w:val="000000"/>
                <w:sz w:val="24"/>
                <w:szCs w:val="24"/>
                <w:highlight w:val="none"/>
              </w:rPr>
              <w:t>2.</w:t>
            </w:r>
            <w:r>
              <w:rPr>
                <w:rFonts w:hint="eastAsia" w:ascii="宋体" w:hAnsi="宋体" w:eastAsia="宋体" w:cs="宋体"/>
                <w:i w:val="0"/>
                <w:iCs w:val="0"/>
                <w:color w:val="000000"/>
                <w:sz w:val="24"/>
                <w:szCs w:val="24"/>
                <w:highlight w:val="none"/>
                <w:lang w:val="en-US" w:eastAsia="zh-CN"/>
              </w:rPr>
              <w:t>收费</w:t>
            </w:r>
            <w:r>
              <w:rPr>
                <w:rFonts w:hint="eastAsia" w:ascii="宋体" w:hAnsi="宋体" w:eastAsia="宋体" w:cs="宋体"/>
                <w:i w:val="0"/>
                <w:iCs w:val="0"/>
                <w:color w:val="000000"/>
                <w:sz w:val="24"/>
                <w:szCs w:val="24"/>
                <w:highlight w:val="none"/>
              </w:rPr>
              <w:t>标准：依据</w:t>
            </w:r>
            <w:r>
              <w:rPr>
                <w:rFonts w:hint="eastAsia" w:cs="宋体"/>
                <w:i w:val="0"/>
                <w:iCs w:val="0"/>
                <w:color w:val="000000"/>
                <w:sz w:val="24"/>
                <w:szCs w:val="24"/>
                <w:highlight w:val="none"/>
                <w:lang w:val="en-US" w:eastAsia="zh-CN"/>
              </w:rPr>
              <w:t>下列</w:t>
            </w:r>
            <w:r>
              <w:rPr>
                <w:rFonts w:hint="eastAsia" w:ascii="宋体" w:hAnsi="宋体" w:eastAsia="宋体" w:cs="宋体"/>
                <w:i w:val="0"/>
                <w:iCs w:val="0"/>
                <w:color w:val="000000"/>
                <w:sz w:val="24"/>
                <w:szCs w:val="24"/>
                <w:highlight w:val="none"/>
              </w:rPr>
              <w:t>收费标准，依照</w:t>
            </w:r>
            <w:r>
              <w:rPr>
                <w:rFonts w:hint="eastAsia" w:ascii="宋体" w:hAnsi="宋体" w:eastAsia="宋体" w:cs="宋体"/>
                <w:i w:val="0"/>
                <w:iCs w:val="0"/>
                <w:color w:val="000000"/>
                <w:sz w:val="24"/>
                <w:szCs w:val="24"/>
                <w:highlight w:val="none"/>
                <w:u w:val="single"/>
              </w:rPr>
              <w:t>服务</w:t>
            </w:r>
            <w:r>
              <w:rPr>
                <w:rFonts w:hint="eastAsia" w:ascii="宋体" w:hAnsi="宋体" w:eastAsia="宋体" w:cs="宋体"/>
                <w:i w:val="0"/>
                <w:iCs w:val="0"/>
                <w:color w:val="000000"/>
                <w:sz w:val="24"/>
                <w:szCs w:val="24"/>
                <w:highlight w:val="none"/>
              </w:rPr>
              <w:t>招标收费费率按差额定率累进法计算</w:t>
            </w:r>
            <w:r>
              <w:rPr>
                <w:rFonts w:hint="eastAsia" w:cs="宋体"/>
                <w:i w:val="0"/>
                <w:iCs w:val="0"/>
                <w:color w:val="000000"/>
                <w:sz w:val="24"/>
                <w:szCs w:val="24"/>
                <w:highlight w:val="none"/>
                <w:lang w:val="en-US" w:eastAsia="zh-CN"/>
              </w:rPr>
              <w:t>收取</w:t>
            </w:r>
            <w:r>
              <w:rPr>
                <w:rFonts w:hint="eastAsia" w:ascii="宋体" w:hAnsi="宋体" w:eastAsia="宋体" w:cs="宋体"/>
                <w:i w:val="0"/>
                <w:iCs w:val="0"/>
                <w:color w:val="000000"/>
                <w:sz w:val="24"/>
                <w:szCs w:val="24"/>
                <w:highlight w:val="none"/>
              </w:rPr>
              <w:t>，向中标人一次性收取，计算标准为中标单位的中标价格</w:t>
            </w:r>
            <w:r>
              <w:rPr>
                <w:rFonts w:hint="eastAsia" w:cs="宋体"/>
                <w:i w:val="0"/>
                <w:iCs w:val="0"/>
                <w:color w:val="000000"/>
                <w:sz w:val="24"/>
                <w:szCs w:val="24"/>
                <w:highlight w:val="none"/>
                <w:lang w:eastAsia="zh-CN"/>
              </w:rPr>
              <w:t>，</w:t>
            </w:r>
            <w:r>
              <w:rPr>
                <w:rFonts w:hint="eastAsia" w:ascii="宋体" w:hAnsi="宋体" w:eastAsia="宋体" w:cs="宋体"/>
                <w:i w:val="0"/>
                <w:iCs w:val="0"/>
                <w:color w:val="000000"/>
                <w:sz w:val="24"/>
                <w:szCs w:val="24"/>
                <w:highlight w:val="none"/>
                <w:lang w:val="en-US" w:eastAsia="zh-CN"/>
              </w:rPr>
              <w:t>参照</w:t>
            </w:r>
            <w:r>
              <w:rPr>
                <w:rFonts w:hint="eastAsia" w:ascii="宋体" w:hAnsi="宋体" w:eastAsia="宋体" w:cs="宋体"/>
                <w:i w:val="0"/>
                <w:iCs w:val="0"/>
                <w:color w:val="000000"/>
                <w:sz w:val="24"/>
                <w:szCs w:val="24"/>
                <w:highlight w:val="none"/>
              </w:rPr>
              <w:t>《关于降低部分建设项目收费标准规范收费行为等有关问题的通知》（发改价格〔2011〕534号）中的收费标准下浮率</w:t>
            </w:r>
            <w:r>
              <w:rPr>
                <w:rFonts w:hint="eastAsia" w:ascii="宋体" w:hAnsi="宋体" w:eastAsia="宋体" w:cs="宋体"/>
                <w:i w:val="0"/>
                <w:iCs w:val="0"/>
                <w:color w:val="000000"/>
                <w:sz w:val="24"/>
                <w:szCs w:val="24"/>
                <w:highlight w:val="none"/>
                <w:u w:val="single"/>
              </w:rPr>
              <w:t>40%</w:t>
            </w:r>
            <w:r>
              <w:rPr>
                <w:rFonts w:hint="eastAsia" w:ascii="宋体" w:hAnsi="宋体" w:eastAsia="宋体" w:cs="宋体"/>
                <w:i w:val="0"/>
                <w:iCs w:val="0"/>
                <w:color w:val="000000"/>
                <w:sz w:val="24"/>
                <w:szCs w:val="24"/>
                <w:highlight w:val="none"/>
                <w:lang w:val="en-US" w:eastAsia="zh-CN"/>
              </w:rPr>
              <w:t>。</w:t>
            </w:r>
          </w:p>
          <w:p w14:paraId="1563A132">
            <w:pPr>
              <w:pStyle w:val="47"/>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3.</w:t>
            </w:r>
            <w:r>
              <w:rPr>
                <w:rFonts w:hint="eastAsia" w:ascii="宋体" w:hAnsi="宋体" w:eastAsia="宋体" w:cs="宋体"/>
                <w:i w:val="0"/>
                <w:iCs w:val="0"/>
                <w:color w:val="000000"/>
                <w:sz w:val="24"/>
                <w:szCs w:val="24"/>
                <w:highlight w:val="none"/>
                <w:lang w:val="en-US" w:eastAsia="zh-CN"/>
              </w:rPr>
              <w:t>收取</w:t>
            </w:r>
            <w:r>
              <w:rPr>
                <w:rFonts w:hint="eastAsia" w:ascii="宋体" w:hAnsi="宋体" w:eastAsia="宋体" w:cs="宋体"/>
                <w:i w:val="0"/>
                <w:iCs w:val="0"/>
                <w:color w:val="000000"/>
                <w:sz w:val="24"/>
                <w:szCs w:val="24"/>
                <w:highlight w:val="none"/>
              </w:rPr>
              <w:t>时间：领取成交通知书前</w:t>
            </w:r>
          </w:p>
          <w:p w14:paraId="23172533">
            <w:pPr>
              <w:pStyle w:val="47"/>
              <w:rPr>
                <w:rFonts w:hint="eastAsia" w:ascii="宋体" w:hAnsi="宋体" w:eastAsia="宋体" w:cs="宋体"/>
                <w:i w:val="0"/>
                <w:iCs w:val="0"/>
                <w:color w:val="000000"/>
                <w:sz w:val="24"/>
                <w:szCs w:val="24"/>
                <w:highlight w:val="none"/>
              </w:rPr>
            </w:pPr>
            <w:r>
              <w:rPr>
                <w:rFonts w:hint="eastAsia" w:ascii="宋体" w:hAnsi="宋体" w:eastAsia="宋体" w:cs="宋体"/>
                <w:i w:val="0"/>
                <w:iCs w:val="0"/>
                <w:color w:val="000000"/>
                <w:sz w:val="24"/>
                <w:szCs w:val="24"/>
                <w:highlight w:val="none"/>
              </w:rPr>
              <w:t>4.收取方式：电汇，由中标人一次性支付</w:t>
            </w:r>
          </w:p>
          <w:p w14:paraId="0C201517">
            <w:pPr>
              <w:pStyle w:val="47"/>
              <w:keepNext w:val="0"/>
              <w:keepLines w:val="0"/>
              <w:pageBreakBefore w:val="0"/>
              <w:shd w:val="clear" w:color="auto" w:fill="auto"/>
              <w:kinsoku/>
              <w:wordWrap/>
              <w:overflowPunct/>
              <w:topLinePunct w:val="0"/>
              <w:bidi w:val="0"/>
              <w:snapToGrid/>
              <w:spacing w:line="312" w:lineRule="auto"/>
              <w:textAlignment w:val="auto"/>
              <w:rPr>
                <w:rFonts w:hint="eastAsia" w:cs="宋体"/>
                <w:color w:val="000000"/>
                <w:sz w:val="24"/>
                <w:szCs w:val="24"/>
                <w:highlight w:val="none"/>
                <w:u w:val="single"/>
                <w:shd w:val="clear" w:color="auto" w:fill="auto"/>
                <w:lang w:val="en-US" w:eastAsia="zh-CN"/>
              </w:rPr>
            </w:pPr>
            <w:r>
              <w:rPr>
                <w:rFonts w:hint="eastAsia" w:cs="宋体"/>
                <w:color w:val="000000"/>
                <w:sz w:val="24"/>
                <w:szCs w:val="24"/>
                <w:highlight w:val="none"/>
                <w:u w:val="none"/>
                <w:shd w:val="clear" w:color="auto" w:fill="auto"/>
                <w:lang w:val="en-US" w:eastAsia="zh-CN"/>
              </w:rPr>
              <w:t>5.收取单位：</w:t>
            </w:r>
            <w:r>
              <w:rPr>
                <w:rFonts w:hint="eastAsia" w:cs="宋体"/>
                <w:color w:val="000000"/>
                <w:sz w:val="24"/>
                <w:szCs w:val="24"/>
                <w:highlight w:val="none"/>
                <w:u w:val="single"/>
                <w:shd w:val="clear" w:color="auto" w:fill="auto"/>
                <w:lang w:val="en-US" w:eastAsia="zh-CN"/>
              </w:rPr>
              <w:t xml:space="preserve">中招国际招标有限公司新疆分公司          </w:t>
            </w:r>
          </w:p>
          <w:p w14:paraId="4BE5E443">
            <w:pPr>
              <w:pStyle w:val="47"/>
              <w:keepNext w:val="0"/>
              <w:keepLines w:val="0"/>
              <w:pageBreakBefore w:val="0"/>
              <w:shd w:val="clear" w:color="auto" w:fill="auto"/>
              <w:kinsoku/>
              <w:wordWrap/>
              <w:overflowPunct/>
              <w:topLinePunct w:val="0"/>
              <w:bidi w:val="0"/>
              <w:snapToGrid/>
              <w:spacing w:line="312" w:lineRule="auto"/>
              <w:textAlignment w:val="auto"/>
              <w:rPr>
                <w:rFonts w:hint="eastAsia" w:cs="宋体"/>
                <w:color w:val="000000"/>
                <w:sz w:val="24"/>
                <w:szCs w:val="24"/>
                <w:highlight w:val="none"/>
                <w:u w:val="single"/>
                <w:shd w:val="clear" w:color="auto" w:fill="auto"/>
                <w:lang w:val="en-US" w:eastAsia="zh-CN"/>
              </w:rPr>
            </w:pPr>
            <w:r>
              <w:rPr>
                <w:rFonts w:hint="eastAsia" w:cs="宋体"/>
                <w:color w:val="000000"/>
                <w:sz w:val="24"/>
                <w:szCs w:val="24"/>
                <w:highlight w:val="none"/>
                <w:u w:val="none"/>
                <w:shd w:val="clear" w:color="auto" w:fill="auto"/>
                <w:lang w:val="en-US" w:eastAsia="zh-CN"/>
              </w:rPr>
              <w:t>6.收取账号：</w:t>
            </w:r>
            <w:r>
              <w:rPr>
                <w:rFonts w:hint="eastAsia" w:cs="宋体"/>
                <w:color w:val="000000"/>
                <w:sz w:val="24"/>
                <w:szCs w:val="24"/>
                <w:highlight w:val="none"/>
                <w:u w:val="single"/>
                <w:shd w:val="clear" w:color="auto" w:fill="auto"/>
                <w:lang w:val="en-US" w:eastAsia="zh-CN"/>
              </w:rPr>
              <w:t xml:space="preserve">3002 0128 1910 0057 504  </w:t>
            </w:r>
          </w:p>
          <w:p w14:paraId="44A63E49">
            <w:pPr>
              <w:pStyle w:val="47"/>
              <w:rPr>
                <w:rFonts w:hint="eastAsia" w:ascii="宋体" w:hAnsi="宋体" w:eastAsia="宋体" w:cs="宋体"/>
                <w:i w:val="0"/>
                <w:iCs w:val="0"/>
                <w:color w:val="auto"/>
                <w:sz w:val="24"/>
                <w:szCs w:val="24"/>
                <w:highlight w:val="none"/>
              </w:rPr>
            </w:pPr>
            <w:r>
              <w:rPr>
                <w:rFonts w:hint="eastAsia" w:cs="宋体"/>
                <w:color w:val="000000"/>
                <w:sz w:val="24"/>
                <w:szCs w:val="24"/>
                <w:highlight w:val="none"/>
                <w:u w:val="none"/>
                <w:shd w:val="clear" w:color="auto" w:fill="auto"/>
                <w:lang w:val="en-US" w:eastAsia="zh-CN"/>
              </w:rPr>
              <w:t>7.开户行：</w:t>
            </w:r>
            <w:r>
              <w:rPr>
                <w:rFonts w:hint="eastAsia" w:cs="宋体"/>
                <w:color w:val="000000"/>
                <w:sz w:val="24"/>
                <w:szCs w:val="24"/>
                <w:highlight w:val="none"/>
                <w:u w:val="single"/>
                <w:shd w:val="clear" w:color="auto" w:fill="auto"/>
                <w:lang w:val="en-US" w:eastAsia="zh-CN"/>
              </w:rPr>
              <w:t>中国工商银行股份有限公司南湖北路支行</w:t>
            </w:r>
          </w:p>
        </w:tc>
      </w:tr>
      <w:tr w14:paraId="6250335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6F952327">
            <w:pPr>
              <w:pStyle w:val="47"/>
              <w:jc w:val="center"/>
              <w:rPr>
                <w:rFonts w:hint="eastAsia" w:ascii="宋体" w:hAnsi="宋体" w:eastAsia="宋体" w:cs="宋体"/>
                <w:color w:val="auto"/>
                <w:kern w:val="2"/>
                <w:sz w:val="24"/>
                <w:szCs w:val="24"/>
                <w:highlight w:val="none"/>
                <w:lang w:val="en-US" w:eastAsia="zh-CN" w:bidi="ar-SA"/>
              </w:rPr>
            </w:pPr>
            <w:r>
              <w:rPr>
                <w:rFonts w:hint="eastAsia" w:cs="宋体"/>
                <w:color w:val="auto"/>
                <w:sz w:val="24"/>
                <w:szCs w:val="24"/>
                <w:highlight w:val="none"/>
                <w:lang w:val="en-US" w:eastAsia="zh-CN"/>
              </w:rPr>
              <w:t>41.1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13D4FB3A">
            <w:pPr>
              <w:pStyle w:val="47"/>
              <w:jc w:val="left"/>
              <w:rPr>
                <w:rFonts w:hint="eastAsia" w:cs="宋体"/>
                <w:color w:val="auto"/>
                <w:sz w:val="24"/>
                <w:szCs w:val="24"/>
                <w:highlight w:val="none"/>
                <w:lang w:eastAsia="zh-CN"/>
              </w:rPr>
            </w:pPr>
            <w:r>
              <w:rPr>
                <w:rFonts w:hint="eastAsia" w:cs="宋体"/>
                <w:color w:val="auto"/>
                <w:sz w:val="24"/>
                <w:szCs w:val="24"/>
                <w:highlight w:val="none"/>
                <w:lang w:eastAsia="zh-CN"/>
              </w:rPr>
              <w:t>支持本国产品</w:t>
            </w:r>
          </w:p>
          <w:p w14:paraId="2265ACDA">
            <w:pPr>
              <w:pStyle w:val="47"/>
              <w:jc w:val="left"/>
              <w:rPr>
                <w:rFonts w:hint="eastAsia" w:ascii="宋体" w:hAnsi="宋体" w:eastAsia="宋体" w:cs="宋体"/>
                <w:color w:val="auto"/>
                <w:kern w:val="2"/>
                <w:sz w:val="24"/>
                <w:szCs w:val="24"/>
                <w:highlight w:val="none"/>
                <w:lang w:val="zh-CN" w:eastAsia="zh-CN" w:bidi="ar-SA"/>
              </w:rPr>
            </w:pPr>
            <w:r>
              <w:rPr>
                <w:rFonts w:hint="eastAsia" w:cs="宋体"/>
                <w:color w:val="auto"/>
                <w:sz w:val="24"/>
                <w:szCs w:val="24"/>
                <w:highlight w:val="none"/>
                <w:lang w:eastAsia="zh-CN"/>
              </w:rPr>
              <w:t>政策</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6474FA70">
            <w:pPr>
              <w:pStyle w:val="63"/>
              <w:widowControl w:val="0"/>
              <w:spacing w:before="0" w:beforeAutospacing="0" w:after="0" w:afterAutospacing="0" w:line="240" w:lineRule="auto"/>
              <w:jc w:val="both"/>
              <w:rPr>
                <w:rFonts w:hint="eastAsia" w:ascii="宋体" w:hAnsi="宋体" w:eastAsia="宋体" w:cs="宋体"/>
                <w:b/>
                <w:bCs/>
                <w:color w:val="auto"/>
                <w:kern w:val="0"/>
                <w:sz w:val="24"/>
                <w:szCs w:val="24"/>
                <w:highlight w:val="none"/>
                <w:lang w:val="en-US" w:eastAsia="zh-CN" w:bidi="ar-SA"/>
              </w:rPr>
            </w:pPr>
            <w:r>
              <w:rPr>
                <w:rFonts w:hint="eastAsia" w:cs="宋体"/>
                <w:b w:val="0"/>
                <w:bCs/>
                <w:color w:val="auto"/>
                <w:kern w:val="0"/>
                <w:sz w:val="24"/>
                <w:szCs w:val="24"/>
                <w:highlight w:val="none"/>
                <w:lang w:val="en-US" w:eastAsia="zh-CN" w:bidi="ar-SA"/>
              </w:rPr>
              <w:t>对符合本国产品标准的，依法对本国产品给予价格评审优惠，用扣除后的价格参与评审。</w:t>
            </w:r>
          </w:p>
        </w:tc>
      </w:tr>
      <w:tr w14:paraId="399E08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0A071A53">
            <w:pPr>
              <w:pStyle w:val="47"/>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41</w:t>
            </w:r>
            <w:r>
              <w:rPr>
                <w:rFonts w:hint="eastAsia" w:ascii="宋体" w:hAnsi="宋体" w:eastAsia="宋体" w:cs="宋体"/>
                <w:i w:val="0"/>
                <w:iCs w:val="0"/>
                <w:color w:val="auto"/>
                <w:sz w:val="24"/>
                <w:szCs w:val="24"/>
                <w:highlight w:val="none"/>
              </w:rPr>
              <w:t>.</w:t>
            </w:r>
            <w:r>
              <w:rPr>
                <w:rFonts w:hint="eastAsia" w:cs="宋体"/>
                <w:i w:val="0"/>
                <w:iCs w:val="0"/>
                <w:color w:val="auto"/>
                <w:sz w:val="24"/>
                <w:szCs w:val="24"/>
                <w:highlight w:val="none"/>
                <w:lang w:val="en-US" w:eastAsia="zh-CN"/>
              </w:rPr>
              <w:t>2</w:t>
            </w:r>
          </w:p>
        </w:tc>
        <w:tc>
          <w:tcPr>
            <w:tcW w:w="1971" w:type="dxa"/>
            <w:tcBorders>
              <w:top w:val="single" w:color="auto" w:sz="2" w:space="0"/>
              <w:left w:val="single" w:color="auto" w:sz="2" w:space="0"/>
              <w:bottom w:val="single" w:color="auto" w:sz="2" w:space="0"/>
              <w:right w:val="single" w:color="auto" w:sz="2" w:space="0"/>
            </w:tcBorders>
            <w:vAlign w:val="center"/>
          </w:tcPr>
          <w:p w14:paraId="1785FF1B">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是否接受进口产品</w:t>
            </w:r>
          </w:p>
        </w:tc>
        <w:tc>
          <w:tcPr>
            <w:tcW w:w="6450" w:type="dxa"/>
            <w:tcBorders>
              <w:top w:val="single" w:color="auto" w:sz="2" w:space="0"/>
              <w:left w:val="single" w:color="auto" w:sz="2" w:space="0"/>
              <w:bottom w:val="single" w:color="auto" w:sz="2" w:space="0"/>
              <w:right w:val="single" w:color="auto" w:sz="2" w:space="0"/>
            </w:tcBorders>
            <w:vAlign w:val="center"/>
          </w:tcPr>
          <w:p w14:paraId="3B4D5E1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00FE"/>
            </w:r>
            <w:r>
              <w:rPr>
                <w:rFonts w:hint="eastAsia" w:ascii="宋体" w:hAnsi="宋体" w:eastAsia="宋体" w:cs="宋体"/>
                <w:i w:val="0"/>
                <w:iCs w:val="0"/>
                <w:color w:val="auto"/>
                <w:sz w:val="24"/>
                <w:szCs w:val="24"/>
                <w:highlight w:val="none"/>
              </w:rPr>
              <w:t>不接受</w:t>
            </w:r>
          </w:p>
          <w:p w14:paraId="77F5BFD2">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sym w:font="Wingdings" w:char="F0A8"/>
            </w:r>
            <w:r>
              <w:rPr>
                <w:rFonts w:hint="eastAsia" w:ascii="宋体" w:hAnsi="宋体" w:eastAsia="宋体" w:cs="宋体"/>
                <w:i w:val="0"/>
                <w:iCs w:val="0"/>
                <w:color w:val="auto"/>
                <w:sz w:val="24"/>
                <w:szCs w:val="24"/>
                <w:highlight w:val="none"/>
                <w:lang w:val="zh-CN"/>
              </w:rPr>
              <w:t>接受</w:t>
            </w:r>
          </w:p>
        </w:tc>
      </w:tr>
      <w:tr w14:paraId="6F7014D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vAlign w:val="center"/>
          </w:tcPr>
          <w:p w14:paraId="15EB639A">
            <w:pPr>
              <w:pStyle w:val="47"/>
              <w:jc w:val="center"/>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lang w:val="en-US" w:eastAsia="zh-CN"/>
              </w:rPr>
              <w:t>42</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p>
        </w:tc>
        <w:tc>
          <w:tcPr>
            <w:tcW w:w="1971" w:type="dxa"/>
            <w:tcBorders>
              <w:top w:val="single" w:color="auto" w:sz="2" w:space="0"/>
              <w:left w:val="single" w:color="auto" w:sz="2" w:space="0"/>
              <w:bottom w:val="single" w:color="auto" w:sz="2" w:space="0"/>
              <w:right w:val="single" w:color="auto" w:sz="2" w:space="0"/>
            </w:tcBorders>
            <w:vAlign w:val="center"/>
          </w:tcPr>
          <w:p w14:paraId="623E81DC">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支持中小企业政策</w:t>
            </w:r>
            <w:r>
              <w:rPr>
                <w:rStyle w:val="33"/>
                <w:rFonts w:hint="eastAsia" w:ascii="宋体" w:hAnsi="宋体" w:eastAsia="宋体" w:cs="宋体"/>
                <w:b w:val="0"/>
                <w:i w:val="0"/>
                <w:iCs w:val="0"/>
                <w:color w:val="auto"/>
                <w:sz w:val="24"/>
                <w:szCs w:val="24"/>
                <w:highlight w:val="none"/>
                <w:lang w:val="en-US" w:eastAsia="zh-CN"/>
              </w:rPr>
              <w:t>（非专门面向中小企业采购项目适用）</w:t>
            </w:r>
          </w:p>
        </w:tc>
        <w:tc>
          <w:tcPr>
            <w:tcW w:w="6450" w:type="dxa"/>
            <w:tcBorders>
              <w:top w:val="single" w:color="auto" w:sz="2" w:space="0"/>
              <w:left w:val="single" w:color="auto" w:sz="2" w:space="0"/>
              <w:bottom w:val="single" w:color="auto" w:sz="2" w:space="0"/>
              <w:right w:val="single" w:color="auto" w:sz="2" w:space="0"/>
            </w:tcBorders>
            <w:vAlign w:val="center"/>
          </w:tcPr>
          <w:p w14:paraId="494A9BAF">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1</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小型和微型企业价格扣除：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000000"/>
                <w:sz w:val="24"/>
                <w:szCs w:val="24"/>
                <w:highlight w:val="none"/>
                <w:u w:val="single"/>
                <w:lang w:val="en-US" w:eastAsia="zh-CN"/>
              </w:rPr>
              <w:t>本项目专门面向中小企业</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1EC73829">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2</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监狱企业价格扣除：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498559E5">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3</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残疾人福利性单位价格扣除：</w:t>
            </w:r>
            <w:r>
              <w:rPr>
                <w:rFonts w:hint="eastAsia" w:ascii="宋体" w:hAnsi="宋体" w:eastAsia="宋体" w:cs="宋体"/>
                <w:b w:val="0"/>
                <w:i w:val="0"/>
                <w:iCs w:val="0"/>
                <w:color w:val="auto"/>
                <w:sz w:val="24"/>
                <w:szCs w:val="24"/>
                <w:highlight w:val="none"/>
                <w:u w:val="none"/>
              </w:rPr>
              <w:t>同小型和微型企业</w:t>
            </w:r>
            <w:r>
              <w:rPr>
                <w:rFonts w:hint="eastAsia" w:ascii="宋体" w:hAnsi="宋体" w:eastAsia="宋体" w:cs="宋体"/>
                <w:b w:val="0"/>
                <w:i w:val="0"/>
                <w:iCs w:val="0"/>
                <w:color w:val="auto"/>
                <w:sz w:val="24"/>
                <w:szCs w:val="24"/>
                <w:highlight w:val="none"/>
              </w:rPr>
              <w:t>。</w:t>
            </w:r>
          </w:p>
          <w:p w14:paraId="56AB8547">
            <w:pPr>
              <w:pStyle w:val="63"/>
              <w:widowControl w:val="0"/>
              <w:spacing w:before="0" w:beforeAutospacing="0" w:after="0" w:afterAutospacing="0" w:line="240" w:lineRule="auto"/>
              <w:jc w:val="both"/>
              <w:rPr>
                <w:rFonts w:hint="eastAsia" w:ascii="宋体" w:hAnsi="宋体" w:eastAsia="宋体" w:cs="宋体"/>
                <w:b w:val="0"/>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4</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符合条件的联合体价格扣除：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w:t>
            </w:r>
          </w:p>
          <w:p w14:paraId="083F702C">
            <w:pPr>
              <w:pStyle w:val="63"/>
              <w:widowControl w:val="0"/>
              <w:spacing w:before="0" w:beforeAutospacing="0" w:after="0" w:afterAutospacing="0" w:line="240" w:lineRule="auto"/>
              <w:jc w:val="both"/>
              <w:rPr>
                <w:rFonts w:hint="eastAsia" w:ascii="宋体" w:hAnsi="宋体" w:eastAsia="宋体" w:cs="宋体"/>
                <w:i w:val="0"/>
                <w:iCs w:val="0"/>
                <w:color w:val="auto"/>
                <w:sz w:val="24"/>
                <w:szCs w:val="24"/>
                <w:highlight w:val="none"/>
              </w:rPr>
            </w:pPr>
            <w:r>
              <w:rPr>
                <w:rFonts w:hint="eastAsia" w:ascii="宋体" w:hAnsi="宋体" w:eastAsia="宋体" w:cs="宋体"/>
                <w:b w:val="0"/>
                <w:i w:val="0"/>
                <w:iCs w:val="0"/>
                <w:color w:val="auto"/>
                <w:sz w:val="24"/>
                <w:szCs w:val="24"/>
                <w:highlight w:val="none"/>
                <w:lang w:val="en-US" w:eastAsia="zh-CN"/>
              </w:rPr>
              <w:t xml:space="preserve"> </w:t>
            </w:r>
            <w:r>
              <w:rPr>
                <w:rFonts w:hint="eastAsia" w:ascii="宋体" w:hAnsi="宋体" w:eastAsia="宋体" w:cs="宋体"/>
                <w:b w:val="0"/>
                <w:i w:val="0"/>
                <w:iCs w:val="0"/>
                <w:color w:val="auto"/>
                <w:sz w:val="24"/>
                <w:szCs w:val="24"/>
                <w:highlight w:val="none"/>
              </w:rPr>
              <w:t>5</w:t>
            </w:r>
            <w:r>
              <w:rPr>
                <w:rFonts w:hint="eastAsia" w:ascii="宋体" w:hAnsi="宋体" w:eastAsia="宋体" w:cs="宋体"/>
                <w:b w:val="0"/>
                <w:i w:val="0"/>
                <w:iCs w:val="0"/>
                <w:color w:val="auto"/>
                <w:sz w:val="24"/>
                <w:szCs w:val="24"/>
                <w:highlight w:val="none"/>
                <w:lang w:val="en-US" w:eastAsia="zh-CN"/>
              </w:rPr>
              <w:t>.</w:t>
            </w:r>
            <w:r>
              <w:rPr>
                <w:rFonts w:hint="eastAsia" w:ascii="宋体" w:hAnsi="宋体" w:eastAsia="宋体" w:cs="宋体"/>
                <w:b w:val="0"/>
                <w:i w:val="0"/>
                <w:iCs w:val="0"/>
                <w:color w:val="auto"/>
                <w:sz w:val="24"/>
                <w:szCs w:val="24"/>
                <w:highlight w:val="none"/>
              </w:rPr>
              <w:t>符合条件的向小微企业分包的大中型企业价格扣除：</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cs="宋体"/>
                <w:b w:val="0"/>
                <w:i w:val="0"/>
                <w:iCs w:val="0"/>
                <w:color w:val="auto"/>
                <w:sz w:val="24"/>
                <w:szCs w:val="24"/>
                <w:highlight w:val="none"/>
                <w:u w:val="single"/>
                <w:lang w:val="en-US" w:eastAsia="zh-CN"/>
              </w:rPr>
              <w:t>/</w:t>
            </w:r>
            <w:r>
              <w:rPr>
                <w:rFonts w:hint="eastAsia" w:ascii="宋体" w:hAnsi="宋体" w:eastAsia="宋体" w:cs="宋体"/>
                <w:b w:val="0"/>
                <w:i w:val="0"/>
                <w:iCs w:val="0"/>
                <w:color w:val="auto"/>
                <w:sz w:val="24"/>
                <w:szCs w:val="24"/>
                <w:highlight w:val="none"/>
                <w:u w:val="single"/>
                <w:lang w:val="en-US" w:eastAsia="zh-CN"/>
              </w:rPr>
              <w:t xml:space="preserve">    </w:t>
            </w:r>
            <w:r>
              <w:rPr>
                <w:rFonts w:hint="eastAsia" w:ascii="宋体" w:hAnsi="宋体" w:eastAsia="宋体" w:cs="宋体"/>
                <w:b w:val="0"/>
                <w:i w:val="0"/>
                <w:iCs w:val="0"/>
                <w:color w:val="auto"/>
                <w:sz w:val="24"/>
                <w:szCs w:val="24"/>
                <w:highlight w:val="none"/>
              </w:rPr>
              <w:t>。（允许大中型企业向小微企业分包的项目适用）</w:t>
            </w:r>
          </w:p>
        </w:tc>
      </w:tr>
      <w:tr w14:paraId="0160515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570" w:hRule="atLeast"/>
        </w:trPr>
        <w:tc>
          <w:tcPr>
            <w:tcW w:w="970" w:type="dxa"/>
            <w:tcBorders>
              <w:top w:val="single" w:color="auto" w:sz="2" w:space="0"/>
              <w:left w:val="single" w:color="auto" w:sz="2" w:space="0"/>
              <w:bottom w:val="single" w:color="auto" w:sz="2" w:space="0"/>
              <w:right w:val="single" w:color="auto" w:sz="2" w:space="0"/>
            </w:tcBorders>
            <w:vAlign w:val="center"/>
          </w:tcPr>
          <w:p w14:paraId="790F1479">
            <w:pPr>
              <w:pStyle w:val="47"/>
              <w:jc w:val="center"/>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42.9</w:t>
            </w:r>
          </w:p>
        </w:tc>
        <w:tc>
          <w:tcPr>
            <w:tcW w:w="1971" w:type="dxa"/>
            <w:tcBorders>
              <w:top w:val="single" w:color="auto" w:sz="2" w:space="0"/>
              <w:left w:val="single" w:color="auto" w:sz="2" w:space="0"/>
              <w:bottom w:val="single" w:color="auto" w:sz="2" w:space="0"/>
              <w:right w:val="single" w:color="auto" w:sz="2" w:space="0"/>
            </w:tcBorders>
            <w:vAlign w:val="center"/>
          </w:tcPr>
          <w:p w14:paraId="4DEF3B1D">
            <w:pPr>
              <w:pStyle w:val="47"/>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标的所属行业</w:t>
            </w:r>
          </w:p>
          <w:p w14:paraId="2A0D024C">
            <w:pPr>
              <w:pStyle w:val="47"/>
              <w:rPr>
                <w:rFonts w:hint="eastAsia" w:ascii="宋体" w:hAnsi="宋体" w:eastAsia="宋体" w:cs="宋体"/>
                <w:i w:val="0"/>
                <w:iCs w:val="0"/>
                <w:color w:val="auto"/>
                <w:sz w:val="24"/>
                <w:szCs w:val="24"/>
                <w:highlight w:val="none"/>
              </w:rPr>
            </w:pPr>
            <w:r>
              <w:rPr>
                <w:rStyle w:val="33"/>
                <w:rFonts w:hint="eastAsia" w:ascii="宋体" w:hAnsi="宋体" w:eastAsia="宋体" w:cs="宋体"/>
                <w:b w:val="0"/>
                <w:i w:val="0"/>
                <w:iCs w:val="0"/>
                <w:color w:val="auto"/>
                <w:sz w:val="24"/>
                <w:szCs w:val="24"/>
                <w:highlight w:val="none"/>
                <w:lang w:val="en-US" w:eastAsia="zh-CN"/>
              </w:rPr>
              <w:t>（参照后附</w:t>
            </w:r>
            <w:r>
              <w:rPr>
                <w:rStyle w:val="33"/>
                <w:rFonts w:hint="eastAsia" w:ascii="宋体" w:hAnsi="宋体" w:eastAsia="宋体" w:cs="宋体"/>
                <w:b w:val="0"/>
                <w:i w:val="0"/>
                <w:iCs w:val="0"/>
                <w:color w:val="auto"/>
                <w:sz w:val="24"/>
                <w:szCs w:val="24"/>
                <w:highlight w:val="none"/>
                <w:lang w:eastAsia="zh-CN"/>
              </w:rPr>
              <w:t>《</w:t>
            </w:r>
            <w:r>
              <w:rPr>
                <w:rStyle w:val="33"/>
                <w:rFonts w:hint="eastAsia" w:ascii="宋体" w:hAnsi="宋体" w:eastAsia="宋体" w:cs="宋体"/>
                <w:b w:val="0"/>
                <w:i w:val="0"/>
                <w:iCs w:val="0"/>
                <w:color w:val="auto"/>
                <w:sz w:val="24"/>
                <w:szCs w:val="24"/>
                <w:highlight w:val="none"/>
              </w:rPr>
              <w:t>工信部联企业〔2011〕300号</w:t>
            </w:r>
            <w:r>
              <w:rPr>
                <w:rStyle w:val="33"/>
                <w:rFonts w:hint="eastAsia" w:ascii="宋体" w:hAnsi="宋体" w:eastAsia="宋体" w:cs="宋体"/>
                <w:b w:val="0"/>
                <w:i w:val="0"/>
                <w:iCs w:val="0"/>
                <w:color w:val="auto"/>
                <w:sz w:val="24"/>
                <w:szCs w:val="24"/>
                <w:highlight w:val="none"/>
                <w:lang w:eastAsia="zh-CN"/>
              </w:rPr>
              <w:t>》）</w:t>
            </w:r>
          </w:p>
        </w:tc>
        <w:tc>
          <w:tcPr>
            <w:tcW w:w="6450" w:type="dxa"/>
            <w:tcBorders>
              <w:top w:val="single" w:color="auto" w:sz="2" w:space="0"/>
              <w:left w:val="single" w:color="auto" w:sz="2" w:space="0"/>
              <w:bottom w:val="single" w:color="auto" w:sz="2" w:space="0"/>
              <w:right w:val="single" w:color="auto" w:sz="2" w:space="0"/>
            </w:tcBorders>
            <w:vAlign w:val="center"/>
          </w:tcPr>
          <w:p w14:paraId="73639D39">
            <w:pPr>
              <w:keepNext w:val="0"/>
              <w:keepLines w:val="0"/>
              <w:widowControl/>
              <w:suppressLineNumbers w:val="0"/>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0"/>
                <w:sz w:val="24"/>
                <w:szCs w:val="24"/>
                <w:highlight w:val="none"/>
                <w:lang w:val="en-US" w:eastAsia="zh-CN"/>
              </w:rPr>
              <w:t xml:space="preserve">本项目采购标的对应的中小企业划分标准所属行业： </w:t>
            </w:r>
          </w:p>
          <w:tbl>
            <w:tblPr>
              <w:tblStyle w:val="31"/>
              <w:tblW w:w="61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7"/>
              <w:gridCol w:w="1824"/>
              <w:gridCol w:w="3245"/>
            </w:tblGrid>
            <w:tr w14:paraId="385EDB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6A664177">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包号</w:t>
                  </w:r>
                </w:p>
              </w:tc>
              <w:tc>
                <w:tcPr>
                  <w:tcW w:w="1824" w:type="dxa"/>
                  <w:vAlign w:val="center"/>
                </w:tcPr>
                <w:p w14:paraId="0AD36816">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标的名称</w:t>
                  </w:r>
                </w:p>
              </w:tc>
              <w:tc>
                <w:tcPr>
                  <w:tcW w:w="3245" w:type="dxa"/>
                  <w:vAlign w:val="center"/>
                </w:tcPr>
                <w:p w14:paraId="2C78D772">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中小企业划分标准所属行业</w:t>
                  </w:r>
                </w:p>
              </w:tc>
            </w:tr>
            <w:tr w14:paraId="531AC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87" w:type="dxa"/>
                  <w:vAlign w:val="center"/>
                </w:tcPr>
                <w:p w14:paraId="45DA92CB">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vertAlign w:val="baseline"/>
                      <w:lang w:val="en-US" w:eastAsia="zh-CN"/>
                    </w:rPr>
                    <w:t>第1包</w:t>
                  </w:r>
                </w:p>
              </w:tc>
              <w:tc>
                <w:tcPr>
                  <w:tcW w:w="1824" w:type="dxa"/>
                  <w:vAlign w:val="center"/>
                </w:tcPr>
                <w:p w14:paraId="7B94C3FE">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Fonts w:hint="eastAsia" w:cs="宋体"/>
                      <w:i w:val="0"/>
                      <w:iCs w:val="0"/>
                      <w:color w:val="auto"/>
                      <w:kern w:val="0"/>
                      <w:sz w:val="24"/>
                      <w:szCs w:val="24"/>
                      <w:highlight w:val="none"/>
                      <w:vertAlign w:val="baseline"/>
                      <w:lang w:val="en-US" w:eastAsia="zh-CN"/>
                    </w:rPr>
                    <w:t>2026年中国新疆人才网示范推广项目</w:t>
                  </w:r>
                </w:p>
              </w:tc>
              <w:tc>
                <w:tcPr>
                  <w:tcW w:w="3245" w:type="dxa"/>
                  <w:vAlign w:val="center"/>
                </w:tcPr>
                <w:p w14:paraId="33535D95">
                  <w:pPr>
                    <w:keepNext w:val="0"/>
                    <w:keepLines w:val="0"/>
                    <w:widowControl/>
                    <w:suppressLineNumbers w:val="0"/>
                    <w:jc w:val="center"/>
                    <w:rPr>
                      <w:rFonts w:hint="eastAsia" w:ascii="宋体" w:hAnsi="宋体" w:eastAsia="宋体" w:cs="宋体"/>
                      <w:i w:val="0"/>
                      <w:iCs w:val="0"/>
                      <w:color w:val="auto"/>
                      <w:kern w:val="0"/>
                      <w:sz w:val="24"/>
                      <w:szCs w:val="24"/>
                      <w:highlight w:val="none"/>
                      <w:vertAlign w:val="baseline"/>
                      <w:lang w:val="en-US" w:eastAsia="zh-CN"/>
                    </w:rPr>
                  </w:pPr>
                  <w:r>
                    <w:rPr>
                      <w:rStyle w:val="33"/>
                      <w:rFonts w:ascii="Segoe UI" w:hAnsi="Segoe UI" w:eastAsia="Segoe UI" w:cs="Segoe UI"/>
                      <w:b/>
                      <w:bCs/>
                      <w:i w:val="0"/>
                      <w:iCs w:val="0"/>
                      <w:caps w:val="0"/>
                      <w:color w:val="0F1115"/>
                      <w:spacing w:val="0"/>
                      <w:sz w:val="19"/>
                      <w:szCs w:val="19"/>
                      <w:shd w:val="clear" w:fill="FFFFFF"/>
                    </w:rPr>
                    <w:t>租赁和商务服务业</w:t>
                  </w:r>
                </w:p>
              </w:tc>
            </w:tr>
          </w:tbl>
          <w:p w14:paraId="4176FC14">
            <w:pPr>
              <w:pStyle w:val="47"/>
              <w:rPr>
                <w:rFonts w:hint="eastAsia" w:ascii="宋体" w:hAnsi="宋体" w:eastAsia="宋体" w:cs="宋体"/>
                <w:i w:val="0"/>
                <w:iCs w:val="0"/>
                <w:color w:val="auto"/>
                <w:sz w:val="24"/>
                <w:szCs w:val="24"/>
                <w:highlight w:val="none"/>
              </w:rPr>
            </w:pPr>
          </w:p>
        </w:tc>
      </w:tr>
      <w:tr w14:paraId="255D901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989"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1EF21B18">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43.5</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4E9700F5">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优先采购创新节能环保产品</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1E29B3FF">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产品纳入创新产品应用示范推荐目录内企业、所</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产品获得节能产品或环境标志产品认证证书的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给予</w:t>
            </w:r>
            <w:r>
              <w:rPr>
                <w:rFonts w:hint="eastAsia" w:ascii="宋体" w:hAnsi="宋体" w:eastAsia="宋体" w:cs="宋体"/>
                <w:i w:val="0"/>
                <w:iCs w:val="0"/>
                <w:color w:val="auto"/>
                <w:sz w:val="24"/>
                <w:szCs w:val="24"/>
                <w:highlight w:val="none"/>
                <w:u w:val="single"/>
              </w:rPr>
              <w:t xml:space="preserve"> </w:t>
            </w:r>
            <w:r>
              <w:rPr>
                <w:rFonts w:hint="eastAsia" w:cs="宋体"/>
                <w:i w:val="0"/>
                <w:iCs w:val="0"/>
                <w:color w:val="auto"/>
                <w:sz w:val="24"/>
                <w:szCs w:val="24"/>
                <w:highlight w:val="none"/>
                <w:u w:val="single"/>
                <w:lang w:val="en-US" w:eastAsia="zh-CN"/>
              </w:rPr>
              <w:t>/</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u w:val="single"/>
                <w:lang w:val="en-US" w:eastAsia="zh-CN"/>
              </w:rPr>
              <w:t xml:space="preserve"> </w:t>
            </w:r>
            <w:r>
              <w:rPr>
                <w:rFonts w:hint="eastAsia" w:ascii="宋体" w:hAnsi="宋体" w:eastAsia="宋体" w:cs="宋体"/>
                <w:i w:val="0"/>
                <w:iCs w:val="0"/>
                <w:color w:val="auto"/>
                <w:sz w:val="24"/>
                <w:szCs w:val="24"/>
                <w:highlight w:val="none"/>
                <w:u w:val="single"/>
              </w:rPr>
              <w:t xml:space="preserve">  </w:t>
            </w:r>
            <w:r>
              <w:rPr>
                <w:rFonts w:hint="eastAsia" w:cs="宋体"/>
                <w:color w:val="auto"/>
                <w:sz w:val="24"/>
                <w:szCs w:val="24"/>
                <w:highlight w:val="none"/>
                <w:lang w:val="en-US" w:eastAsia="zh-CN"/>
              </w:rPr>
              <w:t>评审优惠</w:t>
            </w:r>
            <w:r>
              <w:rPr>
                <w:rFonts w:hint="eastAsia" w:ascii="宋体" w:hAnsi="宋体" w:eastAsia="宋体" w:cs="宋体"/>
                <w:i w:val="0"/>
                <w:iCs w:val="0"/>
                <w:color w:val="auto"/>
                <w:sz w:val="24"/>
                <w:szCs w:val="24"/>
                <w:highlight w:val="none"/>
              </w:rPr>
              <w:t>。</w:t>
            </w:r>
          </w:p>
        </w:tc>
      </w:tr>
      <w:tr w14:paraId="5DE88C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70" w:type="dxa"/>
            <w:tcBorders>
              <w:top w:val="single" w:color="auto" w:sz="2" w:space="0"/>
              <w:left w:val="single" w:color="auto" w:sz="2" w:space="0"/>
              <w:bottom w:val="single" w:color="auto" w:sz="2" w:space="0"/>
              <w:right w:val="single" w:color="auto" w:sz="2" w:space="0"/>
            </w:tcBorders>
            <w:shd w:val="clear" w:color="auto" w:fill="auto"/>
            <w:vAlign w:val="center"/>
          </w:tcPr>
          <w:p w14:paraId="2786DB02">
            <w:pPr>
              <w:pStyle w:val="47"/>
              <w:jc w:val="center"/>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2" w:space="0"/>
            </w:tcBorders>
            <w:shd w:val="clear" w:color="auto" w:fill="auto"/>
            <w:vAlign w:val="center"/>
          </w:tcPr>
          <w:p w14:paraId="1F7BC45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政府采购</w:t>
            </w:r>
          </w:p>
          <w:p w14:paraId="2BEF7B44">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rPr>
              <w:t>合同融资政策</w:t>
            </w:r>
          </w:p>
        </w:tc>
        <w:tc>
          <w:tcPr>
            <w:tcW w:w="6450" w:type="dxa"/>
            <w:tcBorders>
              <w:top w:val="single" w:color="auto" w:sz="2" w:space="0"/>
              <w:left w:val="single" w:color="auto" w:sz="2" w:space="0"/>
              <w:bottom w:val="single" w:color="auto" w:sz="2" w:space="0"/>
              <w:right w:val="single" w:color="auto" w:sz="2" w:space="0"/>
            </w:tcBorders>
            <w:shd w:val="clear" w:color="auto" w:fill="auto"/>
            <w:vAlign w:val="center"/>
          </w:tcPr>
          <w:p w14:paraId="26C388BA">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 xml:space="preserve">  1.</w:t>
            </w:r>
            <w:r>
              <w:rPr>
                <w:rFonts w:hint="eastAsia" w:ascii="宋体" w:hAnsi="宋体" w:eastAsia="宋体" w:cs="宋体"/>
                <w:i w:val="0"/>
                <w:iCs w:val="0"/>
                <w:color w:val="auto"/>
                <w:sz w:val="24"/>
                <w:szCs w:val="24"/>
                <w:highlight w:val="none"/>
              </w:rPr>
              <w:t>有融资需求的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人在获得政府采购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通知书后，即可向开展“政采贷”业务的金融机构提出申请，金融机构依据政府采购</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通知书和政府采购合同，为中小微企业提供融资服务。</w:t>
            </w:r>
          </w:p>
          <w:p w14:paraId="3C6F71B4">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渠道和方式：</w:t>
            </w:r>
            <w:r>
              <w:rPr>
                <w:rFonts w:hint="eastAsia" w:ascii="宋体" w:hAnsi="宋体" w:eastAsia="宋体" w:cs="宋体"/>
                <w:i w:val="0"/>
                <w:iCs w:val="0"/>
                <w:color w:val="auto"/>
                <w:sz w:val="24"/>
                <w:szCs w:val="24"/>
                <w:highlight w:val="none"/>
                <w:lang w:val="en-US" w:eastAsia="zh-CN"/>
              </w:rPr>
              <w:t>详见新疆政府采购网</w:t>
            </w:r>
            <w:r>
              <w:rPr>
                <w:rFonts w:hint="eastAsia" w:ascii="宋体" w:hAnsi="宋体" w:eastAsia="宋体" w:cs="宋体"/>
                <w:i w:val="0"/>
                <w:iCs w:val="0"/>
                <w:color w:val="auto"/>
                <w:sz w:val="24"/>
                <w:szCs w:val="24"/>
                <w:highlight w:val="none"/>
              </w:rPr>
              <w:t>。</w:t>
            </w:r>
          </w:p>
          <w:p w14:paraId="6795BCBE">
            <w:pPr>
              <w:pStyle w:val="47"/>
              <w:rPr>
                <w:rFonts w:hint="eastAsia" w:ascii="宋体" w:hAnsi="宋体" w:eastAsia="宋体" w:cs="宋体"/>
                <w:i w:val="0"/>
                <w:iCs w:val="0"/>
                <w:color w:val="auto"/>
                <w:kern w:val="2"/>
                <w:sz w:val="24"/>
                <w:szCs w:val="24"/>
                <w:highlight w:val="none"/>
                <w:lang w:val="en-US" w:eastAsia="zh-CN" w:bidi="ar-SA"/>
              </w:rPr>
            </w:pPr>
            <w:r>
              <w:rPr>
                <w:rFonts w:hint="eastAsia" w:ascii="宋体" w:hAnsi="宋体" w:eastAsia="宋体" w:cs="宋体"/>
                <w:i w:val="0"/>
                <w:iCs w:val="0"/>
                <w:color w:val="auto"/>
                <w:sz w:val="24"/>
                <w:szCs w:val="24"/>
                <w:highlight w:val="none"/>
                <w:lang w:val="en-US" w:eastAsia="zh-CN"/>
              </w:rPr>
              <w:t xml:space="preserve">  2.</w:t>
            </w:r>
            <w:r>
              <w:rPr>
                <w:rFonts w:hint="eastAsia" w:ascii="宋体" w:hAnsi="宋体" w:eastAsia="宋体" w:cs="宋体"/>
                <w:i w:val="0"/>
                <w:iCs w:val="0"/>
                <w:color w:val="auto"/>
                <w:sz w:val="24"/>
                <w:szCs w:val="24"/>
                <w:highlight w:val="none"/>
              </w:rPr>
              <w:t>为支持和促进中小企业发展，进一步发挥政府采购政策功能，本采购项目适用于政府采购融资优惠、政采贷、电子保函相关政策，鼓励</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使用电子保函代替现金缴纳各类保证金，在线完成保函的申请、审核、开票、出函等环节，投标企业注意区分办理保函类型，并确认投标有效期，</w:t>
            </w:r>
            <w:r>
              <w:rPr>
                <w:rFonts w:hint="eastAsia" w:cs="宋体"/>
                <w:i w:val="0"/>
                <w:iCs w:val="0"/>
                <w:color w:val="auto"/>
                <w:sz w:val="24"/>
                <w:szCs w:val="24"/>
                <w:highlight w:val="none"/>
                <w:lang w:eastAsia="zh-CN"/>
              </w:rPr>
              <w:t>投标人</w:t>
            </w:r>
            <w:r>
              <w:rPr>
                <w:rFonts w:hint="eastAsia" w:ascii="宋体" w:hAnsi="宋体" w:eastAsia="宋体" w:cs="宋体"/>
                <w:i w:val="0"/>
                <w:iCs w:val="0"/>
                <w:color w:val="auto"/>
                <w:sz w:val="24"/>
                <w:szCs w:val="24"/>
                <w:highlight w:val="none"/>
              </w:rPr>
              <w:t>若想了解或使用相关金融服务，可登录【</w:t>
            </w:r>
            <w:r>
              <w:rPr>
                <w:rFonts w:hint="eastAsia" w:cs="宋体"/>
                <w:i w:val="0"/>
                <w:iCs w:val="0"/>
                <w:color w:val="auto"/>
                <w:sz w:val="24"/>
                <w:szCs w:val="24"/>
                <w:highlight w:val="none"/>
                <w:lang w:val="en-US" w:eastAsia="zh-CN"/>
              </w:rPr>
              <w:t>新疆</w:t>
            </w:r>
            <w:r>
              <w:rPr>
                <w:rFonts w:hint="eastAsia" w:ascii="宋体" w:hAnsi="宋体" w:eastAsia="宋体" w:cs="宋体"/>
                <w:i w:val="0"/>
                <w:iCs w:val="0"/>
                <w:color w:val="auto"/>
                <w:sz w:val="24"/>
                <w:szCs w:val="24"/>
                <w:highlight w:val="none"/>
              </w:rPr>
              <w:t>政府采购网】-顶部通栏【</w:t>
            </w:r>
            <w:r>
              <w:rPr>
                <w:rFonts w:hint="eastAsia" w:cs="宋体"/>
                <w:i w:val="0"/>
                <w:iCs w:val="0"/>
                <w:color w:val="auto"/>
                <w:sz w:val="24"/>
                <w:szCs w:val="24"/>
                <w:highlight w:val="none"/>
                <w:lang w:val="en-US" w:eastAsia="zh-CN"/>
              </w:rPr>
              <w:t>金融支撑】</w:t>
            </w:r>
            <w:r>
              <w:rPr>
                <w:rFonts w:hint="eastAsia" w:ascii="宋体" w:hAnsi="宋体" w:eastAsia="宋体" w:cs="宋体"/>
                <w:i w:val="0"/>
                <w:iCs w:val="0"/>
                <w:color w:val="auto"/>
                <w:sz w:val="24"/>
                <w:szCs w:val="24"/>
                <w:highlight w:val="none"/>
              </w:rPr>
              <w:t>模块查看</w:t>
            </w:r>
            <w:r>
              <w:rPr>
                <w:rFonts w:hint="eastAsia" w:ascii="宋体" w:hAnsi="宋体" w:eastAsia="宋体" w:cs="宋体"/>
                <w:i w:val="0"/>
                <w:iCs w:val="0"/>
                <w:color w:val="auto"/>
                <w:sz w:val="24"/>
                <w:szCs w:val="24"/>
                <w:highlight w:val="none"/>
                <w:lang w:eastAsia="zh-CN"/>
              </w:rPr>
              <w:t>。</w:t>
            </w:r>
          </w:p>
        </w:tc>
      </w:tr>
      <w:tr w14:paraId="54F8D04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637" w:hRule="atLeast"/>
        </w:trPr>
        <w:tc>
          <w:tcPr>
            <w:tcW w:w="970" w:type="dxa"/>
            <w:tcBorders>
              <w:top w:val="single" w:color="auto" w:sz="2" w:space="0"/>
              <w:left w:val="single" w:color="auto" w:sz="2" w:space="0"/>
              <w:bottom w:val="single" w:color="auto" w:sz="2" w:space="0"/>
              <w:right w:val="single" w:color="auto" w:sz="4" w:space="0"/>
            </w:tcBorders>
            <w:vAlign w:val="center"/>
          </w:tcPr>
          <w:p w14:paraId="342D37A4">
            <w:pPr>
              <w:pStyle w:val="47"/>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w:t>
            </w:r>
          </w:p>
        </w:tc>
        <w:tc>
          <w:tcPr>
            <w:tcW w:w="1971" w:type="dxa"/>
            <w:tcBorders>
              <w:top w:val="single" w:color="auto" w:sz="2" w:space="0"/>
              <w:left w:val="single" w:color="auto" w:sz="2" w:space="0"/>
              <w:bottom w:val="single" w:color="auto" w:sz="2" w:space="0"/>
              <w:right w:val="single" w:color="auto" w:sz="4" w:space="0"/>
            </w:tcBorders>
            <w:vAlign w:val="center"/>
          </w:tcPr>
          <w:p w14:paraId="57A459C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需要补充的其他内容</w:t>
            </w:r>
          </w:p>
        </w:tc>
        <w:tc>
          <w:tcPr>
            <w:tcW w:w="6450" w:type="dxa"/>
            <w:tcBorders>
              <w:top w:val="single" w:color="auto" w:sz="2" w:space="0"/>
              <w:left w:val="single" w:color="auto" w:sz="4" w:space="0"/>
              <w:bottom w:val="single" w:color="auto" w:sz="2" w:space="0"/>
              <w:right w:val="single" w:color="auto" w:sz="2" w:space="0"/>
            </w:tcBorders>
            <w:vAlign w:val="center"/>
          </w:tcPr>
          <w:p w14:paraId="05CCA8B8">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注意事项：</w:t>
            </w:r>
          </w:p>
          <w:p w14:paraId="1CD93809">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1、电子标书加盖印章的两种方式:一种为电子章;另一种为纸质版盖章后扫描，两种方式的任意一种在评审时均予认可。</w:t>
            </w:r>
          </w:p>
          <w:p w14:paraId="13522AC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2、供应商在上传电子投标文件时，需在“商务技术投标文件”中按投标文件格式要求上传完整(从封面开始至最后一页)的投标文件。</w:t>
            </w:r>
          </w:p>
          <w:p w14:paraId="69DA101A">
            <w:pPr>
              <w:pStyle w:val="47"/>
              <w:rPr>
                <w:rFonts w:hint="eastAsia" w:ascii="宋体" w:hAnsi="宋体" w:eastAsia="宋体" w:cs="宋体"/>
                <w:i w:val="0"/>
                <w:iCs w:val="0"/>
                <w:color w:val="auto"/>
                <w:sz w:val="24"/>
                <w:szCs w:val="24"/>
                <w:highlight w:val="none"/>
                <w:lang w:eastAsia="zh-CN"/>
              </w:rPr>
            </w:pPr>
            <w:r>
              <w:rPr>
                <w:rFonts w:hint="eastAsia" w:ascii="宋体" w:hAnsi="宋体" w:eastAsia="宋体" w:cs="宋体"/>
                <w:i w:val="0"/>
                <w:iCs w:val="0"/>
                <w:color w:val="auto"/>
                <w:sz w:val="24"/>
                <w:szCs w:val="24"/>
                <w:highlight w:val="none"/>
              </w:rPr>
              <w:t>3、付款方式</w:t>
            </w:r>
            <w:r>
              <w:rPr>
                <w:rFonts w:hint="eastAsia" w:cs="宋体"/>
                <w:i w:val="0"/>
                <w:iCs w:val="0"/>
                <w:color w:val="auto"/>
                <w:sz w:val="24"/>
                <w:szCs w:val="24"/>
                <w:highlight w:val="none"/>
                <w:lang w:eastAsia="zh-CN"/>
              </w:rPr>
              <w:t>：</w:t>
            </w:r>
          </w:p>
          <w:p w14:paraId="470F5BD2">
            <w:pPr>
              <w:pStyle w:val="47"/>
              <w:rPr>
                <w:rFonts w:hint="eastAsia" w:ascii="宋体" w:hAnsi="宋体" w:eastAsia="宋体" w:cs="宋体"/>
                <w:i w:val="0"/>
                <w:iCs w:val="0"/>
                <w:color w:val="auto"/>
                <w:sz w:val="24"/>
                <w:szCs w:val="24"/>
                <w:highlight w:val="none"/>
              </w:rPr>
            </w:pPr>
            <w:r>
              <w:rPr>
                <w:rFonts w:hint="eastAsia" w:cs="宋体"/>
                <w:i w:val="0"/>
                <w:iCs w:val="0"/>
                <w:color w:val="auto"/>
                <w:sz w:val="24"/>
                <w:szCs w:val="24"/>
                <w:highlight w:val="none"/>
                <w:lang w:val="en-US" w:eastAsia="zh-CN"/>
              </w:rPr>
              <w:t>合同签订后5个工作日内支付合同总价的60%；完成地州活动项目支付合同总价的30%；完成高校活动项目再支付合同总价的10%。</w:t>
            </w:r>
          </w:p>
        </w:tc>
      </w:tr>
      <w:tr w14:paraId="6D33A1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2637" w:hRule="atLeast"/>
        </w:trPr>
        <w:tc>
          <w:tcPr>
            <w:tcW w:w="970" w:type="dxa"/>
            <w:tcBorders>
              <w:top w:val="single" w:color="auto" w:sz="2" w:space="0"/>
              <w:left w:val="single" w:color="auto" w:sz="2" w:space="0"/>
              <w:bottom w:val="single" w:color="auto" w:sz="2" w:space="0"/>
              <w:right w:val="single" w:color="auto" w:sz="4" w:space="0"/>
            </w:tcBorders>
            <w:vAlign w:val="center"/>
          </w:tcPr>
          <w:p w14:paraId="77C11C88">
            <w:pPr>
              <w:pStyle w:val="47"/>
              <w:jc w:val="center"/>
              <w:rPr>
                <w:rFonts w:hint="eastAsia" w:ascii="宋体" w:hAnsi="宋体" w:eastAsia="宋体" w:cs="宋体"/>
                <w:i w:val="0"/>
                <w:iCs w:val="0"/>
                <w:color w:val="auto"/>
                <w:sz w:val="24"/>
                <w:szCs w:val="24"/>
                <w:highlight w:val="none"/>
              </w:rPr>
            </w:pPr>
            <w:r>
              <w:rPr>
                <w:rFonts w:hint="eastAsia" w:cs="宋体"/>
                <w:color w:val="000000"/>
                <w:sz w:val="24"/>
                <w:szCs w:val="24"/>
                <w:highlight w:val="none"/>
                <w:lang w:val="en-US" w:eastAsia="zh-CN"/>
              </w:rPr>
              <w:t>48.2</w:t>
            </w:r>
          </w:p>
        </w:tc>
        <w:tc>
          <w:tcPr>
            <w:tcW w:w="1971" w:type="dxa"/>
            <w:tcBorders>
              <w:top w:val="single" w:color="auto" w:sz="2" w:space="0"/>
              <w:left w:val="single" w:color="auto" w:sz="2" w:space="0"/>
              <w:bottom w:val="single" w:color="auto" w:sz="2" w:space="0"/>
              <w:right w:val="single" w:color="auto" w:sz="4" w:space="0"/>
            </w:tcBorders>
            <w:vAlign w:val="center"/>
          </w:tcPr>
          <w:p w14:paraId="20BC30A4">
            <w:pPr>
              <w:pStyle w:val="47"/>
              <w:rPr>
                <w:rFonts w:hint="default"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报价要求</w:t>
            </w:r>
            <w:r>
              <w:rPr>
                <w:rFonts w:hint="eastAsia" w:cs="宋体"/>
                <w:b/>
                <w:bCs/>
                <w:i w:val="0"/>
                <w:iCs w:val="0"/>
                <w:color w:val="auto"/>
                <w:sz w:val="24"/>
                <w:szCs w:val="24"/>
                <w:highlight w:val="none"/>
                <w:lang w:val="en-US" w:eastAsia="zh-CN"/>
              </w:rPr>
              <w:t>-</w:t>
            </w:r>
          </w:p>
          <w:p w14:paraId="42A52064">
            <w:pPr>
              <w:pStyle w:val="47"/>
              <w:rPr>
                <w:rFonts w:hint="eastAsia" w:ascii="宋体" w:hAnsi="宋体" w:eastAsia="宋体" w:cs="宋体"/>
                <w:i w:val="0"/>
                <w:iCs w:val="0"/>
                <w:color w:val="auto"/>
                <w:sz w:val="24"/>
                <w:szCs w:val="24"/>
                <w:highlight w:val="none"/>
              </w:rPr>
            </w:pPr>
            <w:r>
              <w:rPr>
                <w:rFonts w:hint="eastAsia" w:cs="宋体"/>
                <w:b w:val="0"/>
                <w:bCs w:val="0"/>
                <w:color w:val="auto"/>
                <w:kern w:val="2"/>
                <w:sz w:val="24"/>
                <w:szCs w:val="24"/>
                <w:highlight w:val="none"/>
                <w:shd w:val="clear" w:color="auto" w:fill="auto"/>
                <w:lang w:val="en-US" w:eastAsia="zh-CN"/>
              </w:rPr>
              <w:t>异常低价投标（响应）审查的新规定</w:t>
            </w:r>
          </w:p>
        </w:tc>
        <w:tc>
          <w:tcPr>
            <w:tcW w:w="6450" w:type="dxa"/>
            <w:tcBorders>
              <w:top w:val="single" w:color="auto" w:sz="2" w:space="0"/>
              <w:left w:val="single" w:color="auto" w:sz="4" w:space="0"/>
              <w:bottom w:val="single" w:color="auto" w:sz="2" w:space="0"/>
              <w:right w:val="single" w:color="auto" w:sz="2" w:space="0"/>
            </w:tcBorders>
            <w:vAlign w:val="center"/>
          </w:tcPr>
          <w:p w14:paraId="6E720BCF">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异常低价投标（响应）审查的新规定</w:t>
            </w:r>
          </w:p>
          <w:p w14:paraId="4BB717DC">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1、审查依据</w:t>
            </w:r>
          </w:p>
          <w:p w14:paraId="32C4F76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依据《中华人民共和国政府采购法》</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《中华人民共和国政府采购法实施条例》及财政部2026年2号文件《关于加强政府采购异常低价投标（响应）认定与审查工作的通知》等相关规定，本项目评审委员会对投标（响应）报价开展异常低价审查工作。</w:t>
            </w:r>
          </w:p>
          <w:p w14:paraId="5533B1D8">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2、异常低价情形认定</w:t>
            </w:r>
          </w:p>
          <w:p w14:paraId="2428CEA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投标（响应）供应商出现下列情形之一的，评审委员会将启动异常低价审查程序：</w:t>
            </w:r>
          </w:p>
          <w:p w14:paraId="78CF55ED">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（1）投标（响应）报价低于全部通过符合性审查供应商报价平均值的50%；</w:t>
            </w:r>
          </w:p>
          <w:p w14:paraId="726A7DA9">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（2）投标（响应）报价低于通过符合性审查次低报价的50%；</w:t>
            </w:r>
          </w:p>
          <w:p w14:paraId="192F2926">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（3）投标（响应）报价低于本项目最高限价的45%；</w:t>
            </w:r>
          </w:p>
          <w:p w14:paraId="0B85C2CC">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（4）评审委员会基于专业判断，认为报价过低可能影响项目履约质量、不能满足采购需求或无法诚信履约的其他情形。</w:t>
            </w:r>
          </w:p>
          <w:p w14:paraId="7C986263">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3、审查要求及处理</w:t>
            </w:r>
          </w:p>
          <w:p w14:paraId="730606D9">
            <w:pPr>
              <w:pStyle w:val="36"/>
              <w:shd w:val="clear" w:color="auto" w:fill="auto"/>
              <w:rPr>
                <w:rFonts w:hint="eastAsia" w:cs="宋体"/>
                <w:color w:val="auto"/>
                <w:sz w:val="24"/>
                <w:szCs w:val="24"/>
                <w:highlight w:val="none"/>
                <w:shd w:val="clear" w:color="auto" w:fill="auto"/>
                <w:lang w:val="en-US" w:eastAsia="zh-CN"/>
              </w:rPr>
            </w:pPr>
            <w:r>
              <w:rPr>
                <w:rFonts w:hint="eastAsia" w:cs="宋体"/>
                <w:color w:val="auto"/>
                <w:sz w:val="24"/>
                <w:szCs w:val="24"/>
                <w:highlight w:val="none"/>
                <w:shd w:val="clear" w:color="auto" w:fill="auto"/>
                <w:lang w:val="en-US" w:eastAsia="zh-CN"/>
              </w:rPr>
              <w:t>被启动审查的供应商，须在合理时间内（不少于 30 分钟），就报价合理性提交书面说明，并提供项目成本测算明细、原材料采购意向协议、人工成本核算依据等可核验的证明材料。属于第（3）项情形，供应商已随投标（响应）文件一并提交相关书面说明及必要的证明材料的，在评审现场可不再重复提交。</w:t>
            </w:r>
          </w:p>
          <w:p w14:paraId="45BE2C82">
            <w:pPr>
              <w:pStyle w:val="36"/>
              <w:shd w:val="clear" w:color="auto" w:fill="auto"/>
              <w:rPr>
                <w:rFonts w:hint="eastAsia" w:cs="宋体"/>
                <w:color w:val="auto"/>
                <w:sz w:val="24"/>
                <w:szCs w:val="24"/>
                <w:highlight w:val="none"/>
                <w:shd w:val="clear" w:color="auto" w:fill="auto"/>
                <w:lang w:val="en-US" w:eastAsia="zh-CN"/>
              </w:rPr>
            </w:pPr>
            <w:r>
              <w:rPr>
                <w:rFonts w:hint="eastAsia" w:ascii="宋体" w:hAnsi="宋体" w:eastAsia="宋体" w:cs="宋体"/>
                <w:bCs/>
                <w:color w:val="auto"/>
                <w:sz w:val="24"/>
                <w:highlight w:val="none"/>
                <w:lang w:val="en-US" w:eastAsia="zh-CN"/>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15827D6D">
            <w:pPr>
              <w:pStyle w:val="36"/>
              <w:shd w:val="clear" w:color="auto" w:fill="auto"/>
              <w:rPr>
                <w:rFonts w:hint="eastAsia" w:cs="宋体"/>
                <w:color w:val="auto"/>
                <w:sz w:val="24"/>
                <w:szCs w:val="24"/>
                <w:highlight w:val="none"/>
                <w:shd w:val="clear" w:color="auto" w:fill="auto"/>
                <w:lang w:val="en-US" w:eastAsia="zh-CN"/>
              </w:rPr>
            </w:pPr>
            <w:r>
              <w:rPr>
                <w:rFonts w:hint="eastAsia" w:cs="宋体"/>
                <w:b/>
                <w:bCs/>
                <w:color w:val="auto"/>
                <w:sz w:val="24"/>
                <w:szCs w:val="24"/>
                <w:highlight w:val="none"/>
                <w:shd w:val="clear" w:color="auto" w:fill="auto"/>
                <w:lang w:val="en-US" w:eastAsia="zh-CN"/>
              </w:rPr>
              <w:t>供应商未按要求提交说明及证明材料，或提交的材料无法有效证明报价合理性的，评审委员会将其投标（响应）作无效处理。</w:t>
            </w:r>
          </w:p>
          <w:p w14:paraId="71B2F845">
            <w:pPr>
              <w:pStyle w:val="47"/>
              <w:keepNext w:val="0"/>
              <w:keepLines w:val="0"/>
              <w:pageBreakBefore w:val="0"/>
              <w:kinsoku/>
              <w:wordWrap/>
              <w:overflowPunct/>
              <w:topLinePunct w:val="0"/>
              <w:bidi w:val="0"/>
              <w:snapToGrid/>
              <w:spacing w:line="312" w:lineRule="auto"/>
              <w:ind w:left="0" w:leftChars="0" w:firstLine="0" w:firstLineChars="0"/>
              <w:textAlignment w:val="auto"/>
              <w:rPr>
                <w:rFonts w:hint="eastAsia" w:ascii="宋体" w:hAnsi="宋体" w:eastAsia="宋体" w:cs="宋体"/>
                <w:i w:val="0"/>
                <w:iCs w:val="0"/>
                <w:color w:val="auto"/>
                <w:sz w:val="24"/>
                <w:szCs w:val="24"/>
                <w:highlight w:val="none"/>
              </w:rPr>
            </w:pPr>
            <w:r>
              <w:rPr>
                <w:rFonts w:hint="eastAsia" w:cs="宋体"/>
                <w:color w:val="auto"/>
                <w:sz w:val="24"/>
                <w:szCs w:val="24"/>
                <w:highlight w:val="none"/>
                <w:shd w:val="clear" w:color="auto" w:fill="auto"/>
                <w:lang w:val="en-US" w:eastAsia="zh-CN"/>
              </w:rPr>
              <w:t>异常低价审查的全过程及结论，由评审委员会如实记入评审报告，随采购项目档案一并存档备查。</w:t>
            </w:r>
          </w:p>
        </w:tc>
      </w:tr>
      <w:tr w14:paraId="1707FD3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57" w:type="dxa"/>
            <w:left w:w="108" w:type="dxa"/>
            <w:bottom w:w="57" w:type="dxa"/>
            <w:right w:w="108" w:type="dxa"/>
          </w:tblCellMar>
        </w:tblPrEx>
        <w:trPr>
          <w:trHeight w:val="454" w:hRule="atLeast"/>
        </w:trPr>
        <w:tc>
          <w:tcPr>
            <w:tcW w:w="9391" w:type="dxa"/>
            <w:gridSpan w:val="3"/>
            <w:tcBorders>
              <w:top w:val="single" w:color="auto" w:sz="2" w:space="0"/>
              <w:left w:val="single" w:color="auto" w:sz="2" w:space="0"/>
              <w:bottom w:val="single" w:color="auto" w:sz="2" w:space="0"/>
              <w:right w:val="single" w:color="auto" w:sz="2" w:space="0"/>
            </w:tcBorders>
            <w:vAlign w:val="center"/>
          </w:tcPr>
          <w:p w14:paraId="45AC7FA3">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 除本竞争性磋商文件另有规定外，竞争性磋商文件中出现的类似于“近三年”或“前三年”、“近五年”或“前五年”均指递交响应文件时间以前三年或前五年，以此类推。如：递交响应文件时间为  年  月  日，则“近三年”是指  年  月  日至  年  月  日。</w:t>
            </w:r>
          </w:p>
          <w:p w14:paraId="27269E57">
            <w:pPr>
              <w:pStyle w:val="47"/>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 本竞争性磋商文件所称的“以上”、“以下”、“内”、“以内”，包括本数；所称的“不足”，不包括本数。</w:t>
            </w:r>
          </w:p>
        </w:tc>
      </w:tr>
      <w:bookmarkEnd w:id="88"/>
    </w:tbl>
    <w:p w14:paraId="0154F7A0">
      <w:pPr>
        <w:rPr>
          <w:i w:val="0"/>
          <w:iCs w:val="0"/>
          <w:color w:val="auto"/>
          <w:highlight w:val="none"/>
        </w:rPr>
      </w:pPr>
    </w:p>
    <w:p w14:paraId="5EE8BC3A">
      <w:pPr>
        <w:rPr>
          <w:i w:val="0"/>
          <w:iCs w:val="0"/>
          <w:color w:val="auto"/>
          <w:highlight w:val="none"/>
        </w:rPr>
        <w:sectPr>
          <w:footerReference r:id="rId8" w:type="default"/>
          <w:pgSz w:w="11906" w:h="16838"/>
          <w:pgMar w:top="1440" w:right="1800" w:bottom="1440" w:left="1800" w:header="851" w:footer="652" w:gutter="0"/>
          <w:pgNumType w:fmt="numberInDash"/>
          <w:cols w:space="0" w:num="1"/>
          <w:rtlGutter w:val="0"/>
          <w:docGrid w:type="lines" w:linePitch="312" w:charSpace="0"/>
        </w:sectPr>
      </w:pPr>
    </w:p>
    <w:p w14:paraId="1CF0D4F4">
      <w:pPr>
        <w:pStyle w:val="6"/>
        <w:keepNext/>
        <w:keepLines/>
        <w:pageBreakBefore w:val="0"/>
        <w:widowControl w:val="0"/>
        <w:numPr>
          <w:ilvl w:val="0"/>
          <w:numId w:val="0"/>
        </w:numPr>
        <w:kinsoku/>
        <w:wordWrap/>
        <w:overflowPunct/>
        <w:topLinePunct w:val="0"/>
        <w:autoSpaceDE/>
        <w:autoSpaceDN/>
        <w:bidi w:val="0"/>
        <w:adjustRightInd/>
        <w:snapToGrid/>
        <w:spacing w:before="80" w:after="80" w:line="360" w:lineRule="auto"/>
        <w:ind w:left="420" w:leftChars="0" w:hanging="420" w:firstLineChars="0"/>
        <w:jc w:val="both"/>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90" w:name="_Toc1575"/>
      <w:bookmarkStart w:id="91" w:name="_Toc163493610"/>
      <w:r>
        <w:rPr>
          <w:rFonts w:hint="eastAsia" w:ascii="等线 Light" w:hAnsi="等线 Light" w:eastAsia="宋体" w:cs="宋体"/>
          <w:b/>
          <w:bCs/>
          <w:i w:val="0"/>
          <w:iCs w:val="0"/>
          <w:color w:val="auto"/>
          <w:kern w:val="2"/>
          <w:sz w:val="28"/>
          <w:szCs w:val="28"/>
          <w:highlight w:val="none"/>
          <w:lang w:val="en-US" w:eastAsia="zh-CN" w:bidi="ar-SA"/>
        </w:rPr>
        <w:t>二、供应商须知</w:t>
      </w:r>
      <w:bookmarkEnd w:id="90"/>
      <w:bookmarkEnd w:id="91"/>
    </w:p>
    <w:p w14:paraId="04978FCD">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92" w:name="_Toc109897433"/>
      <w:bookmarkStart w:id="93" w:name="_Toc109900370"/>
      <w:bookmarkStart w:id="94" w:name="_Toc163493611"/>
      <w:bookmarkStart w:id="95" w:name="_Toc109899951"/>
      <w:bookmarkStart w:id="96" w:name="_Toc109899532"/>
      <w:bookmarkStart w:id="97" w:name="_Toc46771638"/>
      <w:bookmarkStart w:id="98" w:name="_Toc470172694"/>
      <w:r>
        <w:rPr>
          <w:rFonts w:hint="eastAsia" w:ascii="宋体" w:hAnsi="宋体" w:eastAsia="宋体" w:cs="宋体"/>
          <w:b/>
          <w:bCs/>
          <w:i w:val="0"/>
          <w:iCs w:val="0"/>
          <w:color w:val="auto"/>
          <w:kern w:val="2"/>
          <w:sz w:val="24"/>
          <w:szCs w:val="24"/>
          <w:highlight w:val="none"/>
          <w:lang w:val="en-US" w:eastAsia="zh-CN" w:bidi="ar-SA"/>
        </w:rPr>
        <w:t>（一）总则</w:t>
      </w:r>
      <w:bookmarkEnd w:id="92"/>
      <w:bookmarkEnd w:id="93"/>
      <w:bookmarkEnd w:id="94"/>
      <w:bookmarkEnd w:id="95"/>
      <w:bookmarkEnd w:id="96"/>
      <w:bookmarkEnd w:id="97"/>
    </w:p>
    <w:p w14:paraId="18977FAF">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99" w:name="_Toc109899533"/>
      <w:bookmarkStart w:id="100" w:name="_Toc48688788"/>
      <w:bookmarkStart w:id="101" w:name="_Toc109899952"/>
      <w:bookmarkStart w:id="102" w:name="_Toc51674210"/>
      <w:bookmarkStart w:id="103" w:name="_Toc470172664"/>
      <w:bookmarkStart w:id="104" w:name="_Toc52962726"/>
      <w:bookmarkStart w:id="105" w:name="_Toc27243"/>
      <w:bookmarkStart w:id="106" w:name="_Toc52960552"/>
      <w:bookmarkStart w:id="107" w:name="_Toc109897434"/>
      <w:bookmarkStart w:id="108" w:name="_Toc109900371"/>
      <w:bookmarkStart w:id="109" w:name="_Toc46772240"/>
      <w:bookmarkStart w:id="110" w:name="_Toc48846108"/>
      <w:bookmarkStart w:id="111" w:name="_Toc46771639"/>
      <w:r>
        <w:rPr>
          <w:rFonts w:hint="eastAsia" w:ascii="宋体" w:hAnsi="宋体" w:eastAsia="宋体" w:cs="宋体"/>
          <w:b/>
          <w:bCs/>
          <w:i w:val="0"/>
          <w:iCs w:val="0"/>
          <w:color w:val="auto"/>
          <w:kern w:val="2"/>
          <w:sz w:val="24"/>
          <w:szCs w:val="24"/>
          <w:highlight w:val="none"/>
          <w:lang w:val="en-US" w:eastAsia="zh-CN" w:bidi="ar-SA"/>
        </w:rPr>
        <w:t>1.适用范围</w:t>
      </w:r>
      <w:bookmarkEnd w:id="99"/>
      <w:bookmarkEnd w:id="100"/>
      <w:bookmarkEnd w:id="101"/>
      <w:bookmarkEnd w:id="102"/>
      <w:bookmarkEnd w:id="103"/>
      <w:bookmarkEnd w:id="104"/>
      <w:bookmarkEnd w:id="105"/>
      <w:bookmarkEnd w:id="106"/>
      <w:bookmarkEnd w:id="107"/>
      <w:bookmarkEnd w:id="108"/>
      <w:bookmarkEnd w:id="109"/>
      <w:bookmarkEnd w:id="110"/>
      <w:bookmarkEnd w:id="111"/>
    </w:p>
    <w:p w14:paraId="3FAC17D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1.1本竞争性磋商文件（也称磋商文件或采购文件）仅适用于本次竞争性磋商中所述项目的采购活动。</w:t>
      </w:r>
    </w:p>
    <w:p w14:paraId="34F08411">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12" w:name="_Toc163492824"/>
      <w:r>
        <w:rPr>
          <w:rFonts w:hint="eastAsia" w:ascii="宋体" w:hAnsi="宋体" w:eastAsia="宋体" w:cs="宋体"/>
          <w:b/>
          <w:bCs/>
          <w:i w:val="0"/>
          <w:iCs w:val="0"/>
          <w:color w:val="auto"/>
          <w:kern w:val="2"/>
          <w:sz w:val="24"/>
          <w:szCs w:val="24"/>
          <w:highlight w:val="none"/>
          <w:lang w:val="en-US" w:eastAsia="zh-CN" w:bidi="ar-SA"/>
        </w:rPr>
        <w:t>2.基本定义</w:t>
      </w:r>
      <w:bookmarkEnd w:id="112"/>
    </w:p>
    <w:p w14:paraId="768D70C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2.1根据《中华人民共和国政府采购法》及其实施条例等有关法律、法规和规章的规定，制定本竞争性磋商文件。</w:t>
      </w:r>
    </w:p>
    <w:p w14:paraId="342EC44E">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2.2采购人：</w:t>
      </w:r>
      <w:r>
        <w:rPr>
          <w:rFonts w:hint="eastAsia" w:ascii="宋体" w:hAnsi="宋体" w:eastAsia="宋体" w:cs="宋体"/>
          <w:i w:val="0"/>
          <w:iCs w:val="0"/>
          <w:color w:val="auto"/>
          <w:kern w:val="0"/>
          <w:sz w:val="24"/>
          <w:szCs w:val="24"/>
          <w:highlight w:val="none"/>
          <w:lang w:val="en-US" w:eastAsia="zh-CN"/>
        </w:rPr>
        <w:t>指依法进行政府采购的国家机关、事业单位、团体组织</w:t>
      </w:r>
      <w:r>
        <w:rPr>
          <w:rFonts w:hint="eastAsia" w:ascii="宋体" w:hAnsi="宋体" w:eastAsia="宋体" w:cs="宋体"/>
          <w:i w:val="0"/>
          <w:iCs w:val="0"/>
          <w:color w:val="auto"/>
          <w:sz w:val="24"/>
          <w:szCs w:val="24"/>
          <w:highlight w:val="none"/>
        </w:rPr>
        <w:t>。</w:t>
      </w:r>
    </w:p>
    <w:p w14:paraId="429A3EF6">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2.3采购代理机构：</w:t>
      </w:r>
      <w:r>
        <w:rPr>
          <w:rFonts w:hint="eastAsia" w:ascii="宋体" w:hAnsi="宋体" w:eastAsia="宋体" w:cs="宋体"/>
          <w:i w:val="0"/>
          <w:iCs w:val="0"/>
          <w:color w:val="auto"/>
          <w:kern w:val="0"/>
          <w:sz w:val="24"/>
          <w:szCs w:val="24"/>
          <w:highlight w:val="none"/>
          <w:lang w:val="en-US" w:eastAsia="zh-CN"/>
        </w:rPr>
        <w:t>指依法进行政府采购的国家机关、事业单位、团体组织</w:t>
      </w:r>
      <w:r>
        <w:rPr>
          <w:rFonts w:hint="eastAsia" w:ascii="宋体" w:hAnsi="宋体" w:eastAsia="宋体" w:cs="宋体"/>
          <w:i w:val="0"/>
          <w:iCs w:val="0"/>
          <w:color w:val="auto"/>
          <w:sz w:val="24"/>
          <w:szCs w:val="24"/>
          <w:highlight w:val="none"/>
          <w:lang w:val="en-US" w:eastAsia="zh-CN"/>
        </w:rPr>
        <w:t>委托的采购代理机构</w:t>
      </w:r>
      <w:r>
        <w:rPr>
          <w:rFonts w:hint="eastAsia" w:ascii="宋体" w:hAnsi="宋体" w:eastAsia="宋体" w:cs="宋体"/>
          <w:i w:val="0"/>
          <w:iCs w:val="0"/>
          <w:color w:val="auto"/>
          <w:sz w:val="24"/>
          <w:szCs w:val="24"/>
          <w:highlight w:val="none"/>
        </w:rPr>
        <w:t>。</w:t>
      </w:r>
    </w:p>
    <w:p w14:paraId="26D5074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2.4政府采购监督管理部门：各级人民政府财政部门是负责政府采购监督管理的部门，依法履行对政府采购活动的监督管理职责。各级人民政府其他有关部门依法履行与政府采购活动有关的监督管理职责。</w:t>
      </w:r>
    </w:p>
    <w:p w14:paraId="18E21DA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2.5 服务内容见</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w:t>
      </w:r>
    </w:p>
    <w:p w14:paraId="359C340E">
      <w:pPr>
        <w:spacing w:line="360" w:lineRule="auto"/>
        <w:ind w:firstLine="480" w:firstLineChars="200"/>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2.6供应商（也称“申请人”）：指向采购人提供货物、工程或者服务的法人、其他组织或者自然人。</w:t>
      </w:r>
      <w:r>
        <w:rPr>
          <w:rFonts w:hint="eastAsia" w:ascii="宋体" w:hAnsi="宋体" w:eastAsia="宋体" w:cs="宋体"/>
          <w:i w:val="0"/>
          <w:iCs w:val="0"/>
          <w:color w:val="auto"/>
          <w:sz w:val="24"/>
          <w:szCs w:val="24"/>
          <w:highlight w:val="none"/>
        </w:rPr>
        <w:t>分支机构不得参加政府采购活动，但银行、保险、石油石化、电力、电信等</w:t>
      </w:r>
      <w:r>
        <w:rPr>
          <w:rFonts w:hint="eastAsia" w:ascii="宋体" w:hAnsi="宋体" w:eastAsia="宋体" w:cs="宋体"/>
          <w:i w:val="0"/>
          <w:iCs w:val="0"/>
          <w:color w:val="auto"/>
          <w:sz w:val="24"/>
          <w:szCs w:val="24"/>
          <w:highlight w:val="none"/>
          <w:lang w:val="en-US" w:eastAsia="zh-CN"/>
        </w:rPr>
        <w:t>有</w:t>
      </w:r>
      <w:r>
        <w:rPr>
          <w:rFonts w:hint="eastAsia" w:ascii="宋体" w:hAnsi="宋体" w:eastAsia="宋体" w:cs="宋体"/>
          <w:i w:val="0"/>
          <w:iCs w:val="0"/>
          <w:color w:val="auto"/>
          <w:sz w:val="24"/>
          <w:szCs w:val="24"/>
          <w:highlight w:val="none"/>
        </w:rPr>
        <w:t>行业特殊</w:t>
      </w:r>
      <w:r>
        <w:rPr>
          <w:rFonts w:hint="eastAsia" w:ascii="宋体" w:hAnsi="宋体" w:eastAsia="宋体" w:cs="宋体"/>
          <w:i w:val="0"/>
          <w:iCs w:val="0"/>
          <w:color w:val="auto"/>
          <w:sz w:val="24"/>
          <w:szCs w:val="24"/>
          <w:highlight w:val="none"/>
          <w:lang w:val="en-US" w:eastAsia="zh-CN"/>
        </w:rPr>
        <w:t>情况的</w:t>
      </w:r>
      <w:r>
        <w:rPr>
          <w:rFonts w:hint="eastAsia" w:ascii="宋体" w:hAnsi="宋体" w:eastAsia="宋体" w:cs="宋体"/>
          <w:i w:val="0"/>
          <w:iCs w:val="0"/>
          <w:color w:val="auto"/>
          <w:sz w:val="24"/>
          <w:szCs w:val="24"/>
          <w:highlight w:val="none"/>
        </w:rPr>
        <w:t>除外。本项目的</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须满足以下条件：</w:t>
      </w:r>
    </w:p>
    <w:p w14:paraId="074A8062">
      <w:pPr>
        <w:spacing w:line="360" w:lineRule="auto"/>
        <w:ind w:firstLine="480" w:firstLineChars="200"/>
        <w:jc w:val="both"/>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具备《中华人民共和国政府采购法》第二十二条规定的</w:t>
      </w:r>
      <w:r>
        <w:rPr>
          <w:rFonts w:hint="eastAsia" w:ascii="宋体" w:hAnsi="宋体" w:eastAsia="宋体" w:cs="宋体"/>
          <w:i w:val="0"/>
          <w:iCs w:val="0"/>
          <w:color w:val="auto"/>
          <w:sz w:val="24"/>
          <w:szCs w:val="24"/>
          <w:highlight w:val="none"/>
          <w:lang w:val="en-US" w:eastAsia="zh-CN"/>
        </w:rPr>
        <w:t>条件</w:t>
      </w:r>
      <w:r>
        <w:rPr>
          <w:rFonts w:hint="eastAsia" w:ascii="宋体" w:hAnsi="宋体" w:eastAsia="宋体" w:cs="宋体"/>
          <w:i w:val="0"/>
          <w:iCs w:val="0"/>
          <w:color w:val="auto"/>
          <w:sz w:val="24"/>
          <w:szCs w:val="24"/>
          <w:highlight w:val="none"/>
        </w:rPr>
        <w:t>，遵守本项目采购人本级和上级财政部门政府采购的有关规定。</w:t>
      </w:r>
    </w:p>
    <w:p w14:paraId="323DC0B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以</w:t>
      </w:r>
      <w:r>
        <w:rPr>
          <w:rFonts w:hint="eastAsia" w:ascii="宋体" w:hAnsi="宋体" w:eastAsia="宋体" w:cs="宋体"/>
          <w:i w:val="0"/>
          <w:iCs w:val="0"/>
          <w:color w:val="auto"/>
          <w:sz w:val="24"/>
          <w:szCs w:val="24"/>
          <w:highlight w:val="none"/>
          <w:lang w:val="en-US" w:eastAsia="zh-CN"/>
        </w:rPr>
        <w:t>竞争性磋商公告中发布</w:t>
      </w:r>
      <w:r>
        <w:rPr>
          <w:rFonts w:hint="eastAsia" w:ascii="宋体" w:hAnsi="宋体" w:eastAsia="宋体" w:cs="宋体"/>
          <w:i w:val="0"/>
          <w:iCs w:val="0"/>
          <w:color w:val="auto"/>
          <w:sz w:val="24"/>
          <w:szCs w:val="24"/>
          <w:highlight w:val="none"/>
        </w:rPr>
        <w:t>的方式</w:t>
      </w:r>
      <w:r>
        <w:rPr>
          <w:rFonts w:hint="eastAsia" w:ascii="宋体" w:hAnsi="宋体" w:eastAsia="宋体" w:cs="宋体"/>
          <w:i w:val="0"/>
          <w:iCs w:val="0"/>
          <w:color w:val="auto"/>
          <w:sz w:val="24"/>
          <w:szCs w:val="24"/>
          <w:highlight w:val="none"/>
          <w:lang w:eastAsia="zh-CN"/>
        </w:rPr>
        <w:t>依法</w:t>
      </w:r>
      <w:r>
        <w:rPr>
          <w:rFonts w:hint="eastAsia" w:ascii="宋体" w:hAnsi="宋体" w:eastAsia="宋体" w:cs="宋体"/>
          <w:i w:val="0"/>
          <w:iCs w:val="0"/>
          <w:color w:val="auto"/>
          <w:sz w:val="24"/>
          <w:szCs w:val="24"/>
          <w:highlight w:val="none"/>
        </w:rPr>
        <w:t>获得了本项目的</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w:t>
      </w:r>
    </w:p>
    <w:p w14:paraId="07B83632">
      <w:pPr>
        <w:ind w:firstLine="480" w:firstLineChars="200"/>
        <w:jc w:val="both"/>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2.6.3符合本磋商文件规定并参加磋商的供应商。</w:t>
      </w:r>
    </w:p>
    <w:p w14:paraId="08F8192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2.7</w:t>
      </w:r>
      <w:r>
        <w:rPr>
          <w:rFonts w:hint="eastAsia" w:ascii="宋体" w:hAnsi="宋体" w:eastAsia="宋体" w:cs="宋体"/>
          <w:i w:val="0"/>
          <w:iCs w:val="0"/>
          <w:color w:val="auto"/>
          <w:sz w:val="24"/>
          <w:szCs w:val="24"/>
          <w:highlight w:val="none"/>
          <w:shd w:val="clear" w:color="auto" w:fill="FFFFFF"/>
        </w:rPr>
        <w:t>潜在供应商</w:t>
      </w:r>
      <w:r>
        <w:rPr>
          <w:rFonts w:hint="eastAsia" w:ascii="宋体" w:hAnsi="宋体" w:eastAsia="宋体" w:cs="宋体"/>
          <w:i w:val="0"/>
          <w:iCs w:val="0"/>
          <w:color w:val="auto"/>
          <w:sz w:val="24"/>
          <w:szCs w:val="24"/>
          <w:highlight w:val="none"/>
          <w:shd w:val="clear" w:color="auto" w:fill="FFFFFF"/>
          <w:lang w:eastAsia="zh-CN"/>
        </w:rPr>
        <w:t>：</w:t>
      </w:r>
      <w:r>
        <w:rPr>
          <w:rFonts w:hint="eastAsia" w:ascii="宋体" w:hAnsi="宋体" w:eastAsia="宋体" w:cs="宋体"/>
          <w:i w:val="0"/>
          <w:iCs w:val="0"/>
          <w:color w:val="auto"/>
          <w:sz w:val="24"/>
          <w:szCs w:val="24"/>
          <w:highlight w:val="none"/>
          <w:shd w:val="clear" w:color="auto" w:fill="FFFFFF"/>
          <w:lang w:val="en-US" w:eastAsia="zh-CN"/>
        </w:rPr>
        <w:t>指</w:t>
      </w:r>
      <w:r>
        <w:rPr>
          <w:rFonts w:hint="eastAsia" w:ascii="宋体" w:hAnsi="宋体" w:eastAsia="宋体" w:cs="宋体"/>
          <w:i w:val="0"/>
          <w:iCs w:val="0"/>
          <w:color w:val="auto"/>
          <w:sz w:val="24"/>
          <w:szCs w:val="24"/>
          <w:highlight w:val="none"/>
          <w:lang w:val="en-US" w:eastAsia="zh-CN"/>
        </w:rPr>
        <w:t>符合本磋商文件规定的供应商</w:t>
      </w:r>
      <w:r>
        <w:rPr>
          <w:rFonts w:hint="eastAsia" w:ascii="宋体" w:hAnsi="宋体" w:eastAsia="宋体" w:cs="宋体"/>
          <w:i w:val="0"/>
          <w:iCs w:val="0"/>
          <w:color w:val="auto"/>
          <w:sz w:val="24"/>
          <w:szCs w:val="24"/>
          <w:highlight w:val="none"/>
        </w:rPr>
        <w:t>。</w:t>
      </w:r>
    </w:p>
    <w:p w14:paraId="4FFEB4B0">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13" w:name="_Toc46771642"/>
      <w:bookmarkStart w:id="114" w:name="_Toc470172667"/>
      <w:bookmarkStart w:id="115" w:name="_Toc51674213"/>
      <w:bookmarkStart w:id="116" w:name="_Toc109900374"/>
      <w:bookmarkStart w:id="117" w:name="_Toc48688791"/>
      <w:bookmarkStart w:id="118" w:name="_Toc109899536"/>
      <w:bookmarkStart w:id="119" w:name="_Toc9974"/>
      <w:bookmarkStart w:id="120" w:name="_Toc52960555"/>
      <w:bookmarkStart w:id="121" w:name="_Toc109897437"/>
      <w:bookmarkStart w:id="122" w:name="_Toc109899955"/>
      <w:bookmarkStart w:id="123" w:name="_Toc46772243"/>
      <w:bookmarkStart w:id="124" w:name="_Toc52962729"/>
      <w:bookmarkStart w:id="125" w:name="_Toc48846111"/>
      <w:r>
        <w:rPr>
          <w:rFonts w:hint="eastAsia" w:ascii="宋体" w:hAnsi="宋体" w:eastAsia="宋体" w:cs="宋体"/>
          <w:b/>
          <w:bCs/>
          <w:i w:val="0"/>
          <w:iCs w:val="0"/>
          <w:color w:val="auto"/>
          <w:kern w:val="2"/>
          <w:sz w:val="24"/>
          <w:szCs w:val="24"/>
          <w:highlight w:val="none"/>
          <w:lang w:val="en-US" w:eastAsia="zh-CN" w:bidi="ar-SA"/>
        </w:rPr>
        <w:t>3.资金来源</w:t>
      </w:r>
    </w:p>
    <w:p w14:paraId="7E10FE0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3.1资金来源：</w:t>
      </w:r>
      <w:r>
        <w:rPr>
          <w:rFonts w:hint="eastAsia" w:ascii="宋体" w:hAnsi="宋体" w:eastAsia="宋体" w:cs="宋体"/>
          <w:i w:val="0"/>
          <w:iCs w:val="0"/>
          <w:color w:val="auto"/>
          <w:sz w:val="24"/>
          <w:szCs w:val="24"/>
          <w:highlight w:val="none"/>
          <w:lang w:val="en-US" w:eastAsia="zh-CN"/>
        </w:rPr>
        <w:t>为财政性资金即</w:t>
      </w:r>
      <w:r>
        <w:rPr>
          <w:rFonts w:hint="eastAsia" w:ascii="宋体" w:hAnsi="宋体" w:eastAsia="宋体" w:cs="宋体"/>
          <w:i w:val="0"/>
          <w:iCs w:val="0"/>
          <w:color w:val="auto"/>
          <w:sz w:val="24"/>
          <w:szCs w:val="24"/>
          <w:highlight w:val="none"/>
        </w:rPr>
        <w:t>纳入预算管理的资金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以财政性资金作为还款来源的借贷资金，视同财政性资金。财政性资金与非财政性资金无法分割采购的，统一适用《中华人民共和国政府采购法》及其实施条例。</w:t>
      </w:r>
    </w:p>
    <w:p w14:paraId="5B4402E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4.供应商资格要求</w:t>
      </w:r>
    </w:p>
    <w:p w14:paraId="025484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4.1</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资格要求：见“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0BD49E7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lang w:val="zh-CN" w:eastAsia="zh-CN"/>
        </w:rPr>
        <w:t>”规定接受联合体</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lang w:val="zh-CN" w:eastAsia="zh-CN"/>
        </w:rPr>
        <w:t>的，还应遵守以下规定：</w:t>
      </w:r>
    </w:p>
    <w:p w14:paraId="313C07E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1两个以上的自然人、法人或者其他组织可以组成一个联合体，以一个供应商的身份共同参加政府采购。</w:t>
      </w:r>
      <w:r>
        <w:rPr>
          <w:rFonts w:hint="eastAsia" w:ascii="宋体" w:hAnsi="宋体" w:eastAsia="宋体" w:cs="宋体"/>
          <w:i w:val="0"/>
          <w:iCs w:val="0"/>
          <w:color w:val="auto"/>
          <w:kern w:val="2"/>
          <w:sz w:val="24"/>
          <w:szCs w:val="24"/>
          <w:highlight w:val="none"/>
          <w:shd w:val="clear" w:color="auto" w:fill="FFFFFF"/>
          <w:lang w:val="zh-CN" w:eastAsia="zh-CN" w:bidi="ar-SA"/>
        </w:rPr>
        <w:t>以联合体形式进行政府采购的，参加联合体的供应商均应当具备《政府采购法》第二十二条规定的条件。</w:t>
      </w:r>
    </w:p>
    <w:p w14:paraId="01B629A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2.2</w:t>
      </w:r>
      <w:r>
        <w:rPr>
          <w:rFonts w:hint="eastAsia" w:ascii="宋体" w:hAnsi="宋体" w:eastAsia="宋体" w:cs="宋体"/>
          <w:i w:val="0"/>
          <w:iCs w:val="0"/>
          <w:color w:val="auto"/>
          <w:kern w:val="2"/>
          <w:sz w:val="24"/>
          <w:szCs w:val="24"/>
          <w:highlight w:val="none"/>
          <w:shd w:val="clear" w:color="auto" w:fill="FFFFFF"/>
          <w:lang w:val="zh-CN" w:eastAsia="zh-CN" w:bidi="ar-SA"/>
        </w:rPr>
        <w:t>联合体各方应按竞争性磋商文件提供的格式签订联合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，明确约定联合体各方承担的工作和相应的责任，并将联合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作为</w:t>
      </w:r>
      <w:r>
        <w:rPr>
          <w:rFonts w:hint="eastAsia" w:ascii="宋体" w:hAnsi="宋体" w:eastAsia="宋体" w:cs="宋体"/>
          <w:i w:val="0"/>
          <w:iCs w:val="0"/>
          <w:color w:val="auto"/>
          <w:kern w:val="2"/>
          <w:sz w:val="24"/>
          <w:szCs w:val="24"/>
          <w:highlight w:val="none"/>
          <w:shd w:val="clear" w:color="auto" w:fill="FFFFFF"/>
          <w:lang w:val="en-US" w:eastAsia="zh-CN" w:bidi="ar-SA"/>
        </w:rPr>
        <w:t>响应</w:t>
      </w:r>
      <w:r>
        <w:rPr>
          <w:rFonts w:hint="eastAsia" w:ascii="宋体" w:hAnsi="宋体" w:eastAsia="宋体" w:cs="宋体"/>
          <w:i w:val="0"/>
          <w:iCs w:val="0"/>
          <w:color w:val="auto"/>
          <w:kern w:val="2"/>
          <w:sz w:val="24"/>
          <w:szCs w:val="24"/>
          <w:highlight w:val="none"/>
          <w:shd w:val="clear" w:color="auto" w:fill="FFFFFF"/>
          <w:lang w:val="zh-CN" w:eastAsia="zh-CN" w:bidi="ar-SA"/>
        </w:rPr>
        <w:t>文件的一部分提交，该协议书对联合</w:t>
      </w:r>
      <w:r>
        <w:rPr>
          <w:rFonts w:hint="eastAsia" w:ascii="宋体" w:hAnsi="宋体" w:eastAsia="宋体" w:cs="宋体"/>
          <w:i w:val="0"/>
          <w:iCs w:val="0"/>
          <w:color w:val="auto"/>
          <w:kern w:val="2"/>
          <w:sz w:val="24"/>
          <w:szCs w:val="24"/>
          <w:highlight w:val="none"/>
          <w:shd w:val="clear" w:color="auto" w:fill="FFFFFF"/>
          <w:lang w:val="en-US" w:eastAsia="zh-CN" w:bidi="ar-SA"/>
        </w:rPr>
        <w:t>体所有成员</w:t>
      </w:r>
      <w:r>
        <w:rPr>
          <w:rFonts w:hint="eastAsia" w:ascii="宋体" w:hAnsi="宋体" w:eastAsia="宋体" w:cs="宋体"/>
          <w:i w:val="0"/>
          <w:iCs w:val="0"/>
          <w:color w:val="auto"/>
          <w:kern w:val="2"/>
          <w:sz w:val="24"/>
          <w:szCs w:val="24"/>
          <w:highlight w:val="none"/>
          <w:shd w:val="clear" w:color="auto" w:fill="FFFFFF"/>
          <w:lang w:val="zh-CN" w:eastAsia="zh-CN" w:bidi="ar-SA"/>
        </w:rPr>
        <w:t>均具有法律约束力。</w:t>
      </w:r>
    </w:p>
    <w:p w14:paraId="7A48C23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4.2.3</w:t>
      </w:r>
      <w:r>
        <w:rPr>
          <w:rFonts w:hint="eastAsia" w:ascii="宋体" w:hAnsi="宋体" w:eastAsia="宋体" w:cs="宋体"/>
          <w:i w:val="0"/>
          <w:iCs w:val="0"/>
          <w:color w:val="auto"/>
          <w:kern w:val="2"/>
          <w:sz w:val="24"/>
          <w:szCs w:val="24"/>
          <w:highlight w:val="none"/>
          <w:shd w:val="clear" w:color="auto" w:fill="FFFFFF"/>
          <w:lang w:val="zh-CN" w:eastAsia="zh-CN" w:bidi="ar-SA"/>
        </w:rPr>
        <w:t>联合体中有同类资质的供应商按照联合体分工承担相同工作的，应当按照资质等级较低的供应商确定资质等级。</w:t>
      </w:r>
    </w:p>
    <w:p w14:paraId="6B55F83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4</w:t>
      </w:r>
      <w:r>
        <w:rPr>
          <w:rFonts w:hint="eastAsia" w:ascii="宋体" w:hAnsi="宋体" w:eastAsia="宋体" w:cs="宋体"/>
          <w:i w:val="0"/>
          <w:iCs w:val="0"/>
          <w:color w:val="auto"/>
          <w:kern w:val="2"/>
          <w:sz w:val="24"/>
          <w:szCs w:val="24"/>
          <w:highlight w:val="none"/>
          <w:shd w:val="clear" w:color="auto" w:fill="FFFFFF"/>
          <w:lang w:val="zh-CN" w:eastAsia="zh-CN" w:bidi="ar-SA"/>
        </w:rPr>
        <w:t>以联合体形式参加政府采购活动的，联合体各方不得再单独参加或者与其他供应商另外组成联合体参加</w:t>
      </w:r>
      <w:r>
        <w:rPr>
          <w:rFonts w:hint="eastAsia" w:ascii="宋体" w:hAnsi="宋体" w:eastAsia="宋体" w:cs="宋体"/>
          <w:i w:val="0"/>
          <w:iCs w:val="0"/>
          <w:color w:val="auto"/>
          <w:kern w:val="2"/>
          <w:sz w:val="24"/>
          <w:szCs w:val="24"/>
          <w:highlight w:val="none"/>
          <w:shd w:val="clear" w:color="auto" w:fill="FFFFFF"/>
          <w:lang w:val="en-US" w:eastAsia="zh-CN" w:bidi="ar-SA"/>
        </w:rPr>
        <w:t>同一合同项下的磋商</w:t>
      </w:r>
      <w:r>
        <w:rPr>
          <w:rFonts w:hint="eastAsia" w:ascii="宋体" w:hAnsi="宋体" w:eastAsia="宋体" w:cs="宋体"/>
          <w:i w:val="0"/>
          <w:iCs w:val="0"/>
          <w:color w:val="auto"/>
          <w:kern w:val="2"/>
          <w:sz w:val="24"/>
          <w:szCs w:val="24"/>
          <w:highlight w:val="none"/>
          <w:shd w:val="clear" w:color="auto" w:fill="FFFFFF"/>
          <w:lang w:val="zh-CN" w:eastAsia="zh-CN" w:bidi="ar-SA"/>
        </w:rPr>
        <w:t>，否则相关</w:t>
      </w:r>
      <w:r>
        <w:rPr>
          <w:rFonts w:hint="eastAsia" w:ascii="宋体" w:hAnsi="宋体" w:eastAsia="宋体" w:cs="宋体"/>
          <w:i w:val="0"/>
          <w:iCs w:val="0"/>
          <w:color w:val="auto"/>
          <w:kern w:val="2"/>
          <w:sz w:val="24"/>
          <w:szCs w:val="24"/>
          <w:highlight w:val="none"/>
          <w:shd w:val="clear" w:color="auto" w:fill="FFFFFF"/>
          <w:lang w:val="en-US" w:eastAsia="zh-CN" w:bidi="ar-SA"/>
        </w:rPr>
        <w:t>响应</w:t>
      </w:r>
      <w:r>
        <w:rPr>
          <w:rFonts w:hint="eastAsia" w:ascii="宋体" w:hAnsi="宋体" w:eastAsia="宋体" w:cs="宋体"/>
          <w:i w:val="0"/>
          <w:iCs w:val="0"/>
          <w:color w:val="auto"/>
          <w:kern w:val="2"/>
          <w:sz w:val="24"/>
          <w:szCs w:val="24"/>
          <w:highlight w:val="none"/>
          <w:shd w:val="clear" w:color="auto" w:fill="FFFFFF"/>
          <w:lang w:val="zh-CN" w:eastAsia="zh-CN" w:bidi="ar-SA"/>
        </w:rPr>
        <w:t>将被认定为</w:t>
      </w:r>
      <w:r>
        <w:rPr>
          <w:rFonts w:hint="eastAsia" w:ascii="宋体" w:hAnsi="宋体" w:eastAsia="宋体" w:cs="宋体"/>
          <w:b/>
          <w:bCs/>
          <w:i w:val="0"/>
          <w:iCs w:val="0"/>
          <w:color w:val="auto"/>
          <w:kern w:val="2"/>
          <w:sz w:val="24"/>
          <w:szCs w:val="24"/>
          <w:highlight w:val="none"/>
          <w:shd w:val="clear" w:color="auto" w:fill="FFFFFF"/>
          <w:lang w:val="en-US" w:eastAsia="zh-CN" w:bidi="ar-SA"/>
        </w:rPr>
        <w:t>响应</w:t>
      </w:r>
      <w:r>
        <w:rPr>
          <w:rFonts w:hint="eastAsia" w:ascii="宋体" w:hAnsi="宋体" w:eastAsia="宋体" w:cs="宋体"/>
          <w:b/>
          <w:bCs/>
          <w:i w:val="0"/>
          <w:iCs w:val="0"/>
          <w:color w:val="auto"/>
          <w:kern w:val="2"/>
          <w:sz w:val="24"/>
          <w:szCs w:val="24"/>
          <w:highlight w:val="none"/>
          <w:shd w:val="clear" w:color="auto" w:fill="FFFFFF"/>
          <w:lang w:val="zh-CN" w:eastAsia="zh-CN" w:bidi="ar-SA"/>
        </w:rPr>
        <w:t>无效</w:t>
      </w:r>
      <w:r>
        <w:rPr>
          <w:rFonts w:hint="eastAsia" w:ascii="宋体" w:hAnsi="宋体" w:eastAsia="宋体" w:cs="宋体"/>
          <w:i w:val="0"/>
          <w:iCs w:val="0"/>
          <w:color w:val="auto"/>
          <w:kern w:val="2"/>
          <w:sz w:val="24"/>
          <w:szCs w:val="24"/>
          <w:highlight w:val="none"/>
          <w:shd w:val="clear" w:color="auto" w:fill="FFFFFF"/>
          <w:lang w:val="zh-CN" w:eastAsia="zh-CN" w:bidi="ar-SA"/>
        </w:rPr>
        <w:t>。</w:t>
      </w:r>
    </w:p>
    <w:p w14:paraId="1D414ED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.5大中型企业、其他自然人、法人或者非法人组织与小型、微型企业组成联合体共同参加</w:t>
      </w:r>
      <w:r>
        <w:rPr>
          <w:rFonts w:hint="eastAsia" w:ascii="宋体" w:hAnsi="宋体" w:eastAsia="宋体" w:cs="宋体"/>
          <w:i w:val="0"/>
          <w:iCs w:val="0"/>
          <w:color w:val="auto"/>
          <w:kern w:val="2"/>
          <w:sz w:val="24"/>
          <w:szCs w:val="24"/>
          <w:highlight w:val="none"/>
          <w:shd w:val="clear" w:color="auto" w:fill="FFFFFF"/>
          <w:lang w:val="en-US" w:eastAsia="zh-CN" w:bidi="ar-SA"/>
        </w:rPr>
        <w:t>磋商的</w:t>
      </w:r>
      <w:r>
        <w:rPr>
          <w:rFonts w:hint="eastAsia" w:ascii="宋体" w:hAnsi="宋体" w:eastAsia="宋体" w:cs="宋体"/>
          <w:i w:val="0"/>
          <w:iCs w:val="0"/>
          <w:color w:val="auto"/>
          <w:kern w:val="2"/>
          <w:sz w:val="24"/>
          <w:szCs w:val="24"/>
          <w:highlight w:val="none"/>
          <w:shd w:val="clear" w:color="auto" w:fill="FFFFFF"/>
          <w:lang w:val="zh-CN" w:eastAsia="zh-CN" w:bidi="ar-SA"/>
        </w:rPr>
        <w:t>，联合</w:t>
      </w:r>
      <w:r>
        <w:rPr>
          <w:rFonts w:hint="eastAsia" w:ascii="宋体" w:hAnsi="宋体" w:eastAsia="宋体" w:cs="宋体"/>
          <w:i w:val="0"/>
          <w:iCs w:val="0"/>
          <w:color w:val="auto"/>
          <w:kern w:val="2"/>
          <w:sz w:val="24"/>
          <w:szCs w:val="24"/>
          <w:highlight w:val="none"/>
          <w:shd w:val="clear" w:color="auto" w:fill="FFFFFF"/>
          <w:lang w:val="en-US" w:eastAsia="zh-CN" w:bidi="ar-SA"/>
        </w:rPr>
        <w:t>体</w:t>
      </w:r>
      <w:r>
        <w:rPr>
          <w:rFonts w:hint="eastAsia" w:ascii="宋体" w:hAnsi="宋体" w:eastAsia="宋体" w:cs="宋体"/>
          <w:i w:val="0"/>
          <w:iCs w:val="0"/>
          <w:color w:val="auto"/>
          <w:kern w:val="2"/>
          <w:sz w:val="24"/>
          <w:szCs w:val="24"/>
          <w:highlight w:val="none"/>
          <w:shd w:val="clear" w:color="auto" w:fill="FFFFFF"/>
          <w:lang w:val="zh-CN" w:eastAsia="zh-CN" w:bidi="ar-SA"/>
        </w:rPr>
        <w:t>协议</w:t>
      </w:r>
      <w:r>
        <w:rPr>
          <w:rFonts w:hint="eastAsia" w:ascii="宋体" w:hAnsi="宋体" w:eastAsia="宋体" w:cs="宋体"/>
          <w:i w:val="0"/>
          <w:iCs w:val="0"/>
          <w:color w:val="auto"/>
          <w:kern w:val="2"/>
          <w:sz w:val="24"/>
          <w:szCs w:val="24"/>
          <w:highlight w:val="none"/>
          <w:shd w:val="clear" w:color="auto" w:fill="FFFFFF"/>
          <w:lang w:val="en-US" w:eastAsia="zh-CN" w:bidi="ar-SA"/>
        </w:rPr>
        <w:t>书</w:t>
      </w:r>
      <w:r>
        <w:rPr>
          <w:rFonts w:hint="eastAsia" w:ascii="宋体" w:hAnsi="宋体" w:eastAsia="宋体" w:cs="宋体"/>
          <w:i w:val="0"/>
          <w:iCs w:val="0"/>
          <w:color w:val="auto"/>
          <w:kern w:val="2"/>
          <w:sz w:val="24"/>
          <w:szCs w:val="24"/>
          <w:highlight w:val="none"/>
          <w:shd w:val="clear" w:color="auto" w:fill="FFFFFF"/>
          <w:lang w:val="zh-CN" w:eastAsia="zh-CN" w:bidi="ar-SA"/>
        </w:rPr>
        <w:t>中应写明小型、微型企业的合同金额占到联合</w:t>
      </w:r>
      <w:r>
        <w:rPr>
          <w:rFonts w:hint="eastAsia" w:ascii="宋体" w:hAnsi="宋体" w:eastAsia="宋体" w:cs="宋体"/>
          <w:i w:val="0"/>
          <w:iCs w:val="0"/>
          <w:color w:val="auto"/>
          <w:kern w:val="2"/>
          <w:sz w:val="24"/>
          <w:szCs w:val="24"/>
          <w:highlight w:val="none"/>
          <w:shd w:val="clear" w:color="auto" w:fill="FFFFFF"/>
          <w:lang w:val="en-US" w:eastAsia="zh-CN" w:bidi="ar-SA"/>
        </w:rPr>
        <w:t>体磋商合同</w:t>
      </w:r>
      <w:r>
        <w:rPr>
          <w:rFonts w:hint="eastAsia" w:ascii="宋体" w:hAnsi="宋体" w:eastAsia="宋体" w:cs="宋体"/>
          <w:i w:val="0"/>
          <w:iCs w:val="0"/>
          <w:color w:val="auto"/>
          <w:kern w:val="2"/>
          <w:sz w:val="24"/>
          <w:szCs w:val="24"/>
          <w:highlight w:val="none"/>
          <w:shd w:val="clear" w:color="auto" w:fill="FFFFFF"/>
          <w:lang w:val="zh-CN" w:eastAsia="zh-CN" w:bidi="ar-SA"/>
        </w:rPr>
        <w:t>总金额的比例。</w:t>
      </w:r>
    </w:p>
    <w:p w14:paraId="6036569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zh-CN" w:eastAsia="zh-CN" w:bidi="ar-SA"/>
        </w:rPr>
        <w:t>4.2</w:t>
      </w:r>
      <w:r>
        <w:rPr>
          <w:rFonts w:hint="eastAsia" w:ascii="宋体" w:hAnsi="宋体" w:eastAsia="宋体" w:cs="宋体"/>
          <w:i w:val="0"/>
          <w:iCs w:val="0"/>
          <w:color w:val="auto"/>
          <w:kern w:val="2"/>
          <w:sz w:val="24"/>
          <w:szCs w:val="24"/>
          <w:highlight w:val="none"/>
          <w:shd w:val="clear" w:color="auto" w:fill="FFFFFF"/>
          <w:lang w:val="en-US" w:eastAsia="zh-CN" w:bidi="ar-SA"/>
        </w:rPr>
        <w:t>.6</w:t>
      </w:r>
      <w:r>
        <w:rPr>
          <w:rFonts w:hint="eastAsia" w:ascii="宋体" w:hAnsi="宋体" w:eastAsia="宋体" w:cs="宋体"/>
          <w:i w:val="0"/>
          <w:iCs w:val="0"/>
          <w:color w:val="auto"/>
          <w:kern w:val="2"/>
          <w:sz w:val="24"/>
          <w:szCs w:val="24"/>
          <w:highlight w:val="none"/>
          <w:shd w:val="clear" w:color="auto" w:fill="FFFFFF"/>
          <w:lang w:val="zh-CN" w:eastAsia="zh-CN" w:bidi="ar-SA"/>
        </w:rPr>
        <w:t>联合体</w:t>
      </w:r>
      <w:r>
        <w:rPr>
          <w:rFonts w:hint="eastAsia" w:ascii="宋体" w:hAnsi="宋体" w:eastAsia="宋体" w:cs="宋体"/>
          <w:i w:val="0"/>
          <w:iCs w:val="0"/>
          <w:color w:val="auto"/>
          <w:kern w:val="2"/>
          <w:sz w:val="24"/>
          <w:szCs w:val="24"/>
          <w:highlight w:val="none"/>
          <w:shd w:val="clear" w:color="auto" w:fill="FFFFFF"/>
          <w:lang w:val="en-US" w:eastAsia="zh-CN" w:bidi="ar-SA"/>
        </w:rPr>
        <w:t>成交</w:t>
      </w:r>
      <w:r>
        <w:rPr>
          <w:rFonts w:hint="eastAsia" w:ascii="宋体" w:hAnsi="宋体" w:eastAsia="宋体" w:cs="宋体"/>
          <w:i w:val="0"/>
          <w:iCs w:val="0"/>
          <w:color w:val="auto"/>
          <w:kern w:val="2"/>
          <w:sz w:val="24"/>
          <w:szCs w:val="24"/>
          <w:highlight w:val="none"/>
          <w:u w:val="none"/>
          <w:shd w:val="clear" w:color="auto" w:fill="FFFFFF"/>
          <w:lang w:val="en-US" w:eastAsia="zh-CN" w:bidi="ar-SA"/>
        </w:rPr>
        <w:t>的</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采购</w:t>
      </w:r>
      <w:r>
        <w:rPr>
          <w:rFonts w:hint="eastAsia" w:ascii="宋体" w:hAnsi="宋体" w:eastAsia="宋体" w:cs="宋体"/>
          <w:i w:val="0"/>
          <w:iCs w:val="0"/>
          <w:color w:val="auto"/>
          <w:kern w:val="2"/>
          <w:sz w:val="24"/>
          <w:szCs w:val="24"/>
          <w:highlight w:val="none"/>
          <w:shd w:val="clear" w:color="auto" w:fill="FFFFFF"/>
          <w:lang w:val="zh-CN" w:eastAsia="zh-CN" w:bidi="ar-SA"/>
        </w:rPr>
        <w:t>合同应由</w:t>
      </w:r>
      <w:r>
        <w:rPr>
          <w:rFonts w:hint="eastAsia" w:ascii="宋体" w:hAnsi="宋体" w:eastAsia="宋体" w:cs="宋体"/>
          <w:i w:val="0"/>
          <w:iCs w:val="0"/>
          <w:color w:val="auto"/>
          <w:kern w:val="2"/>
          <w:sz w:val="24"/>
          <w:szCs w:val="24"/>
          <w:highlight w:val="none"/>
          <w:shd w:val="clear" w:color="auto" w:fill="FFFFFF"/>
          <w:lang w:val="en-US" w:eastAsia="zh-CN" w:bidi="ar-SA"/>
        </w:rPr>
        <w:t>联合体</w:t>
      </w:r>
      <w:r>
        <w:rPr>
          <w:rFonts w:hint="eastAsia" w:ascii="宋体" w:hAnsi="宋体" w:eastAsia="宋体" w:cs="宋体"/>
          <w:i w:val="0"/>
          <w:iCs w:val="0"/>
          <w:color w:val="auto"/>
          <w:kern w:val="2"/>
          <w:sz w:val="24"/>
          <w:szCs w:val="24"/>
          <w:highlight w:val="none"/>
          <w:shd w:val="clear" w:color="auto" w:fill="FFFFFF"/>
          <w:lang w:val="zh-CN" w:eastAsia="zh-CN" w:bidi="ar-SA"/>
        </w:rPr>
        <w:t>各成员的合法授权代表签字</w:t>
      </w:r>
      <w:r>
        <w:rPr>
          <w:rFonts w:hint="eastAsia" w:ascii="宋体" w:hAnsi="宋体" w:eastAsia="宋体" w:cs="宋体"/>
          <w:i w:val="0"/>
          <w:iCs w:val="0"/>
          <w:color w:val="auto"/>
          <w:kern w:val="2"/>
          <w:sz w:val="24"/>
          <w:szCs w:val="24"/>
          <w:highlight w:val="none"/>
          <w:shd w:val="clear" w:color="auto" w:fill="FFFFFF"/>
          <w:lang w:val="en-US" w:eastAsia="zh-CN" w:bidi="ar-SA"/>
        </w:rPr>
        <w:t>及</w:t>
      </w:r>
      <w:r>
        <w:rPr>
          <w:rFonts w:hint="eastAsia" w:ascii="宋体" w:hAnsi="宋体" w:eastAsia="宋体" w:cs="宋体"/>
          <w:i w:val="0"/>
          <w:iCs w:val="0"/>
          <w:color w:val="auto"/>
          <w:kern w:val="2"/>
          <w:sz w:val="24"/>
          <w:szCs w:val="24"/>
          <w:highlight w:val="none"/>
          <w:shd w:val="clear" w:color="auto" w:fill="FFFFFF"/>
          <w:lang w:val="zh-CN" w:eastAsia="zh-CN" w:bidi="ar-SA"/>
        </w:rPr>
        <w:t>加盖</w:t>
      </w:r>
      <w:r>
        <w:rPr>
          <w:rFonts w:hint="eastAsia" w:ascii="宋体" w:hAnsi="宋体" w:eastAsia="宋体" w:cs="宋体"/>
          <w:i w:val="0"/>
          <w:iCs w:val="0"/>
          <w:color w:val="auto"/>
          <w:kern w:val="2"/>
          <w:sz w:val="24"/>
          <w:szCs w:val="24"/>
          <w:highlight w:val="none"/>
          <w:shd w:val="clear" w:color="auto" w:fill="FFFFFF"/>
          <w:lang w:val="en-US" w:eastAsia="zh-CN" w:bidi="ar-SA"/>
        </w:rPr>
        <w:t>联合体</w:t>
      </w:r>
      <w:r>
        <w:rPr>
          <w:rFonts w:hint="eastAsia" w:ascii="宋体" w:hAnsi="宋体" w:eastAsia="宋体" w:cs="宋体"/>
          <w:i w:val="0"/>
          <w:iCs w:val="0"/>
          <w:color w:val="auto"/>
          <w:kern w:val="2"/>
          <w:sz w:val="24"/>
          <w:szCs w:val="24"/>
          <w:highlight w:val="none"/>
          <w:shd w:val="clear" w:color="auto" w:fill="FFFFFF"/>
          <w:lang w:val="zh-CN" w:eastAsia="zh-CN" w:bidi="ar-SA"/>
        </w:rPr>
        <w:t>各成员公章，</w:t>
      </w:r>
      <w:r>
        <w:rPr>
          <w:rFonts w:hint="eastAsia" w:ascii="宋体" w:hAnsi="宋体" w:eastAsia="宋体" w:cs="宋体"/>
          <w:i w:val="0"/>
          <w:iCs w:val="0"/>
          <w:color w:val="auto"/>
          <w:kern w:val="2"/>
          <w:sz w:val="24"/>
          <w:szCs w:val="24"/>
          <w:highlight w:val="none"/>
          <w:shd w:val="clear" w:color="auto" w:fill="FFFFFF"/>
          <w:lang w:val="en-US" w:eastAsia="zh-CN" w:bidi="ar-SA"/>
        </w:rPr>
        <w:t>并</w:t>
      </w:r>
      <w:r>
        <w:rPr>
          <w:rFonts w:hint="eastAsia" w:ascii="宋体" w:hAnsi="宋体" w:eastAsia="宋体" w:cs="宋体"/>
          <w:i w:val="0"/>
          <w:iCs w:val="0"/>
          <w:color w:val="auto"/>
          <w:kern w:val="2"/>
          <w:sz w:val="24"/>
          <w:szCs w:val="24"/>
          <w:highlight w:val="none"/>
          <w:shd w:val="clear" w:color="auto" w:fill="FFFFFF"/>
          <w:lang w:val="zh-CN" w:eastAsia="zh-CN" w:bidi="ar-SA"/>
        </w:rPr>
        <w:t>对联合体成员作为整体和他们各自作为独立体均具有法律约束力，但若该签字或公章不齐全或缺乏，该联合体的牵头人的签署或类似的意思表示人具有代表该联合体的签署或意思表示的法律效力，并且据此各成员为履行合同应向采购人与采购代理机构承担连带责任。</w:t>
      </w:r>
    </w:p>
    <w:p w14:paraId="75BF2FA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zh-CN" w:eastAsia="zh-CN" w:bidi="ar-SA"/>
        </w:rPr>
        <w:t>4.2</w:t>
      </w:r>
      <w:r>
        <w:rPr>
          <w:rFonts w:hint="eastAsia" w:ascii="宋体" w:hAnsi="宋体" w:eastAsia="宋体" w:cs="宋体"/>
          <w:i w:val="0"/>
          <w:iCs w:val="0"/>
          <w:color w:val="auto"/>
          <w:kern w:val="2"/>
          <w:sz w:val="24"/>
          <w:szCs w:val="24"/>
          <w:highlight w:val="none"/>
          <w:shd w:val="clear" w:color="auto" w:fill="FFFFFF"/>
          <w:lang w:val="en-US" w:eastAsia="zh-CN" w:bidi="ar-SA"/>
        </w:rPr>
        <w:t>.7</w:t>
      </w:r>
      <w:r>
        <w:rPr>
          <w:rFonts w:hint="eastAsia" w:ascii="宋体" w:hAnsi="宋体" w:eastAsia="宋体" w:cs="宋体"/>
          <w:i w:val="0"/>
          <w:iCs w:val="0"/>
          <w:color w:val="auto"/>
          <w:kern w:val="2"/>
          <w:sz w:val="24"/>
          <w:szCs w:val="24"/>
          <w:highlight w:val="none"/>
          <w:shd w:val="clear" w:color="auto" w:fill="FFFFFF"/>
          <w:lang w:val="zh-CN" w:eastAsia="zh-CN" w:bidi="ar-SA"/>
        </w:rPr>
        <w:t>联合体或其成员不得将其在合同项下的权利或义务全部或部分转让给第三人，有关分包事项须事先取得采购</w:t>
      </w:r>
      <w:r>
        <w:rPr>
          <w:rFonts w:hint="eastAsia" w:ascii="宋体" w:hAnsi="宋体" w:eastAsia="宋体" w:cs="宋体"/>
          <w:i w:val="0"/>
          <w:iCs w:val="0"/>
          <w:color w:val="auto"/>
          <w:kern w:val="2"/>
          <w:sz w:val="24"/>
          <w:szCs w:val="24"/>
          <w:highlight w:val="none"/>
          <w:shd w:val="clear" w:color="auto" w:fill="FFFFFF"/>
          <w:lang w:val="en-US" w:eastAsia="zh-CN" w:bidi="ar-SA"/>
        </w:rPr>
        <w:t>人</w:t>
      </w:r>
      <w:r>
        <w:rPr>
          <w:rFonts w:hint="eastAsia" w:ascii="宋体" w:hAnsi="宋体" w:eastAsia="宋体" w:cs="宋体"/>
          <w:i w:val="0"/>
          <w:iCs w:val="0"/>
          <w:color w:val="auto"/>
          <w:kern w:val="2"/>
          <w:sz w:val="24"/>
          <w:szCs w:val="24"/>
          <w:highlight w:val="none"/>
          <w:shd w:val="clear" w:color="auto" w:fill="FFFFFF"/>
          <w:lang w:val="zh-CN" w:eastAsia="zh-CN" w:bidi="ar-SA"/>
        </w:rPr>
        <w:t>书面同意并且须遵守相关法律、法规、本次</w:t>
      </w:r>
      <w:r>
        <w:rPr>
          <w:rFonts w:hint="eastAsia" w:ascii="宋体" w:hAnsi="宋体" w:eastAsia="宋体" w:cs="宋体"/>
          <w:i w:val="0"/>
          <w:iCs w:val="0"/>
          <w:color w:val="auto"/>
          <w:kern w:val="2"/>
          <w:sz w:val="24"/>
          <w:szCs w:val="24"/>
          <w:highlight w:val="none"/>
          <w:shd w:val="clear" w:color="auto" w:fill="FFFFFF"/>
          <w:lang w:val="en-US" w:eastAsia="zh-CN" w:bidi="ar-SA"/>
        </w:rPr>
        <w:t>磋商</w:t>
      </w:r>
      <w:r>
        <w:rPr>
          <w:rFonts w:hint="eastAsia" w:ascii="宋体" w:hAnsi="宋体" w:eastAsia="宋体" w:cs="宋体"/>
          <w:i w:val="0"/>
          <w:iCs w:val="0"/>
          <w:color w:val="auto"/>
          <w:kern w:val="2"/>
          <w:sz w:val="24"/>
          <w:szCs w:val="24"/>
          <w:highlight w:val="none"/>
          <w:shd w:val="clear" w:color="auto" w:fill="FFFFFF"/>
          <w:lang w:val="zh-CN" w:eastAsia="zh-CN" w:bidi="ar-SA"/>
        </w:rPr>
        <w:t>的全部相关规定。</w:t>
      </w:r>
    </w:p>
    <w:p w14:paraId="1C0E489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zh-CN"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4.2</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8</w:t>
      </w:r>
      <w:r>
        <w:rPr>
          <w:rFonts w:hint="eastAsia" w:ascii="宋体" w:hAnsi="宋体" w:eastAsia="宋体" w:cs="宋体"/>
          <w:i w:val="0"/>
          <w:iCs w:val="0"/>
          <w:color w:val="auto"/>
          <w:kern w:val="2"/>
          <w:sz w:val="24"/>
          <w:szCs w:val="24"/>
          <w:highlight w:val="none"/>
          <w:shd w:val="clear" w:color="auto" w:fill="FFFFFF"/>
          <w:lang w:val="zh-CN" w:eastAsia="zh-CN" w:bidi="ar-SA"/>
        </w:rPr>
        <w:t>对联合体</w:t>
      </w:r>
      <w:r>
        <w:rPr>
          <w:rFonts w:hint="eastAsia" w:ascii="宋体" w:hAnsi="宋体" w:eastAsia="宋体" w:cs="宋体"/>
          <w:i w:val="0"/>
          <w:iCs w:val="0"/>
          <w:color w:val="auto"/>
          <w:kern w:val="2"/>
          <w:sz w:val="24"/>
          <w:szCs w:val="24"/>
          <w:highlight w:val="none"/>
          <w:shd w:val="clear" w:color="auto" w:fill="FFFFFF"/>
          <w:lang w:val="en-US" w:eastAsia="zh-CN" w:bidi="ar-SA"/>
        </w:rPr>
        <w:t>磋商</w:t>
      </w:r>
      <w:r>
        <w:rPr>
          <w:rFonts w:hint="eastAsia" w:ascii="宋体" w:hAnsi="宋体" w:eastAsia="宋体" w:cs="宋体"/>
          <w:i w:val="0"/>
          <w:iCs w:val="0"/>
          <w:color w:val="auto"/>
          <w:kern w:val="2"/>
          <w:sz w:val="24"/>
          <w:szCs w:val="24"/>
          <w:highlight w:val="none"/>
          <w:shd w:val="clear" w:color="auto" w:fill="FFFFFF"/>
          <w:lang w:val="zh-CN" w:eastAsia="zh-CN" w:bidi="ar-SA"/>
        </w:rPr>
        <w:t>的其他资格要求见“</w:t>
      </w:r>
      <w:r>
        <w:rPr>
          <w:rFonts w:hint="eastAsia" w:ascii="宋体" w:hAnsi="宋体" w:eastAsia="宋体" w:cs="宋体"/>
          <w:i w:val="0"/>
          <w:iCs w:val="0"/>
          <w:color w:val="auto"/>
          <w:kern w:val="2"/>
          <w:sz w:val="24"/>
          <w:szCs w:val="24"/>
          <w:highlight w:val="none"/>
          <w:shd w:val="clear" w:color="auto" w:fill="FFFFFF"/>
          <w:lang w:val="en-US" w:eastAsia="zh-CN" w:bidi="ar-SA"/>
        </w:rPr>
        <w:t>第一章 竞争性磋商公告</w:t>
      </w:r>
      <w:r>
        <w:rPr>
          <w:rFonts w:hint="eastAsia" w:ascii="宋体" w:hAnsi="宋体" w:eastAsia="宋体" w:cs="宋体"/>
          <w:i w:val="0"/>
          <w:iCs w:val="0"/>
          <w:color w:val="auto"/>
          <w:kern w:val="2"/>
          <w:sz w:val="24"/>
          <w:szCs w:val="24"/>
          <w:highlight w:val="none"/>
          <w:shd w:val="clear" w:color="auto" w:fill="FFFFFF"/>
          <w:lang w:val="zh-CN" w:eastAsia="zh-CN" w:bidi="ar-SA"/>
        </w:rPr>
        <w:t>”</w:t>
      </w:r>
      <w:r>
        <w:rPr>
          <w:rFonts w:hint="eastAsia" w:ascii="宋体" w:hAnsi="宋体" w:eastAsia="宋体" w:cs="宋体"/>
          <w:i w:val="0"/>
          <w:iCs w:val="0"/>
          <w:color w:val="auto"/>
          <w:kern w:val="2"/>
          <w:sz w:val="24"/>
          <w:szCs w:val="24"/>
          <w:highlight w:val="none"/>
          <w:shd w:val="clear" w:color="auto" w:fill="FFFFFF"/>
          <w:lang w:val="en-US" w:eastAsia="zh-CN" w:bidi="ar-SA"/>
        </w:rPr>
        <w:t>中的“二、供应商的</w:t>
      </w:r>
      <w:r>
        <w:rPr>
          <w:rFonts w:hint="eastAsia" w:ascii="宋体" w:hAnsi="宋体" w:eastAsia="宋体" w:cs="宋体"/>
          <w:i w:val="0"/>
          <w:iCs w:val="0"/>
          <w:color w:val="auto"/>
          <w:kern w:val="2"/>
          <w:sz w:val="24"/>
          <w:szCs w:val="24"/>
          <w:highlight w:val="none"/>
          <w:shd w:val="clear" w:color="auto" w:fill="FFFFFF"/>
          <w:lang w:val="zh-CN" w:eastAsia="zh-CN" w:bidi="ar-SA"/>
        </w:rPr>
        <w:t>资格</w:t>
      </w:r>
      <w:r>
        <w:rPr>
          <w:rFonts w:hint="eastAsia" w:ascii="宋体" w:hAnsi="宋体" w:eastAsia="宋体" w:cs="宋体"/>
          <w:i w:val="0"/>
          <w:iCs w:val="0"/>
          <w:color w:val="auto"/>
          <w:kern w:val="2"/>
          <w:sz w:val="24"/>
          <w:szCs w:val="24"/>
          <w:highlight w:val="none"/>
          <w:shd w:val="clear" w:color="auto" w:fill="FFFFFF"/>
          <w:lang w:val="en-US" w:eastAsia="zh-CN" w:bidi="ar-SA"/>
        </w:rPr>
        <w:t>要求”</w:t>
      </w:r>
      <w:r>
        <w:rPr>
          <w:rFonts w:hint="eastAsia" w:ascii="宋体" w:hAnsi="宋体" w:eastAsia="宋体" w:cs="宋体"/>
          <w:i w:val="0"/>
          <w:iCs w:val="0"/>
          <w:color w:val="auto"/>
          <w:kern w:val="2"/>
          <w:sz w:val="24"/>
          <w:szCs w:val="24"/>
          <w:highlight w:val="none"/>
          <w:shd w:val="clear" w:color="auto" w:fill="FFFFFF"/>
          <w:lang w:val="zh-CN" w:eastAsia="zh-CN" w:bidi="ar-SA"/>
        </w:rPr>
        <w:t>。</w:t>
      </w:r>
    </w:p>
    <w:p w14:paraId="485F496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5.费用</w:t>
      </w:r>
      <w:bookmarkEnd w:id="113"/>
      <w:bookmarkEnd w:id="114"/>
      <w:bookmarkEnd w:id="115"/>
      <w:bookmarkEnd w:id="116"/>
      <w:bookmarkEnd w:id="117"/>
      <w:bookmarkEnd w:id="118"/>
      <w:bookmarkEnd w:id="119"/>
      <w:bookmarkEnd w:id="120"/>
      <w:bookmarkEnd w:id="121"/>
      <w:bookmarkEnd w:id="122"/>
      <w:bookmarkEnd w:id="123"/>
      <w:bookmarkEnd w:id="124"/>
      <w:bookmarkEnd w:id="125"/>
      <w:r>
        <w:rPr>
          <w:rFonts w:hint="eastAsia" w:ascii="宋体" w:hAnsi="宋体" w:eastAsia="宋体" w:cs="宋体"/>
          <w:b/>
          <w:bCs/>
          <w:i w:val="0"/>
          <w:iCs w:val="0"/>
          <w:color w:val="auto"/>
          <w:kern w:val="2"/>
          <w:sz w:val="24"/>
          <w:szCs w:val="24"/>
          <w:highlight w:val="none"/>
          <w:lang w:val="en-US" w:eastAsia="zh-CN" w:bidi="ar-SA"/>
        </w:rPr>
        <w:t>承担</w:t>
      </w:r>
    </w:p>
    <w:p w14:paraId="3C6741E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5.1</w:t>
      </w:r>
      <w:r>
        <w:rPr>
          <w:rFonts w:hint="eastAsia" w:ascii="宋体" w:hAnsi="宋体" w:eastAsia="宋体" w:cs="宋体"/>
          <w:i w:val="0"/>
          <w:iCs w:val="0"/>
          <w:snapToGrid w:val="0"/>
          <w:color w:val="auto"/>
          <w:sz w:val="24"/>
          <w:szCs w:val="24"/>
          <w:highlight w:val="none"/>
          <w:lang w:val="zh-CN" w:eastAsia="zh-CN"/>
        </w:rPr>
        <w:t>不论</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的结果如何，</w:t>
      </w:r>
      <w:r>
        <w:rPr>
          <w:rFonts w:hint="eastAsia" w:ascii="宋体" w:hAnsi="宋体" w:eastAsia="宋体" w:cs="宋体"/>
          <w:i w:val="0"/>
          <w:iCs w:val="0"/>
          <w:snapToGrid w:val="0"/>
          <w:color w:val="auto"/>
          <w:sz w:val="24"/>
          <w:szCs w:val="24"/>
          <w:highlight w:val="none"/>
          <w:lang w:val="en-US" w:eastAsia="zh-CN"/>
        </w:rPr>
        <w:t>供应商</w:t>
      </w:r>
      <w:r>
        <w:rPr>
          <w:rFonts w:hint="eastAsia" w:ascii="宋体" w:hAnsi="宋体" w:eastAsia="宋体" w:cs="宋体"/>
          <w:i w:val="0"/>
          <w:iCs w:val="0"/>
          <w:snapToGrid w:val="0"/>
          <w:color w:val="auto"/>
          <w:sz w:val="24"/>
          <w:szCs w:val="24"/>
          <w:highlight w:val="none"/>
          <w:lang w:val="zh-CN" w:eastAsia="zh-CN"/>
        </w:rPr>
        <w:t>应承担所有与准备和参加</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有关的费用。</w:t>
      </w:r>
    </w:p>
    <w:p w14:paraId="6DDD89B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26" w:name="_Toc140132761"/>
      <w:bookmarkStart w:id="127" w:name="_Toc161600293"/>
      <w:r>
        <w:rPr>
          <w:rFonts w:hint="eastAsia" w:ascii="宋体" w:hAnsi="宋体" w:eastAsia="宋体" w:cs="宋体"/>
          <w:b/>
          <w:bCs/>
          <w:i w:val="0"/>
          <w:iCs w:val="0"/>
          <w:color w:val="auto"/>
          <w:kern w:val="2"/>
          <w:sz w:val="24"/>
          <w:szCs w:val="24"/>
          <w:highlight w:val="none"/>
          <w:lang w:val="en-US" w:eastAsia="zh-CN" w:bidi="ar-SA"/>
        </w:rPr>
        <w:t>6.保密</w:t>
      </w:r>
      <w:bookmarkEnd w:id="126"/>
      <w:bookmarkEnd w:id="127"/>
    </w:p>
    <w:p w14:paraId="2E37681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6.1</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参与磋商活动的各方应对竞争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磋商文件和响应文件中的商业和技术等秘密保密，否则应承担相应的法律责任。</w:t>
      </w:r>
    </w:p>
    <w:p w14:paraId="23555BD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2 供应商</w:t>
      </w:r>
      <w:r>
        <w:rPr>
          <w:rFonts w:hint="eastAsia" w:ascii="宋体" w:hAnsi="宋体" w:eastAsia="宋体" w:cs="宋体"/>
          <w:i w:val="0"/>
          <w:iCs w:val="0"/>
          <w:color w:val="auto"/>
          <w:kern w:val="2"/>
          <w:sz w:val="24"/>
          <w:szCs w:val="24"/>
          <w:highlight w:val="none"/>
        </w:rPr>
        <w:t>自领取竞争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磋商文件之日起，须承担本竞争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磋商项目保密义务，不得将因本次竞争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磋商获得的信息向第三人外传。由采购人向</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提供的图纸、详细资料、样品、模型、模件和所有其它资料，被视为保密资料，仅被用于它所规定的用途。除非得到采购人的同意，不能向任何第三方透露。竞争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磋商结束后，应采购人要求，</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应归还所有从采购人处获得的保密资料。</w:t>
      </w:r>
    </w:p>
    <w:p w14:paraId="67907078">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3 </w:t>
      </w:r>
      <w:r>
        <w:rPr>
          <w:rFonts w:hint="eastAsia" w:ascii="宋体" w:hAnsi="宋体" w:eastAsia="宋体" w:cs="宋体"/>
          <w:i w:val="0"/>
          <w:iCs w:val="0"/>
          <w:color w:val="auto"/>
          <w:kern w:val="2"/>
          <w:sz w:val="24"/>
          <w:szCs w:val="24"/>
          <w:highlight w:val="none"/>
        </w:rPr>
        <w:t>采购代理机构有权将</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提供的所有资料向有关政府部门或竞争</w:t>
      </w:r>
      <w:r>
        <w:rPr>
          <w:rFonts w:hint="eastAsia" w:ascii="宋体" w:hAnsi="宋体" w:eastAsia="宋体" w:cs="宋体"/>
          <w:i w:val="0"/>
          <w:iCs w:val="0"/>
          <w:color w:val="auto"/>
          <w:kern w:val="2"/>
          <w:sz w:val="24"/>
          <w:szCs w:val="24"/>
          <w:highlight w:val="none"/>
          <w:lang w:val="en-US" w:eastAsia="zh-CN"/>
        </w:rPr>
        <w:t>性</w:t>
      </w:r>
      <w:r>
        <w:rPr>
          <w:rFonts w:hint="eastAsia" w:ascii="宋体" w:hAnsi="宋体" w:eastAsia="宋体" w:cs="宋体"/>
          <w:i w:val="0"/>
          <w:iCs w:val="0"/>
          <w:color w:val="auto"/>
          <w:kern w:val="2"/>
          <w:sz w:val="24"/>
          <w:szCs w:val="24"/>
          <w:highlight w:val="none"/>
        </w:rPr>
        <w:t>磋商的有关人员披露。</w:t>
      </w:r>
    </w:p>
    <w:p w14:paraId="232A1AD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kern w:val="2"/>
          <w:sz w:val="24"/>
          <w:szCs w:val="24"/>
          <w:highlight w:val="none"/>
          <w:lang w:val="en-US" w:eastAsia="zh-CN"/>
        </w:rPr>
        <w:t>6</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4 各级人民政府财政部门对政府采购活动进行监督检查，有权查阅、复制有关文件、资料，相关单位和人员应当予以配合</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sz w:val="24"/>
          <w:szCs w:val="24"/>
          <w:highlight w:val="none"/>
        </w:rPr>
        <w:t xml:space="preserve"> </w:t>
      </w:r>
    </w:p>
    <w:p w14:paraId="47EBAEFC">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28" w:name="_Toc161600294"/>
      <w:bookmarkStart w:id="129" w:name="_Toc140132762"/>
      <w:r>
        <w:rPr>
          <w:rFonts w:hint="eastAsia" w:ascii="宋体" w:hAnsi="宋体" w:eastAsia="宋体" w:cs="宋体"/>
          <w:b/>
          <w:bCs/>
          <w:i w:val="0"/>
          <w:iCs w:val="0"/>
          <w:color w:val="auto"/>
          <w:kern w:val="2"/>
          <w:sz w:val="24"/>
          <w:szCs w:val="24"/>
          <w:highlight w:val="none"/>
          <w:lang w:val="en-US" w:eastAsia="zh-CN" w:bidi="ar-SA"/>
        </w:rPr>
        <w:t>7.语言文字</w:t>
      </w:r>
      <w:bookmarkEnd w:id="128"/>
      <w:bookmarkEnd w:id="129"/>
    </w:p>
    <w:p w14:paraId="3121AAF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7.1竞争</w:t>
      </w:r>
      <w:r>
        <w:rPr>
          <w:rFonts w:hint="eastAsia" w:ascii="宋体" w:hAnsi="宋体" w:eastAsia="宋体" w:cs="宋体"/>
          <w:i w:val="0"/>
          <w:iCs w:val="0"/>
          <w:color w:val="auto"/>
          <w:sz w:val="24"/>
          <w:szCs w:val="24"/>
          <w:highlight w:val="none"/>
          <w:lang w:val="en-US" w:eastAsia="zh-CN"/>
        </w:rPr>
        <w:t>性</w:t>
      </w:r>
      <w:r>
        <w:rPr>
          <w:rFonts w:hint="eastAsia" w:ascii="宋体" w:hAnsi="宋体" w:eastAsia="宋体" w:cs="宋体"/>
          <w:i w:val="0"/>
          <w:iCs w:val="0"/>
          <w:color w:val="auto"/>
          <w:sz w:val="24"/>
          <w:szCs w:val="24"/>
          <w:highlight w:val="none"/>
        </w:rPr>
        <w:t>磋商</w:t>
      </w:r>
      <w:r>
        <w:rPr>
          <w:rFonts w:hint="eastAsia" w:ascii="宋体" w:hAnsi="宋体" w:eastAsia="宋体" w:cs="宋体"/>
          <w:i w:val="0"/>
          <w:iCs w:val="0"/>
          <w:color w:val="auto"/>
          <w:sz w:val="24"/>
          <w:szCs w:val="24"/>
          <w:highlight w:val="none"/>
          <w:lang w:val="en-US" w:eastAsia="zh-CN"/>
        </w:rPr>
        <w:t>文件及响应</w:t>
      </w:r>
      <w:r>
        <w:rPr>
          <w:rFonts w:hint="eastAsia" w:ascii="宋体" w:hAnsi="宋体" w:eastAsia="宋体" w:cs="宋体"/>
          <w:i w:val="0"/>
          <w:iCs w:val="0"/>
          <w:color w:val="auto"/>
          <w:sz w:val="24"/>
          <w:szCs w:val="24"/>
          <w:highlight w:val="none"/>
        </w:rPr>
        <w:t>文件使用的语言文字为中文。专用术语使用外文的，应附有中文注释。</w:t>
      </w:r>
      <w:r>
        <w:rPr>
          <w:rFonts w:hint="eastAsia" w:ascii="宋体" w:hAnsi="宋体" w:eastAsia="宋体" w:cs="宋体"/>
          <w:i w:val="0"/>
          <w:iCs w:val="0"/>
          <w:color w:val="auto"/>
          <w:sz w:val="24"/>
          <w:szCs w:val="24"/>
          <w:highlight w:val="none"/>
          <w:lang w:val="en-US" w:eastAsia="zh-CN"/>
        </w:rPr>
        <w:t>供应商提交的支持资料和已印制的文献可以用外文，但相应内容应附有中文翻译本，在解释响应文件时以中文翻译本为准。未附中文翻译本或翻译本中文内容明显与外文内容不一致的，其不利后果由供应商自行承担。</w:t>
      </w:r>
    </w:p>
    <w:p w14:paraId="5670762F">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0" w:name="_Toc161600295"/>
      <w:bookmarkStart w:id="131" w:name="_Toc140132763"/>
      <w:r>
        <w:rPr>
          <w:rFonts w:hint="eastAsia" w:ascii="宋体" w:hAnsi="宋体" w:eastAsia="宋体" w:cs="宋体"/>
          <w:b/>
          <w:bCs/>
          <w:i w:val="0"/>
          <w:iCs w:val="0"/>
          <w:color w:val="auto"/>
          <w:kern w:val="2"/>
          <w:sz w:val="24"/>
          <w:szCs w:val="24"/>
          <w:highlight w:val="none"/>
          <w:lang w:val="en-US" w:eastAsia="zh-CN" w:bidi="ar-SA"/>
        </w:rPr>
        <w:t>8.计量单位</w:t>
      </w:r>
      <w:bookmarkEnd w:id="130"/>
      <w:bookmarkEnd w:id="131"/>
    </w:p>
    <w:p w14:paraId="0DC441D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8.1所有计量均采用中华人民共和国法定计量单位。</w:t>
      </w:r>
    </w:p>
    <w:p w14:paraId="37E10A03">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2" w:name="_Toc161600296"/>
      <w:bookmarkStart w:id="133" w:name="_Toc140132764"/>
      <w:r>
        <w:rPr>
          <w:rFonts w:hint="eastAsia" w:ascii="宋体" w:hAnsi="宋体" w:eastAsia="宋体" w:cs="宋体"/>
          <w:b/>
          <w:bCs/>
          <w:i w:val="0"/>
          <w:iCs w:val="0"/>
          <w:color w:val="auto"/>
          <w:kern w:val="2"/>
          <w:sz w:val="24"/>
          <w:szCs w:val="24"/>
          <w:highlight w:val="none"/>
          <w:lang w:val="en-US" w:eastAsia="zh-CN" w:bidi="ar-SA"/>
        </w:rPr>
        <w:t>9.现场考察和答疑会</w:t>
      </w:r>
      <w:bookmarkEnd w:id="132"/>
      <w:bookmarkEnd w:id="133"/>
    </w:p>
    <w:p w14:paraId="70E7733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134" w:name="_Hlk143529198"/>
      <w:r>
        <w:rPr>
          <w:rFonts w:hint="eastAsia" w:ascii="宋体" w:hAnsi="宋体" w:eastAsia="宋体" w:cs="宋体"/>
          <w:i w:val="0"/>
          <w:iCs w:val="0"/>
          <w:color w:val="auto"/>
          <w:sz w:val="24"/>
          <w:szCs w:val="24"/>
          <w:highlight w:val="none"/>
        </w:rPr>
        <w:t xml:space="preserve">9.1 “供应商须知前附表”规定组织现场考察的，采购代理机构按“供应商须知前附表”规定的时间、地点组织供应商项目现场考察。 </w:t>
      </w:r>
    </w:p>
    <w:p w14:paraId="473C15D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9.2 供应商现场考察发生的费用自理。</w:t>
      </w:r>
    </w:p>
    <w:p w14:paraId="417B1E0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9.3 在现场考察中，因供应商自身原因发生的人员伤亡和财产损失，由供应商自行负责。</w:t>
      </w:r>
    </w:p>
    <w:p w14:paraId="2BF7B5C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9.4 采购人在现场考察中介绍的项目场地和相关的周边环境情况，仅供供应商在编制响应文件时参考，采购人和采购代理机构不对供应商据此作出的判断和决策负责。</w:t>
      </w:r>
    </w:p>
    <w:p w14:paraId="521951E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9.5 “供应商须知前附表”规定召开答疑会的，采购代理机构按“供应商须知前附表”规定的时间和地点召开答疑会，澄清供应商提出的问题。</w:t>
      </w:r>
    </w:p>
    <w:p w14:paraId="7BC8ED9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9.6 由于未参加现场考察或未参加答疑会而导致对项目实际情况不了解，影响响应文件编制、磋商报价准确性、综合因素响应不全面等问题的，由供应商自行承担不利评审后果。</w:t>
      </w:r>
    </w:p>
    <w:bookmarkEnd w:id="134"/>
    <w:p w14:paraId="020D8BF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5" w:name="_Toc161600298"/>
      <w:bookmarkStart w:id="136" w:name="_Toc155185858"/>
      <w:r>
        <w:rPr>
          <w:rFonts w:hint="eastAsia" w:ascii="宋体" w:hAnsi="宋体" w:eastAsia="宋体" w:cs="宋体"/>
          <w:b/>
          <w:bCs/>
          <w:i w:val="0"/>
          <w:iCs w:val="0"/>
          <w:color w:val="auto"/>
          <w:kern w:val="2"/>
          <w:sz w:val="24"/>
          <w:szCs w:val="24"/>
          <w:highlight w:val="none"/>
          <w:lang w:val="en-US" w:eastAsia="zh-CN" w:bidi="ar-SA"/>
        </w:rPr>
        <w:t>10.电子标说明</w:t>
      </w:r>
      <w:bookmarkEnd w:id="135"/>
      <w:bookmarkEnd w:id="136"/>
    </w:p>
    <w:p w14:paraId="410950EB">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10.1 本次采购采用电子交易方式，电子交易平台为新疆政府采购电子交易云平台（网址：https://www.zcygov.cn/）。投标人参与本项目电子交易活动前，应在政采云平台上注册供应商账号。编制电子投标文件前还需申领CA证书并绑定帐号。投标人应充分考虑完成平台注册、申领CA证书等所需的时间。潜在投标人领取文件须提前完成注册、CA证书和电子签章申领和绑定、下载投标客户端。因未办理CA数字证书、CA证书故障、操作不当等原因造成无法投标或投标失败等后果由投标人自行承担。投标人登录新疆政府采购网“供应商注册”—“新疆维吾尔自治区供应商入驻登记”—“立即登记”进行自助注册绑定。</w:t>
      </w:r>
    </w:p>
    <w:p w14:paraId="1592026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10.2 供应商</w:t>
      </w:r>
      <w:r>
        <w:rPr>
          <w:rFonts w:hint="eastAsia" w:ascii="宋体" w:hAnsi="宋体" w:eastAsia="宋体" w:cs="宋体"/>
          <w:color w:val="000000"/>
          <w:sz w:val="24"/>
          <w:szCs w:val="24"/>
          <w:highlight w:val="none"/>
        </w:rPr>
        <w:t>将</w:t>
      </w:r>
      <w:r>
        <w:rPr>
          <w:rFonts w:hint="eastAsia" w:cs="宋体"/>
          <w:color w:val="000000"/>
          <w:sz w:val="24"/>
          <w:szCs w:val="24"/>
          <w:highlight w:val="none"/>
          <w:lang w:val="en-US" w:eastAsia="zh-CN"/>
        </w:rPr>
        <w:t>新疆</w:t>
      </w:r>
      <w:r>
        <w:rPr>
          <w:rFonts w:hint="eastAsia" w:ascii="宋体" w:hAnsi="宋体" w:eastAsia="宋体" w:cs="宋体"/>
          <w:color w:val="000000"/>
          <w:sz w:val="24"/>
          <w:szCs w:val="24"/>
          <w:highlight w:val="none"/>
        </w:rPr>
        <w:t>政府采购</w:t>
      </w:r>
      <w:r>
        <w:rPr>
          <w:rFonts w:hint="eastAsia" w:ascii="宋体" w:hAnsi="宋体" w:eastAsia="宋体" w:cs="宋体"/>
          <w:color w:val="000000"/>
          <w:sz w:val="24"/>
          <w:szCs w:val="24"/>
          <w:highlight w:val="none"/>
          <w:lang w:val="en-US"/>
        </w:rPr>
        <w:t>电子交易云</w:t>
      </w:r>
      <w:r>
        <w:rPr>
          <w:rFonts w:hint="eastAsia" w:ascii="宋体" w:hAnsi="宋体" w:eastAsia="宋体" w:cs="宋体"/>
          <w:color w:val="000000"/>
          <w:sz w:val="24"/>
          <w:szCs w:val="24"/>
          <w:highlight w:val="none"/>
        </w:rPr>
        <w:t>平台电子交易客户端下载、安装完成后，可通过账号密码或CA登录客户端进行</w:t>
      </w:r>
      <w:r>
        <w:rPr>
          <w:rFonts w:hint="eastAsia" w:ascii="宋体" w:hAnsi="宋体" w:eastAsia="宋体" w:cs="宋体"/>
          <w:i w:val="0"/>
          <w:iCs w:val="0"/>
          <w:color w:val="auto"/>
          <w:sz w:val="24"/>
          <w:szCs w:val="24"/>
          <w:highlight w:val="none"/>
          <w:lang w:val="en-US" w:eastAsia="zh-CN"/>
        </w:rPr>
        <w:t>响应文件制作。在使用政采云</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投标客户端</w:t>
      </w:r>
      <w:r>
        <w:rPr>
          <w:rFonts w:hint="eastAsia"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lang w:val="en-US" w:eastAsia="zh-CN"/>
        </w:rPr>
        <w:t>时，建议使用WIN7及以上操作系统。供应商登录新疆政府采购网“下载专区”—“电子招投标客户端下载”下载相关客户端，如有问题可拨打政采云客户服务热线95763进行咨询。</w:t>
      </w:r>
    </w:p>
    <w:p w14:paraId="1BDAF1A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10.3 加密的电子响应文件应在响应文件递交截止时间前通过政采云平台上传完成。逾期上传或者未上传指定地点的响应文件，不予受理。</w:t>
      </w:r>
    </w:p>
    <w:p w14:paraId="69FF5CC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10.4 供应商在磋商前须提前配置好电脑及浏览器，磋商时请使用制作加密电子响应文件的CA锁进行解密及报价确认。本项目响应文件解密时间详“供应商须知前附表”，如因自身原因导致无法正常解密，后果由供应商自行承担。</w:t>
      </w:r>
    </w:p>
    <w:p w14:paraId="0B6602B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10.5 如遇“新疆政府采购电子交易云平台（网址：https://www.zcygov.cn/）”电子交易规则调整，以最新要求为准。</w:t>
      </w:r>
    </w:p>
    <w:p w14:paraId="552450F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10.6 电子交易系统咨询：供应商应当充分考虑到电子响应可能会发生的各种问题和风险，特别是响应文件签署、提交等问题，可按照“第一章 竞争性磋商公告”的联系方式咨询相关人员。</w:t>
      </w:r>
    </w:p>
    <w:p w14:paraId="2B30589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10.7 由于本项目采用电子磋商方式，潜在供应商的名单将在递交响应文件截止时间后才会解密。因此，采购人或采购代理机构无法通过传统的传真或邮件方式，将竞争性磋商文件的澄清或修改内容逐一通知到每位已获取竞争性磋商文件的潜在供应商。为确保信息的及时性和准确性，澄清或修改的内容将仅在政采云平台以更正公告的形式发布。潜在供应商需密切关注该网站，及时查看并下载相关更正公告。若因潜在供应商未能及时查看或下载相关更正公告，而导致的一切后果，将由潜在供应商自行承担。</w:t>
      </w:r>
    </w:p>
    <w:p w14:paraId="17FBA29F">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37" w:name="_Toc46771643"/>
      <w:bookmarkStart w:id="138" w:name="_Toc109899537"/>
      <w:bookmarkStart w:id="139" w:name="_Toc163493612"/>
      <w:bookmarkStart w:id="140" w:name="_Toc109899956"/>
      <w:bookmarkStart w:id="141" w:name="_Toc109897438"/>
      <w:bookmarkStart w:id="142" w:name="_Toc470172668"/>
      <w:bookmarkStart w:id="143" w:name="_Toc109900375"/>
      <w:r>
        <w:rPr>
          <w:rFonts w:hint="eastAsia" w:ascii="宋体" w:hAnsi="宋体" w:eastAsia="宋体" w:cs="宋体"/>
          <w:b/>
          <w:bCs/>
          <w:i w:val="0"/>
          <w:iCs w:val="0"/>
          <w:color w:val="auto"/>
          <w:kern w:val="2"/>
          <w:sz w:val="24"/>
          <w:szCs w:val="24"/>
          <w:highlight w:val="none"/>
          <w:lang w:val="en-US" w:eastAsia="zh-CN" w:bidi="ar-SA"/>
        </w:rPr>
        <w:t>（二）磋商文件</w:t>
      </w:r>
      <w:bookmarkEnd w:id="137"/>
      <w:bookmarkEnd w:id="138"/>
      <w:bookmarkEnd w:id="139"/>
      <w:bookmarkEnd w:id="140"/>
      <w:bookmarkEnd w:id="141"/>
      <w:bookmarkEnd w:id="142"/>
      <w:bookmarkEnd w:id="143"/>
    </w:p>
    <w:p w14:paraId="02C74752">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44" w:name="_Toc46772245"/>
      <w:bookmarkStart w:id="145" w:name="_Toc109899538"/>
      <w:bookmarkStart w:id="146" w:name="_Toc48846113"/>
      <w:bookmarkStart w:id="147" w:name="_Toc48688793"/>
      <w:bookmarkStart w:id="148" w:name="_Toc470172669"/>
      <w:bookmarkStart w:id="149" w:name="_Toc109897439"/>
      <w:bookmarkStart w:id="150" w:name="_Toc52962731"/>
      <w:bookmarkStart w:id="151" w:name="_Toc4547"/>
      <w:bookmarkStart w:id="152" w:name="_Toc52960557"/>
      <w:bookmarkStart w:id="153" w:name="_Toc109899957"/>
      <w:bookmarkStart w:id="154" w:name="_Toc46771644"/>
      <w:bookmarkStart w:id="155" w:name="_Toc51674215"/>
      <w:bookmarkStart w:id="156" w:name="_Toc109900376"/>
      <w:r>
        <w:rPr>
          <w:rFonts w:hint="eastAsia" w:ascii="宋体" w:hAnsi="宋体" w:eastAsia="宋体" w:cs="宋体"/>
          <w:b/>
          <w:bCs/>
          <w:i w:val="0"/>
          <w:iCs w:val="0"/>
          <w:color w:val="auto"/>
          <w:kern w:val="2"/>
          <w:sz w:val="24"/>
          <w:szCs w:val="24"/>
          <w:highlight w:val="none"/>
          <w:lang w:val="en-US" w:eastAsia="zh-CN" w:bidi="ar-SA"/>
        </w:rPr>
        <w:t>11.磋商文件的构成</w:t>
      </w:r>
      <w:bookmarkEnd w:id="144"/>
      <w:bookmarkEnd w:id="145"/>
      <w:bookmarkEnd w:id="146"/>
      <w:bookmarkEnd w:id="147"/>
      <w:bookmarkEnd w:id="148"/>
      <w:bookmarkEnd w:id="149"/>
      <w:bookmarkEnd w:id="150"/>
      <w:bookmarkEnd w:id="151"/>
      <w:bookmarkEnd w:id="152"/>
      <w:bookmarkEnd w:id="153"/>
      <w:bookmarkEnd w:id="154"/>
      <w:bookmarkEnd w:id="155"/>
      <w:bookmarkEnd w:id="156"/>
    </w:p>
    <w:p w14:paraId="54909DE4">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lang w:eastAsia="zh-CN"/>
        </w:rPr>
      </w:pPr>
      <w:bookmarkStart w:id="157" w:name="_Toc109900377"/>
      <w:bookmarkStart w:id="158" w:name="_Toc51674216"/>
      <w:bookmarkStart w:id="159" w:name="_Toc109897440"/>
      <w:bookmarkStart w:id="160" w:name="_Toc109899539"/>
      <w:bookmarkStart w:id="161" w:name="_Toc46772246"/>
      <w:bookmarkStart w:id="162" w:name="_Toc109899958"/>
      <w:bookmarkStart w:id="163" w:name="_Toc52960558"/>
      <w:bookmarkStart w:id="164" w:name="_Toc478415174"/>
      <w:bookmarkStart w:id="165" w:name="_Toc52962732"/>
      <w:bookmarkStart w:id="166" w:name="_Toc48688794"/>
      <w:bookmarkStart w:id="167" w:name="_Toc46771645"/>
      <w:bookmarkStart w:id="168" w:name="_Toc48846114"/>
      <w:r>
        <w:rPr>
          <w:rFonts w:hint="eastAsia" w:ascii="宋体" w:hAnsi="宋体" w:eastAsia="宋体" w:cs="宋体"/>
          <w:i w:val="0"/>
          <w:iCs w:val="0"/>
          <w:color w:val="auto"/>
          <w:sz w:val="24"/>
          <w:szCs w:val="24"/>
          <w:highlight w:val="none"/>
        </w:rPr>
        <w:t>第一章 竞争性磋商</w:t>
      </w:r>
      <w:r>
        <w:rPr>
          <w:rFonts w:hint="eastAsia" w:ascii="宋体" w:hAnsi="宋体" w:eastAsia="宋体" w:cs="宋体"/>
          <w:i w:val="0"/>
          <w:iCs w:val="0"/>
          <w:color w:val="auto"/>
          <w:sz w:val="24"/>
          <w:szCs w:val="24"/>
          <w:highlight w:val="none"/>
          <w:lang w:val="en-US" w:eastAsia="zh-CN"/>
        </w:rPr>
        <w:t>公告</w:t>
      </w:r>
    </w:p>
    <w:p w14:paraId="7147E8B4">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第二章 供应商须知</w:t>
      </w:r>
    </w:p>
    <w:p w14:paraId="61D89D76">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p>
    <w:p w14:paraId="6D7BF4EF">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47AC85E7">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第五章 合同草案</w:t>
      </w:r>
    </w:p>
    <w:p w14:paraId="5706B4C2">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第六章 响应文件的格式</w:t>
      </w:r>
    </w:p>
    <w:p w14:paraId="2FA3C6F3">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12.磋商文件的澄清或修改</w:t>
      </w:r>
      <w:bookmarkEnd w:id="157"/>
      <w:bookmarkEnd w:id="158"/>
      <w:bookmarkEnd w:id="159"/>
      <w:bookmarkEnd w:id="160"/>
      <w:bookmarkEnd w:id="161"/>
      <w:bookmarkEnd w:id="162"/>
      <w:bookmarkEnd w:id="163"/>
      <w:bookmarkEnd w:id="164"/>
      <w:bookmarkEnd w:id="165"/>
      <w:bookmarkEnd w:id="166"/>
      <w:bookmarkEnd w:id="167"/>
      <w:bookmarkEnd w:id="168"/>
    </w:p>
    <w:p w14:paraId="2E6BAA48">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1供应商</w:t>
      </w:r>
      <w:r>
        <w:rPr>
          <w:rFonts w:eastAsia="宋体" w:cs="仿宋_GB2312"/>
          <w:color w:val="auto"/>
          <w:sz w:val="24"/>
          <w:szCs w:val="24"/>
          <w:highlight w:val="none"/>
        </w:rPr>
        <w:t>如对</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内容有疑问，须在</w:t>
      </w:r>
      <w:r>
        <w:rPr>
          <w:rFonts w:hint="eastAsia" w:cs="仿宋_GB2312"/>
          <w:color w:val="auto"/>
          <w:sz w:val="24"/>
          <w:szCs w:val="24"/>
          <w:highlight w:val="none"/>
          <w:lang w:eastAsia="zh-CN"/>
        </w:rPr>
        <w:t>“</w:t>
      </w:r>
      <w:r>
        <w:rPr>
          <w:rFonts w:hint="eastAsia" w:eastAsia="宋体" w:cs="仿宋_GB2312"/>
          <w:color w:val="auto"/>
          <w:sz w:val="24"/>
          <w:szCs w:val="24"/>
          <w:highlight w:val="none"/>
        </w:rPr>
        <w:t>供应商</w:t>
      </w:r>
      <w:r>
        <w:rPr>
          <w:rFonts w:eastAsia="宋体" w:cs="仿宋_GB2312"/>
          <w:color w:val="auto"/>
          <w:sz w:val="24"/>
          <w:szCs w:val="24"/>
          <w:highlight w:val="none"/>
        </w:rPr>
        <w:t>须知前附表</w:t>
      </w:r>
      <w:r>
        <w:rPr>
          <w:rFonts w:hint="eastAsia" w:cs="仿宋_GB2312"/>
          <w:color w:val="auto"/>
          <w:sz w:val="24"/>
          <w:szCs w:val="24"/>
          <w:highlight w:val="none"/>
          <w:lang w:eastAsia="zh-CN"/>
        </w:rPr>
        <w:t>”</w:t>
      </w:r>
      <w:r>
        <w:rPr>
          <w:rFonts w:eastAsia="宋体" w:cs="仿宋_GB2312"/>
          <w:color w:val="auto"/>
          <w:sz w:val="24"/>
          <w:szCs w:val="24"/>
          <w:highlight w:val="none"/>
        </w:rPr>
        <w:t>规定的</w:t>
      </w:r>
      <w:r>
        <w:rPr>
          <w:rFonts w:hint="eastAsia" w:eastAsia="宋体" w:cs="仿宋_GB2312"/>
          <w:color w:val="auto"/>
          <w:sz w:val="24"/>
          <w:szCs w:val="24"/>
          <w:highlight w:val="none"/>
        </w:rPr>
        <w:t>询问</w:t>
      </w:r>
      <w:r>
        <w:rPr>
          <w:rFonts w:hint="eastAsia" w:cs="仿宋_GB2312"/>
          <w:color w:val="auto"/>
          <w:sz w:val="24"/>
          <w:szCs w:val="24"/>
          <w:highlight w:val="none"/>
          <w:lang w:val="en-US" w:eastAsia="zh-CN"/>
        </w:rPr>
        <w:t>方式和</w:t>
      </w:r>
      <w:r>
        <w:rPr>
          <w:rFonts w:eastAsia="宋体" w:cs="仿宋_GB2312"/>
          <w:color w:val="auto"/>
          <w:sz w:val="24"/>
          <w:szCs w:val="24"/>
          <w:highlight w:val="none"/>
        </w:rPr>
        <w:t>时间提交给</w:t>
      </w:r>
      <w:r>
        <w:rPr>
          <w:rFonts w:hint="eastAsia" w:cs="仿宋_GB2312"/>
          <w:color w:val="auto"/>
          <w:sz w:val="24"/>
          <w:szCs w:val="24"/>
          <w:highlight w:val="none"/>
          <w:lang w:val="en-US" w:eastAsia="zh-CN"/>
        </w:rPr>
        <w:t>采购人或</w:t>
      </w:r>
      <w:r>
        <w:rPr>
          <w:rFonts w:eastAsia="宋体" w:cs="仿宋_GB2312"/>
          <w:color w:val="auto"/>
          <w:sz w:val="24"/>
          <w:szCs w:val="24"/>
          <w:highlight w:val="none"/>
        </w:rPr>
        <w:t>采购代理机构。</w:t>
      </w:r>
    </w:p>
    <w:p w14:paraId="6D96435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eastAsia="宋体" w:cs="仿宋_GB2312"/>
          <w:color w:val="auto"/>
          <w:sz w:val="24"/>
          <w:szCs w:val="24"/>
          <w:highlight w:val="none"/>
        </w:rPr>
        <w:t>.</w:t>
      </w:r>
      <w:r>
        <w:rPr>
          <w:rFonts w:hint="eastAsia" w:eastAsia="宋体" w:cs="仿宋_GB2312"/>
          <w:color w:val="auto"/>
          <w:sz w:val="24"/>
          <w:szCs w:val="24"/>
          <w:highlight w:val="none"/>
        </w:rPr>
        <w:t>2采购人可主动地或在</w:t>
      </w:r>
      <w:r>
        <w:rPr>
          <w:rFonts w:hint="eastAsia" w:eastAsia="宋体" w:cs="仿宋_GB2312"/>
          <w:color w:val="auto"/>
          <w:sz w:val="24"/>
          <w:szCs w:val="24"/>
          <w:highlight w:val="none"/>
          <w:lang w:val="en-US" w:eastAsia="zh-CN"/>
        </w:rPr>
        <w:t>答复</w:t>
      </w:r>
      <w:r>
        <w:rPr>
          <w:rFonts w:hint="eastAsia" w:eastAsia="宋体" w:cs="仿宋_GB2312"/>
          <w:color w:val="auto"/>
          <w:sz w:val="24"/>
          <w:szCs w:val="24"/>
          <w:highlight w:val="none"/>
        </w:rPr>
        <w:t>供应商提出的</w:t>
      </w:r>
      <w:r>
        <w:rPr>
          <w:rFonts w:hint="eastAsia" w:eastAsia="宋体" w:cs="仿宋_GB2312"/>
          <w:color w:val="auto"/>
          <w:sz w:val="24"/>
          <w:szCs w:val="24"/>
          <w:highlight w:val="none"/>
          <w:lang w:val="en-US" w:eastAsia="zh-CN"/>
        </w:rPr>
        <w:t>询问</w:t>
      </w:r>
      <w:r>
        <w:rPr>
          <w:rFonts w:hint="eastAsia" w:eastAsia="宋体" w:cs="仿宋_GB2312"/>
          <w:color w:val="auto"/>
          <w:sz w:val="24"/>
          <w:szCs w:val="24"/>
          <w:highlight w:val="none"/>
        </w:rPr>
        <w:t>时对竞争性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文件进行澄清与修改。</w:t>
      </w:r>
      <w:r>
        <w:rPr>
          <w:rFonts w:eastAsia="宋体" w:cs="仿宋_GB2312"/>
          <w:color w:val="auto"/>
          <w:sz w:val="24"/>
          <w:szCs w:val="24"/>
          <w:highlight w:val="none"/>
        </w:rPr>
        <w:t>采购代理机构将</w:t>
      </w:r>
      <w:r>
        <w:rPr>
          <w:rFonts w:hint="eastAsia" w:eastAsia="宋体" w:cs="仿宋_GB2312"/>
          <w:color w:val="auto"/>
          <w:sz w:val="24"/>
          <w:szCs w:val="24"/>
          <w:highlight w:val="none"/>
        </w:rPr>
        <w:t>在</w:t>
      </w:r>
      <w:r>
        <w:rPr>
          <w:rFonts w:hint="eastAsia" w:cs="仿宋_GB2312"/>
          <w:color w:val="auto"/>
          <w:sz w:val="24"/>
          <w:szCs w:val="24"/>
          <w:highlight w:val="none"/>
          <w:lang w:val="en-US" w:eastAsia="zh-CN"/>
        </w:rPr>
        <w:t>新疆政府采购云平台</w:t>
      </w:r>
      <w:r>
        <w:rPr>
          <w:rFonts w:hint="eastAsia" w:eastAsia="宋体" w:cs="仿宋_GB2312"/>
          <w:color w:val="auto"/>
          <w:sz w:val="24"/>
          <w:szCs w:val="24"/>
          <w:highlight w:val="none"/>
        </w:rPr>
        <w:t>以发布更正公告的方式澄清或修改竞争性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文件，更正公告的</w:t>
      </w:r>
      <w:r>
        <w:rPr>
          <w:rFonts w:eastAsia="宋体" w:cs="仿宋_GB2312"/>
          <w:color w:val="auto"/>
          <w:sz w:val="24"/>
          <w:szCs w:val="24"/>
          <w:highlight w:val="none"/>
        </w:rPr>
        <w:t>内容</w:t>
      </w:r>
      <w:r>
        <w:rPr>
          <w:rFonts w:hint="eastAsia" w:eastAsia="宋体" w:cs="仿宋_GB2312"/>
          <w:color w:val="auto"/>
          <w:sz w:val="24"/>
          <w:szCs w:val="24"/>
          <w:highlight w:val="none"/>
        </w:rPr>
        <w:t>作</w:t>
      </w:r>
      <w:r>
        <w:rPr>
          <w:rFonts w:eastAsia="宋体" w:cs="仿宋_GB2312"/>
          <w:color w:val="auto"/>
          <w:sz w:val="24"/>
          <w:szCs w:val="24"/>
          <w:highlight w:val="none"/>
        </w:rPr>
        <w:t>为</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w:t>
      </w:r>
      <w:r>
        <w:rPr>
          <w:rFonts w:eastAsia="宋体" w:cs="仿宋_GB2312"/>
          <w:color w:val="auto"/>
          <w:sz w:val="24"/>
          <w:szCs w:val="24"/>
          <w:highlight w:val="none"/>
        </w:rPr>
        <w:t>组成部分，对</w:t>
      </w:r>
      <w:r>
        <w:rPr>
          <w:rFonts w:hint="eastAsia" w:eastAsia="宋体" w:cs="仿宋_GB2312"/>
          <w:color w:val="auto"/>
          <w:sz w:val="24"/>
          <w:szCs w:val="24"/>
          <w:highlight w:val="none"/>
        </w:rPr>
        <w:t>供应商</w:t>
      </w:r>
      <w:r>
        <w:rPr>
          <w:rFonts w:eastAsia="宋体" w:cs="仿宋_GB2312"/>
          <w:color w:val="auto"/>
          <w:sz w:val="24"/>
          <w:szCs w:val="24"/>
          <w:highlight w:val="none"/>
        </w:rPr>
        <w:t>起约束作用</w:t>
      </w:r>
      <w:r>
        <w:rPr>
          <w:rFonts w:hint="eastAsia" w:eastAsia="宋体" w:cs="仿宋_GB2312"/>
          <w:color w:val="auto"/>
          <w:sz w:val="24"/>
          <w:szCs w:val="24"/>
          <w:highlight w:val="none"/>
        </w:rPr>
        <w:t>。供应商应主动上网查询。采购代理机构不承担供应商未及时关注相关信息引发的相关责任。</w:t>
      </w:r>
    </w:p>
    <w:p w14:paraId="14950506">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eastAsia="宋体" w:cs="仿宋_GB2312"/>
          <w:color w:val="auto"/>
          <w:sz w:val="24"/>
          <w:szCs w:val="24"/>
          <w:highlight w:val="none"/>
        </w:rPr>
      </w:pPr>
      <w:r>
        <w:rPr>
          <w:rFonts w:eastAsia="宋体" w:cs="仿宋_GB2312"/>
          <w:color w:val="auto"/>
          <w:sz w:val="24"/>
          <w:szCs w:val="24"/>
          <w:highlight w:val="none"/>
        </w:rPr>
        <w:t>1</w:t>
      </w:r>
      <w:r>
        <w:rPr>
          <w:rFonts w:hint="eastAsia" w:eastAsia="宋体" w:cs="仿宋_GB2312"/>
          <w:color w:val="auto"/>
          <w:sz w:val="24"/>
          <w:szCs w:val="24"/>
          <w:highlight w:val="none"/>
          <w:lang w:val="en-US" w:eastAsia="zh-CN"/>
        </w:rPr>
        <w:t>2</w:t>
      </w:r>
      <w:r>
        <w:rPr>
          <w:rFonts w:hint="eastAsia" w:eastAsia="宋体" w:cs="仿宋_GB2312"/>
          <w:color w:val="auto"/>
          <w:sz w:val="24"/>
          <w:szCs w:val="24"/>
          <w:highlight w:val="none"/>
        </w:rPr>
        <w:t>.3 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文件的澄清或者修改的内容可能影响</w:t>
      </w:r>
      <w:r>
        <w:rPr>
          <w:rFonts w:hint="eastAsia" w:cs="仿宋_GB2312"/>
          <w:color w:val="auto"/>
          <w:sz w:val="24"/>
          <w:szCs w:val="24"/>
          <w:highlight w:val="none"/>
          <w:lang w:val="en-US" w:eastAsia="zh-CN"/>
        </w:rPr>
        <w:t>响应</w:t>
      </w:r>
      <w:r>
        <w:rPr>
          <w:rFonts w:hint="eastAsia" w:eastAsia="宋体" w:cs="仿宋_GB2312"/>
          <w:color w:val="auto"/>
          <w:sz w:val="24"/>
          <w:szCs w:val="24"/>
          <w:highlight w:val="none"/>
        </w:rPr>
        <w:t>文件编制的，</w:t>
      </w:r>
      <w:r>
        <w:rPr>
          <w:rFonts w:hint="eastAsia" w:eastAsia="宋体" w:cs="仿宋_GB2312"/>
          <w:color w:val="auto"/>
          <w:sz w:val="24"/>
          <w:szCs w:val="24"/>
          <w:highlight w:val="none"/>
          <w:lang w:val="zh-CN"/>
        </w:rPr>
        <w:t>采购人、采购代理机构或者磋商小组应当在提交首次响应文件截止之日5日前，以书面形式通知所有接收</w:t>
      </w:r>
      <w:r>
        <w:rPr>
          <w:rFonts w:hint="eastAsia" w:eastAsia="宋体" w:cs="仿宋_GB2312"/>
          <w:color w:val="auto"/>
          <w:sz w:val="24"/>
          <w:szCs w:val="24"/>
          <w:highlight w:val="none"/>
        </w:rPr>
        <w:t>竞争性</w:t>
      </w:r>
      <w:r>
        <w:rPr>
          <w:rFonts w:hint="eastAsia" w:eastAsia="宋体" w:cs="仿宋_GB2312"/>
          <w:color w:val="auto"/>
          <w:sz w:val="24"/>
          <w:szCs w:val="24"/>
          <w:highlight w:val="none"/>
          <w:lang w:val="zh-CN"/>
        </w:rPr>
        <w:t>磋商文件的供应商，不足5日的，应当顺延提交首次响应文件</w:t>
      </w:r>
      <w:r>
        <w:rPr>
          <w:rFonts w:hint="eastAsia" w:eastAsia="宋体" w:cs="仿宋_GB2312"/>
          <w:color w:val="auto"/>
          <w:sz w:val="24"/>
          <w:szCs w:val="24"/>
          <w:highlight w:val="none"/>
          <w:lang w:val="en-US" w:eastAsia="zh-CN"/>
        </w:rPr>
        <w:t>的</w:t>
      </w:r>
      <w:r>
        <w:rPr>
          <w:rFonts w:hint="eastAsia" w:eastAsia="宋体" w:cs="仿宋_GB2312"/>
          <w:color w:val="auto"/>
          <w:sz w:val="24"/>
          <w:szCs w:val="24"/>
          <w:highlight w:val="none"/>
          <w:lang w:val="zh-CN"/>
        </w:rPr>
        <w:t>截止时间</w:t>
      </w:r>
      <w:r>
        <w:rPr>
          <w:rFonts w:hint="eastAsia" w:eastAsia="宋体" w:cs="仿宋_GB2312"/>
          <w:color w:val="auto"/>
          <w:sz w:val="24"/>
          <w:szCs w:val="24"/>
          <w:highlight w:val="none"/>
        </w:rPr>
        <w:t>。</w:t>
      </w:r>
    </w:p>
    <w:p w14:paraId="593F433F">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w:t>
      </w:r>
      <w:r>
        <w:rPr>
          <w:rFonts w:hint="eastAsia" w:eastAsia="宋体" w:cs="仿宋_GB2312"/>
          <w:color w:val="auto"/>
          <w:sz w:val="24"/>
          <w:szCs w:val="24"/>
          <w:highlight w:val="none"/>
        </w:rPr>
        <w:t>.</w:t>
      </w:r>
      <w:r>
        <w:rPr>
          <w:rFonts w:hint="eastAsia" w:cs="仿宋_GB2312"/>
          <w:color w:val="auto"/>
          <w:sz w:val="24"/>
          <w:szCs w:val="24"/>
          <w:highlight w:val="none"/>
          <w:lang w:val="en-US" w:eastAsia="zh-CN"/>
        </w:rPr>
        <w:t>4</w:t>
      </w:r>
      <w:r>
        <w:rPr>
          <w:rFonts w:hint="eastAsia" w:eastAsia="宋体" w:cs="仿宋_GB2312"/>
          <w:color w:val="auto"/>
          <w:sz w:val="24"/>
          <w:szCs w:val="24"/>
          <w:highlight w:val="none"/>
        </w:rPr>
        <w:t>任何人或任何组织向</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提供的任何书面或口头资料，未经采购代理机构在网上发布或书面通知，均作无效处理，不得作为竞争性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文件的组成部分。采购代理机构对</w:t>
      </w:r>
      <w:r>
        <w:rPr>
          <w:rFonts w:hint="eastAsia" w:cs="仿宋_GB2312"/>
          <w:color w:val="auto"/>
          <w:sz w:val="24"/>
          <w:szCs w:val="24"/>
          <w:highlight w:val="none"/>
          <w:lang w:val="en-US" w:eastAsia="zh-CN"/>
        </w:rPr>
        <w:t>供应商</w:t>
      </w:r>
      <w:r>
        <w:rPr>
          <w:rFonts w:hint="eastAsia" w:eastAsia="宋体" w:cs="仿宋_GB2312"/>
          <w:color w:val="auto"/>
          <w:sz w:val="24"/>
          <w:szCs w:val="24"/>
          <w:highlight w:val="none"/>
        </w:rPr>
        <w:t>由此而做出的推论、理解和结论概不负责。</w:t>
      </w:r>
    </w:p>
    <w:p w14:paraId="715B8664">
      <w:pPr>
        <w:keepNext w:val="0"/>
        <w:keepLines w:val="0"/>
        <w:pageBreakBefore w:val="0"/>
        <w:widowControl w:val="0"/>
        <w:kinsoku/>
        <w:overflowPunct/>
        <w:topLinePunct w:val="0"/>
        <w:autoSpaceDE/>
        <w:autoSpaceDN/>
        <w:bidi w:val="0"/>
        <w:adjustRightInd/>
        <w:ind w:firstLine="480" w:firstLineChars="200"/>
        <w:jc w:val="both"/>
        <w:textAlignment w:val="auto"/>
        <w:rPr>
          <w:rFonts w:eastAsia="宋体" w:cs="仿宋_GB2312"/>
          <w:color w:val="auto"/>
          <w:sz w:val="24"/>
          <w:szCs w:val="24"/>
          <w:highlight w:val="none"/>
        </w:rPr>
      </w:pPr>
      <w:r>
        <w:rPr>
          <w:rFonts w:hint="eastAsia" w:cs="仿宋_GB2312"/>
          <w:color w:val="auto"/>
          <w:sz w:val="24"/>
          <w:szCs w:val="24"/>
          <w:highlight w:val="none"/>
          <w:lang w:val="en-US" w:eastAsia="zh-CN"/>
        </w:rPr>
        <w:t>12.5</w:t>
      </w:r>
      <w:r>
        <w:rPr>
          <w:rFonts w:eastAsia="宋体" w:cs="仿宋_GB2312"/>
          <w:color w:val="auto"/>
          <w:sz w:val="24"/>
          <w:szCs w:val="24"/>
          <w:highlight w:val="none"/>
        </w:rPr>
        <w:t>对于没有提出</w:t>
      </w:r>
      <w:r>
        <w:rPr>
          <w:rFonts w:hint="eastAsia" w:eastAsia="宋体" w:cs="仿宋_GB2312"/>
          <w:color w:val="auto"/>
          <w:sz w:val="24"/>
          <w:szCs w:val="24"/>
          <w:highlight w:val="none"/>
        </w:rPr>
        <w:t>疑问</w:t>
      </w:r>
      <w:r>
        <w:rPr>
          <w:rFonts w:eastAsia="宋体" w:cs="仿宋_GB2312"/>
          <w:color w:val="auto"/>
          <w:sz w:val="24"/>
          <w:szCs w:val="24"/>
          <w:highlight w:val="none"/>
        </w:rPr>
        <w:t>又参与了</w:t>
      </w:r>
      <w:r>
        <w:rPr>
          <w:rFonts w:hint="eastAsia" w:eastAsia="宋体" w:cs="仿宋_GB2312"/>
          <w:color w:val="auto"/>
          <w:sz w:val="24"/>
          <w:szCs w:val="24"/>
          <w:highlight w:val="none"/>
        </w:rPr>
        <w:t>本</w:t>
      </w:r>
      <w:r>
        <w:rPr>
          <w:rFonts w:eastAsia="宋体" w:cs="仿宋_GB2312"/>
          <w:color w:val="auto"/>
          <w:sz w:val="24"/>
          <w:szCs w:val="24"/>
          <w:highlight w:val="none"/>
        </w:rPr>
        <w:t>项目</w:t>
      </w:r>
      <w:r>
        <w:rPr>
          <w:rFonts w:hint="eastAsia" w:cs="仿宋_GB2312"/>
          <w:color w:val="auto"/>
          <w:sz w:val="24"/>
          <w:szCs w:val="24"/>
          <w:highlight w:val="none"/>
          <w:lang w:val="en-US" w:eastAsia="zh-CN"/>
        </w:rPr>
        <w:t>磋商</w:t>
      </w:r>
      <w:r>
        <w:rPr>
          <w:rFonts w:eastAsia="宋体" w:cs="仿宋_GB2312"/>
          <w:color w:val="auto"/>
          <w:sz w:val="24"/>
          <w:szCs w:val="24"/>
          <w:highlight w:val="none"/>
        </w:rPr>
        <w:t>的</w:t>
      </w:r>
      <w:r>
        <w:rPr>
          <w:rFonts w:hint="eastAsia" w:eastAsia="宋体" w:cs="仿宋_GB2312"/>
          <w:color w:val="auto"/>
          <w:sz w:val="24"/>
          <w:szCs w:val="24"/>
          <w:highlight w:val="none"/>
        </w:rPr>
        <w:t>供应商</w:t>
      </w:r>
      <w:r>
        <w:rPr>
          <w:rFonts w:eastAsia="宋体" w:cs="仿宋_GB2312"/>
          <w:color w:val="auto"/>
          <w:sz w:val="24"/>
          <w:szCs w:val="24"/>
          <w:highlight w:val="none"/>
        </w:rPr>
        <w:t>将被视为完全认同</w:t>
      </w:r>
      <w:r>
        <w:rPr>
          <w:rFonts w:hint="eastAsia" w:eastAsia="宋体" w:cs="仿宋_GB2312"/>
          <w:color w:val="auto"/>
          <w:sz w:val="24"/>
          <w:szCs w:val="24"/>
          <w:highlight w:val="none"/>
        </w:rPr>
        <w:t>本竞争性</w:t>
      </w:r>
      <w:r>
        <w:rPr>
          <w:rFonts w:hint="eastAsia" w:eastAsia="宋体" w:cs="仿宋_GB2312"/>
          <w:color w:val="auto"/>
          <w:sz w:val="24"/>
          <w:szCs w:val="24"/>
          <w:highlight w:val="none"/>
          <w:lang w:val="en-US" w:eastAsia="zh-CN"/>
        </w:rPr>
        <w:t>磋商</w:t>
      </w:r>
      <w:r>
        <w:rPr>
          <w:rFonts w:hint="eastAsia" w:eastAsia="宋体" w:cs="仿宋_GB2312"/>
          <w:color w:val="auto"/>
          <w:sz w:val="24"/>
          <w:szCs w:val="24"/>
          <w:highlight w:val="none"/>
        </w:rPr>
        <w:t>文件</w:t>
      </w:r>
      <w:r>
        <w:rPr>
          <w:rFonts w:eastAsia="宋体" w:cs="仿宋_GB2312"/>
          <w:color w:val="auto"/>
          <w:sz w:val="24"/>
          <w:szCs w:val="24"/>
          <w:highlight w:val="none"/>
        </w:rPr>
        <w:t>（含</w:t>
      </w:r>
      <w:r>
        <w:rPr>
          <w:rFonts w:hint="eastAsia" w:eastAsia="宋体" w:cs="仿宋_GB2312"/>
          <w:color w:val="auto"/>
          <w:sz w:val="24"/>
          <w:szCs w:val="24"/>
          <w:highlight w:val="none"/>
        </w:rPr>
        <w:t>更正公告的</w:t>
      </w:r>
      <w:r>
        <w:rPr>
          <w:rFonts w:eastAsia="宋体" w:cs="仿宋_GB2312"/>
          <w:color w:val="auto"/>
          <w:sz w:val="24"/>
          <w:szCs w:val="24"/>
          <w:highlight w:val="none"/>
        </w:rPr>
        <w:t>内容）</w:t>
      </w:r>
      <w:r>
        <w:rPr>
          <w:rFonts w:hint="eastAsia" w:eastAsia="宋体" w:cs="仿宋_GB2312"/>
          <w:color w:val="auto"/>
          <w:sz w:val="24"/>
          <w:szCs w:val="24"/>
          <w:highlight w:val="none"/>
        </w:rPr>
        <w:t>。</w:t>
      </w:r>
    </w:p>
    <w:p w14:paraId="6F274E6E">
      <w:pPr>
        <w:pStyle w:val="36"/>
        <w:keepNext w:val="0"/>
        <w:keepLines w:val="0"/>
        <w:pageBreakBefore w:val="0"/>
        <w:widowControl w:val="0"/>
        <w:kinsoku/>
        <w:overflowPunct/>
        <w:topLinePunct w:val="0"/>
        <w:autoSpaceDE/>
        <w:autoSpaceDN/>
        <w:bidi w:val="0"/>
        <w:adjustRightInd/>
        <w:jc w:val="both"/>
        <w:textAlignment w:val="auto"/>
        <w:rPr>
          <w:rFonts w:hint="eastAsia" w:eastAsia="宋体"/>
          <w:color w:val="auto"/>
          <w:sz w:val="24"/>
          <w:highlight w:val="none"/>
        </w:rPr>
      </w:pPr>
      <w:r>
        <w:rPr>
          <w:rFonts w:eastAsia="宋体"/>
          <w:color w:val="auto"/>
          <w:sz w:val="24"/>
          <w:highlight w:val="none"/>
        </w:rPr>
        <w:t>1</w:t>
      </w:r>
      <w:r>
        <w:rPr>
          <w:rFonts w:hint="eastAsia" w:eastAsia="宋体"/>
          <w:color w:val="auto"/>
          <w:sz w:val="24"/>
          <w:highlight w:val="none"/>
          <w:lang w:val="en-US" w:eastAsia="zh-CN"/>
        </w:rPr>
        <w:t>2</w:t>
      </w:r>
      <w:r>
        <w:rPr>
          <w:rFonts w:eastAsia="宋体"/>
          <w:color w:val="auto"/>
          <w:sz w:val="24"/>
          <w:highlight w:val="none"/>
        </w:rPr>
        <w:t>.</w:t>
      </w:r>
      <w:r>
        <w:rPr>
          <w:rFonts w:hint="eastAsia"/>
          <w:color w:val="auto"/>
          <w:sz w:val="24"/>
          <w:highlight w:val="none"/>
          <w:lang w:val="en-US" w:eastAsia="zh-CN"/>
        </w:rPr>
        <w:t>6</w:t>
      </w:r>
      <w:r>
        <w:rPr>
          <w:rFonts w:hint="eastAsia" w:eastAsia="宋体"/>
          <w:color w:val="auto"/>
          <w:sz w:val="24"/>
          <w:highlight w:val="none"/>
        </w:rPr>
        <w:t xml:space="preserve"> </w:t>
      </w:r>
      <w:r>
        <w:rPr>
          <w:rFonts w:hint="eastAsia" w:eastAsia="宋体" w:cs="仿宋_GB2312"/>
          <w:color w:val="auto"/>
          <w:sz w:val="24"/>
          <w:szCs w:val="24"/>
          <w:highlight w:val="none"/>
          <w:lang w:val="en-US" w:eastAsia="zh-CN"/>
        </w:rPr>
        <w:t>“</w:t>
      </w:r>
      <w:r>
        <w:rPr>
          <w:rFonts w:hint="eastAsia" w:eastAsia="宋体" w:cs="仿宋_GB2312"/>
          <w:color w:val="auto"/>
          <w:sz w:val="24"/>
          <w:szCs w:val="24"/>
          <w:highlight w:val="none"/>
        </w:rPr>
        <w:t>供应商须知”所称“</w:t>
      </w:r>
      <w:r>
        <w:rPr>
          <w:rFonts w:hint="eastAsia" w:eastAsia="宋体"/>
          <w:color w:val="auto"/>
          <w:sz w:val="24"/>
          <w:highlight w:val="none"/>
        </w:rPr>
        <w:t>书面形式</w:t>
      </w:r>
      <w:r>
        <w:rPr>
          <w:rFonts w:hint="eastAsia" w:eastAsia="宋体" w:cs="仿宋_GB2312"/>
          <w:color w:val="auto"/>
          <w:sz w:val="24"/>
          <w:szCs w:val="24"/>
          <w:highlight w:val="none"/>
        </w:rPr>
        <w:t>”</w:t>
      </w:r>
      <w:r>
        <w:rPr>
          <w:rFonts w:hint="eastAsia" w:eastAsia="宋体"/>
          <w:color w:val="auto"/>
          <w:sz w:val="24"/>
          <w:highlight w:val="none"/>
        </w:rPr>
        <w:t>包括系统消息、政府采购</w:t>
      </w:r>
      <w:r>
        <w:rPr>
          <w:rFonts w:hint="eastAsia" w:eastAsia="宋体"/>
          <w:color w:val="auto"/>
          <w:sz w:val="24"/>
          <w:highlight w:val="none"/>
          <w:lang w:val="en-US" w:eastAsia="zh-CN"/>
        </w:rPr>
        <w:t>云平台</w:t>
      </w:r>
      <w:r>
        <w:rPr>
          <w:rFonts w:hint="eastAsia" w:eastAsia="宋体"/>
          <w:color w:val="auto"/>
          <w:sz w:val="24"/>
          <w:highlight w:val="none"/>
        </w:rPr>
        <w:t>发布的公告。</w:t>
      </w:r>
    </w:p>
    <w:p w14:paraId="6E542BA8">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color w:val="auto"/>
          <w:kern w:val="2"/>
          <w:sz w:val="24"/>
          <w:szCs w:val="22"/>
          <w:highlight w:val="none"/>
          <w:lang w:val="en-US" w:eastAsia="zh-CN"/>
        </w:rPr>
        <w:t>12.7</w:t>
      </w:r>
      <w:r>
        <w:rPr>
          <w:rFonts w:hint="eastAsia" w:ascii="宋体" w:hAnsi="宋体" w:eastAsia="宋体" w:cs="宋体"/>
          <w:color w:val="auto"/>
          <w:kern w:val="2"/>
          <w:sz w:val="24"/>
          <w:szCs w:val="22"/>
          <w:highlight w:val="none"/>
        </w:rPr>
        <w:t>当竞争性</w:t>
      </w:r>
      <w:r>
        <w:rPr>
          <w:rFonts w:hint="eastAsia" w:ascii="宋体" w:hAnsi="宋体" w:eastAsia="宋体" w:cs="宋体"/>
          <w:color w:val="auto"/>
          <w:kern w:val="2"/>
          <w:sz w:val="24"/>
          <w:szCs w:val="22"/>
          <w:highlight w:val="none"/>
          <w:lang w:val="en-US" w:eastAsia="zh-CN"/>
        </w:rPr>
        <w:t>磋商</w:t>
      </w:r>
      <w:r>
        <w:rPr>
          <w:rFonts w:hint="eastAsia" w:ascii="宋体" w:hAnsi="宋体" w:eastAsia="宋体" w:cs="宋体"/>
          <w:color w:val="auto"/>
          <w:kern w:val="2"/>
          <w:sz w:val="24"/>
          <w:szCs w:val="22"/>
          <w:highlight w:val="none"/>
        </w:rPr>
        <w:t>文件的澄清、修改及其他答复等就同一内容的表述不一致时，以最后发布的内容为准。</w:t>
      </w:r>
    </w:p>
    <w:p w14:paraId="7D17D0F6">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69" w:name="_Toc109897442"/>
      <w:bookmarkStart w:id="170" w:name="_Toc109899960"/>
      <w:bookmarkStart w:id="171" w:name="_Toc109899541"/>
      <w:bookmarkStart w:id="172" w:name="_Toc163493613"/>
      <w:bookmarkStart w:id="173" w:name="_Toc470172672"/>
      <w:bookmarkStart w:id="174" w:name="_Toc109900379"/>
      <w:bookmarkStart w:id="175" w:name="_Toc46771647"/>
      <w:r>
        <w:rPr>
          <w:rFonts w:hint="eastAsia" w:ascii="宋体" w:hAnsi="宋体" w:eastAsia="宋体" w:cs="宋体"/>
          <w:b/>
          <w:bCs/>
          <w:i w:val="0"/>
          <w:iCs w:val="0"/>
          <w:color w:val="auto"/>
          <w:kern w:val="2"/>
          <w:sz w:val="24"/>
          <w:szCs w:val="24"/>
          <w:highlight w:val="none"/>
          <w:lang w:val="en-US" w:eastAsia="zh-CN" w:bidi="ar-SA"/>
        </w:rPr>
        <w:t>（三）响应文件</w:t>
      </w:r>
      <w:bookmarkEnd w:id="169"/>
      <w:bookmarkEnd w:id="170"/>
      <w:bookmarkEnd w:id="171"/>
      <w:bookmarkEnd w:id="172"/>
      <w:bookmarkEnd w:id="173"/>
      <w:bookmarkEnd w:id="174"/>
      <w:bookmarkEnd w:id="175"/>
    </w:p>
    <w:p w14:paraId="3A231C5B">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76" w:name="_Toc52960562"/>
      <w:bookmarkStart w:id="177" w:name="_Toc52962736"/>
      <w:bookmarkStart w:id="178" w:name="_Toc109899962"/>
      <w:bookmarkStart w:id="179" w:name="_Toc46771649"/>
      <w:bookmarkStart w:id="180" w:name="_Toc48846118"/>
      <w:bookmarkStart w:id="181" w:name="_Toc470172674"/>
      <w:bookmarkStart w:id="182" w:name="_Toc109900381"/>
      <w:bookmarkStart w:id="183" w:name="_Toc48688798"/>
      <w:bookmarkStart w:id="184" w:name="_Toc32272"/>
      <w:bookmarkStart w:id="185" w:name="_Toc46772250"/>
      <w:bookmarkStart w:id="186" w:name="_Toc51674220"/>
      <w:bookmarkStart w:id="187" w:name="_Toc109897444"/>
      <w:bookmarkStart w:id="188" w:name="_Toc109899543"/>
      <w:r>
        <w:rPr>
          <w:rFonts w:hint="eastAsia" w:ascii="宋体" w:hAnsi="宋体" w:eastAsia="宋体" w:cs="宋体"/>
          <w:b/>
          <w:bCs/>
          <w:i w:val="0"/>
          <w:iCs w:val="0"/>
          <w:color w:val="auto"/>
          <w:kern w:val="2"/>
          <w:sz w:val="24"/>
          <w:szCs w:val="24"/>
          <w:highlight w:val="none"/>
          <w:lang w:val="en-US" w:eastAsia="zh-CN" w:bidi="ar-SA"/>
        </w:rPr>
        <w:t>13.响应文件的</w:t>
      </w:r>
      <w:bookmarkEnd w:id="176"/>
      <w:bookmarkEnd w:id="177"/>
      <w:bookmarkEnd w:id="178"/>
      <w:bookmarkEnd w:id="179"/>
      <w:bookmarkEnd w:id="180"/>
      <w:bookmarkEnd w:id="181"/>
      <w:bookmarkEnd w:id="182"/>
      <w:bookmarkEnd w:id="183"/>
      <w:bookmarkEnd w:id="184"/>
      <w:bookmarkEnd w:id="185"/>
      <w:bookmarkEnd w:id="186"/>
      <w:bookmarkEnd w:id="187"/>
      <w:bookmarkEnd w:id="188"/>
      <w:r>
        <w:rPr>
          <w:rFonts w:hint="eastAsia" w:ascii="宋体" w:hAnsi="宋体" w:eastAsia="宋体" w:cs="宋体"/>
          <w:b/>
          <w:bCs/>
          <w:i w:val="0"/>
          <w:iCs w:val="0"/>
          <w:color w:val="auto"/>
          <w:kern w:val="2"/>
          <w:sz w:val="24"/>
          <w:szCs w:val="24"/>
          <w:highlight w:val="none"/>
          <w:lang w:val="en-US" w:eastAsia="zh-CN" w:bidi="ar-SA"/>
        </w:rPr>
        <w:t>组成</w:t>
      </w:r>
    </w:p>
    <w:p w14:paraId="174A0A3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lang w:val="en-US" w:eastAsia="zh-CN"/>
        </w:rPr>
        <w:t>13</w:t>
      </w: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应完整地按竞争性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文件提供的</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文件格式及要求编写</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文件，具体内容详见</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lang w:val="en-US" w:eastAsia="zh-CN"/>
        </w:rPr>
        <w:t>第六章 响应</w:t>
      </w:r>
      <w:r>
        <w:rPr>
          <w:rFonts w:hint="eastAsia" w:ascii="宋体" w:hAnsi="宋体" w:eastAsia="宋体" w:cs="宋体"/>
          <w:i w:val="0"/>
          <w:iCs w:val="0"/>
          <w:color w:val="auto"/>
          <w:kern w:val="2"/>
          <w:sz w:val="24"/>
          <w:szCs w:val="24"/>
          <w:highlight w:val="none"/>
        </w:rPr>
        <w:t>文件</w:t>
      </w:r>
      <w:r>
        <w:rPr>
          <w:rFonts w:hint="eastAsia" w:ascii="宋体" w:hAnsi="宋体" w:eastAsia="宋体" w:cs="宋体"/>
          <w:i w:val="0"/>
          <w:iCs w:val="0"/>
          <w:color w:val="auto"/>
          <w:kern w:val="2"/>
          <w:sz w:val="24"/>
          <w:szCs w:val="24"/>
          <w:highlight w:val="none"/>
          <w:lang w:val="en-US" w:eastAsia="zh-CN"/>
        </w:rPr>
        <w:t>的</w:t>
      </w:r>
      <w:r>
        <w:rPr>
          <w:rFonts w:hint="eastAsia" w:ascii="宋体" w:hAnsi="宋体" w:eastAsia="宋体" w:cs="宋体"/>
          <w:i w:val="0"/>
          <w:iCs w:val="0"/>
          <w:color w:val="auto"/>
          <w:kern w:val="2"/>
          <w:sz w:val="24"/>
          <w:szCs w:val="24"/>
          <w:highlight w:val="none"/>
        </w:rPr>
        <w:t>格式</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的相关内容。</w:t>
      </w:r>
    </w:p>
    <w:p w14:paraId="3BB3A0B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13.2供应商</w:t>
      </w:r>
      <w:r>
        <w:rPr>
          <w:rFonts w:hint="eastAsia" w:ascii="宋体" w:hAnsi="宋体" w:eastAsia="宋体" w:cs="宋体"/>
          <w:i w:val="0"/>
          <w:iCs w:val="0"/>
          <w:color w:val="auto"/>
          <w:kern w:val="2"/>
          <w:sz w:val="24"/>
          <w:szCs w:val="24"/>
          <w:highlight w:val="none"/>
        </w:rPr>
        <w:t>应提交竞争性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文件要求的证明文件，证明其</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内容符合竞争性</w:t>
      </w:r>
      <w:r>
        <w:rPr>
          <w:rFonts w:hint="eastAsia" w:ascii="宋体" w:hAnsi="宋体" w:eastAsia="宋体" w:cs="宋体"/>
          <w:i w:val="0"/>
          <w:iCs w:val="0"/>
          <w:color w:val="auto"/>
          <w:kern w:val="2"/>
          <w:sz w:val="24"/>
          <w:szCs w:val="24"/>
          <w:highlight w:val="none"/>
          <w:lang w:val="zh-CN"/>
        </w:rPr>
        <w:t>磋商</w:t>
      </w:r>
      <w:r>
        <w:rPr>
          <w:rFonts w:hint="eastAsia" w:ascii="宋体" w:hAnsi="宋体" w:eastAsia="宋体" w:cs="宋体"/>
          <w:i w:val="0"/>
          <w:iCs w:val="0"/>
          <w:color w:val="auto"/>
          <w:kern w:val="2"/>
          <w:sz w:val="24"/>
          <w:szCs w:val="24"/>
          <w:highlight w:val="none"/>
        </w:rPr>
        <w:t>文件规定</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该证明文件是</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文件的一部分</w:t>
      </w:r>
      <w:r>
        <w:rPr>
          <w:rFonts w:hint="eastAsia" w:ascii="宋体" w:hAnsi="宋体" w:eastAsia="宋体" w:cs="宋体"/>
          <w:i w:val="0"/>
          <w:iCs w:val="0"/>
          <w:color w:val="auto"/>
          <w:kern w:val="2"/>
          <w:sz w:val="24"/>
          <w:szCs w:val="24"/>
          <w:highlight w:val="none"/>
          <w:lang w:eastAsia="zh-CN"/>
        </w:rPr>
        <w:t>。</w:t>
      </w:r>
      <w:r>
        <w:rPr>
          <w:rFonts w:hint="eastAsia" w:ascii="宋体" w:hAnsi="宋体" w:eastAsia="宋体" w:cs="宋体"/>
          <w:i w:val="0"/>
          <w:iCs w:val="0"/>
          <w:color w:val="auto"/>
          <w:kern w:val="2"/>
          <w:sz w:val="24"/>
          <w:szCs w:val="24"/>
          <w:highlight w:val="none"/>
        </w:rPr>
        <w:t>证明文件</w:t>
      </w:r>
      <w:r>
        <w:rPr>
          <w:rFonts w:hint="eastAsia" w:ascii="宋体" w:hAnsi="宋体" w:eastAsia="宋体" w:cs="宋体"/>
          <w:i w:val="0"/>
          <w:iCs w:val="0"/>
          <w:color w:val="auto"/>
          <w:kern w:val="2"/>
          <w:sz w:val="24"/>
          <w:szCs w:val="24"/>
          <w:highlight w:val="none"/>
          <w:lang w:val="en-US" w:eastAsia="zh-CN"/>
        </w:rPr>
        <w:t>形式</w:t>
      </w:r>
      <w:r>
        <w:rPr>
          <w:rFonts w:hint="eastAsia" w:ascii="宋体" w:hAnsi="宋体" w:eastAsia="宋体" w:cs="宋体"/>
          <w:i w:val="0"/>
          <w:iCs w:val="0"/>
          <w:color w:val="auto"/>
          <w:kern w:val="2"/>
          <w:sz w:val="24"/>
          <w:szCs w:val="24"/>
          <w:highlight w:val="none"/>
        </w:rPr>
        <w:t>可以是文字资料、图纸和数据</w:t>
      </w:r>
      <w:bookmarkStart w:id="189" w:name="_Hlk11703583"/>
      <w:r>
        <w:rPr>
          <w:rFonts w:hint="eastAsia" w:ascii="宋体" w:hAnsi="宋体" w:eastAsia="宋体" w:cs="宋体"/>
          <w:i w:val="0"/>
          <w:iCs w:val="0"/>
          <w:color w:val="auto"/>
          <w:kern w:val="2"/>
          <w:sz w:val="24"/>
          <w:szCs w:val="24"/>
          <w:highlight w:val="none"/>
          <w:lang w:val="en-US" w:eastAsia="zh-CN"/>
        </w:rPr>
        <w:t>等。</w:t>
      </w:r>
    </w:p>
    <w:bookmarkEnd w:id="189"/>
    <w:p w14:paraId="781BBAE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13.3</w:t>
      </w:r>
      <w:r>
        <w:rPr>
          <w:rFonts w:hint="eastAsia" w:ascii="宋体" w:hAnsi="宋体" w:eastAsia="宋体" w:cs="宋体"/>
          <w:i w:val="0"/>
          <w:iCs w:val="0"/>
          <w:color w:val="auto"/>
          <w:kern w:val="2"/>
          <w:sz w:val="24"/>
          <w:szCs w:val="24"/>
          <w:highlight w:val="none"/>
        </w:rPr>
        <w:t>为保证公平公正，除非</w:t>
      </w:r>
      <w:r>
        <w:rPr>
          <w:rFonts w:hint="eastAsia" w:ascii="宋体" w:hAnsi="宋体" w:eastAsia="宋体" w:cs="宋体"/>
          <w:i w:val="0"/>
          <w:iCs w:val="0"/>
          <w:color w:val="auto"/>
          <w:kern w:val="2"/>
          <w:sz w:val="24"/>
          <w:szCs w:val="24"/>
          <w:highlight w:val="none"/>
          <w:lang w:val="en-US" w:eastAsia="zh-CN"/>
        </w:rPr>
        <w:t>本磋商文件</w:t>
      </w:r>
      <w:r>
        <w:rPr>
          <w:rFonts w:hint="eastAsia" w:ascii="宋体" w:hAnsi="宋体" w:eastAsia="宋体" w:cs="宋体"/>
          <w:i w:val="0"/>
          <w:iCs w:val="0"/>
          <w:color w:val="auto"/>
          <w:kern w:val="2"/>
          <w:sz w:val="24"/>
          <w:szCs w:val="24"/>
          <w:highlight w:val="none"/>
        </w:rPr>
        <w:t>另有规定或说明，</w:t>
      </w:r>
      <w:r>
        <w:rPr>
          <w:rFonts w:hint="eastAsia" w:ascii="宋体" w:hAnsi="宋体" w:eastAsia="宋体" w:cs="宋体"/>
          <w:i w:val="0"/>
          <w:iCs w:val="0"/>
          <w:color w:val="auto"/>
          <w:kern w:val="2"/>
          <w:sz w:val="24"/>
          <w:szCs w:val="24"/>
          <w:highlight w:val="none"/>
          <w:lang w:val="en-US" w:eastAsia="zh-CN"/>
        </w:rPr>
        <w:t>供应商</w:t>
      </w:r>
      <w:r>
        <w:rPr>
          <w:rFonts w:hint="eastAsia" w:ascii="宋体" w:hAnsi="宋体" w:eastAsia="宋体" w:cs="宋体"/>
          <w:i w:val="0"/>
          <w:iCs w:val="0"/>
          <w:color w:val="auto"/>
          <w:kern w:val="2"/>
          <w:sz w:val="24"/>
          <w:szCs w:val="24"/>
          <w:highlight w:val="none"/>
        </w:rPr>
        <w:t>对同一项目</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时，不得同时提供备选</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方案。</w:t>
      </w:r>
    </w:p>
    <w:p w14:paraId="5C8E7CA3">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190" w:name="_Toc48846120"/>
      <w:bookmarkStart w:id="191" w:name="_Toc109900383"/>
      <w:bookmarkStart w:id="192" w:name="_Toc109897446"/>
      <w:bookmarkStart w:id="193" w:name="_Toc109899964"/>
      <w:bookmarkStart w:id="194" w:name="_Toc46771651"/>
      <w:bookmarkStart w:id="195" w:name="_Toc109899545"/>
      <w:bookmarkStart w:id="196" w:name="_Toc51674222"/>
      <w:bookmarkStart w:id="197" w:name="_Toc24544"/>
      <w:bookmarkStart w:id="198" w:name="_Toc470172676"/>
      <w:bookmarkStart w:id="199" w:name="_Toc52962738"/>
      <w:bookmarkStart w:id="200" w:name="_Toc52960564"/>
      <w:bookmarkStart w:id="201" w:name="_Toc46772252"/>
      <w:bookmarkStart w:id="202" w:name="_Toc48688800"/>
      <w:bookmarkStart w:id="203" w:name="_Toc52960563"/>
      <w:bookmarkStart w:id="204" w:name="_Toc46772251"/>
      <w:bookmarkStart w:id="205" w:name="_Toc48688799"/>
      <w:bookmarkStart w:id="206" w:name="_Toc48846119"/>
      <w:bookmarkStart w:id="207" w:name="_Toc52962737"/>
      <w:bookmarkStart w:id="208" w:name="_Toc109900382"/>
      <w:bookmarkStart w:id="209" w:name="_Toc109899544"/>
      <w:bookmarkStart w:id="210" w:name="_Toc109897445"/>
      <w:bookmarkStart w:id="211" w:name="_Toc470172675"/>
      <w:bookmarkStart w:id="212" w:name="_Toc25217"/>
      <w:bookmarkStart w:id="213" w:name="_Toc46771650"/>
      <w:bookmarkStart w:id="214" w:name="_Toc109899963"/>
      <w:bookmarkStart w:id="215" w:name="_Toc51674221"/>
      <w:r>
        <w:rPr>
          <w:rFonts w:hint="eastAsia" w:ascii="宋体" w:hAnsi="宋体" w:eastAsia="宋体" w:cs="宋体"/>
          <w:b/>
          <w:bCs/>
          <w:i w:val="0"/>
          <w:iCs w:val="0"/>
          <w:color w:val="auto"/>
          <w:kern w:val="2"/>
          <w:sz w:val="24"/>
          <w:szCs w:val="24"/>
          <w:highlight w:val="none"/>
          <w:lang w:val="en-US" w:eastAsia="zh-CN" w:bidi="ar-SA"/>
        </w:rPr>
        <w:t>14.磋商报价</w:t>
      </w:r>
      <w:bookmarkEnd w:id="190"/>
      <w:bookmarkEnd w:id="191"/>
      <w:bookmarkEnd w:id="192"/>
      <w:bookmarkEnd w:id="193"/>
      <w:bookmarkEnd w:id="194"/>
      <w:bookmarkEnd w:id="195"/>
      <w:bookmarkEnd w:id="196"/>
      <w:bookmarkEnd w:id="197"/>
      <w:bookmarkEnd w:id="198"/>
      <w:bookmarkEnd w:id="199"/>
      <w:bookmarkEnd w:id="200"/>
      <w:bookmarkEnd w:id="201"/>
      <w:bookmarkEnd w:id="202"/>
    </w:p>
    <w:p w14:paraId="0640D6E7">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.1磋商供应商的报价均应以人民币报价。磋商报价包括磋商供应商在首次提交的响应文件中的报价、磋商过程中的报价和最后报价，</w:t>
      </w:r>
      <w:r>
        <w:rPr>
          <w:rFonts w:hint="eastAsia" w:ascii="宋体" w:hAnsi="宋体" w:eastAsia="宋体" w:cs="宋体"/>
          <w:i w:val="0"/>
          <w:iCs w:val="0"/>
          <w:snapToGrid w:val="0"/>
          <w:color w:val="auto"/>
          <w:sz w:val="24"/>
          <w:szCs w:val="24"/>
          <w:highlight w:val="none"/>
          <w:lang w:val="en-US" w:eastAsia="zh-CN"/>
        </w:rPr>
        <w:t>且均</w:t>
      </w:r>
      <w:r>
        <w:rPr>
          <w:rFonts w:hint="eastAsia" w:ascii="宋体" w:hAnsi="宋体" w:eastAsia="宋体" w:cs="宋体"/>
          <w:i w:val="0"/>
          <w:iCs w:val="0"/>
          <w:color w:val="auto"/>
          <w:sz w:val="24"/>
          <w:szCs w:val="24"/>
          <w:highlight w:val="none"/>
        </w:rPr>
        <w:t>不得超过</w:t>
      </w:r>
      <w:bookmarkStart w:id="216" w:name="_Hlk161703672"/>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”中规定</w:t>
      </w:r>
      <w:bookmarkEnd w:id="216"/>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最高限价或者预算金额</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p>
    <w:p w14:paraId="300639D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.2供应商应按照本磋商文件规定的采购需求及合同条款进行报价，并按磋商文件确定的格式报出。</w:t>
      </w:r>
    </w:p>
    <w:p w14:paraId="487FB398">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snapToGrid w:val="0"/>
          <w:color w:val="auto"/>
          <w:sz w:val="24"/>
          <w:szCs w:val="24"/>
          <w:highlight w:val="none"/>
          <w:lang w:val="en-US" w:eastAsia="zh-CN"/>
        </w:rPr>
        <w:t>14.3</w:t>
      </w:r>
      <w:r>
        <w:rPr>
          <w:rFonts w:hint="eastAsia" w:ascii="宋体" w:hAnsi="宋体" w:eastAsia="宋体" w:cs="宋体"/>
          <w:i w:val="0"/>
          <w:iCs w:val="0"/>
          <w:snapToGrid w:val="0"/>
          <w:color w:val="auto"/>
          <w:sz w:val="24"/>
          <w:szCs w:val="24"/>
          <w:highlight w:val="none"/>
          <w:lang w:val="zh-CN"/>
        </w:rPr>
        <w:t>供应商</w:t>
      </w:r>
      <w:r>
        <w:rPr>
          <w:rFonts w:hint="eastAsia" w:ascii="宋体" w:hAnsi="宋体" w:eastAsia="宋体" w:cs="宋体"/>
          <w:i w:val="0"/>
          <w:iCs w:val="0"/>
          <w:color w:val="auto"/>
          <w:kern w:val="2"/>
          <w:sz w:val="24"/>
          <w:szCs w:val="24"/>
          <w:highlight w:val="none"/>
          <w:lang w:val="en-US" w:eastAsia="zh-CN"/>
        </w:rPr>
        <w:t>的报价应包括为完成本项目所发生的一切费用和税费，采购人将不再支付报价以外的任何费用。</w:t>
      </w:r>
      <w:r>
        <w:rPr>
          <w:rFonts w:hint="eastAsia" w:ascii="宋体" w:hAnsi="宋体" w:eastAsia="宋体" w:cs="宋体"/>
          <w:i w:val="0"/>
          <w:iCs w:val="0"/>
          <w:color w:val="auto"/>
          <w:kern w:val="2"/>
          <w:sz w:val="24"/>
          <w:szCs w:val="24"/>
          <w:highlight w:val="none"/>
        </w:rPr>
        <w:t>只要投报了一个确定数额的总价，无论分项价格是否全部填报了相应的金额或免费字样，</w:t>
      </w:r>
      <w:r>
        <w:rPr>
          <w:rFonts w:hint="eastAsia" w:cs="宋体"/>
          <w:i w:val="0"/>
          <w:iCs w:val="0"/>
          <w:color w:val="auto"/>
          <w:kern w:val="2"/>
          <w:sz w:val="24"/>
          <w:szCs w:val="24"/>
          <w:highlight w:val="none"/>
          <w:lang w:val="en-US" w:eastAsia="zh-CN"/>
        </w:rPr>
        <w:t>该</w:t>
      </w:r>
      <w:r>
        <w:rPr>
          <w:rFonts w:hint="eastAsia" w:ascii="宋体" w:hAnsi="宋体" w:eastAsia="宋体" w:cs="宋体"/>
          <w:i w:val="0"/>
          <w:iCs w:val="0"/>
          <w:color w:val="auto"/>
          <w:kern w:val="2"/>
          <w:sz w:val="24"/>
          <w:szCs w:val="24"/>
          <w:highlight w:val="none"/>
          <w:lang w:val="en-US" w:eastAsia="zh-CN"/>
        </w:rPr>
        <w:t>报价应被视为已包含但不限于本次招标全部采购需求所应提供的服务，以及伴随的货物和工程等的费用和所需缴纳的所有价格、税、费。在其他情况下，由于分项报价填报不完整、不清楚或存在其他任何失误，所导致的任何不利后果均应当由投标人自行承担</w:t>
      </w:r>
      <w:r>
        <w:rPr>
          <w:rFonts w:hint="eastAsia" w:ascii="宋体" w:hAnsi="宋体" w:eastAsia="宋体" w:cs="宋体"/>
          <w:i w:val="0"/>
          <w:iCs w:val="0"/>
          <w:color w:val="auto"/>
          <w:kern w:val="2"/>
          <w:sz w:val="24"/>
          <w:szCs w:val="24"/>
          <w:highlight w:val="none"/>
        </w:rPr>
        <w:t>。</w:t>
      </w:r>
    </w:p>
    <w:p w14:paraId="2ACD190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color w:val="auto"/>
          <w:kern w:val="2"/>
          <w:sz w:val="24"/>
          <w:szCs w:val="24"/>
          <w:highlight w:val="none"/>
          <w:lang w:val="en-US" w:eastAsia="zh-CN" w:bidi="ar-SA"/>
        </w:rPr>
        <w:t>14.4供应商的报价应包括但不限于按照竞争性磋商文件要求完成本项目的全部相关费用</w:t>
      </w:r>
      <w:r>
        <w:rPr>
          <w:rFonts w:hint="eastAsia" w:ascii="宋体" w:hAnsi="宋体" w:eastAsia="宋体" w:cs="宋体"/>
          <w:i w:val="0"/>
          <w:iCs w:val="0"/>
          <w:color w:val="auto"/>
          <w:kern w:val="2"/>
          <w:sz w:val="24"/>
          <w:szCs w:val="24"/>
          <w:highlight w:val="none"/>
          <w:lang w:val="en-US" w:eastAsia="zh-CN"/>
        </w:rPr>
        <w:t>。</w:t>
      </w:r>
    </w:p>
    <w:p w14:paraId="11C9B78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5供应商须严格按照分项报价表规定的内容填写服务单价以及其他事项。供应商应根据本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文件的规定和要求、市场价格水平及其走势、供应商的管理水平、供应商的方案和由这些因素决定的供应商之于本项目的成本水平等提出自己的报价。报价应合理，并包含完成本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文件采购需求全部内容的所有费用，所有根据本</w:t>
      </w:r>
      <w:r>
        <w:rPr>
          <w:rFonts w:hint="eastAsia" w:ascii="宋体" w:hAnsi="宋体" w:eastAsia="宋体" w:cs="宋体"/>
          <w:i w:val="0"/>
          <w:iCs w:val="0"/>
          <w:color w:val="auto"/>
          <w:kern w:val="2"/>
          <w:sz w:val="24"/>
          <w:szCs w:val="24"/>
          <w:highlight w:val="none"/>
          <w:lang w:val="en-US" w:eastAsia="zh-CN" w:bidi="ar-SA"/>
        </w:rPr>
        <w:t>竞争性磋商</w:t>
      </w:r>
      <w:r>
        <w:rPr>
          <w:rFonts w:hint="eastAsia" w:ascii="宋体" w:hAnsi="宋体" w:eastAsia="宋体" w:cs="宋体"/>
          <w:i w:val="0"/>
          <w:iCs w:val="0"/>
          <w:snapToGrid w:val="0"/>
          <w:color w:val="auto"/>
          <w:sz w:val="24"/>
          <w:szCs w:val="24"/>
          <w:highlight w:val="none"/>
          <w:lang w:val="en-US" w:eastAsia="zh-CN"/>
        </w:rPr>
        <w:t>文件或其它原因应由供应商支付的税款和其他应交纳的费用都应包括在供应商提交的响应报价中</w:t>
      </w:r>
      <w:r>
        <w:rPr>
          <w:rFonts w:hint="eastAsia" w:ascii="宋体" w:hAnsi="宋体" w:eastAsia="宋体" w:cs="宋体"/>
          <w:i w:val="0"/>
          <w:iCs w:val="0"/>
          <w:snapToGrid w:val="0"/>
          <w:color w:val="auto"/>
          <w:sz w:val="24"/>
          <w:szCs w:val="24"/>
          <w:highlight w:val="none"/>
          <w:lang w:val="zh-CN"/>
        </w:rPr>
        <w:t>。</w:t>
      </w:r>
    </w:p>
    <w:p w14:paraId="3DB7F19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6</w:t>
      </w:r>
      <w:r>
        <w:rPr>
          <w:rFonts w:hint="eastAsia" w:ascii="宋体" w:hAnsi="宋体" w:eastAsia="宋体" w:cs="宋体"/>
          <w:i w:val="0"/>
          <w:iCs w:val="0"/>
          <w:snapToGrid w:val="0"/>
          <w:color w:val="auto"/>
          <w:sz w:val="24"/>
          <w:szCs w:val="24"/>
          <w:highlight w:val="none"/>
          <w:lang w:val="zh-CN"/>
        </w:rPr>
        <w:t>供应商在响应文件中注明免费的项目将视为包含在报价中。</w:t>
      </w:r>
    </w:p>
    <w:p w14:paraId="5A2E805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每一种采购内容只允许有一个报价，否则其响应文件将被视为</w:t>
      </w:r>
      <w:r>
        <w:rPr>
          <w:rFonts w:hint="eastAsia" w:ascii="宋体" w:hAnsi="宋体" w:eastAsia="宋体" w:cs="宋体"/>
          <w:b/>
          <w:bCs/>
          <w:i w:val="0"/>
          <w:iCs w:val="0"/>
          <w:snapToGrid w:val="0"/>
          <w:color w:val="auto"/>
          <w:sz w:val="24"/>
          <w:szCs w:val="24"/>
          <w:highlight w:val="none"/>
          <w:lang w:val="zh-CN"/>
        </w:rPr>
        <w:t>无效文件</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color w:val="auto"/>
          <w:kern w:val="2"/>
          <w:sz w:val="24"/>
          <w:szCs w:val="24"/>
          <w:highlight w:val="none"/>
        </w:rPr>
        <w:t>除非</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文件另有规定，不接受可选择或可调整的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方案和报价，任何有选择的或可调整的</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方案和报价将被视为非响应性</w:t>
      </w:r>
      <w:r>
        <w:rPr>
          <w:rFonts w:hint="eastAsia" w:ascii="宋体" w:hAnsi="宋体" w:eastAsia="宋体" w:cs="宋体"/>
          <w:i w:val="0"/>
          <w:iCs w:val="0"/>
          <w:color w:val="auto"/>
          <w:kern w:val="2"/>
          <w:sz w:val="24"/>
          <w:szCs w:val="24"/>
          <w:highlight w:val="none"/>
          <w:lang w:val="en-US" w:eastAsia="zh-CN"/>
        </w:rPr>
        <w:t>磋商</w:t>
      </w:r>
      <w:r>
        <w:rPr>
          <w:rFonts w:hint="eastAsia" w:ascii="宋体" w:hAnsi="宋体" w:eastAsia="宋体" w:cs="宋体"/>
          <w:i w:val="0"/>
          <w:iCs w:val="0"/>
          <w:color w:val="auto"/>
          <w:kern w:val="2"/>
          <w:sz w:val="24"/>
          <w:szCs w:val="24"/>
          <w:highlight w:val="none"/>
        </w:rPr>
        <w:t>而被拒绝。</w:t>
      </w:r>
    </w:p>
    <w:p w14:paraId="2D8474D4">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8 </w:t>
      </w:r>
      <w:r>
        <w:rPr>
          <w:rFonts w:hint="eastAsia" w:ascii="宋体" w:hAnsi="宋体" w:eastAsia="宋体" w:cs="宋体"/>
          <w:i w:val="0"/>
          <w:iCs w:val="0"/>
          <w:color w:val="auto"/>
          <w:kern w:val="2"/>
          <w:sz w:val="24"/>
          <w:szCs w:val="24"/>
          <w:highlight w:val="none"/>
          <w:lang w:val="zh-CN" w:eastAsia="zh-CN"/>
        </w:rPr>
        <w:t>供应商</w:t>
      </w:r>
      <w:r>
        <w:rPr>
          <w:rFonts w:hint="eastAsia" w:ascii="宋体" w:hAnsi="宋体" w:eastAsia="宋体" w:cs="宋体"/>
          <w:i w:val="0"/>
          <w:iCs w:val="0"/>
          <w:color w:val="auto"/>
          <w:kern w:val="2"/>
          <w:sz w:val="24"/>
          <w:szCs w:val="24"/>
          <w:highlight w:val="none"/>
          <w:lang w:val="en-US" w:eastAsia="zh-CN"/>
        </w:rPr>
        <w:t>对磋商</w:t>
      </w:r>
      <w:r>
        <w:rPr>
          <w:rFonts w:hint="eastAsia" w:ascii="宋体" w:hAnsi="宋体" w:eastAsia="宋体" w:cs="宋体"/>
          <w:i w:val="0"/>
          <w:iCs w:val="0"/>
          <w:color w:val="auto"/>
          <w:kern w:val="2"/>
          <w:sz w:val="24"/>
          <w:szCs w:val="24"/>
          <w:highlight w:val="none"/>
        </w:rPr>
        <w:t>报价若有说明应在</w:t>
      </w:r>
      <w:r>
        <w:rPr>
          <w:rFonts w:hint="eastAsia" w:ascii="宋体" w:hAnsi="宋体" w:eastAsia="宋体" w:cs="宋体"/>
          <w:i w:val="0"/>
          <w:iCs w:val="0"/>
          <w:color w:val="auto"/>
          <w:kern w:val="2"/>
          <w:sz w:val="24"/>
          <w:szCs w:val="24"/>
          <w:highlight w:val="none"/>
          <w:lang w:val="en-US" w:eastAsia="zh-CN"/>
        </w:rPr>
        <w:t>响应</w:t>
      </w:r>
      <w:r>
        <w:rPr>
          <w:rFonts w:hint="eastAsia" w:ascii="宋体" w:hAnsi="宋体" w:eastAsia="宋体" w:cs="宋体"/>
          <w:i w:val="0"/>
          <w:iCs w:val="0"/>
          <w:color w:val="auto"/>
          <w:kern w:val="2"/>
          <w:sz w:val="24"/>
          <w:szCs w:val="24"/>
          <w:highlight w:val="none"/>
        </w:rPr>
        <w:t>文件中显著处注明。</w:t>
      </w:r>
    </w:p>
    <w:p w14:paraId="1719007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除政策性文件规定以外，</w:t>
      </w:r>
      <w:r>
        <w:rPr>
          <w:rFonts w:hint="eastAsia" w:ascii="宋体" w:hAnsi="宋体" w:eastAsia="宋体" w:cs="宋体"/>
          <w:i w:val="0"/>
          <w:iCs w:val="0"/>
          <w:color w:val="auto"/>
          <w:kern w:val="2"/>
          <w:sz w:val="24"/>
          <w:szCs w:val="24"/>
          <w:highlight w:val="none"/>
          <w:lang w:val="zh-CN"/>
        </w:rPr>
        <w:t>供应商</w:t>
      </w:r>
      <w:r>
        <w:rPr>
          <w:rFonts w:hint="eastAsia" w:ascii="宋体" w:hAnsi="宋体" w:eastAsia="宋体" w:cs="宋体"/>
          <w:i w:val="0"/>
          <w:iCs w:val="0"/>
          <w:color w:val="auto"/>
          <w:kern w:val="2"/>
          <w:sz w:val="24"/>
          <w:szCs w:val="24"/>
          <w:highlight w:val="none"/>
        </w:rPr>
        <w:t>所报价格在合同实施期间不因市场变化因素而变动。</w:t>
      </w:r>
    </w:p>
    <w:p w14:paraId="0B64FFB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rPr>
      </w:pPr>
      <w:r>
        <w:rPr>
          <w:rFonts w:hint="eastAsia" w:ascii="宋体" w:hAnsi="宋体" w:eastAsia="宋体" w:cs="宋体"/>
          <w:i w:val="0"/>
          <w:iCs w:val="0"/>
          <w:color w:val="auto"/>
          <w:kern w:val="2"/>
          <w:sz w:val="24"/>
          <w:szCs w:val="24"/>
          <w:highlight w:val="none"/>
        </w:rPr>
        <w:t>1</w:t>
      </w:r>
      <w:r>
        <w:rPr>
          <w:rFonts w:hint="eastAsia" w:ascii="宋体" w:hAnsi="宋体" w:eastAsia="宋体" w:cs="宋体"/>
          <w:i w:val="0"/>
          <w:iCs w:val="0"/>
          <w:color w:val="auto"/>
          <w:kern w:val="2"/>
          <w:sz w:val="24"/>
          <w:szCs w:val="24"/>
          <w:highlight w:val="none"/>
          <w:lang w:val="en-US" w:eastAsia="zh-CN"/>
        </w:rPr>
        <w:t>4</w:t>
      </w:r>
      <w:r>
        <w:rPr>
          <w:rFonts w:hint="eastAsia" w:ascii="宋体" w:hAnsi="宋体" w:eastAsia="宋体" w:cs="宋体"/>
          <w:i w:val="0"/>
          <w:iCs w:val="0"/>
          <w:color w:val="auto"/>
          <w:kern w:val="2"/>
          <w:sz w:val="24"/>
          <w:szCs w:val="24"/>
          <w:highlight w:val="none"/>
        </w:rPr>
        <w:t>.</w:t>
      </w:r>
      <w:r>
        <w:rPr>
          <w:rFonts w:hint="eastAsia" w:ascii="宋体" w:hAnsi="宋体" w:eastAsia="宋体" w:cs="宋体"/>
          <w:i w:val="0"/>
          <w:iCs w:val="0"/>
          <w:color w:val="auto"/>
          <w:kern w:val="2"/>
          <w:sz w:val="24"/>
          <w:szCs w:val="24"/>
          <w:highlight w:val="none"/>
          <w:lang w:val="en-US" w:eastAsia="zh-CN"/>
        </w:rPr>
        <w:t xml:space="preserve">9 </w:t>
      </w:r>
      <w:r>
        <w:rPr>
          <w:rFonts w:hint="eastAsia" w:ascii="宋体" w:hAnsi="宋体" w:eastAsia="宋体" w:cs="宋体"/>
          <w:i w:val="0"/>
          <w:iCs w:val="0"/>
          <w:color w:val="auto"/>
          <w:kern w:val="2"/>
          <w:sz w:val="24"/>
          <w:szCs w:val="24"/>
          <w:highlight w:val="none"/>
        </w:rPr>
        <w:t>最低报价不能作为</w:t>
      </w:r>
      <w:r>
        <w:rPr>
          <w:rFonts w:hint="eastAsia" w:ascii="宋体" w:hAnsi="宋体" w:eastAsia="宋体" w:cs="宋体"/>
          <w:i w:val="0"/>
          <w:iCs w:val="0"/>
          <w:color w:val="auto"/>
          <w:kern w:val="2"/>
          <w:sz w:val="24"/>
          <w:szCs w:val="24"/>
          <w:highlight w:val="none"/>
          <w:lang w:val="en-US" w:eastAsia="zh-CN"/>
        </w:rPr>
        <w:t>成交</w:t>
      </w:r>
      <w:r>
        <w:rPr>
          <w:rFonts w:hint="eastAsia" w:ascii="宋体" w:hAnsi="宋体" w:eastAsia="宋体" w:cs="宋体"/>
          <w:i w:val="0"/>
          <w:iCs w:val="0"/>
          <w:color w:val="auto"/>
          <w:kern w:val="2"/>
          <w:sz w:val="24"/>
          <w:szCs w:val="24"/>
          <w:highlight w:val="none"/>
        </w:rPr>
        <w:t>的保证。</w:t>
      </w:r>
    </w:p>
    <w:p w14:paraId="2AA144B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2"/>
          <w:sz w:val="24"/>
          <w:szCs w:val="24"/>
          <w:highlight w:val="none"/>
          <w:lang w:val="en-US" w:eastAsia="zh-CN"/>
        </w:rPr>
        <w:t>14.10</w:t>
      </w:r>
      <w:r>
        <w:rPr>
          <w:rFonts w:hint="eastAsia" w:ascii="宋体" w:hAnsi="宋体" w:eastAsia="宋体" w:cs="宋体"/>
          <w:i w:val="0"/>
          <w:iCs w:val="0"/>
          <w:color w:val="auto"/>
          <w:kern w:val="0"/>
          <w:sz w:val="24"/>
          <w:szCs w:val="24"/>
          <w:highlight w:val="none"/>
          <w:lang w:val="en-US" w:eastAsia="zh-CN"/>
        </w:rPr>
        <w:t>采购人不得向供应商索要或者接受其给予的赠品、回扣或者与采购无关的其他商品、服务。</w:t>
      </w:r>
    </w:p>
    <w:p w14:paraId="3E3AFFE7">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t>14.11供应商不能提供任何有选择性或可调整的报价（磋商文件另有规定的除外），否则其</w:t>
      </w:r>
      <w:r>
        <w:rPr>
          <w:rFonts w:hint="eastAsia" w:ascii="宋体" w:hAnsi="宋体" w:eastAsia="宋体" w:cs="宋体"/>
          <w:b/>
          <w:bCs/>
          <w:i w:val="0"/>
          <w:iCs w:val="0"/>
          <w:color w:val="auto"/>
          <w:kern w:val="0"/>
          <w:sz w:val="24"/>
          <w:szCs w:val="24"/>
          <w:highlight w:val="none"/>
          <w:lang w:val="en-US" w:eastAsia="zh-CN"/>
        </w:rPr>
        <w:t>响应无效</w:t>
      </w:r>
      <w:r>
        <w:rPr>
          <w:rFonts w:hint="eastAsia" w:ascii="宋体" w:hAnsi="宋体" w:eastAsia="宋体" w:cs="宋体"/>
          <w:i w:val="0"/>
          <w:iCs w:val="0"/>
          <w:color w:val="auto"/>
          <w:kern w:val="0"/>
          <w:sz w:val="24"/>
          <w:szCs w:val="24"/>
          <w:highlight w:val="none"/>
          <w:lang w:val="en-US" w:eastAsia="zh-CN"/>
        </w:rPr>
        <w:t>。</w:t>
      </w:r>
    </w:p>
    <w:p w14:paraId="0CD8AEF2">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17" w:name="_Toc5668"/>
      <w:bookmarkStart w:id="218" w:name="_Toc46771657"/>
      <w:bookmarkStart w:id="219" w:name="_Toc46772258"/>
      <w:bookmarkStart w:id="220" w:name="_Toc51674228"/>
      <w:bookmarkStart w:id="221" w:name="_Toc52962744"/>
      <w:bookmarkStart w:id="222" w:name="_Toc48688806"/>
      <w:bookmarkStart w:id="223" w:name="_Toc109900388"/>
      <w:bookmarkStart w:id="224" w:name="_Toc109899969"/>
      <w:bookmarkStart w:id="225" w:name="_Toc109897451"/>
      <w:bookmarkStart w:id="226" w:name="_Toc109899550"/>
      <w:bookmarkStart w:id="227" w:name="_Toc52960570"/>
      <w:bookmarkStart w:id="228" w:name="_Toc48846126"/>
      <w:bookmarkStart w:id="229" w:name="_Toc470172682"/>
      <w:bookmarkStart w:id="230" w:name="_Toc46771653"/>
      <w:bookmarkStart w:id="231" w:name="_Toc109899966"/>
      <w:bookmarkStart w:id="232" w:name="_Toc48846122"/>
      <w:bookmarkStart w:id="233" w:name="_Toc109897448"/>
      <w:bookmarkStart w:id="234" w:name="_Toc46772254"/>
      <w:bookmarkStart w:id="235" w:name="_Toc52960566"/>
      <w:bookmarkStart w:id="236" w:name="_Toc109899547"/>
      <w:bookmarkStart w:id="237" w:name="_Toc470172678"/>
      <w:bookmarkStart w:id="238" w:name="_Toc48688802"/>
      <w:bookmarkStart w:id="239" w:name="_Toc52962740"/>
      <w:bookmarkStart w:id="240" w:name="_Toc109900385"/>
      <w:bookmarkStart w:id="241" w:name="_Toc51674224"/>
      <w:bookmarkStart w:id="242" w:name="_Toc3324"/>
      <w:r>
        <w:rPr>
          <w:rFonts w:hint="eastAsia" w:ascii="宋体" w:hAnsi="宋体" w:eastAsia="宋体" w:cs="宋体"/>
          <w:b/>
          <w:bCs/>
          <w:i w:val="0"/>
          <w:iCs w:val="0"/>
          <w:color w:val="auto"/>
          <w:kern w:val="2"/>
          <w:sz w:val="24"/>
          <w:szCs w:val="24"/>
          <w:highlight w:val="none"/>
          <w:lang w:val="en-US" w:eastAsia="zh-CN" w:bidi="ar-SA"/>
        </w:rPr>
        <w:t>15.响应文件有效期</w:t>
      </w:r>
      <w:bookmarkEnd w:id="217"/>
      <w:bookmarkEnd w:id="218"/>
      <w:bookmarkEnd w:id="219"/>
      <w:bookmarkEnd w:id="220"/>
      <w:bookmarkEnd w:id="221"/>
      <w:bookmarkEnd w:id="222"/>
      <w:bookmarkEnd w:id="223"/>
      <w:bookmarkEnd w:id="224"/>
      <w:bookmarkEnd w:id="225"/>
      <w:bookmarkEnd w:id="226"/>
      <w:bookmarkEnd w:id="227"/>
      <w:bookmarkEnd w:id="228"/>
      <w:bookmarkEnd w:id="229"/>
    </w:p>
    <w:p w14:paraId="6C3E470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供应商提交的</w:t>
      </w:r>
      <w:r>
        <w:rPr>
          <w:rFonts w:hint="eastAsia" w:ascii="宋体" w:hAnsi="宋体" w:eastAsia="宋体" w:cs="宋体"/>
          <w:i w:val="0"/>
          <w:iCs w:val="0"/>
          <w:snapToGrid w:val="0"/>
          <w:color w:val="auto"/>
          <w:sz w:val="24"/>
          <w:szCs w:val="24"/>
          <w:highlight w:val="none"/>
          <w:lang w:val="zh-CN"/>
        </w:rPr>
        <w:t>响应文件有效期见“供应商须知前附表”，磋商供应商承诺的响应文件</w:t>
      </w:r>
      <w:r>
        <w:rPr>
          <w:rFonts w:hint="eastAsia" w:ascii="宋体" w:hAnsi="宋体" w:eastAsia="宋体" w:cs="宋体"/>
          <w:i w:val="0"/>
          <w:iCs w:val="0"/>
          <w:snapToGrid w:val="0"/>
          <w:color w:val="auto"/>
          <w:sz w:val="24"/>
          <w:szCs w:val="24"/>
          <w:highlight w:val="none"/>
          <w:lang w:val="zh-CN" w:eastAsia="zh-CN"/>
        </w:rPr>
        <w:t>有效期少于</w:t>
      </w:r>
      <w:r>
        <w:rPr>
          <w:rFonts w:hint="eastAsia" w:ascii="宋体" w:hAnsi="宋体" w:eastAsia="宋体" w:cs="宋体"/>
          <w:i w:val="0"/>
          <w:iCs w:val="0"/>
          <w:snapToGrid w:val="0"/>
          <w:color w:val="auto"/>
          <w:sz w:val="24"/>
          <w:szCs w:val="24"/>
          <w:highlight w:val="none"/>
          <w:lang w:val="en-US" w:eastAsia="zh-CN"/>
        </w:rPr>
        <w:t>磋商</w:t>
      </w:r>
      <w:r>
        <w:rPr>
          <w:rFonts w:hint="eastAsia" w:ascii="宋体" w:hAnsi="宋体" w:eastAsia="宋体" w:cs="宋体"/>
          <w:i w:val="0"/>
          <w:iCs w:val="0"/>
          <w:snapToGrid w:val="0"/>
          <w:color w:val="auto"/>
          <w:sz w:val="24"/>
          <w:szCs w:val="24"/>
          <w:highlight w:val="none"/>
          <w:lang w:val="zh-CN" w:eastAsia="zh-CN"/>
        </w:rPr>
        <w:t>文件规定期限的，其</w:t>
      </w:r>
      <w:r>
        <w:rPr>
          <w:rFonts w:hint="eastAsia" w:ascii="宋体" w:hAnsi="宋体" w:eastAsia="宋体" w:cs="宋体"/>
          <w:b/>
          <w:bCs/>
          <w:i w:val="0"/>
          <w:iCs w:val="0"/>
          <w:snapToGrid w:val="0"/>
          <w:color w:val="auto"/>
          <w:sz w:val="24"/>
          <w:szCs w:val="24"/>
          <w:highlight w:val="none"/>
          <w:lang w:val="en-US" w:eastAsia="zh-CN"/>
        </w:rPr>
        <w:t>响应</w:t>
      </w:r>
      <w:r>
        <w:rPr>
          <w:rFonts w:hint="eastAsia" w:ascii="宋体" w:hAnsi="宋体" w:eastAsia="宋体" w:cs="宋体"/>
          <w:b/>
          <w:bCs/>
          <w:i w:val="0"/>
          <w:iCs w:val="0"/>
          <w:snapToGrid w:val="0"/>
          <w:color w:val="auto"/>
          <w:sz w:val="24"/>
          <w:szCs w:val="24"/>
          <w:highlight w:val="none"/>
          <w:lang w:val="zh-CN" w:eastAsia="zh-CN"/>
        </w:rPr>
        <w:t>无效</w:t>
      </w:r>
      <w:r>
        <w:rPr>
          <w:rFonts w:hint="eastAsia" w:ascii="宋体" w:hAnsi="宋体" w:eastAsia="宋体" w:cs="宋体"/>
          <w:i w:val="0"/>
          <w:iCs w:val="0"/>
          <w:snapToGrid w:val="0"/>
          <w:color w:val="auto"/>
          <w:sz w:val="24"/>
          <w:szCs w:val="24"/>
          <w:highlight w:val="none"/>
          <w:lang w:val="zh-CN" w:eastAsia="zh-CN"/>
        </w:rPr>
        <w:t>。</w:t>
      </w:r>
    </w:p>
    <w:p w14:paraId="4DFC250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snapToGrid w:val="0"/>
          <w:color w:val="auto"/>
          <w:kern w:val="2"/>
          <w:sz w:val="24"/>
          <w:szCs w:val="24"/>
          <w:highlight w:val="none"/>
          <w:lang w:val="en-US" w:eastAsia="zh-CN" w:bidi="ar-SA"/>
        </w:rPr>
      </w:pPr>
      <w:r>
        <w:rPr>
          <w:rFonts w:hint="eastAsia" w:ascii="宋体" w:hAnsi="宋体" w:eastAsia="宋体" w:cs="宋体"/>
          <w:i w:val="0"/>
          <w:iCs w:val="0"/>
          <w:snapToGrid w:val="0"/>
          <w:color w:val="auto"/>
          <w:kern w:val="2"/>
          <w:sz w:val="24"/>
          <w:szCs w:val="24"/>
          <w:highlight w:val="none"/>
          <w:lang w:val="en-US" w:eastAsia="zh-CN" w:bidi="ar-SA"/>
        </w:rPr>
        <w:t>15.2 响应文件有效期从递交响应文件的截止之日起算。响应文件中承诺的有效期应当不少于竞争性磋商文件中载明的响应文件有效期。响应文件有效期内供应商撤销响应文件的，采购人或者采购代理机构可以不退还磋商保证金。</w:t>
      </w:r>
    </w:p>
    <w:p w14:paraId="414B33F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kern w:val="2"/>
          <w:sz w:val="24"/>
          <w:szCs w:val="24"/>
          <w:highlight w:val="none"/>
          <w:lang w:val="zh-CN" w:eastAsia="zh-CN" w:bidi="ar-SA"/>
        </w:rPr>
        <w:t>1</w:t>
      </w:r>
      <w:r>
        <w:rPr>
          <w:rFonts w:hint="eastAsia" w:ascii="宋体" w:hAnsi="宋体" w:eastAsia="宋体" w:cs="宋体"/>
          <w:i w:val="0"/>
          <w:iCs w:val="0"/>
          <w:snapToGrid w:val="0"/>
          <w:color w:val="auto"/>
          <w:kern w:val="2"/>
          <w:sz w:val="24"/>
          <w:szCs w:val="24"/>
          <w:highlight w:val="none"/>
          <w:lang w:val="en-US" w:eastAsia="zh-CN" w:bidi="ar-SA"/>
        </w:rPr>
        <w:t>5</w:t>
      </w:r>
      <w:r>
        <w:rPr>
          <w:rFonts w:hint="eastAsia" w:ascii="宋体" w:hAnsi="宋体" w:eastAsia="宋体" w:cs="宋体"/>
          <w:i w:val="0"/>
          <w:iCs w:val="0"/>
          <w:snapToGrid w:val="0"/>
          <w:color w:val="auto"/>
          <w:kern w:val="2"/>
          <w:sz w:val="24"/>
          <w:szCs w:val="24"/>
          <w:highlight w:val="none"/>
          <w:lang w:val="zh-CN" w:eastAsia="zh-CN" w:bidi="ar-SA"/>
        </w:rPr>
        <w:t>.</w:t>
      </w:r>
      <w:r>
        <w:rPr>
          <w:rFonts w:hint="eastAsia" w:ascii="宋体" w:hAnsi="宋体" w:eastAsia="宋体" w:cs="宋体"/>
          <w:i w:val="0"/>
          <w:iCs w:val="0"/>
          <w:snapToGrid w:val="0"/>
          <w:color w:val="auto"/>
          <w:kern w:val="2"/>
          <w:sz w:val="24"/>
          <w:szCs w:val="24"/>
          <w:highlight w:val="none"/>
          <w:lang w:val="en-US" w:eastAsia="zh-CN" w:bidi="ar-SA"/>
        </w:rPr>
        <w:t>3</w:t>
      </w:r>
      <w:r>
        <w:rPr>
          <w:rFonts w:hint="eastAsia" w:ascii="宋体" w:hAnsi="宋体" w:eastAsia="宋体" w:cs="宋体"/>
          <w:i w:val="0"/>
          <w:iCs w:val="0"/>
          <w:snapToGrid w:val="0"/>
          <w:color w:val="auto"/>
          <w:kern w:val="2"/>
          <w:sz w:val="24"/>
          <w:szCs w:val="24"/>
          <w:highlight w:val="none"/>
          <w:lang w:val="zh-CN" w:eastAsia="zh-CN" w:bidi="ar-SA"/>
        </w:rPr>
        <w:t>特殊情况下，在原响应文件有效期截止之前，采购代理机构或采购人</w:t>
      </w:r>
      <w:r>
        <w:rPr>
          <w:rFonts w:hint="eastAsia" w:ascii="宋体" w:hAnsi="宋体" w:eastAsia="宋体" w:cs="宋体"/>
          <w:i w:val="0"/>
          <w:iCs w:val="0"/>
          <w:snapToGrid w:val="0"/>
          <w:color w:val="auto"/>
          <w:sz w:val="24"/>
          <w:szCs w:val="24"/>
          <w:highlight w:val="none"/>
          <w:lang w:val="zh-CN"/>
        </w:rPr>
        <w:t>可要求供应商延长响应文件有效期。需要延长响应文件有效期时，采购代理机构或采购人将以书面形式通知所有磋商供应商，供应商应以书面形式答复是否同意延长响应文件有效期。</w:t>
      </w:r>
    </w:p>
    <w:p w14:paraId="3803927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供应商同意延长的，</w:t>
      </w:r>
      <w:r>
        <w:rPr>
          <w:rFonts w:hint="eastAsia" w:ascii="宋体" w:hAnsi="宋体" w:eastAsia="宋体" w:cs="宋体"/>
          <w:i w:val="0"/>
          <w:iCs w:val="0"/>
          <w:snapToGrid w:val="0"/>
          <w:color w:val="auto"/>
          <w:sz w:val="24"/>
          <w:szCs w:val="24"/>
          <w:highlight w:val="none"/>
          <w:lang w:val="en-US" w:eastAsia="zh-CN"/>
        </w:rPr>
        <w:t>其磋商</w:t>
      </w:r>
      <w:r>
        <w:rPr>
          <w:rFonts w:hint="eastAsia" w:ascii="宋体" w:hAnsi="宋体" w:eastAsia="宋体" w:cs="宋体"/>
          <w:i w:val="0"/>
          <w:iCs w:val="0"/>
          <w:snapToGrid w:val="0"/>
          <w:color w:val="auto"/>
          <w:sz w:val="24"/>
          <w:szCs w:val="24"/>
          <w:highlight w:val="none"/>
          <w:lang w:val="zh-CN"/>
        </w:rPr>
        <w:t>保证金的有效期也相应延长</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不得要求或被允许修改或撤销其响应文件；供应商拒绝延长的，其响应文件在原响应文件有效期满后将不再有效</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但其提交的磋商保证金可予以退还</w:t>
      </w:r>
      <w:r>
        <w:rPr>
          <w:rFonts w:hint="eastAsia" w:ascii="宋体" w:hAnsi="宋体" w:eastAsia="宋体" w:cs="宋体"/>
          <w:i w:val="0"/>
          <w:iCs w:val="0"/>
          <w:snapToGrid w:val="0"/>
          <w:color w:val="auto"/>
          <w:sz w:val="24"/>
          <w:szCs w:val="24"/>
          <w:highlight w:val="none"/>
          <w:lang w:val="zh-CN"/>
        </w:rPr>
        <w:t>。</w:t>
      </w:r>
    </w:p>
    <w:bookmarkEnd w:id="230"/>
    <w:bookmarkEnd w:id="231"/>
    <w:bookmarkEnd w:id="232"/>
    <w:bookmarkEnd w:id="233"/>
    <w:bookmarkEnd w:id="234"/>
    <w:bookmarkEnd w:id="235"/>
    <w:bookmarkEnd w:id="236"/>
    <w:bookmarkEnd w:id="237"/>
    <w:bookmarkEnd w:id="238"/>
    <w:bookmarkEnd w:id="239"/>
    <w:bookmarkEnd w:id="240"/>
    <w:bookmarkEnd w:id="241"/>
    <w:bookmarkEnd w:id="242"/>
    <w:p w14:paraId="26D695E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16.响应文件的编制</w:t>
      </w:r>
      <w:bookmarkEnd w:id="203"/>
      <w:bookmarkEnd w:id="204"/>
      <w:bookmarkEnd w:id="205"/>
      <w:bookmarkEnd w:id="206"/>
      <w:bookmarkEnd w:id="207"/>
      <w:bookmarkEnd w:id="208"/>
      <w:bookmarkEnd w:id="209"/>
      <w:bookmarkEnd w:id="210"/>
      <w:bookmarkEnd w:id="211"/>
      <w:bookmarkEnd w:id="212"/>
      <w:bookmarkEnd w:id="213"/>
      <w:bookmarkEnd w:id="214"/>
      <w:bookmarkEnd w:id="215"/>
    </w:p>
    <w:p w14:paraId="710ABAB7">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中进行编制，在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文件中要求加盖印章的，除有特殊说明之外，</w:t>
      </w:r>
      <w:r>
        <w:rPr>
          <w:rFonts w:hint="eastAsia" w:ascii="宋体" w:hAnsi="宋体" w:eastAsia="宋体" w:cs="宋体"/>
          <w:i w:val="0"/>
          <w:iCs w:val="0"/>
          <w:color w:val="auto"/>
          <w:sz w:val="24"/>
          <w:szCs w:val="24"/>
          <w:highlight w:val="none"/>
          <w:lang w:val="en-US" w:eastAsia="zh-CN"/>
        </w:rPr>
        <w:t>可</w:t>
      </w:r>
      <w:r>
        <w:rPr>
          <w:rFonts w:hint="eastAsia" w:ascii="宋体" w:hAnsi="宋体" w:eastAsia="宋体" w:cs="宋体"/>
          <w:i w:val="0"/>
          <w:iCs w:val="0"/>
          <w:color w:val="auto"/>
          <w:sz w:val="24"/>
          <w:szCs w:val="24"/>
          <w:highlight w:val="none"/>
        </w:rPr>
        <w:t>使用电子签章签署。</w:t>
      </w:r>
    </w:p>
    <w:p w14:paraId="6FD5FFC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中按照</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中的格式要求填写响应内容后，生成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须按照</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文件的要求使用电子签章对要求加盖印章的部分逐一进行签章。</w:t>
      </w:r>
    </w:p>
    <w:p w14:paraId="4BB9824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3供应商</w:t>
      </w:r>
      <w:r>
        <w:rPr>
          <w:rFonts w:hint="eastAsia" w:ascii="宋体" w:hAnsi="宋体" w:eastAsia="宋体" w:cs="宋体"/>
          <w:i w:val="0"/>
          <w:iCs w:val="0"/>
          <w:color w:val="auto"/>
          <w:sz w:val="24"/>
          <w:szCs w:val="24"/>
          <w:highlight w:val="none"/>
        </w:rPr>
        <w:t>应详细阅读</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文件的全部内容。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文件须对</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文件中的内容作出实质性和完整的响应，如果</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文件填报的内容不详，或没有提供</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文件中所要求的全部资料及数据，将可能</w:t>
      </w:r>
      <w:r>
        <w:rPr>
          <w:rFonts w:hint="eastAsia" w:ascii="宋体" w:hAnsi="宋体" w:eastAsia="宋体" w:cs="宋体"/>
          <w:b/>
          <w:bCs/>
          <w:i w:val="0"/>
          <w:iCs w:val="0"/>
          <w:color w:val="auto"/>
          <w:sz w:val="24"/>
          <w:szCs w:val="24"/>
          <w:highlight w:val="none"/>
        </w:rPr>
        <w:t>导致</w:t>
      </w:r>
      <w:r>
        <w:rPr>
          <w:rFonts w:hint="eastAsia" w:ascii="宋体" w:hAnsi="宋体" w:eastAsia="宋体" w:cs="宋体"/>
          <w:b/>
          <w:bCs/>
          <w:i w:val="0"/>
          <w:iCs w:val="0"/>
          <w:color w:val="auto"/>
          <w:sz w:val="24"/>
          <w:szCs w:val="24"/>
          <w:highlight w:val="none"/>
          <w:lang w:val="en-US" w:eastAsia="zh-CN"/>
        </w:rPr>
        <w:t>其响应无效</w:t>
      </w:r>
      <w:r>
        <w:rPr>
          <w:rFonts w:hint="eastAsia" w:ascii="宋体" w:hAnsi="宋体" w:eastAsia="宋体" w:cs="宋体"/>
          <w:i w:val="0"/>
          <w:iCs w:val="0"/>
          <w:color w:val="auto"/>
          <w:sz w:val="24"/>
          <w:szCs w:val="24"/>
          <w:highlight w:val="none"/>
        </w:rPr>
        <w:t>。</w:t>
      </w:r>
    </w:p>
    <w:p w14:paraId="2084E86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4响应</w:t>
      </w:r>
      <w:r>
        <w:rPr>
          <w:rFonts w:hint="eastAsia" w:ascii="宋体" w:hAnsi="宋体" w:eastAsia="宋体" w:cs="宋体"/>
          <w:i w:val="0"/>
          <w:iCs w:val="0"/>
          <w:color w:val="auto"/>
          <w:sz w:val="24"/>
          <w:szCs w:val="24"/>
          <w:highlight w:val="none"/>
        </w:rPr>
        <w:t>文件须严格按照</w:t>
      </w:r>
      <w:r>
        <w:rPr>
          <w:rFonts w:hint="eastAsia" w:ascii="宋体" w:hAnsi="宋体" w:eastAsia="宋体" w:cs="宋体"/>
          <w:i w:val="0"/>
          <w:iCs w:val="0"/>
          <w:color w:val="auto"/>
          <w:sz w:val="24"/>
          <w:szCs w:val="24"/>
          <w:highlight w:val="none"/>
          <w:lang w:val="en-US" w:eastAsia="zh-CN"/>
        </w:rPr>
        <w:t>本竞争性磋商</w:t>
      </w:r>
      <w:r>
        <w:rPr>
          <w:rFonts w:hint="eastAsia" w:ascii="宋体" w:hAnsi="宋体" w:eastAsia="宋体" w:cs="宋体"/>
          <w:i w:val="0"/>
          <w:iCs w:val="0"/>
          <w:color w:val="auto"/>
          <w:sz w:val="24"/>
          <w:szCs w:val="24"/>
          <w:highlight w:val="none"/>
        </w:rPr>
        <w:t>文件第</w:t>
      </w:r>
      <w:r>
        <w:rPr>
          <w:rFonts w:hint="eastAsia" w:ascii="宋体" w:hAnsi="宋体" w:eastAsia="宋体" w:cs="宋体"/>
          <w:i w:val="0"/>
          <w:iCs w:val="0"/>
          <w:color w:val="auto"/>
          <w:sz w:val="24"/>
          <w:szCs w:val="24"/>
          <w:highlight w:val="none"/>
          <w:lang w:val="en-US" w:eastAsia="zh-CN"/>
        </w:rPr>
        <w:t>六章</w:t>
      </w:r>
      <w:r>
        <w:rPr>
          <w:rFonts w:hint="eastAsia" w:ascii="宋体" w:hAnsi="宋体" w:eastAsia="宋体" w:cs="宋体"/>
          <w:i w:val="0"/>
          <w:iCs w:val="0"/>
          <w:color w:val="auto"/>
          <w:sz w:val="24"/>
          <w:szCs w:val="24"/>
          <w:highlight w:val="none"/>
        </w:rPr>
        <w:t>规定的格式提交，并按规定的统一格式逐项填写，不准有空项；无相应内容可填的项，应填写“无”、“未测试”、“没有相应指标”等明确的回答文字。由于编排混乱导致</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文件被误读或查找不到，其责任由</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承担。</w:t>
      </w:r>
    </w:p>
    <w:p w14:paraId="71265CA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须注意：为合理节约政府采购评审成本，提倡诚实信用的</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行为，特别要求</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应本着诚信精神，在本次</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文件的偏离表中，均以审慎的态度明确、清楚地披露各项偏离。若</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对某一事项是否存在或是否属于偏离不能确定，亦必须在偏离表中清楚地表明该偏离事项，并可以注明不能确定的字样。任何情况下，对于</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没有在偏离表中明确、清楚地披露的事项，包括可能属于被</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在偏离表中遗漏披露的事项，一旦在评审中被发现存在偏离或被认定为属于偏离，则评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委员会有权视具体情形评审时予以处理，</w:t>
      </w:r>
      <w:r>
        <w:rPr>
          <w:rFonts w:hint="eastAsia" w:ascii="宋体" w:hAnsi="宋体" w:eastAsia="宋体" w:cs="宋体"/>
          <w:b/>
          <w:bCs/>
          <w:i w:val="0"/>
          <w:iCs w:val="0"/>
          <w:color w:val="auto"/>
          <w:sz w:val="24"/>
          <w:szCs w:val="24"/>
          <w:highlight w:val="none"/>
        </w:rPr>
        <w:t>将可能导致</w:t>
      </w:r>
      <w:r>
        <w:rPr>
          <w:rFonts w:hint="eastAsia" w:ascii="宋体" w:hAnsi="宋体" w:eastAsia="宋体" w:cs="宋体"/>
          <w:b/>
          <w:bCs/>
          <w:i w:val="0"/>
          <w:iCs w:val="0"/>
          <w:color w:val="auto"/>
          <w:sz w:val="24"/>
          <w:szCs w:val="24"/>
          <w:highlight w:val="none"/>
          <w:lang w:eastAsia="zh-CN"/>
        </w:rPr>
        <w:t>响应</w:t>
      </w:r>
      <w:r>
        <w:rPr>
          <w:rFonts w:hint="eastAsia" w:ascii="宋体" w:hAnsi="宋体" w:eastAsia="宋体" w:cs="宋体"/>
          <w:b/>
          <w:bCs/>
          <w:i w:val="0"/>
          <w:iCs w:val="0"/>
          <w:color w:val="auto"/>
          <w:sz w:val="24"/>
          <w:szCs w:val="24"/>
          <w:highlight w:val="none"/>
          <w:lang w:val="en-US" w:eastAsia="zh-CN"/>
        </w:rPr>
        <w:t>无效</w:t>
      </w:r>
      <w:r>
        <w:rPr>
          <w:rFonts w:hint="eastAsia" w:ascii="宋体" w:hAnsi="宋体" w:eastAsia="宋体" w:cs="宋体"/>
          <w:i w:val="0"/>
          <w:iCs w:val="0"/>
          <w:color w:val="auto"/>
          <w:sz w:val="24"/>
          <w:szCs w:val="24"/>
          <w:highlight w:val="none"/>
        </w:rPr>
        <w:t>。</w:t>
      </w:r>
    </w:p>
    <w:p w14:paraId="54FCBEF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6供应商</w:t>
      </w:r>
      <w:r>
        <w:rPr>
          <w:rFonts w:hint="eastAsia" w:ascii="宋体" w:hAnsi="宋体" w:eastAsia="宋体" w:cs="宋体"/>
          <w:i w:val="0"/>
          <w:iCs w:val="0"/>
          <w:color w:val="auto"/>
          <w:sz w:val="24"/>
          <w:szCs w:val="24"/>
          <w:highlight w:val="none"/>
        </w:rPr>
        <w:t>必须保证</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文件所提供的全部资料真实可靠，并接受采购</w:t>
      </w:r>
      <w:r>
        <w:rPr>
          <w:rFonts w:hint="eastAsia" w:ascii="宋体" w:hAnsi="宋体" w:eastAsia="宋体" w:cs="宋体"/>
          <w:i w:val="0"/>
          <w:iCs w:val="0"/>
          <w:color w:val="auto"/>
          <w:sz w:val="24"/>
          <w:szCs w:val="24"/>
          <w:highlight w:val="none"/>
          <w:lang w:val="en-US" w:eastAsia="zh-CN"/>
        </w:rPr>
        <w:t>人、采购</w:t>
      </w:r>
      <w:r>
        <w:rPr>
          <w:rFonts w:hint="eastAsia" w:ascii="宋体" w:hAnsi="宋体" w:eastAsia="宋体" w:cs="宋体"/>
          <w:i w:val="0"/>
          <w:iCs w:val="0"/>
          <w:color w:val="auto"/>
          <w:sz w:val="24"/>
          <w:szCs w:val="24"/>
          <w:highlight w:val="none"/>
        </w:rPr>
        <w:t>代理机构或评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委员会对其中任何资料进一步审查的要求。</w:t>
      </w:r>
    </w:p>
    <w:p w14:paraId="7064EC3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7供应商</w:t>
      </w:r>
      <w:r>
        <w:rPr>
          <w:rFonts w:hint="eastAsia" w:ascii="宋体" w:hAnsi="宋体" w:eastAsia="宋体" w:cs="宋体"/>
          <w:i w:val="0"/>
          <w:iCs w:val="0"/>
          <w:color w:val="auto"/>
          <w:sz w:val="24"/>
          <w:szCs w:val="24"/>
          <w:highlight w:val="none"/>
        </w:rPr>
        <w:t>在</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文件及相关文件的签订、履行、通知等事项的文件中的单位盖章、印章、公章等处均指与当事人全称相一致的标准公章，不得使用其他形式（如带有“专用章”等字样的印章）。不符合本条规定的按</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bCs/>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处理。</w:t>
      </w:r>
    </w:p>
    <w:p w14:paraId="4071B617">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16.8电子响应文件的编制</w:t>
      </w:r>
    </w:p>
    <w:p w14:paraId="4A87E245">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16.8.1电子响应文件需按竞争性磋商文件要求进行制作编制。响应文件制作时，不同内容按标签提示制作导入，按照竞争性磋商文件中明确的响应文件目录和格式进行编制，保证目录清晰、内容完整。           </w:t>
      </w:r>
    </w:p>
    <w:p w14:paraId="1D4C561F">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16.8.2电子磋商文件及响应文件具有法律效力，与其他形式的磋商文件及响应文件在内容和格式上等同，若响应文件与竞争性磋商文件要求不一致，其内容影响成交结果时，责任由供应商自行承担。供应商递交的电子响应文件因供应商自身原因而导致无法导入电子辅助评标系统，该响应文件视为无效响应文件，</w:t>
      </w:r>
      <w:r>
        <w:rPr>
          <w:rFonts w:hint="eastAsia" w:ascii="宋体" w:hAnsi="宋体" w:eastAsia="宋体" w:cs="宋体"/>
          <w:b/>
          <w:bCs/>
          <w:i w:val="0"/>
          <w:iCs w:val="0"/>
          <w:color w:val="auto"/>
          <w:kern w:val="2"/>
          <w:sz w:val="24"/>
          <w:szCs w:val="24"/>
          <w:highlight w:val="none"/>
          <w:shd w:val="clear" w:color="auto" w:fill="FFFFFF"/>
          <w:lang w:val="en-US" w:eastAsia="zh-CN" w:bidi="ar-SA"/>
        </w:rPr>
        <w:t>其响应无效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p>
    <w:p w14:paraId="72852751">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43" w:name="_Toc109900390"/>
      <w:bookmarkStart w:id="244" w:name="_Toc109899971"/>
      <w:bookmarkStart w:id="245" w:name="_Toc470172684"/>
      <w:bookmarkStart w:id="246" w:name="_Toc46771659"/>
      <w:bookmarkStart w:id="247" w:name="_Toc109897453"/>
      <w:bookmarkStart w:id="248" w:name="_Toc109899552"/>
      <w:bookmarkStart w:id="249" w:name="_Toc163493614"/>
      <w:r>
        <w:rPr>
          <w:rFonts w:hint="eastAsia" w:ascii="宋体" w:hAnsi="宋体" w:eastAsia="宋体" w:cs="宋体"/>
          <w:b/>
          <w:bCs/>
          <w:i w:val="0"/>
          <w:iCs w:val="0"/>
          <w:color w:val="auto"/>
          <w:kern w:val="2"/>
          <w:sz w:val="24"/>
          <w:szCs w:val="24"/>
          <w:highlight w:val="none"/>
          <w:lang w:val="en-US" w:eastAsia="zh-CN" w:bidi="ar-SA"/>
        </w:rPr>
        <w:t>（四）响应文件的</w:t>
      </w:r>
      <w:bookmarkEnd w:id="243"/>
      <w:bookmarkEnd w:id="244"/>
      <w:bookmarkEnd w:id="245"/>
      <w:bookmarkEnd w:id="246"/>
      <w:bookmarkEnd w:id="247"/>
      <w:bookmarkEnd w:id="248"/>
      <w:r>
        <w:rPr>
          <w:rFonts w:hint="eastAsia" w:ascii="宋体" w:hAnsi="宋体" w:eastAsia="宋体" w:cs="宋体"/>
          <w:b/>
          <w:bCs/>
          <w:i w:val="0"/>
          <w:iCs w:val="0"/>
          <w:color w:val="auto"/>
          <w:kern w:val="2"/>
          <w:sz w:val="24"/>
          <w:szCs w:val="24"/>
          <w:highlight w:val="none"/>
          <w:lang w:val="en-US" w:eastAsia="zh-CN" w:bidi="ar-SA"/>
        </w:rPr>
        <w:t>递交</w:t>
      </w:r>
      <w:bookmarkEnd w:id="249"/>
    </w:p>
    <w:p w14:paraId="01810122">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50" w:name="_Toc109900489"/>
      <w:bookmarkStart w:id="251" w:name="_Toc109897552"/>
      <w:bookmarkStart w:id="252" w:name="_Toc109900070"/>
      <w:bookmarkStart w:id="253" w:name="_Toc109899651"/>
      <w:bookmarkStart w:id="254" w:name="_Toc156490296"/>
      <w:bookmarkStart w:id="255" w:name="_Toc155095707"/>
      <w:bookmarkStart w:id="256" w:name="_Toc109900490"/>
      <w:bookmarkStart w:id="257" w:name="_Toc109897553"/>
      <w:bookmarkStart w:id="258" w:name="_Toc109899652"/>
      <w:bookmarkStart w:id="259" w:name="_Toc109900071"/>
      <w:bookmarkStart w:id="260" w:name="_Toc156490297"/>
      <w:bookmarkStart w:id="261" w:name="_Toc155095708"/>
      <w:r>
        <w:rPr>
          <w:rFonts w:hint="eastAsia" w:ascii="宋体" w:hAnsi="宋体" w:eastAsia="宋体" w:cs="宋体"/>
          <w:b/>
          <w:bCs/>
          <w:i w:val="0"/>
          <w:iCs w:val="0"/>
          <w:color w:val="auto"/>
          <w:kern w:val="2"/>
          <w:sz w:val="24"/>
          <w:szCs w:val="24"/>
          <w:highlight w:val="none"/>
          <w:lang w:val="en-US" w:eastAsia="zh-CN" w:bidi="ar-SA"/>
        </w:rPr>
        <w:t>17.磋商保证金</w:t>
      </w:r>
    </w:p>
    <w:p w14:paraId="1A207AC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17.1供应商应按照竞争性磋商文件“供应商须知前附表”规定的金额及要求交纳磋商保证金。供应商自愿超额缴纳磋商保证金的，响应文件不做无效处理。</w:t>
      </w:r>
    </w:p>
    <w:p w14:paraId="77BF1621">
      <w:pPr>
        <w:keepNext w:val="0"/>
        <w:keepLines w:val="0"/>
        <w:pageBreakBefore w:val="0"/>
        <w:widowControl w:val="0"/>
        <w:suppressLineNumbers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17.2交纳磋商保证金可采用的形式：政府采购法律法规接受的支票、汇票、本票、网上银行支付或者金融机构、担保机构出具的保函等非现金形式。未按磋商文件要求提交磋商保证金的，其</w:t>
      </w:r>
      <w:r>
        <w:rPr>
          <w:rFonts w:hint="eastAsia" w:ascii="宋体" w:hAnsi="宋体" w:eastAsia="宋体" w:cs="宋体"/>
          <w:b/>
          <w:bCs/>
          <w:i w:val="0"/>
          <w:iCs w:val="0"/>
          <w:color w:val="auto"/>
          <w:kern w:val="2"/>
          <w:sz w:val="24"/>
          <w:szCs w:val="24"/>
          <w:highlight w:val="none"/>
          <w:shd w:val="clear" w:color="auto" w:fill="FFFFFF"/>
          <w:lang w:val="en-US" w:eastAsia="zh-CN" w:bidi="ar-SA"/>
        </w:rPr>
        <w:t>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r>
        <w:rPr>
          <w:rFonts w:hint="eastAsia" w:ascii="宋体" w:hAnsi="宋体" w:eastAsia="宋体" w:cs="宋体"/>
          <w:i w:val="0"/>
          <w:iCs w:val="0"/>
          <w:color w:val="auto"/>
          <w:sz w:val="24"/>
          <w:szCs w:val="24"/>
          <w:highlight w:val="none"/>
          <w:lang w:val="en-US" w:eastAsia="zh-CN"/>
        </w:rPr>
        <w:t>磋商保证金有效期同响应文件有效期。</w:t>
      </w:r>
    </w:p>
    <w:p w14:paraId="0C3CACC6">
      <w:pPr>
        <w:pStyle w:val="10"/>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17.3磋商保证金到账（保函提交）截止时间同响应文件递交截止时间。以支票、汇票、本票、网上银行支付等形式提交磋商保证金的，应在响应文件递交截止时间前到账；以金融机构、担保机构出具的保函等形式提交磋商保证金的，应在响应文件递交截止时间前将磋商保证金支付原件扫描后作为响应文件的组成部分与响应文件一起上传。由于到账时间晚于响应文件递交截止时间，或者票据错误、印鉴不清等原因导致不能到账的，其</w:t>
      </w:r>
      <w:r>
        <w:rPr>
          <w:rFonts w:hint="eastAsia" w:ascii="宋体" w:hAnsi="宋体" w:eastAsia="宋体" w:cs="宋体"/>
          <w:b/>
          <w:bCs/>
          <w:i w:val="0"/>
          <w:iCs w:val="0"/>
          <w:color w:val="auto"/>
          <w:kern w:val="2"/>
          <w:sz w:val="24"/>
          <w:szCs w:val="24"/>
          <w:highlight w:val="none"/>
          <w:shd w:val="clear" w:color="auto" w:fill="FFFFFF"/>
          <w:lang w:val="en-US" w:eastAsia="zh-CN" w:bidi="ar-SA"/>
        </w:rPr>
        <w:t>响应无效</w:t>
      </w:r>
      <w:r>
        <w:rPr>
          <w:rFonts w:hint="eastAsia" w:ascii="宋体" w:hAnsi="宋体" w:eastAsia="宋体" w:cs="宋体"/>
          <w:i w:val="0"/>
          <w:iCs w:val="0"/>
          <w:color w:val="auto"/>
          <w:kern w:val="2"/>
          <w:sz w:val="24"/>
          <w:szCs w:val="24"/>
          <w:highlight w:val="none"/>
          <w:shd w:val="clear" w:color="auto" w:fill="FFFFFF"/>
          <w:lang w:val="en-US" w:eastAsia="zh-CN" w:bidi="ar-SA"/>
        </w:rPr>
        <w:t>。</w:t>
      </w:r>
    </w:p>
    <w:p w14:paraId="7EBFBB8B">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17.4 供应商为联合体的，可以由联合体中的一方或者多方共同交纳磋商保证金，其交纳的磋商保证金对联合体各方均具有约束力。 </w:t>
      </w:r>
    </w:p>
    <w:p w14:paraId="6E02FB95">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17.5采购人或者采购代理机构应当在采购活动结束后及时退还供应商的磋商保证金，采用银行保函、担保机构担保函等形式递交的磋商保证金，经供应商同意后采购人、采购代理机构可以不再退还，但因供应商自身原因导致无法及时退还的除外。未成交供应商的磋商保证金应当自成交通知书发出之日起 5 个工作日内退还，成交供应商的磋商保证金应当自采购合同签订之日起 5 个工作日内退还。 </w:t>
      </w:r>
    </w:p>
    <w:p w14:paraId="48C6EAF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17.6 供应商在响应文件递交截止时间前撤回已提交的响应文件的，自收到供应商书面撤回通知之日起 5 个工作日内，退还已收取的磋商保证金，但因供应商自身原因导致无法及时退还的除外。 </w:t>
      </w:r>
    </w:p>
    <w:p w14:paraId="6C0BF0B3">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17.7 终止磋商的项目已经收取磋商保证金的，自终止采购活动后5个工作日内退还已收取的磋商保证金及其在银行产生的孳息。</w:t>
      </w:r>
    </w:p>
    <w:p w14:paraId="63FB6EE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17.8有下列情形之一的，磋商保证金不予退还,</w:t>
      </w:r>
      <w:r>
        <w:rPr>
          <w:rFonts w:hint="eastAsia" w:ascii="宋体" w:hAnsi="宋体" w:eastAsia="宋体" w:cs="宋体"/>
          <w:i w:val="0"/>
          <w:iCs w:val="0"/>
          <w:color w:val="auto"/>
          <w:kern w:val="2"/>
          <w:sz w:val="24"/>
          <w:szCs w:val="24"/>
          <w:highlight w:val="none"/>
        </w:rPr>
        <w:t>情节严重的将其列入不良记录名单</w:t>
      </w:r>
      <w:r>
        <w:rPr>
          <w:rFonts w:hint="eastAsia" w:ascii="宋体" w:hAnsi="宋体" w:eastAsia="宋体" w:cs="宋体"/>
          <w:i w:val="0"/>
          <w:iCs w:val="0"/>
          <w:color w:val="auto"/>
          <w:kern w:val="2"/>
          <w:sz w:val="24"/>
          <w:szCs w:val="24"/>
          <w:highlight w:val="none"/>
          <w:shd w:val="clear" w:color="auto" w:fill="FFFFFF"/>
          <w:lang w:val="en-US" w:eastAsia="zh-CN" w:bidi="ar-SA"/>
        </w:rPr>
        <w:t xml:space="preserve">： </w:t>
      </w:r>
    </w:p>
    <w:p w14:paraId="56909F59">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17.8.1供应商在提交响应文件截止时间后撤回响应文件的； </w:t>
      </w:r>
    </w:p>
    <w:p w14:paraId="6BDEA651">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17.8.2供应商在响应文件中提供虚假材料的； </w:t>
      </w:r>
    </w:p>
    <w:p w14:paraId="120042A8">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17.8.3除因不可抗力或磋商文件认可的情形以外，成交供应商不与采购人签订合同的； </w:t>
      </w:r>
    </w:p>
    <w:p w14:paraId="5C8617B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 xml:space="preserve">17.8.4供应商与采购人、其他供应商或者采购代理机构恶意串通的； </w:t>
      </w:r>
    </w:p>
    <w:p w14:paraId="17490B0E">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17.8.5磋商文件规定的其他情形。</w:t>
      </w:r>
    </w:p>
    <w:p w14:paraId="17E6CCBD">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jc w:val="both"/>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17.9如开启时供应商对本单位磋商保证金缴纳情况有疑义，供应商应在开启结束前向采购人提交书面申请核实保证金缴纳情况。由银行或保险公司核实后出具书面材料予以答复。</w:t>
      </w:r>
    </w:p>
    <w:p w14:paraId="2AF6447A">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 w:val="0"/>
          <w:iCs w:val="0"/>
          <w:color w:val="auto"/>
          <w:kern w:val="2"/>
          <w:sz w:val="24"/>
          <w:szCs w:val="24"/>
          <w:highlight w:val="none"/>
          <w:shd w:val="clear" w:color="auto" w:fill="FFFFFF"/>
          <w:lang w:val="en-US" w:eastAsia="zh-CN" w:bidi="ar-SA"/>
        </w:rPr>
        <w:t>17.10</w:t>
      </w:r>
      <w:r>
        <w:rPr>
          <w:rFonts w:hint="eastAsia" w:ascii="宋体" w:hAnsi="宋体" w:eastAsia="宋体" w:cs="宋体"/>
          <w:iCs/>
          <w:color w:val="000000"/>
          <w:kern w:val="2"/>
          <w:sz w:val="24"/>
          <w:szCs w:val="24"/>
          <w:highlight w:val="none"/>
          <w:shd w:val="clear" w:color="auto" w:fill="FFFFFF"/>
          <w:lang w:val="en-US" w:eastAsia="zh-CN" w:bidi="ar-SA"/>
        </w:rPr>
        <w:t>为支持和促进中小企业发展，进一步发挥政府采购政策功能，鼓励投标供应商使用电子保函代替现金缴纳投标保证金，在线完成保函的申请、审核、开票、出函等环节，投标企业注意区分办理保函类型，并确认投标有效期，如采用政采云电子保函，可登录“新疆政府采购网”—顶部通栏“金融支撑”或者“新疆政府采购网”首页“政采贷 电子保函”快捷模块查看：</w:t>
      </w:r>
    </w:p>
    <w:p w14:paraId="540C3C16">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直达链接（电子保函）：</w:t>
      </w:r>
    </w:p>
    <w:p w14:paraId="74E05550">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Cs/>
          <w:color w:val="000000"/>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https://jinrong.zcygov.cn/luban/finance/xinjiang?utm=site.site-PC-4838.1473-pc-wsg-customFloatWindow-front.1.b9d627301e6311efb796b33a13fe0d0a</w:t>
      </w:r>
    </w:p>
    <w:p w14:paraId="4864F5D1">
      <w:pPr>
        <w:pStyle w:val="61"/>
        <w:keepNext w:val="0"/>
        <w:keepLines w:val="0"/>
        <w:pageBreakBefore w:val="0"/>
        <w:widowControl w:val="0"/>
        <w:shd w:val="clear" w:color="auto" w:fill="auto"/>
        <w:kinsoku/>
        <w:wordWrap/>
        <w:overflowPunct/>
        <w:topLinePunct w:val="0"/>
        <w:autoSpaceDE/>
        <w:autoSpaceDN/>
        <w:bidi w:val="0"/>
        <w:adjustRightInd/>
        <w:spacing w:line="360" w:lineRule="auto"/>
        <w:ind w:firstLine="480" w:firstLineChars="200"/>
        <w:textAlignment w:val="auto"/>
        <w:rPr>
          <w:rFonts w:hint="eastAsia" w:ascii="宋体" w:hAnsi="宋体" w:eastAsia="宋体" w:cs="宋体"/>
          <w:i w:val="0"/>
          <w:iCs w:val="0"/>
          <w:color w:val="auto"/>
          <w:kern w:val="2"/>
          <w:sz w:val="24"/>
          <w:szCs w:val="24"/>
          <w:highlight w:val="none"/>
          <w:shd w:val="clear" w:color="auto" w:fill="FFFFFF"/>
          <w:lang w:val="en-US" w:eastAsia="zh-CN" w:bidi="ar-SA"/>
        </w:rPr>
      </w:pPr>
      <w:r>
        <w:rPr>
          <w:rFonts w:hint="eastAsia" w:ascii="宋体" w:hAnsi="宋体" w:eastAsia="宋体" w:cs="宋体"/>
          <w:iCs/>
          <w:color w:val="000000"/>
          <w:kern w:val="2"/>
          <w:sz w:val="24"/>
          <w:szCs w:val="24"/>
          <w:highlight w:val="none"/>
          <w:shd w:val="clear" w:color="auto" w:fill="FFFFFF"/>
          <w:lang w:val="en-US" w:eastAsia="zh-CN" w:bidi="ar-SA"/>
        </w:rPr>
        <w:t>金融服务支撑热线：</w:t>
      </w:r>
      <w:r>
        <w:rPr>
          <w:rFonts w:hint="eastAsia" w:ascii="宋体" w:hAnsi="宋体" w:eastAsia="宋体" w:cs="宋体"/>
          <w:b/>
          <w:bCs/>
          <w:iCs/>
          <w:color w:val="000000"/>
          <w:kern w:val="2"/>
          <w:sz w:val="24"/>
          <w:szCs w:val="24"/>
          <w:highlight w:val="none"/>
          <w:shd w:val="clear" w:color="auto" w:fill="FFFFFF"/>
          <w:lang w:val="en-US" w:eastAsia="zh-CN" w:bidi="ar-SA"/>
        </w:rPr>
        <w:t>0991-2661159</w:t>
      </w:r>
      <w:r>
        <w:rPr>
          <w:rFonts w:hint="eastAsia" w:ascii="宋体" w:hAnsi="宋体" w:eastAsia="宋体" w:cs="宋体"/>
          <w:iCs/>
          <w:color w:val="000000"/>
          <w:kern w:val="2"/>
          <w:sz w:val="24"/>
          <w:szCs w:val="24"/>
          <w:highlight w:val="none"/>
          <w:shd w:val="clear" w:color="auto" w:fill="FFFFFF"/>
          <w:lang w:val="en-US" w:eastAsia="zh-CN" w:bidi="ar-SA"/>
        </w:rPr>
        <w:t xml:space="preserve">     </w:t>
      </w:r>
    </w:p>
    <w:p w14:paraId="784B786D">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18.响应文件的</w:t>
      </w:r>
      <w:bookmarkEnd w:id="250"/>
      <w:bookmarkEnd w:id="251"/>
      <w:bookmarkEnd w:id="252"/>
      <w:bookmarkEnd w:id="253"/>
      <w:r>
        <w:rPr>
          <w:rFonts w:hint="eastAsia" w:ascii="宋体" w:hAnsi="宋体" w:eastAsia="宋体" w:cs="宋体"/>
          <w:b/>
          <w:bCs/>
          <w:i w:val="0"/>
          <w:iCs w:val="0"/>
          <w:color w:val="auto"/>
          <w:kern w:val="2"/>
          <w:sz w:val="24"/>
          <w:szCs w:val="24"/>
          <w:highlight w:val="none"/>
          <w:lang w:val="en-US" w:eastAsia="zh-CN" w:bidi="ar-SA"/>
        </w:rPr>
        <w:t>加密</w:t>
      </w:r>
      <w:bookmarkEnd w:id="254"/>
      <w:bookmarkEnd w:id="255"/>
    </w:p>
    <w:p w14:paraId="105C769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18.1 供应商在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中生成响应文件并完成签章之后，使用CA证书在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中对响应文件进行加密。</w:t>
      </w:r>
    </w:p>
    <w:p w14:paraId="0AE412D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18.2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中对加密的响应文件进行解密验证，以防止响应文件加密异常，在开启时无法解密。</w:t>
      </w:r>
    </w:p>
    <w:p w14:paraId="79A877B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18.3 供应商应保证加密响应文件的CA证书有效期在开启时间之前。若CA证书有效期临近开启时间，建议供应商提前办理CA证书续期，以免开启时无法进行解密。</w:t>
      </w:r>
    </w:p>
    <w:p w14:paraId="1CDCC9E5">
      <w:pPr>
        <w:keepNext w:val="0"/>
        <w:keepLines w:val="0"/>
        <w:pageBreakBefore w:val="0"/>
        <w:widowControl w:val="0"/>
        <w:kinsoku/>
        <w:wordWrap w:val="0"/>
        <w:overflowPunct/>
        <w:topLinePunct w:val="0"/>
        <w:autoSpaceDE/>
        <w:autoSpaceDN/>
        <w:bidi w:val="0"/>
        <w:adjustRightInd/>
        <w:snapToGri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color w:val="000000"/>
          <w:sz w:val="24"/>
          <w:szCs w:val="24"/>
          <w:highlight w:val="none"/>
          <w:lang w:eastAsia="zh-CN"/>
        </w:rPr>
        <w:t>投标人</w:t>
      </w:r>
      <w:r>
        <w:rPr>
          <w:rFonts w:hint="eastAsia" w:ascii="宋体" w:hAnsi="宋体" w:eastAsia="宋体" w:cs="宋体"/>
          <w:color w:val="000000"/>
          <w:sz w:val="24"/>
          <w:szCs w:val="24"/>
          <w:highlight w:val="none"/>
        </w:rPr>
        <w:t>在</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递交截</w:t>
      </w:r>
      <w:r>
        <w:rPr>
          <w:rFonts w:hint="eastAsia" w:ascii="宋体" w:hAnsi="宋体" w:eastAsia="宋体" w:cs="宋体"/>
          <w:color w:val="000000"/>
          <w:sz w:val="24"/>
          <w:szCs w:val="24"/>
          <w:highlight w:val="none"/>
          <w:lang w:val="en-US" w:eastAsia="zh-CN"/>
        </w:rPr>
        <w:t>止</w:t>
      </w:r>
      <w:r>
        <w:rPr>
          <w:rFonts w:hint="eastAsia" w:ascii="宋体" w:hAnsi="宋体" w:eastAsia="宋体" w:cs="宋体"/>
          <w:color w:val="000000"/>
          <w:sz w:val="24"/>
          <w:szCs w:val="24"/>
          <w:highlight w:val="none"/>
        </w:rPr>
        <w:t>时间前通过</w:t>
      </w:r>
      <w:r>
        <w:rPr>
          <w:rFonts w:hint="eastAsia" w:cs="宋体"/>
          <w:color w:val="000000"/>
          <w:sz w:val="24"/>
          <w:szCs w:val="24"/>
          <w:highlight w:val="none"/>
          <w:lang w:val="en-US" w:eastAsia="zh-CN"/>
        </w:rPr>
        <w:t>新疆</w:t>
      </w:r>
      <w:r>
        <w:rPr>
          <w:rFonts w:hint="eastAsia" w:ascii="宋体" w:hAnsi="宋体" w:eastAsia="宋体" w:cs="宋体"/>
          <w:color w:val="000000"/>
          <w:sz w:val="24"/>
          <w:szCs w:val="24"/>
          <w:highlight w:val="none"/>
        </w:rPr>
        <w:t>政府采购网</w:t>
      </w:r>
      <w:r>
        <w:rPr>
          <w:rFonts w:hint="eastAsia" w:eastAsia="宋体" w:cs="仿宋_GB2312"/>
          <w:color w:val="auto"/>
          <w:sz w:val="24"/>
          <w:szCs w:val="24"/>
          <w:highlight w:val="none"/>
        </w:rPr>
        <w:t>（http://www.ccgp-xinjiang.gov.cn/）</w:t>
      </w:r>
      <w:r>
        <w:rPr>
          <w:rFonts w:hint="eastAsia" w:ascii="宋体" w:hAnsi="宋体" w:eastAsia="宋体" w:cs="宋体"/>
          <w:color w:val="000000"/>
          <w:sz w:val="24"/>
          <w:szCs w:val="24"/>
          <w:highlight w:val="none"/>
        </w:rPr>
        <w:t>的”政采云登录入口”登录后，将加密电子</w:t>
      </w:r>
      <w:r>
        <w:rPr>
          <w:rFonts w:hint="eastAsia" w:ascii="宋体" w:hAnsi="宋体" w:eastAsia="宋体" w:cs="宋体"/>
          <w:color w:val="000000"/>
          <w:sz w:val="24"/>
          <w:szCs w:val="24"/>
          <w:highlight w:val="none"/>
          <w:lang w:eastAsia="zh-CN"/>
        </w:rPr>
        <w:t>投标文件</w:t>
      </w:r>
      <w:r>
        <w:rPr>
          <w:rFonts w:hint="eastAsia" w:ascii="宋体" w:hAnsi="宋体" w:eastAsia="宋体" w:cs="宋体"/>
          <w:color w:val="000000"/>
          <w:sz w:val="24"/>
          <w:szCs w:val="24"/>
          <w:highlight w:val="none"/>
        </w:rPr>
        <w:t>（为.jmbs后缀格式）上传到对应项目的指定位置</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投标人认为有必要提交的其他资料请于投标截止时间前一并提交。</w:t>
      </w:r>
    </w:p>
    <w:p w14:paraId="3896D475">
      <w:pPr>
        <w:keepNext w:val="0"/>
        <w:keepLines w:val="0"/>
        <w:pageBreakBefore w:val="0"/>
        <w:widowControl w:val="0"/>
        <w:kinsoku/>
        <w:overflowPunct/>
        <w:topLinePunct w:val="0"/>
        <w:autoSpaceDE/>
        <w:autoSpaceDN/>
        <w:bidi w:val="0"/>
        <w:adjustRightInd/>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如果</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未按上述要求</w:t>
      </w:r>
      <w:r>
        <w:rPr>
          <w:rFonts w:hint="eastAsia" w:ascii="宋体" w:hAnsi="宋体" w:eastAsia="宋体" w:cs="宋体"/>
          <w:i w:val="0"/>
          <w:iCs w:val="0"/>
          <w:color w:val="auto"/>
          <w:sz w:val="24"/>
          <w:szCs w:val="24"/>
          <w:highlight w:val="none"/>
          <w:lang w:val="en-US" w:eastAsia="zh-CN"/>
        </w:rPr>
        <w:t>加密并上传</w:t>
      </w:r>
      <w:r>
        <w:rPr>
          <w:rFonts w:hint="eastAsia" w:ascii="宋体" w:hAnsi="宋体" w:eastAsia="宋体" w:cs="宋体"/>
          <w:i w:val="0"/>
          <w:iCs w:val="0"/>
          <w:color w:val="auto"/>
          <w:sz w:val="24"/>
          <w:szCs w:val="24"/>
          <w:highlight w:val="none"/>
        </w:rPr>
        <w:t>，采购代理机构对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文件的误投</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无法解密、传输错误等问题</w:t>
      </w:r>
      <w:r>
        <w:rPr>
          <w:rFonts w:hint="eastAsia" w:ascii="宋体" w:hAnsi="宋体" w:eastAsia="宋体" w:cs="宋体"/>
          <w:i w:val="0"/>
          <w:iCs w:val="0"/>
          <w:color w:val="auto"/>
          <w:sz w:val="24"/>
          <w:szCs w:val="24"/>
          <w:highlight w:val="none"/>
        </w:rPr>
        <w:t>概不负责。对由此造成</w:t>
      </w:r>
      <w:r>
        <w:rPr>
          <w:rFonts w:hint="eastAsia" w:ascii="宋体" w:hAnsi="宋体" w:eastAsia="宋体" w:cs="宋体"/>
          <w:i w:val="0"/>
          <w:iCs w:val="0"/>
          <w:color w:val="auto"/>
          <w:sz w:val="24"/>
          <w:szCs w:val="24"/>
          <w:highlight w:val="none"/>
          <w:lang w:val="en-US" w:eastAsia="zh-CN"/>
        </w:rPr>
        <w:t>无法正常开启</w:t>
      </w:r>
      <w:r>
        <w:rPr>
          <w:rFonts w:hint="eastAsia" w:ascii="宋体" w:hAnsi="宋体" w:eastAsia="宋体" w:cs="宋体"/>
          <w:i w:val="0"/>
          <w:iCs w:val="0"/>
          <w:color w:val="auto"/>
          <w:sz w:val="24"/>
          <w:szCs w:val="24"/>
          <w:highlight w:val="none"/>
        </w:rPr>
        <w:t>的</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文件，采购代理机构有权予以拒绝，并退回</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w:t>
      </w:r>
    </w:p>
    <w:p w14:paraId="54A4931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本项目采用不见面开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方式，无需提供电子</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文件U盘。</w:t>
      </w:r>
    </w:p>
    <w:p w14:paraId="0EEE0E8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19.响应文件的</w:t>
      </w:r>
      <w:bookmarkEnd w:id="256"/>
      <w:bookmarkEnd w:id="257"/>
      <w:bookmarkEnd w:id="258"/>
      <w:bookmarkEnd w:id="259"/>
      <w:r>
        <w:rPr>
          <w:rFonts w:hint="eastAsia" w:ascii="宋体" w:hAnsi="宋体" w:eastAsia="宋体" w:cs="宋体"/>
          <w:b/>
          <w:bCs/>
          <w:i w:val="0"/>
          <w:iCs w:val="0"/>
          <w:color w:val="auto"/>
          <w:kern w:val="2"/>
          <w:sz w:val="24"/>
          <w:szCs w:val="24"/>
          <w:highlight w:val="none"/>
          <w:lang w:val="en-US" w:eastAsia="zh-CN" w:bidi="ar-SA"/>
        </w:rPr>
        <w:t>递交</w:t>
      </w:r>
      <w:bookmarkEnd w:id="260"/>
      <w:bookmarkEnd w:id="261"/>
      <w:r>
        <w:rPr>
          <w:rFonts w:hint="eastAsia" w:ascii="宋体" w:hAnsi="宋体" w:eastAsia="宋体" w:cs="宋体"/>
          <w:b/>
          <w:bCs/>
          <w:i w:val="0"/>
          <w:iCs w:val="0"/>
          <w:color w:val="auto"/>
          <w:kern w:val="2"/>
          <w:sz w:val="24"/>
          <w:szCs w:val="24"/>
          <w:highlight w:val="none"/>
          <w:lang w:val="en-US" w:eastAsia="zh-CN" w:bidi="ar-SA"/>
        </w:rPr>
        <w:t>（上传）</w:t>
      </w:r>
    </w:p>
    <w:p w14:paraId="4BB721FA">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19.1 供应商应在“</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”规定的响应文件递交截止时间前递交（上传）响应文件。</w:t>
      </w:r>
    </w:p>
    <w:p w14:paraId="1788DDFE">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19.2 供应商递交（上传）响应文件的地点见“</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p>
    <w:p w14:paraId="74B3F1A5">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19.3供应商应充分评估集中同时递交响应文件带来的网络影响，尽量避开递交响应文件高峰时间，错峰进行递交。供应商递交全部的响应文件后可在政采云平台（项目采购</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投标文件上传）中获取响应文件递交回执单。</w:t>
      </w:r>
    </w:p>
    <w:p w14:paraId="5634F607">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19.4 供应商应在</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中下载未加密且完成签章的响应文件妥善保存，以便启动应急开启程序时使用。</w:t>
      </w:r>
    </w:p>
    <w:p w14:paraId="6F8BD19B">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19.5供应商所递交的响应文件不予退还。</w:t>
      </w:r>
    </w:p>
    <w:p w14:paraId="03DDA0A8">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62" w:name="_Toc155095709"/>
      <w:bookmarkStart w:id="263" w:name="_Toc156490298"/>
      <w:r>
        <w:rPr>
          <w:rFonts w:hint="eastAsia" w:ascii="宋体" w:hAnsi="宋体" w:eastAsia="宋体" w:cs="宋体"/>
          <w:b/>
          <w:bCs/>
          <w:i w:val="0"/>
          <w:iCs w:val="0"/>
          <w:color w:val="auto"/>
          <w:kern w:val="2"/>
          <w:sz w:val="24"/>
          <w:szCs w:val="24"/>
          <w:highlight w:val="none"/>
          <w:lang w:val="en-US" w:eastAsia="zh-CN" w:bidi="ar-SA"/>
        </w:rPr>
        <w:t>20.拒收</w:t>
      </w:r>
      <w:bookmarkEnd w:id="262"/>
      <w:bookmarkEnd w:id="263"/>
    </w:p>
    <w:p w14:paraId="6764A5C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20.1超过递交响应文件的截止时间或者不按照本章要求加密的响应文件，交易系统应当拒收。</w:t>
      </w:r>
    </w:p>
    <w:p w14:paraId="03C096F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64" w:name="_Toc109900492"/>
      <w:bookmarkStart w:id="265" w:name="_Toc109897555"/>
      <w:bookmarkStart w:id="266" w:name="_Toc155095710"/>
      <w:bookmarkStart w:id="267" w:name="_Toc156490299"/>
      <w:bookmarkStart w:id="268" w:name="_Toc109900073"/>
      <w:bookmarkStart w:id="269" w:name="_Toc109899654"/>
      <w:r>
        <w:rPr>
          <w:rFonts w:hint="eastAsia" w:ascii="宋体" w:hAnsi="宋体" w:eastAsia="宋体" w:cs="宋体"/>
          <w:b/>
          <w:bCs/>
          <w:i w:val="0"/>
          <w:iCs w:val="0"/>
          <w:color w:val="auto"/>
          <w:kern w:val="2"/>
          <w:sz w:val="24"/>
          <w:szCs w:val="24"/>
          <w:highlight w:val="none"/>
          <w:lang w:val="en-US" w:eastAsia="zh-CN" w:bidi="ar-SA"/>
        </w:rPr>
        <w:t>21.响应文件的修改与撤回</w:t>
      </w:r>
      <w:bookmarkEnd w:id="264"/>
      <w:bookmarkEnd w:id="265"/>
      <w:bookmarkEnd w:id="266"/>
      <w:bookmarkEnd w:id="267"/>
      <w:bookmarkEnd w:id="268"/>
      <w:bookmarkEnd w:id="269"/>
    </w:p>
    <w:p w14:paraId="059E1BF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zh-CN" w:eastAsia="zh-CN"/>
        </w:rPr>
        <w:t>1</w:t>
      </w:r>
      <w:r>
        <w:rPr>
          <w:rFonts w:hint="eastAsia" w:ascii="宋体" w:hAnsi="宋体" w:eastAsia="宋体" w:cs="宋体"/>
          <w:i w:val="0"/>
          <w:iCs w:val="0"/>
          <w:snapToGrid w:val="0"/>
          <w:color w:val="auto"/>
          <w:sz w:val="24"/>
          <w:szCs w:val="24"/>
          <w:highlight w:val="none"/>
          <w:lang w:val="zh-CN"/>
        </w:rPr>
        <w:t>.1</w:t>
      </w:r>
      <w:bookmarkStart w:id="270" w:name="_Hlk143532466"/>
      <w:r>
        <w:rPr>
          <w:rFonts w:hint="eastAsia" w:ascii="宋体" w:hAnsi="宋体" w:eastAsia="宋体" w:cs="宋体"/>
          <w:i w:val="0"/>
          <w:iCs w:val="0"/>
          <w:snapToGrid w:val="0"/>
          <w:color w:val="auto"/>
          <w:sz w:val="24"/>
          <w:szCs w:val="24"/>
          <w:highlight w:val="none"/>
          <w:lang w:val="zh-CN" w:eastAsia="zh-CN"/>
        </w:rPr>
        <w:t>供应商</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snapToGrid w:val="0"/>
          <w:color w:val="auto"/>
          <w:sz w:val="24"/>
          <w:szCs w:val="24"/>
          <w:highlight w:val="none"/>
          <w:lang w:val="zh-CN" w:eastAsia="zh-CN"/>
        </w:rPr>
        <w:t>”</w:t>
      </w:r>
      <w:r>
        <w:rPr>
          <w:rFonts w:hint="eastAsia" w:ascii="宋体" w:hAnsi="宋体" w:eastAsia="宋体" w:cs="宋体"/>
          <w:i w:val="0"/>
          <w:iCs w:val="0"/>
          <w:snapToGrid w:val="0"/>
          <w:color w:val="auto"/>
          <w:sz w:val="24"/>
          <w:szCs w:val="24"/>
          <w:highlight w:val="none"/>
          <w:lang w:val="zh-CN"/>
        </w:rPr>
        <w:t>规定的</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递交截止时间之前，可在</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政府采购电子交易云平台上随时撤回已上传的电子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，将修改好的电子</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在</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lang w:val="zh-CN" w:eastAsia="zh-CN"/>
        </w:rPr>
        <w:t>文件</w:t>
      </w:r>
      <w:r>
        <w:rPr>
          <w:rFonts w:hint="eastAsia" w:ascii="宋体" w:hAnsi="宋体" w:eastAsia="宋体" w:cs="宋体"/>
          <w:i w:val="0"/>
          <w:iCs w:val="0"/>
          <w:snapToGrid w:val="0"/>
          <w:color w:val="auto"/>
          <w:sz w:val="24"/>
          <w:szCs w:val="24"/>
          <w:highlight w:val="none"/>
          <w:lang w:val="zh-CN"/>
        </w:rPr>
        <w:t>递交截止时间前重新上传到</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snapToGrid w:val="0"/>
          <w:color w:val="auto"/>
          <w:sz w:val="24"/>
          <w:szCs w:val="24"/>
          <w:highlight w:val="none"/>
          <w:lang w:val="zh-CN"/>
        </w:rPr>
        <w:t>政府采购电子交易云平台的</w:t>
      </w:r>
      <w:r>
        <w:rPr>
          <w:rFonts w:hint="eastAsia" w:ascii="宋体" w:hAnsi="宋体" w:eastAsia="宋体" w:cs="宋体"/>
          <w:i w:val="0"/>
          <w:iCs w:val="0"/>
          <w:snapToGrid w:val="0"/>
          <w:color w:val="auto"/>
          <w:sz w:val="24"/>
          <w:szCs w:val="24"/>
          <w:highlight w:val="none"/>
          <w:lang w:val="zh-CN" w:eastAsia="zh-CN"/>
        </w:rPr>
        <w:t>指</w:t>
      </w:r>
      <w:r>
        <w:rPr>
          <w:rFonts w:hint="eastAsia" w:ascii="宋体" w:hAnsi="宋体" w:eastAsia="宋体" w:cs="宋体"/>
          <w:i w:val="0"/>
          <w:iCs w:val="0"/>
          <w:snapToGrid w:val="0"/>
          <w:color w:val="auto"/>
          <w:sz w:val="24"/>
          <w:szCs w:val="24"/>
          <w:highlight w:val="none"/>
          <w:lang w:val="zh-CN"/>
        </w:rPr>
        <w:t>定位置。</w:t>
      </w:r>
    </w:p>
    <w:bookmarkEnd w:id="270"/>
    <w:p w14:paraId="4F9C167F">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1" w:name="_Toc158888664"/>
      <w:bookmarkStart w:id="272" w:name="_Toc155185874"/>
      <w:bookmarkStart w:id="273" w:name="_Toc155185973"/>
      <w:r>
        <w:rPr>
          <w:rFonts w:hint="eastAsia" w:ascii="宋体" w:hAnsi="宋体" w:eastAsia="宋体" w:cs="宋体"/>
          <w:b/>
          <w:bCs/>
          <w:i w:val="0"/>
          <w:iCs w:val="0"/>
          <w:color w:val="auto"/>
          <w:kern w:val="2"/>
          <w:sz w:val="24"/>
          <w:szCs w:val="24"/>
          <w:highlight w:val="none"/>
          <w:lang w:val="en-US" w:eastAsia="zh-CN" w:bidi="ar-SA"/>
        </w:rPr>
        <w:t>22.实物样品</w:t>
      </w:r>
      <w:bookmarkEnd w:id="271"/>
      <w:bookmarkEnd w:id="272"/>
      <w:bookmarkEnd w:id="273"/>
    </w:p>
    <w:p w14:paraId="3015EA9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22.1“供应商须知前附表”要求提供样品的，样品的具体要求及评审详见“第三章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3F3F84A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22.2样品退还：未成交的供应商应</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w:t>
      </w:r>
      <w:r>
        <w:rPr>
          <w:rFonts w:hint="eastAsia" w:ascii="宋体" w:hAnsi="宋体" w:eastAsia="宋体" w:cs="宋体"/>
          <w:i w:val="0"/>
          <w:iCs w:val="0"/>
          <w:color w:val="auto"/>
          <w:sz w:val="24"/>
          <w:szCs w:val="24"/>
          <w:highlight w:val="none"/>
          <w:lang w:val="en-US" w:eastAsia="zh-CN"/>
        </w:rPr>
        <w:t>要求</w:t>
      </w:r>
      <w:r>
        <w:rPr>
          <w:rFonts w:hint="eastAsia" w:ascii="宋体" w:hAnsi="宋体" w:eastAsia="宋体" w:cs="宋体"/>
          <w:i w:val="0"/>
          <w:iCs w:val="0"/>
          <w:color w:val="auto"/>
          <w:sz w:val="24"/>
          <w:szCs w:val="24"/>
          <w:highlight w:val="none"/>
        </w:rPr>
        <w:t>自行联系采购人取回递交样品；成交供应商的样品由采购人进行保管、封存，并作为履约验收的参考（竞争性磋商文件另有规定的从其规定）。</w:t>
      </w:r>
    </w:p>
    <w:p w14:paraId="56366B4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4" w:name="_Toc155185974"/>
      <w:bookmarkStart w:id="275" w:name="_Toc158888665"/>
      <w:bookmarkStart w:id="276" w:name="_Toc155185875"/>
      <w:r>
        <w:rPr>
          <w:rFonts w:hint="eastAsia" w:ascii="宋体" w:hAnsi="宋体" w:eastAsia="宋体" w:cs="宋体"/>
          <w:b/>
          <w:bCs/>
          <w:i w:val="0"/>
          <w:iCs w:val="0"/>
          <w:color w:val="auto"/>
          <w:kern w:val="2"/>
          <w:sz w:val="24"/>
          <w:szCs w:val="24"/>
          <w:highlight w:val="none"/>
          <w:lang w:val="en-US" w:eastAsia="zh-CN" w:bidi="ar-SA"/>
        </w:rPr>
        <w:t>23.项目演示</w:t>
      </w:r>
      <w:bookmarkEnd w:id="274"/>
      <w:bookmarkEnd w:id="275"/>
      <w:bookmarkEnd w:id="276"/>
    </w:p>
    <w:p w14:paraId="3C48391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23.1要求供应商进行演示的，演示要求详见“供应商须知前附表”。</w:t>
      </w:r>
    </w:p>
    <w:p w14:paraId="22102C81">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23.2演示的评审详见“第三章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采购需求”和“第四章 评审</w:t>
      </w:r>
      <w:r>
        <w:rPr>
          <w:rFonts w:hint="eastAsia" w:ascii="宋体" w:hAnsi="宋体" w:eastAsia="宋体" w:cs="宋体"/>
          <w:i w:val="0"/>
          <w:iCs w:val="0"/>
          <w:color w:val="auto"/>
          <w:sz w:val="24"/>
          <w:szCs w:val="24"/>
          <w:highlight w:val="none"/>
          <w:lang w:val="en-US" w:eastAsia="zh-CN"/>
        </w:rPr>
        <w:t>方</w:t>
      </w:r>
      <w:r>
        <w:rPr>
          <w:rFonts w:hint="eastAsia" w:ascii="宋体" w:hAnsi="宋体" w:eastAsia="宋体" w:cs="宋体"/>
          <w:i w:val="0"/>
          <w:iCs w:val="0"/>
          <w:color w:val="auto"/>
          <w:sz w:val="24"/>
          <w:szCs w:val="24"/>
          <w:highlight w:val="none"/>
        </w:rPr>
        <w:t>法及标准”</w:t>
      </w:r>
    </w:p>
    <w:p w14:paraId="6B46A24D">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77" w:name="_Toc163493615"/>
      <w:bookmarkStart w:id="278" w:name="_Toc109897458"/>
      <w:bookmarkStart w:id="279" w:name="_Toc109899557"/>
      <w:bookmarkStart w:id="280" w:name="_Toc46771664"/>
      <w:bookmarkStart w:id="281" w:name="_Toc109899976"/>
      <w:bookmarkStart w:id="282" w:name="_Toc109900395"/>
      <w:bookmarkStart w:id="283" w:name="_Toc470172689"/>
      <w:r>
        <w:rPr>
          <w:rFonts w:hint="eastAsia" w:ascii="宋体" w:hAnsi="宋体" w:eastAsia="宋体" w:cs="宋体"/>
          <w:b/>
          <w:bCs/>
          <w:i w:val="0"/>
          <w:iCs w:val="0"/>
          <w:color w:val="auto"/>
          <w:kern w:val="2"/>
          <w:sz w:val="24"/>
          <w:szCs w:val="24"/>
          <w:highlight w:val="none"/>
          <w:lang w:val="en-US" w:eastAsia="zh-CN" w:bidi="ar-SA"/>
        </w:rPr>
        <w:t>（五）</w:t>
      </w:r>
      <w:bookmarkEnd w:id="277"/>
      <w:r>
        <w:rPr>
          <w:rFonts w:hint="eastAsia" w:ascii="宋体" w:hAnsi="宋体" w:eastAsia="宋体" w:cs="宋体"/>
          <w:b/>
          <w:bCs/>
          <w:i w:val="0"/>
          <w:iCs w:val="0"/>
          <w:color w:val="auto"/>
          <w:kern w:val="2"/>
          <w:sz w:val="24"/>
          <w:szCs w:val="24"/>
          <w:highlight w:val="none"/>
          <w:lang w:val="en-US" w:eastAsia="zh-CN" w:bidi="ar-SA"/>
        </w:rPr>
        <w:t>响应文件开启</w:t>
      </w:r>
    </w:p>
    <w:p w14:paraId="750D725B">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4" w:name="_Hlk161704700"/>
      <w:r>
        <w:rPr>
          <w:rFonts w:hint="eastAsia" w:ascii="宋体" w:hAnsi="宋体" w:eastAsia="宋体" w:cs="宋体"/>
          <w:b/>
          <w:bCs/>
          <w:i w:val="0"/>
          <w:iCs w:val="0"/>
          <w:color w:val="auto"/>
          <w:kern w:val="2"/>
          <w:sz w:val="24"/>
          <w:szCs w:val="24"/>
          <w:highlight w:val="none"/>
          <w:lang w:val="en-US" w:eastAsia="zh-CN" w:bidi="ar-SA"/>
        </w:rPr>
        <w:t>24.响应文件开启</w:t>
      </w:r>
    </w:p>
    <w:p w14:paraId="30320CCC">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bCs/>
          <w:i w:val="0"/>
          <w:iCs w:val="0"/>
          <w:color w:val="auto"/>
          <w:sz w:val="24"/>
          <w:szCs w:val="24"/>
          <w:highlight w:val="none"/>
        </w:rPr>
      </w:pPr>
      <w:bookmarkStart w:id="285" w:name="_Toc140132781"/>
      <w:r>
        <w:rPr>
          <w:rFonts w:hint="eastAsia" w:ascii="宋体" w:hAnsi="宋体" w:eastAsia="宋体" w:cs="宋体"/>
          <w:i w:val="0"/>
          <w:iCs w:val="0"/>
          <w:color w:val="auto"/>
          <w:sz w:val="24"/>
          <w:szCs w:val="24"/>
          <w:highlight w:val="none"/>
        </w:rPr>
        <w:t>24.1供应商应按照“</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”中的要求参与开启。</w:t>
      </w:r>
      <w:bookmarkEnd w:id="285"/>
    </w:p>
    <w:p w14:paraId="44C062AD">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6" w:name="_Toc140132782"/>
      <w:bookmarkStart w:id="287" w:name="_Toc161600316"/>
      <w:r>
        <w:rPr>
          <w:rFonts w:hint="eastAsia" w:ascii="宋体" w:hAnsi="宋体" w:eastAsia="宋体" w:cs="宋体"/>
          <w:b/>
          <w:bCs/>
          <w:i w:val="0"/>
          <w:iCs w:val="0"/>
          <w:color w:val="auto"/>
          <w:kern w:val="2"/>
          <w:sz w:val="24"/>
          <w:szCs w:val="24"/>
          <w:highlight w:val="none"/>
          <w:lang w:val="en-US" w:eastAsia="zh-CN" w:bidi="ar-SA"/>
        </w:rPr>
        <w:t>25.开启时间和地点</w:t>
      </w:r>
      <w:bookmarkEnd w:id="286"/>
      <w:bookmarkEnd w:id="287"/>
    </w:p>
    <w:p w14:paraId="19FC62D6">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25.1开启时间和地点</w:t>
      </w:r>
    </w:p>
    <w:p w14:paraId="74263C6D">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响应文件截止时间前，供应商登录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进入交易系统</w:t>
      </w:r>
      <w:r>
        <w:rPr>
          <w:rFonts w:hint="eastAsia" w:ascii="宋体" w:hAnsi="宋体" w:eastAsia="宋体" w:cs="宋体"/>
          <w:i w:val="0"/>
          <w:iCs w:val="0"/>
          <w:color w:val="auto"/>
          <w:sz w:val="24"/>
          <w:szCs w:val="24"/>
          <w:highlight w:val="none"/>
        </w:rPr>
        <w:t>“开标大厅”选择所投项目（或采购包）完成项目签到工作。</w:t>
      </w:r>
    </w:p>
    <w:p w14:paraId="485DC310">
      <w:pPr>
        <w:keepNext w:val="0"/>
        <w:keepLines w:val="0"/>
        <w:pageBreakBefore w:val="0"/>
        <w:widowControl w:val="0"/>
        <w:kinsoku/>
        <w:overflowPunct/>
        <w:topLinePunct w:val="0"/>
        <w:bidi w:val="0"/>
        <w:ind w:firstLine="480" w:firstLineChars="20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zh-CN"/>
        </w:rPr>
        <w:t>（2）在</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第一章 竞争性磋商公告</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规</w:t>
      </w:r>
      <w:r>
        <w:rPr>
          <w:rFonts w:hint="eastAsia" w:ascii="宋体" w:hAnsi="宋体" w:eastAsia="宋体" w:cs="宋体"/>
          <w:i w:val="0"/>
          <w:iCs w:val="0"/>
          <w:color w:val="auto"/>
          <w:sz w:val="24"/>
          <w:szCs w:val="24"/>
          <w:highlight w:val="none"/>
          <w:lang w:val="zh-CN"/>
        </w:rPr>
        <w:t>定的</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lang w:val="zh-CN"/>
        </w:rPr>
        <w:t>响应文件截止时间、开启时间及地点，采购代理机构通过</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kern w:val="2"/>
          <w:sz w:val="24"/>
          <w:szCs w:val="24"/>
          <w:highlight w:val="none"/>
        </w:rPr>
        <w:t>的“政采云远程开标大厅”</w:t>
      </w:r>
      <w:r>
        <w:rPr>
          <w:rFonts w:hint="eastAsia" w:ascii="宋体" w:hAnsi="宋体" w:eastAsia="宋体" w:cs="宋体"/>
          <w:i w:val="0"/>
          <w:iCs w:val="0"/>
          <w:color w:val="auto"/>
          <w:sz w:val="24"/>
          <w:szCs w:val="24"/>
          <w:highlight w:val="none"/>
          <w:lang w:val="zh-CN"/>
        </w:rPr>
        <w:t>组织响应文件开启工作。</w:t>
      </w:r>
    </w:p>
    <w:p w14:paraId="66534CB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25.2响应文件开启：</w:t>
      </w:r>
      <w:r>
        <w:rPr>
          <w:rFonts w:hint="eastAsia" w:ascii="宋体" w:hAnsi="宋体" w:eastAsia="宋体" w:cs="宋体"/>
          <w:i w:val="0"/>
          <w:iCs w:val="0"/>
          <w:color w:val="auto"/>
          <w:sz w:val="24"/>
          <w:szCs w:val="24"/>
          <w:highlight w:val="none"/>
          <w:lang w:val="en-US" w:eastAsia="zh-CN"/>
        </w:rPr>
        <w:t>递交</w:t>
      </w:r>
      <w:r>
        <w:rPr>
          <w:rFonts w:hint="eastAsia" w:ascii="宋体" w:hAnsi="宋体" w:eastAsia="宋体" w:cs="宋体"/>
          <w:i w:val="0"/>
          <w:iCs w:val="0"/>
          <w:color w:val="auto"/>
          <w:sz w:val="24"/>
          <w:szCs w:val="24"/>
          <w:highlight w:val="none"/>
        </w:rPr>
        <w:t>响应文件截止时间到后，工作人员启动开始解密指令，供应商应当按照“供应商须知前附表”规定及时进行响应文件解密，完成响应文件开启工作。</w:t>
      </w:r>
    </w:p>
    <w:p w14:paraId="77684B06">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25.3规定的时间内，非因</w:t>
      </w:r>
      <w:r>
        <w:rPr>
          <w:rFonts w:hint="eastAsia" w:cs="宋体"/>
          <w:i w:val="0"/>
          <w:iCs w:val="0"/>
          <w:snapToGrid w:val="0"/>
          <w:color w:val="auto"/>
          <w:sz w:val="24"/>
          <w:szCs w:val="24"/>
          <w:highlight w:val="none"/>
          <w:lang w:val="en-US" w:eastAsia="zh-CN"/>
        </w:rPr>
        <w:t>新疆</w:t>
      </w:r>
      <w:r>
        <w:rPr>
          <w:rFonts w:hint="eastAsia" w:ascii="宋体" w:hAnsi="宋体" w:eastAsia="宋体" w:cs="宋体"/>
          <w:i w:val="0"/>
          <w:iCs w:val="0"/>
          <w:color w:val="auto"/>
          <w:sz w:val="24"/>
          <w:szCs w:val="24"/>
          <w:highlight w:val="none"/>
          <w:lang w:val="zh-CN" w:eastAsia="zh-CN"/>
        </w:rPr>
        <w:t>政府采购电子交易云平台</w:t>
      </w:r>
      <w:r>
        <w:rPr>
          <w:rFonts w:hint="eastAsia" w:ascii="宋体" w:hAnsi="宋体" w:eastAsia="宋体" w:cs="宋体"/>
          <w:i w:val="0"/>
          <w:iCs w:val="0"/>
          <w:color w:val="auto"/>
          <w:sz w:val="24"/>
          <w:szCs w:val="24"/>
          <w:highlight w:val="none"/>
        </w:rPr>
        <w:t>原因造成响应文件未解密的，视为供应商撤回响应文件。停止解密后，已解密开启的响应文件不足3家的，应当终止采购活动。</w:t>
      </w:r>
    </w:p>
    <w:p w14:paraId="4607536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25.4供应商或其授权代表对响应文件开启过程有疑义的，以及认为采购人、采购代理机构相关工作人员有需要回避的情形的，应在开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会议中提出询问或者回避申请。采购人、采购代理机构对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授权代表提出的询问或者回避申请应当及时处理。</w:t>
      </w:r>
    </w:p>
    <w:p w14:paraId="0486AA5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25.</w:t>
      </w:r>
      <w:r>
        <w:rPr>
          <w:rFonts w:hint="eastAsia" w:ascii="宋体" w:hAnsi="宋体" w:eastAsia="宋体" w:cs="宋体"/>
          <w:i w:val="0"/>
          <w:iCs w:val="0"/>
          <w:color w:val="auto"/>
          <w:sz w:val="24"/>
          <w:szCs w:val="24"/>
          <w:highlight w:val="none"/>
          <w:lang w:val="en-US" w:eastAsia="zh-CN"/>
        </w:rPr>
        <w:t>5供应商</w:t>
      </w:r>
      <w:r>
        <w:rPr>
          <w:rFonts w:hint="eastAsia" w:ascii="宋体" w:hAnsi="宋体" w:eastAsia="宋体" w:cs="宋体"/>
          <w:i w:val="0"/>
          <w:iCs w:val="0"/>
          <w:color w:val="auto"/>
          <w:sz w:val="24"/>
          <w:szCs w:val="24"/>
          <w:highlight w:val="none"/>
        </w:rPr>
        <w:t>未参加开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的，视同认可开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结果。</w:t>
      </w:r>
    </w:p>
    <w:bookmarkEnd w:id="278"/>
    <w:bookmarkEnd w:id="279"/>
    <w:bookmarkEnd w:id="280"/>
    <w:bookmarkEnd w:id="281"/>
    <w:bookmarkEnd w:id="282"/>
    <w:bookmarkEnd w:id="283"/>
    <w:bookmarkEnd w:id="284"/>
    <w:p w14:paraId="55D243EF">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88" w:name="_Toc140132785"/>
      <w:bookmarkStart w:id="289" w:name="_Toc155185877"/>
      <w:bookmarkStart w:id="290" w:name="_Toc163492854"/>
      <w:r>
        <w:rPr>
          <w:rFonts w:hint="eastAsia" w:ascii="宋体" w:hAnsi="宋体" w:eastAsia="宋体" w:cs="宋体"/>
          <w:b/>
          <w:bCs/>
          <w:i w:val="0"/>
          <w:iCs w:val="0"/>
          <w:color w:val="auto"/>
          <w:kern w:val="2"/>
          <w:sz w:val="24"/>
          <w:szCs w:val="24"/>
          <w:highlight w:val="none"/>
          <w:lang w:val="en-US" w:eastAsia="zh-CN" w:bidi="ar-SA"/>
        </w:rPr>
        <w:t>（六）资格审查</w:t>
      </w:r>
      <w:bookmarkEnd w:id="288"/>
      <w:bookmarkEnd w:id="289"/>
      <w:bookmarkEnd w:id="290"/>
    </w:p>
    <w:p w14:paraId="2C1B5FD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1" w:name="_Toc163492855"/>
      <w:r>
        <w:rPr>
          <w:rFonts w:hint="eastAsia" w:ascii="宋体" w:hAnsi="宋体" w:eastAsia="宋体" w:cs="宋体"/>
          <w:b/>
          <w:bCs/>
          <w:i w:val="0"/>
          <w:iCs w:val="0"/>
          <w:color w:val="auto"/>
          <w:kern w:val="2"/>
          <w:sz w:val="24"/>
          <w:szCs w:val="24"/>
          <w:highlight w:val="none"/>
          <w:lang w:val="en-US" w:eastAsia="zh-CN" w:bidi="ar-SA"/>
        </w:rPr>
        <w:t>26.资格审查及审查主体</w:t>
      </w:r>
      <w:bookmarkEnd w:id="291"/>
    </w:p>
    <w:p w14:paraId="3F6E8AD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2" w:name="_Toc140132786"/>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.1开</w:t>
      </w:r>
      <w:r>
        <w:rPr>
          <w:rFonts w:hint="eastAsia" w:ascii="宋体" w:hAnsi="宋体" w:eastAsia="宋体" w:cs="宋体"/>
          <w:i w:val="0"/>
          <w:iCs w:val="0"/>
          <w:color w:val="auto"/>
          <w:sz w:val="24"/>
          <w:szCs w:val="24"/>
          <w:highlight w:val="none"/>
          <w:lang w:val="en-US" w:eastAsia="zh-CN"/>
        </w:rPr>
        <w:t>启</w:t>
      </w:r>
      <w:r>
        <w:rPr>
          <w:rFonts w:hint="eastAsia" w:ascii="宋体" w:hAnsi="宋体" w:eastAsia="宋体" w:cs="宋体"/>
          <w:i w:val="0"/>
          <w:iCs w:val="0"/>
          <w:color w:val="auto"/>
          <w:sz w:val="24"/>
          <w:szCs w:val="24"/>
          <w:highlight w:val="none"/>
        </w:rPr>
        <w:t>结束后，</w:t>
      </w:r>
      <w:r>
        <w:rPr>
          <w:rFonts w:hint="eastAsia" w:ascii="宋体" w:hAnsi="宋体" w:eastAsia="宋体" w:cs="宋体"/>
          <w:i w:val="0"/>
          <w:iCs w:val="0"/>
          <w:color w:val="auto"/>
          <w:sz w:val="24"/>
          <w:szCs w:val="24"/>
          <w:highlight w:val="none"/>
          <w:lang w:val="en-US" w:eastAsia="zh-CN"/>
        </w:rPr>
        <w:t>磋商小组</w:t>
      </w:r>
      <w:r>
        <w:rPr>
          <w:rFonts w:hint="eastAsia" w:ascii="宋体" w:hAnsi="宋体" w:eastAsia="宋体" w:cs="宋体"/>
          <w:i w:val="0"/>
          <w:iCs w:val="0"/>
          <w:color w:val="auto"/>
          <w:sz w:val="24"/>
          <w:szCs w:val="24"/>
          <w:highlight w:val="none"/>
        </w:rPr>
        <w:t>依据法律法规和本</w:t>
      </w:r>
      <w:r>
        <w:rPr>
          <w:rFonts w:hint="eastAsia" w:ascii="宋体" w:hAnsi="宋体" w:eastAsia="宋体"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rPr>
        <w:t>文件的规定，依法对</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资格进行审查，以确定</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是否具备</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资格。</w:t>
      </w:r>
      <w:bookmarkEnd w:id="292"/>
    </w:p>
    <w:p w14:paraId="6F7626D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3" w:name="_Toc140132787"/>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.2资格审查按“第四章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snapToGrid w:val="0"/>
          <w:color w:val="auto"/>
          <w:sz w:val="24"/>
          <w:szCs w:val="24"/>
          <w:highlight w:val="none"/>
          <w:lang w:val="zh-CN"/>
        </w:rPr>
        <w:t>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r>
        <w:rPr>
          <w:rFonts w:hint="eastAsia" w:ascii="宋体" w:hAnsi="宋体" w:eastAsia="宋体" w:cs="宋体"/>
          <w:i w:val="0"/>
          <w:iCs w:val="0"/>
          <w:color w:val="auto"/>
          <w:sz w:val="24"/>
          <w:szCs w:val="24"/>
          <w:highlight w:val="none"/>
        </w:rPr>
        <w:t>”的规定进行。</w:t>
      </w:r>
      <w:bookmarkEnd w:id="293"/>
    </w:p>
    <w:p w14:paraId="44D43B8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bookmarkStart w:id="294" w:name="_Toc140132788"/>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.3资格审查结束后，应及时对资格审查结果进行复核，对资格审查错误进行及时纠正并记录。</w:t>
      </w:r>
      <w:bookmarkEnd w:id="294"/>
    </w:p>
    <w:p w14:paraId="272F167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26.4</w:t>
      </w:r>
      <w:r>
        <w:rPr>
          <w:rFonts w:hint="eastAsia" w:ascii="宋体" w:hAnsi="宋体" w:eastAsia="宋体" w:cs="宋体"/>
          <w:i w:val="0"/>
          <w:iCs w:val="0"/>
          <w:color w:val="auto"/>
          <w:sz w:val="24"/>
          <w:szCs w:val="24"/>
          <w:highlight w:val="none"/>
        </w:rPr>
        <w:t>资格审查合格</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不足3家的，不得评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w:t>
      </w:r>
    </w:p>
    <w:p w14:paraId="7A1F7D21">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36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5" w:name="_Toc155185878"/>
      <w:bookmarkStart w:id="296" w:name="_Toc140132789"/>
      <w:bookmarkStart w:id="297" w:name="_Toc163492856"/>
      <w:r>
        <w:rPr>
          <w:rFonts w:hint="eastAsia" w:ascii="宋体" w:hAnsi="宋体" w:eastAsia="宋体" w:cs="宋体"/>
          <w:b/>
          <w:bCs/>
          <w:i w:val="0"/>
          <w:iCs w:val="0"/>
          <w:color w:val="auto"/>
          <w:kern w:val="2"/>
          <w:sz w:val="24"/>
          <w:szCs w:val="24"/>
          <w:highlight w:val="none"/>
          <w:lang w:val="en-US" w:eastAsia="zh-CN" w:bidi="ar-SA"/>
        </w:rPr>
        <w:t>（七）项目评</w:t>
      </w:r>
      <w:bookmarkEnd w:id="295"/>
      <w:bookmarkEnd w:id="296"/>
      <w:bookmarkEnd w:id="297"/>
      <w:r>
        <w:rPr>
          <w:rFonts w:hint="eastAsia" w:ascii="宋体" w:hAnsi="宋体" w:eastAsia="宋体" w:cs="宋体"/>
          <w:b/>
          <w:bCs/>
          <w:i w:val="0"/>
          <w:iCs w:val="0"/>
          <w:color w:val="auto"/>
          <w:kern w:val="2"/>
          <w:sz w:val="24"/>
          <w:szCs w:val="24"/>
          <w:highlight w:val="none"/>
          <w:lang w:val="en-US" w:eastAsia="zh-CN" w:bidi="ar-SA"/>
        </w:rPr>
        <w:t>审</w:t>
      </w:r>
    </w:p>
    <w:p w14:paraId="4C04DF4E">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27.评审方法、程序及标准</w:t>
      </w:r>
    </w:p>
    <w:p w14:paraId="0B5D7D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snapToGrid w:val="0"/>
          <w:color w:val="auto"/>
          <w:sz w:val="24"/>
          <w:szCs w:val="24"/>
          <w:highlight w:val="none"/>
          <w:lang w:val="en-US" w:eastAsia="zh-CN"/>
        </w:rPr>
        <w:t>评审方法：综合评分法。</w:t>
      </w:r>
    </w:p>
    <w:p w14:paraId="1D78CC98">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eastAsia="zh-CN"/>
        </w:rPr>
        <w:t>综合评分法，是指响应文件满足磋商文件全部实质性要求且按评审因素的量化指标评审得分最高的供应商为成交候选供应商的评审方法。</w:t>
      </w:r>
    </w:p>
    <w:p w14:paraId="51EDFC5F">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本</w:t>
      </w:r>
      <w:r>
        <w:rPr>
          <w:rFonts w:hint="eastAsia" w:ascii="宋体" w:hAnsi="宋体" w:eastAsia="宋体" w:cs="宋体"/>
          <w:i w:val="0"/>
          <w:iCs w:val="0"/>
          <w:snapToGrid w:val="0"/>
          <w:color w:val="auto"/>
          <w:sz w:val="24"/>
          <w:szCs w:val="24"/>
          <w:highlight w:val="none"/>
          <w:lang w:val="zh-CN"/>
        </w:rPr>
        <w:t>项目评审方法、程序及标准详见“第</w:t>
      </w:r>
      <w:r>
        <w:rPr>
          <w:rFonts w:hint="eastAsia" w:ascii="宋体" w:hAnsi="宋体" w:eastAsia="宋体" w:cs="宋体"/>
          <w:i w:val="0"/>
          <w:iCs w:val="0"/>
          <w:snapToGrid w:val="0"/>
          <w:color w:val="auto"/>
          <w:sz w:val="24"/>
          <w:szCs w:val="24"/>
          <w:highlight w:val="none"/>
          <w:lang w:val="en-US" w:eastAsia="zh-CN"/>
        </w:rPr>
        <w:t>四</w:t>
      </w:r>
      <w:r>
        <w:rPr>
          <w:rFonts w:hint="eastAsia" w:ascii="宋体" w:hAnsi="宋体" w:eastAsia="宋体" w:cs="宋体"/>
          <w:i w:val="0"/>
          <w:iCs w:val="0"/>
          <w:snapToGrid w:val="0"/>
          <w:color w:val="auto"/>
          <w:sz w:val="24"/>
          <w:szCs w:val="24"/>
          <w:highlight w:val="none"/>
          <w:lang w:val="zh-CN"/>
        </w:rPr>
        <w:t>章 评审</w:t>
      </w:r>
      <w:r>
        <w:rPr>
          <w:rFonts w:hint="eastAsia" w:ascii="宋体" w:hAnsi="宋体" w:eastAsia="宋体" w:cs="宋体"/>
          <w:i w:val="0"/>
          <w:iCs w:val="0"/>
          <w:snapToGrid w:val="0"/>
          <w:color w:val="auto"/>
          <w:sz w:val="24"/>
          <w:szCs w:val="24"/>
          <w:highlight w:val="none"/>
          <w:lang w:val="en-US" w:eastAsia="zh-CN"/>
        </w:rPr>
        <w:t>方</w:t>
      </w:r>
      <w:r>
        <w:rPr>
          <w:rFonts w:hint="eastAsia" w:ascii="宋体" w:hAnsi="宋体" w:eastAsia="宋体" w:cs="宋体"/>
          <w:i w:val="0"/>
          <w:iCs w:val="0"/>
          <w:snapToGrid w:val="0"/>
          <w:color w:val="auto"/>
          <w:sz w:val="24"/>
          <w:szCs w:val="24"/>
          <w:highlight w:val="none"/>
          <w:lang w:val="zh-CN"/>
        </w:rPr>
        <w:t>法及标准”。</w:t>
      </w:r>
    </w:p>
    <w:p w14:paraId="42E7A75C">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2</w:t>
      </w:r>
      <w:r>
        <w:rPr>
          <w:rFonts w:hint="eastAsia" w:ascii="宋体" w:hAnsi="宋体" w:eastAsia="宋体" w:cs="宋体"/>
          <w:i w:val="0"/>
          <w:iCs w:val="0"/>
          <w:snapToGrid w:val="0"/>
          <w:color w:val="auto"/>
          <w:sz w:val="24"/>
          <w:szCs w:val="24"/>
          <w:highlight w:val="none"/>
          <w:lang w:val="en-US" w:eastAsia="zh-CN"/>
        </w:rPr>
        <w:t>7</w:t>
      </w:r>
      <w:r>
        <w:rPr>
          <w:rFonts w:hint="eastAsia" w:ascii="宋体" w:hAnsi="宋体" w:eastAsia="宋体" w:cs="宋体"/>
          <w:i w:val="0"/>
          <w:iCs w:val="0"/>
          <w:snapToGrid w:val="0"/>
          <w:color w:val="auto"/>
          <w:sz w:val="24"/>
          <w:szCs w:val="24"/>
          <w:highlight w:val="none"/>
          <w:lang w:val="zh-CN"/>
        </w:rPr>
        <w:t>.2磋商准备：供应商应当按照“</w:t>
      </w:r>
      <w:r>
        <w:rPr>
          <w:rFonts w:hint="eastAsia" w:ascii="宋体" w:hAnsi="宋体" w:eastAsia="宋体" w:cs="宋体"/>
          <w:i w:val="0"/>
          <w:iCs w:val="0"/>
          <w:snapToGrid w:val="0"/>
          <w:color w:val="auto"/>
          <w:sz w:val="24"/>
          <w:szCs w:val="24"/>
          <w:highlight w:val="none"/>
          <w:lang w:val="zh-CN" w:eastAsia="zh-CN"/>
        </w:rPr>
        <w:t>第</w:t>
      </w:r>
      <w:r>
        <w:rPr>
          <w:rFonts w:hint="eastAsia" w:ascii="宋体" w:hAnsi="宋体" w:eastAsia="宋体" w:cs="宋体"/>
          <w:i w:val="0"/>
          <w:iCs w:val="0"/>
          <w:snapToGrid w:val="0"/>
          <w:color w:val="auto"/>
          <w:sz w:val="24"/>
          <w:szCs w:val="24"/>
          <w:highlight w:val="none"/>
          <w:lang w:val="en-US" w:eastAsia="zh-CN"/>
        </w:rPr>
        <w:t>二</w:t>
      </w:r>
      <w:r>
        <w:rPr>
          <w:rFonts w:hint="eastAsia" w:ascii="宋体" w:hAnsi="宋体" w:eastAsia="宋体" w:cs="宋体"/>
          <w:i w:val="0"/>
          <w:iCs w:val="0"/>
          <w:snapToGrid w:val="0"/>
          <w:color w:val="auto"/>
          <w:sz w:val="24"/>
          <w:szCs w:val="24"/>
          <w:highlight w:val="none"/>
          <w:lang w:val="zh-CN" w:eastAsia="zh-CN"/>
        </w:rPr>
        <w:t xml:space="preserve">章 </w:t>
      </w:r>
      <w:r>
        <w:rPr>
          <w:rFonts w:hint="eastAsia" w:ascii="宋体" w:hAnsi="宋体" w:eastAsia="宋体" w:cs="宋体"/>
          <w:i w:val="0"/>
          <w:iCs w:val="0"/>
          <w:snapToGrid w:val="0"/>
          <w:color w:val="auto"/>
          <w:sz w:val="24"/>
          <w:szCs w:val="24"/>
          <w:highlight w:val="none"/>
          <w:lang w:val="en-US" w:eastAsia="zh-CN"/>
        </w:rPr>
        <w:t>供应商须知</w:t>
      </w:r>
      <w:r>
        <w:rPr>
          <w:rFonts w:hint="eastAsia" w:ascii="宋体" w:hAnsi="宋体" w:eastAsia="宋体" w:cs="宋体"/>
          <w:i w:val="0"/>
          <w:iCs w:val="0"/>
          <w:snapToGrid w:val="0"/>
          <w:color w:val="auto"/>
          <w:sz w:val="24"/>
          <w:szCs w:val="24"/>
          <w:highlight w:val="none"/>
          <w:lang w:val="zh-CN"/>
        </w:rPr>
        <w:t>”</w:t>
      </w:r>
      <w:r>
        <w:rPr>
          <w:rFonts w:hint="eastAsia" w:ascii="宋体" w:hAnsi="宋体" w:eastAsia="宋体" w:cs="宋体"/>
          <w:i w:val="0"/>
          <w:iCs w:val="0"/>
          <w:snapToGrid w:val="0"/>
          <w:color w:val="auto"/>
          <w:sz w:val="24"/>
          <w:szCs w:val="24"/>
          <w:highlight w:val="none"/>
          <w:lang w:val="en-US" w:eastAsia="zh-CN"/>
        </w:rPr>
        <w:t>的</w:t>
      </w:r>
      <w:r>
        <w:rPr>
          <w:rFonts w:hint="eastAsia" w:ascii="宋体" w:hAnsi="宋体" w:eastAsia="宋体" w:cs="宋体"/>
          <w:i w:val="0"/>
          <w:iCs w:val="0"/>
          <w:snapToGrid w:val="0"/>
          <w:color w:val="auto"/>
          <w:sz w:val="24"/>
          <w:szCs w:val="24"/>
          <w:highlight w:val="none"/>
          <w:lang w:val="zh-CN"/>
        </w:rPr>
        <w:t>要求提前准备好磋商所需的设备，确保设备稳定可靠、互联网畅通。</w:t>
      </w:r>
      <w:r>
        <w:rPr>
          <w:rFonts w:hint="eastAsia" w:ascii="宋体" w:hAnsi="宋体" w:eastAsia="宋体" w:cs="宋体"/>
          <w:i w:val="0"/>
          <w:iCs w:val="0"/>
          <w:color w:val="auto"/>
          <w:sz w:val="24"/>
          <w:szCs w:val="24"/>
          <w:highlight w:val="none"/>
        </w:rPr>
        <w:t>供应商登录</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snapToGrid w:val="0"/>
          <w:color w:val="auto"/>
          <w:sz w:val="24"/>
          <w:szCs w:val="24"/>
          <w:highlight w:val="none"/>
          <w:lang w:val="zh-CN"/>
        </w:rPr>
        <w:t>通过</w:t>
      </w:r>
      <w:r>
        <w:rPr>
          <w:rFonts w:hint="eastAsia" w:cs="宋体"/>
          <w:color w:val="auto"/>
          <w:sz w:val="24"/>
          <w:szCs w:val="24"/>
          <w:highlight w:val="none"/>
          <w:lang w:eastAsia="zh-CN"/>
        </w:rPr>
        <w:t>“</w:t>
      </w:r>
      <w:r>
        <w:rPr>
          <w:rFonts w:hint="eastAsia" w:cs="仿宋_GB2312"/>
          <w:color w:val="auto"/>
          <w:sz w:val="24"/>
          <w:szCs w:val="24"/>
          <w:highlight w:val="none"/>
          <w:lang w:val="en-US" w:eastAsia="zh-CN"/>
        </w:rPr>
        <w:t>投标</w:t>
      </w:r>
      <w:r>
        <w:rPr>
          <w:rFonts w:hint="eastAsia" w:eastAsia="宋体" w:cs="仿宋_GB2312"/>
          <w:color w:val="auto"/>
          <w:sz w:val="24"/>
          <w:szCs w:val="24"/>
          <w:highlight w:val="none"/>
        </w:rPr>
        <w:t>客户端</w:t>
      </w:r>
      <w:r>
        <w:rPr>
          <w:rFonts w:hint="eastAsia" w:cs="仿宋_GB2312"/>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zh-CN"/>
        </w:rPr>
        <w:t>进入交易系统“</w:t>
      </w:r>
      <w:r>
        <w:rPr>
          <w:rFonts w:hint="eastAsia" w:ascii="宋体" w:hAnsi="宋体" w:eastAsia="宋体" w:cs="宋体"/>
          <w:i w:val="0"/>
          <w:iCs w:val="0"/>
          <w:snapToGrid w:val="0"/>
          <w:color w:val="auto"/>
          <w:sz w:val="24"/>
          <w:szCs w:val="24"/>
          <w:highlight w:val="none"/>
          <w:lang w:val="en-US" w:eastAsia="zh-CN"/>
        </w:rPr>
        <w:t>开</w:t>
      </w:r>
      <w:r>
        <w:rPr>
          <w:rFonts w:hint="eastAsia" w:ascii="宋体" w:hAnsi="宋体" w:eastAsia="宋体" w:cs="宋体"/>
          <w:i w:val="0"/>
          <w:iCs w:val="0"/>
          <w:snapToGrid w:val="0"/>
          <w:color w:val="auto"/>
          <w:sz w:val="24"/>
          <w:szCs w:val="24"/>
          <w:highlight w:val="none"/>
          <w:lang w:val="zh-CN"/>
        </w:rPr>
        <w:t>标大厅”，准时参加在线磋商，按照工作人员提示进行相关操作。未按上述要求进行的，导致的后果由供应商自行承担。</w:t>
      </w:r>
    </w:p>
    <w:p w14:paraId="21D93F4E">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298" w:name="_Toc140132790"/>
      <w:bookmarkStart w:id="299" w:name="_Toc163492857"/>
      <w:r>
        <w:rPr>
          <w:rFonts w:hint="eastAsia" w:ascii="宋体" w:hAnsi="宋体" w:eastAsia="宋体" w:cs="宋体"/>
          <w:b/>
          <w:bCs/>
          <w:i w:val="0"/>
          <w:iCs w:val="0"/>
          <w:color w:val="auto"/>
          <w:kern w:val="2"/>
          <w:sz w:val="24"/>
          <w:szCs w:val="24"/>
          <w:highlight w:val="none"/>
          <w:lang w:val="en-US" w:eastAsia="zh-CN" w:bidi="ar-SA"/>
        </w:rPr>
        <w:t>28.</w:t>
      </w:r>
      <w:bookmarkEnd w:id="298"/>
      <w:bookmarkEnd w:id="299"/>
      <w:r>
        <w:rPr>
          <w:rFonts w:hint="eastAsia" w:ascii="宋体" w:hAnsi="宋体" w:eastAsia="宋体" w:cs="宋体"/>
          <w:b/>
          <w:bCs/>
          <w:i w:val="0"/>
          <w:iCs w:val="0"/>
          <w:color w:val="auto"/>
          <w:kern w:val="2"/>
          <w:sz w:val="24"/>
          <w:szCs w:val="24"/>
          <w:highlight w:val="none"/>
          <w:lang w:val="en-US" w:eastAsia="zh-CN" w:bidi="ar-SA"/>
        </w:rPr>
        <w:t>磋商小组</w:t>
      </w:r>
    </w:p>
    <w:p w14:paraId="6C1089B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 磋商小组由采购人代表和评审专家共3人以上单数组成，其中评审专家人数不得少于磋商小组成员总数的2/3。采购人代表不得以评审专家身份参加本部门或本单位采购项目的评审。采购代理机构人员不得参加本机构代理的采购项目的评审。</w:t>
      </w:r>
    </w:p>
    <w:p w14:paraId="301CAD8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.2 磋商小组成员有下列情形之一的，应当回避：</w:t>
      </w:r>
    </w:p>
    <w:p w14:paraId="0656ACE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（1）参加采购活动前3年内与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存在劳动关系；</w:t>
      </w:r>
    </w:p>
    <w:p w14:paraId="55B6A1B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（2）参加采购活动前3年内担任</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的董事、监事；</w:t>
      </w:r>
    </w:p>
    <w:p w14:paraId="61A1D2B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（3）参加采购活动前3年内是</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的控股股东或者实际控制人；</w:t>
      </w:r>
    </w:p>
    <w:p w14:paraId="2961D58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的法定代表人或者负责人有夫妻、直系血亲、三代以内旁系血亲或者近姻亲关系；</w:t>
      </w:r>
    </w:p>
    <w:p w14:paraId="20FB9B7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（5）与</w:t>
      </w:r>
      <w:r>
        <w:rPr>
          <w:rFonts w:hint="eastAsia" w:ascii="宋体" w:hAnsi="宋体" w:eastAsia="宋体" w:cs="宋体"/>
          <w:i w:val="0"/>
          <w:iCs w:val="0"/>
          <w:color w:val="auto"/>
          <w:sz w:val="24"/>
          <w:szCs w:val="24"/>
          <w:highlight w:val="none"/>
          <w:lang w:val="en-US" w:eastAsia="zh-CN"/>
        </w:rPr>
        <w:t>磋商供应商</w:t>
      </w:r>
      <w:r>
        <w:rPr>
          <w:rFonts w:hint="eastAsia" w:ascii="宋体" w:hAnsi="宋体" w:eastAsia="宋体" w:cs="宋体"/>
          <w:i w:val="0"/>
          <w:iCs w:val="0"/>
          <w:color w:val="auto"/>
          <w:sz w:val="24"/>
          <w:szCs w:val="24"/>
          <w:highlight w:val="none"/>
        </w:rPr>
        <w:t>有其他可能影响采购活动公平、公正进行的关系。</w:t>
      </w:r>
    </w:p>
    <w:p w14:paraId="25BEA5A7">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00" w:name="_Toc163492858"/>
      <w:bookmarkStart w:id="301" w:name="_Toc140132791"/>
      <w:r>
        <w:rPr>
          <w:rFonts w:hint="eastAsia" w:ascii="宋体" w:hAnsi="宋体" w:eastAsia="宋体" w:cs="宋体"/>
          <w:b/>
          <w:bCs/>
          <w:i w:val="0"/>
          <w:iCs w:val="0"/>
          <w:color w:val="auto"/>
          <w:kern w:val="2"/>
          <w:sz w:val="24"/>
          <w:szCs w:val="24"/>
          <w:highlight w:val="none"/>
          <w:lang w:val="en-US" w:eastAsia="zh-CN" w:bidi="ar-SA"/>
        </w:rPr>
        <w:t>29.</w:t>
      </w:r>
      <w:bookmarkEnd w:id="300"/>
      <w:bookmarkEnd w:id="301"/>
      <w:r>
        <w:rPr>
          <w:rFonts w:hint="eastAsia" w:ascii="宋体" w:hAnsi="宋体" w:eastAsia="宋体" w:cs="宋体"/>
          <w:b/>
          <w:bCs/>
          <w:i w:val="0"/>
          <w:iCs w:val="0"/>
          <w:color w:val="auto"/>
          <w:kern w:val="2"/>
          <w:sz w:val="24"/>
          <w:szCs w:val="24"/>
          <w:highlight w:val="none"/>
          <w:lang w:val="en-US" w:eastAsia="zh-CN" w:bidi="ar-SA"/>
        </w:rPr>
        <w:t>评审</w:t>
      </w:r>
    </w:p>
    <w:p w14:paraId="418DE4C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1 </w:t>
      </w:r>
      <w:r>
        <w:rPr>
          <w:rFonts w:hint="eastAsia" w:ascii="宋体" w:hAnsi="宋体" w:eastAsia="宋体" w:cs="宋体"/>
          <w:i w:val="0"/>
          <w:iCs w:val="0"/>
          <w:color w:val="auto"/>
          <w:sz w:val="24"/>
          <w:szCs w:val="24"/>
          <w:highlight w:val="none"/>
        </w:rPr>
        <w:t>磋商小组按照“第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w:t>
      </w:r>
      <w:r>
        <w:rPr>
          <w:rFonts w:hint="eastAsia" w:ascii="宋体" w:hAnsi="宋体" w:eastAsia="宋体" w:cs="宋体"/>
          <w:i w:val="0"/>
          <w:iCs w:val="0"/>
          <w:color w:val="auto"/>
          <w:sz w:val="24"/>
          <w:szCs w:val="24"/>
          <w:highlight w:val="none"/>
          <w:lang w:val="en-US" w:eastAsia="zh-CN"/>
        </w:rPr>
        <w:t>的</w:t>
      </w:r>
      <w:r>
        <w:rPr>
          <w:rFonts w:hint="eastAsia" w:ascii="宋体" w:hAnsi="宋体" w:eastAsia="宋体" w:cs="宋体"/>
          <w:i w:val="0"/>
          <w:iCs w:val="0"/>
          <w:color w:val="auto"/>
          <w:sz w:val="24"/>
          <w:szCs w:val="24"/>
          <w:highlight w:val="none"/>
        </w:rPr>
        <w:t>规定对</w:t>
      </w:r>
      <w:r>
        <w:rPr>
          <w:rFonts w:hint="eastAsia" w:ascii="宋体" w:hAnsi="宋体" w:eastAsia="宋体"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rPr>
        <w:t>文件进行评审。“第</w:t>
      </w:r>
      <w:r>
        <w:rPr>
          <w:rFonts w:hint="eastAsia" w:ascii="宋体" w:hAnsi="宋体" w:eastAsia="宋体" w:cs="宋体"/>
          <w:i w:val="0"/>
          <w:iCs w:val="0"/>
          <w:color w:val="auto"/>
          <w:sz w:val="24"/>
          <w:szCs w:val="24"/>
          <w:highlight w:val="none"/>
          <w:lang w:val="en-US" w:eastAsia="zh-CN"/>
        </w:rPr>
        <w:t>四</w:t>
      </w:r>
      <w:r>
        <w:rPr>
          <w:rFonts w:hint="eastAsia" w:ascii="宋体" w:hAnsi="宋体" w:eastAsia="宋体" w:cs="宋体"/>
          <w:i w:val="0"/>
          <w:iCs w:val="0"/>
          <w:color w:val="auto"/>
          <w:sz w:val="24"/>
          <w:szCs w:val="24"/>
          <w:highlight w:val="none"/>
        </w:rPr>
        <w:t>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方法及标准”没有规定的方法、评审因素和标准，不作为评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依据。</w:t>
      </w:r>
      <w:r>
        <w:rPr>
          <w:rFonts w:hint="eastAsia" w:cs="宋体"/>
          <w:color w:val="auto"/>
          <w:sz w:val="24"/>
          <w:szCs w:val="24"/>
          <w:highlight w:val="none"/>
          <w:lang w:val="en-US" w:eastAsia="zh-CN"/>
        </w:rPr>
        <w:t>本项目磋商轮次及磋商顺序详“供应商须知前附表”。</w:t>
      </w:r>
    </w:p>
    <w:p w14:paraId="1A9007D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29</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 xml:space="preserve">2 </w:t>
      </w:r>
      <w:r>
        <w:rPr>
          <w:rFonts w:hint="eastAsia" w:ascii="宋体" w:hAnsi="宋体" w:eastAsia="宋体" w:cs="宋体"/>
          <w:i w:val="0"/>
          <w:iCs w:val="0"/>
          <w:color w:val="auto"/>
          <w:sz w:val="24"/>
          <w:szCs w:val="24"/>
          <w:highlight w:val="none"/>
        </w:rPr>
        <w:t>磋商小组按“</w:t>
      </w:r>
      <w:r>
        <w:rPr>
          <w:rFonts w:hint="eastAsia" w:ascii="宋体" w:hAnsi="宋体" w:eastAsia="宋体" w:cs="宋体"/>
          <w:i w:val="0"/>
          <w:iCs w:val="0"/>
          <w:color w:val="auto"/>
          <w:sz w:val="24"/>
          <w:szCs w:val="24"/>
          <w:highlight w:val="none"/>
          <w:lang w:val="en-US" w:eastAsia="zh-CN"/>
        </w:rPr>
        <w:t>供应商</w:t>
      </w:r>
      <w:r>
        <w:rPr>
          <w:rFonts w:hint="eastAsia" w:ascii="宋体" w:hAnsi="宋体" w:eastAsia="宋体" w:cs="宋体"/>
          <w:i w:val="0"/>
          <w:iCs w:val="0"/>
          <w:color w:val="auto"/>
          <w:sz w:val="24"/>
          <w:szCs w:val="24"/>
          <w:highlight w:val="none"/>
        </w:rPr>
        <w:t>须知前附表”规定的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候选人数量在评</w:t>
      </w:r>
      <w:r>
        <w:rPr>
          <w:rFonts w:hint="eastAsia" w:ascii="宋体" w:hAnsi="宋体" w:eastAsia="宋体" w:cs="宋体"/>
          <w:i w:val="0"/>
          <w:iCs w:val="0"/>
          <w:color w:val="auto"/>
          <w:sz w:val="24"/>
          <w:szCs w:val="24"/>
          <w:highlight w:val="none"/>
          <w:lang w:val="en-US" w:eastAsia="zh-CN"/>
        </w:rPr>
        <w:t>审</w:t>
      </w:r>
      <w:r>
        <w:rPr>
          <w:rFonts w:hint="eastAsia" w:ascii="宋体" w:hAnsi="宋体" w:eastAsia="宋体" w:cs="宋体"/>
          <w:i w:val="0"/>
          <w:iCs w:val="0"/>
          <w:color w:val="auto"/>
          <w:sz w:val="24"/>
          <w:szCs w:val="24"/>
          <w:highlight w:val="none"/>
        </w:rPr>
        <w:t>报告中向采购人推荐</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候选人。</w:t>
      </w:r>
    </w:p>
    <w:p w14:paraId="1E63454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29.3 开启之后，直到签订合同止，凡是属于审查、澄清、评价和比较磋商的有关资料以及确定成交意向等，均不得向供应商或者其他与评审无关的人员透露。</w:t>
      </w:r>
    </w:p>
    <w:p w14:paraId="57927CB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29.4 在确定成交人之前，供应商试图在响应文件审查、澄清、比较和评审时对</w:t>
      </w:r>
      <w:r>
        <w:rPr>
          <w:rFonts w:hint="eastAsia" w:ascii="宋体" w:hAnsi="宋体" w:eastAsia="宋体" w:cs="宋体"/>
          <w:i w:val="0"/>
          <w:iCs w:val="0"/>
          <w:color w:val="auto"/>
          <w:sz w:val="24"/>
          <w:szCs w:val="24"/>
          <w:highlight w:val="none"/>
        </w:rPr>
        <w:t>磋商小组</w:t>
      </w:r>
      <w:r>
        <w:rPr>
          <w:rFonts w:hint="eastAsia" w:ascii="宋体" w:hAnsi="宋体" w:eastAsia="宋体" w:cs="宋体"/>
          <w:i w:val="0"/>
          <w:iCs w:val="0"/>
          <w:color w:val="auto"/>
          <w:sz w:val="24"/>
          <w:szCs w:val="24"/>
          <w:highlight w:val="none"/>
          <w:lang w:val="en-US" w:eastAsia="zh-CN"/>
        </w:rPr>
        <w:t>、采购人和采购代理机构施加任何影响都可能导致其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i w:val="0"/>
          <w:iCs w:val="0"/>
          <w:color w:val="auto"/>
          <w:sz w:val="24"/>
          <w:szCs w:val="24"/>
          <w:highlight w:val="none"/>
          <w:lang w:val="en-US" w:eastAsia="zh-CN"/>
        </w:rPr>
        <w:t>。</w:t>
      </w:r>
    </w:p>
    <w:p w14:paraId="32A3200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 电子招投标的应急措施</w:t>
      </w:r>
    </w:p>
    <w:p w14:paraId="52525CD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29.5.1电子开启、评审如出现下列原因，导致系统无法正常运行或无法正常评审时，应采取应急措施。</w:t>
      </w:r>
    </w:p>
    <w:p w14:paraId="3D99F56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（1）系统服务器发生故障，无法访问或无法使用系统；</w:t>
      </w:r>
    </w:p>
    <w:p w14:paraId="518B308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（2）系统的软件或数据库出现错误，不能进行正常操作；</w:t>
      </w:r>
    </w:p>
    <w:p w14:paraId="657BA7B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（3）系统发现有安全漏洞，有潜在的泄密危险；</w:t>
      </w:r>
    </w:p>
    <w:p w14:paraId="26B1539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（4）病毒发作或受到外来病毒的攻击；</w:t>
      </w:r>
    </w:p>
    <w:p w14:paraId="6BCA43D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（5）出现其他不可抗拒的客观原因造成开评标系统无法正常使用。</w:t>
      </w:r>
    </w:p>
    <w:p w14:paraId="2BA3CE0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出现上述情况时，应对未开启的暂停开启。已在系统内开启、评审的立即停止。采取应急措施时，必须对原有资料及信息作出妥善保密处理。</w:t>
      </w:r>
    </w:p>
    <w:p w14:paraId="791CC4F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29.5.2因系统原因导致供应商均无法解密电子响应文件时，采购代理机构可在开启现场直接导入供应商在递交响应文件截止时间前递交的未加密的电子响应文件进行开启、评审。</w:t>
      </w:r>
    </w:p>
    <w:p w14:paraId="28CD45E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 供应商瑕疵滞后发现的处理规则</w:t>
      </w:r>
    </w:p>
    <w:p w14:paraId="11E85EA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29.6.1无论基于何种原因，各项本应作拒绝处理的情形即便未被及时发现而使该供应商进入初审、综合评审或其他后续程序，包括已经签订合同的情形，一旦供应商被拒绝或该供应商的此前评议结果被取消，其现有的位置将被其他供应商依序替代，相关的一切损失均由该供应商承担。</w:t>
      </w:r>
    </w:p>
    <w:p w14:paraId="5000462B">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02" w:name="_Toc163493616"/>
      <w:bookmarkStart w:id="303" w:name="_Toc109897464"/>
      <w:bookmarkStart w:id="304" w:name="_Toc109899982"/>
      <w:bookmarkStart w:id="305" w:name="_Toc109900401"/>
      <w:bookmarkStart w:id="306" w:name="_Toc46771670"/>
      <w:bookmarkStart w:id="307" w:name="_Toc470172692"/>
      <w:bookmarkStart w:id="308" w:name="_Toc109899563"/>
      <w:r>
        <w:rPr>
          <w:rFonts w:hint="eastAsia" w:ascii="宋体" w:hAnsi="宋体" w:eastAsia="宋体" w:cs="宋体"/>
          <w:b/>
          <w:bCs/>
          <w:i w:val="0"/>
          <w:iCs w:val="0"/>
          <w:color w:val="auto"/>
          <w:kern w:val="2"/>
          <w:sz w:val="24"/>
          <w:szCs w:val="24"/>
          <w:highlight w:val="none"/>
          <w:lang w:val="en-US" w:eastAsia="zh-CN" w:bidi="ar-SA"/>
        </w:rPr>
        <w:t>（八）成交</w:t>
      </w:r>
      <w:bookmarkEnd w:id="302"/>
      <w:bookmarkEnd w:id="303"/>
      <w:bookmarkEnd w:id="304"/>
      <w:bookmarkEnd w:id="305"/>
      <w:bookmarkEnd w:id="306"/>
      <w:bookmarkEnd w:id="307"/>
      <w:bookmarkEnd w:id="308"/>
    </w:p>
    <w:p w14:paraId="59C81E92">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09" w:name="_Toc52962758"/>
      <w:bookmarkStart w:id="310" w:name="_Toc109900402"/>
      <w:bookmarkStart w:id="311" w:name="_Toc109897465"/>
      <w:bookmarkStart w:id="312" w:name="_Toc46771671"/>
      <w:bookmarkStart w:id="313" w:name="_Toc109899564"/>
      <w:bookmarkStart w:id="314" w:name="_Toc46772272"/>
      <w:bookmarkStart w:id="315" w:name="_Toc48846140"/>
      <w:bookmarkStart w:id="316" w:name="_Toc51674242"/>
      <w:bookmarkStart w:id="317" w:name="_Toc109899983"/>
      <w:bookmarkStart w:id="318" w:name="_Toc48688820"/>
      <w:bookmarkStart w:id="319" w:name="_Toc52960584"/>
      <w:bookmarkStart w:id="320" w:name="_Hlk143533953"/>
      <w:r>
        <w:rPr>
          <w:rFonts w:hint="eastAsia" w:ascii="宋体" w:hAnsi="宋体" w:eastAsia="宋体" w:cs="宋体"/>
          <w:b/>
          <w:bCs/>
          <w:i w:val="0"/>
          <w:iCs w:val="0"/>
          <w:color w:val="auto"/>
          <w:kern w:val="2"/>
          <w:sz w:val="24"/>
          <w:szCs w:val="24"/>
          <w:highlight w:val="none"/>
          <w:lang w:val="en-US" w:eastAsia="zh-CN" w:bidi="ar-SA"/>
        </w:rPr>
        <w:t>30.确定成交供应商</w:t>
      </w:r>
      <w:bookmarkEnd w:id="309"/>
      <w:bookmarkEnd w:id="310"/>
      <w:bookmarkEnd w:id="311"/>
      <w:bookmarkEnd w:id="312"/>
      <w:bookmarkEnd w:id="313"/>
      <w:bookmarkEnd w:id="314"/>
      <w:bookmarkEnd w:id="315"/>
      <w:bookmarkEnd w:id="316"/>
      <w:bookmarkEnd w:id="317"/>
      <w:bookmarkEnd w:id="318"/>
      <w:bookmarkEnd w:id="319"/>
    </w:p>
    <w:p w14:paraId="2A96CF82">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30</w:t>
      </w:r>
      <w:r>
        <w:rPr>
          <w:rFonts w:hint="eastAsia" w:ascii="宋体" w:hAnsi="宋体" w:eastAsia="宋体" w:cs="宋体"/>
          <w:i w:val="0"/>
          <w:iCs w:val="0"/>
          <w:snapToGrid w:val="0"/>
          <w:color w:val="auto"/>
          <w:sz w:val="24"/>
          <w:szCs w:val="24"/>
          <w:highlight w:val="none"/>
          <w:lang w:val="zh-CN"/>
        </w:rPr>
        <w:t>.1确定成交供应商详见”供应商须知前附表”。</w:t>
      </w:r>
    </w:p>
    <w:p w14:paraId="4B64349D">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31.成交结果公告</w:t>
      </w:r>
    </w:p>
    <w:p w14:paraId="32E98E3A">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31</w:t>
      </w:r>
      <w:r>
        <w:rPr>
          <w:rFonts w:hint="eastAsia" w:ascii="宋体" w:hAnsi="宋体" w:eastAsia="宋体" w:cs="宋体"/>
          <w:i w:val="0"/>
          <w:iCs w:val="0"/>
          <w:snapToGrid w:val="0"/>
          <w:color w:val="auto"/>
          <w:sz w:val="24"/>
          <w:szCs w:val="24"/>
          <w:highlight w:val="none"/>
          <w:lang w:val="zh-CN"/>
        </w:rPr>
        <w:t>.1</w:t>
      </w:r>
      <w:r>
        <w:rPr>
          <w:rFonts w:hint="eastAsia" w:ascii="宋体" w:hAnsi="宋体" w:eastAsia="宋体" w:cs="宋体"/>
          <w:i w:val="0"/>
          <w:iCs w:val="0"/>
          <w:color w:val="auto"/>
          <w:sz w:val="24"/>
          <w:szCs w:val="24"/>
          <w:highlight w:val="none"/>
        </w:rPr>
        <w:t>采购人或者采购代理机构应当在成交供应商确定后2个工作日内，在省级以上财政部门指定的政府采购信息发布媒体上公告成交结果，磋商文件</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供应商的评审总得分</w:t>
      </w:r>
      <w:r>
        <w:rPr>
          <w:rFonts w:hint="eastAsia" w:ascii="宋体" w:hAnsi="宋体" w:eastAsia="宋体" w:cs="宋体"/>
          <w:i w:val="0"/>
          <w:iCs w:val="0"/>
          <w:color w:val="auto"/>
          <w:sz w:val="24"/>
          <w:szCs w:val="24"/>
          <w:highlight w:val="none"/>
        </w:rPr>
        <w:t>随成交结果同时公告。</w:t>
      </w:r>
    </w:p>
    <w:p w14:paraId="25AD9E9E">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1</w:t>
      </w:r>
      <w:r>
        <w:rPr>
          <w:rFonts w:hint="eastAsia" w:ascii="宋体" w:hAnsi="宋体" w:eastAsia="宋体" w:cs="宋体"/>
          <w:bCs/>
          <w:i w:val="0"/>
          <w:iCs w:val="0"/>
          <w:color w:val="auto"/>
          <w:sz w:val="24"/>
          <w:szCs w:val="24"/>
          <w:highlight w:val="none"/>
        </w:rPr>
        <w:t>.2</w:t>
      </w:r>
      <w:r>
        <w:rPr>
          <w:rFonts w:hint="eastAsia" w:ascii="宋体" w:hAnsi="宋体" w:eastAsia="宋体" w:cs="宋体"/>
          <w:bCs/>
          <w:i w:val="0"/>
          <w:iCs w:val="0"/>
          <w:color w:val="auto"/>
          <w:sz w:val="24"/>
          <w:szCs w:val="24"/>
          <w:highlight w:val="none"/>
          <w:lang w:eastAsia="zh-CN"/>
        </w:rPr>
        <w:t>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为中小企业</w:t>
      </w:r>
      <w:r>
        <w:rPr>
          <w:rFonts w:hint="eastAsia" w:ascii="宋体" w:hAnsi="宋体" w:eastAsia="宋体" w:cs="宋体"/>
          <w:bCs/>
          <w:i w:val="0"/>
          <w:iCs w:val="0"/>
          <w:color w:val="auto"/>
          <w:sz w:val="24"/>
          <w:szCs w:val="24"/>
          <w:highlight w:val="none"/>
          <w:lang w:val="en-US" w:eastAsia="zh-CN"/>
        </w:rPr>
        <w:t>享受中小企业扶持政策的</w:t>
      </w:r>
      <w:r>
        <w:rPr>
          <w:rFonts w:hint="eastAsia" w:ascii="宋体" w:hAnsi="宋体" w:eastAsia="宋体" w:cs="宋体"/>
          <w:bCs/>
          <w:i w:val="0"/>
          <w:iCs w:val="0"/>
          <w:color w:val="auto"/>
          <w:sz w:val="24"/>
          <w:szCs w:val="24"/>
          <w:highlight w:val="none"/>
          <w:lang w:eastAsia="zh-CN"/>
        </w:rPr>
        <w:t>，其“中小企业声明函”随成交结果同时公告。成交</w:t>
      </w:r>
      <w:r>
        <w:rPr>
          <w:rFonts w:hint="eastAsia" w:ascii="宋体" w:hAnsi="宋体" w:eastAsia="宋体" w:cs="宋体"/>
          <w:bCs/>
          <w:i w:val="0"/>
          <w:iCs w:val="0"/>
          <w:color w:val="auto"/>
          <w:sz w:val="24"/>
          <w:szCs w:val="24"/>
          <w:highlight w:val="none"/>
          <w:lang w:val="en-US" w:eastAsia="zh-CN"/>
        </w:rPr>
        <w:t>人</w:t>
      </w:r>
      <w:r>
        <w:rPr>
          <w:rFonts w:hint="eastAsia" w:ascii="宋体" w:hAnsi="宋体" w:eastAsia="宋体" w:cs="宋体"/>
          <w:bCs/>
          <w:i w:val="0"/>
          <w:iCs w:val="0"/>
          <w:color w:val="auto"/>
          <w:sz w:val="24"/>
          <w:szCs w:val="24"/>
          <w:highlight w:val="none"/>
          <w:lang w:eastAsia="zh-CN"/>
        </w:rPr>
        <w:t>为残疾人福利性单位的，其“残疾人福利性单位声明函”随成交结果同时公告。</w:t>
      </w:r>
    </w:p>
    <w:p w14:paraId="4CB6B367">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32.成交通知书</w:t>
      </w:r>
    </w:p>
    <w:p w14:paraId="3F3AC50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en-US" w:eastAsia="zh-CN"/>
        </w:rPr>
        <w:t>32</w:t>
      </w:r>
      <w:r>
        <w:rPr>
          <w:rFonts w:hint="eastAsia" w:ascii="宋体" w:hAnsi="宋体" w:eastAsia="宋体" w:cs="宋体"/>
          <w:i w:val="0"/>
          <w:iCs w:val="0"/>
          <w:snapToGrid w:val="0"/>
          <w:color w:val="auto"/>
          <w:sz w:val="24"/>
          <w:szCs w:val="24"/>
          <w:highlight w:val="none"/>
          <w:lang w:val="zh-CN"/>
        </w:rPr>
        <w:t>.1发布成交结果公告同时向成交供应商发出成交通知书。成交通知书是合同的组成部分,对成交供应商和采购人具有同等法律效力。</w:t>
      </w:r>
    </w:p>
    <w:p w14:paraId="3E2C2D81">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21" w:name="_Toc163493617"/>
      <w:r>
        <w:rPr>
          <w:rFonts w:hint="eastAsia" w:ascii="宋体" w:hAnsi="宋体" w:eastAsia="宋体" w:cs="宋体"/>
          <w:b/>
          <w:bCs/>
          <w:i w:val="0"/>
          <w:iCs w:val="0"/>
          <w:color w:val="auto"/>
          <w:kern w:val="2"/>
          <w:sz w:val="24"/>
          <w:szCs w:val="24"/>
          <w:highlight w:val="none"/>
          <w:lang w:val="en-US" w:eastAsia="zh-CN" w:bidi="ar-SA"/>
        </w:rPr>
        <w:t>（九）签订合同</w:t>
      </w:r>
      <w:bookmarkEnd w:id="321"/>
    </w:p>
    <w:p w14:paraId="6F871425">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22" w:name="_Toc48846141"/>
      <w:bookmarkStart w:id="323" w:name="_Toc109899984"/>
      <w:bookmarkStart w:id="324" w:name="_Toc109897466"/>
      <w:bookmarkStart w:id="325" w:name="_Toc46772273"/>
      <w:bookmarkStart w:id="326" w:name="_Toc48688821"/>
      <w:bookmarkStart w:id="327" w:name="_Toc52962759"/>
      <w:bookmarkStart w:id="328" w:name="_Toc109899565"/>
      <w:bookmarkStart w:id="329" w:name="_Toc51674243"/>
      <w:bookmarkStart w:id="330" w:name="_Toc46771672"/>
      <w:bookmarkStart w:id="331" w:name="_Toc52960585"/>
      <w:bookmarkStart w:id="332" w:name="_Toc109900403"/>
      <w:r>
        <w:rPr>
          <w:rFonts w:hint="eastAsia" w:ascii="宋体" w:hAnsi="宋体" w:eastAsia="宋体" w:cs="宋体"/>
          <w:b/>
          <w:bCs/>
          <w:i w:val="0"/>
          <w:iCs w:val="0"/>
          <w:color w:val="auto"/>
          <w:kern w:val="2"/>
          <w:sz w:val="24"/>
          <w:szCs w:val="24"/>
          <w:highlight w:val="none"/>
          <w:lang w:val="en-US" w:eastAsia="zh-CN" w:bidi="ar-SA"/>
        </w:rPr>
        <w:t>33.履约保证金</w:t>
      </w:r>
    </w:p>
    <w:p w14:paraId="2934878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.1在签订合同前，成交供应商应按“供应商须知前附表”规定的金额、担保形式和采购人认可的履约担保格式向采购人提交履约保证金。</w:t>
      </w:r>
    </w:p>
    <w:p w14:paraId="429BB4A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.2成交供应商不能按本章第3</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.1项要求提交履约担保的，视为放弃成交，给采购人造成损失的，成交供应商还应当承担民事责任。</w:t>
      </w:r>
    </w:p>
    <w:p w14:paraId="2B0382DC">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34.签订合同</w:t>
      </w:r>
      <w:bookmarkEnd w:id="322"/>
      <w:bookmarkEnd w:id="323"/>
      <w:bookmarkEnd w:id="324"/>
      <w:bookmarkEnd w:id="325"/>
      <w:bookmarkEnd w:id="326"/>
      <w:bookmarkEnd w:id="327"/>
      <w:bookmarkEnd w:id="328"/>
      <w:bookmarkEnd w:id="329"/>
      <w:bookmarkEnd w:id="330"/>
      <w:bookmarkEnd w:id="331"/>
      <w:bookmarkEnd w:id="332"/>
    </w:p>
    <w:p w14:paraId="77507EB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zh-CN"/>
        </w:rPr>
        <w:t>3</w:t>
      </w:r>
      <w:r>
        <w:rPr>
          <w:rFonts w:hint="eastAsia" w:ascii="宋体" w:hAnsi="宋体" w:eastAsia="宋体" w:cs="宋体"/>
          <w:i w:val="0"/>
          <w:iCs w:val="0"/>
          <w:snapToGrid w:val="0"/>
          <w:color w:val="auto"/>
          <w:sz w:val="24"/>
          <w:szCs w:val="24"/>
          <w:highlight w:val="none"/>
          <w:lang w:val="en-US" w:eastAsia="zh-CN"/>
        </w:rPr>
        <w:t>4</w:t>
      </w:r>
      <w:r>
        <w:rPr>
          <w:rFonts w:hint="eastAsia" w:ascii="宋体" w:hAnsi="宋体" w:eastAsia="宋体" w:cs="宋体"/>
          <w:i w:val="0"/>
          <w:iCs w:val="0"/>
          <w:snapToGrid w:val="0"/>
          <w:color w:val="auto"/>
          <w:sz w:val="24"/>
          <w:szCs w:val="24"/>
          <w:highlight w:val="none"/>
          <w:lang w:val="zh-CN"/>
        </w:rPr>
        <w:t>.1采购人与成交供应商应当在成交通知书发出之日起</w:t>
      </w:r>
      <w:r>
        <w:rPr>
          <w:rFonts w:hint="eastAsia" w:ascii="宋体" w:hAnsi="宋体" w:eastAsia="宋体" w:cs="宋体"/>
          <w:i w:val="0"/>
          <w:iCs w:val="0"/>
          <w:snapToGrid w:val="0"/>
          <w:color w:val="auto"/>
          <w:sz w:val="24"/>
          <w:szCs w:val="24"/>
          <w:highlight w:val="none"/>
          <w:lang w:val="en-US" w:eastAsia="zh-CN"/>
        </w:rPr>
        <w:t>25</w:t>
      </w:r>
      <w:r>
        <w:rPr>
          <w:rFonts w:hint="eastAsia" w:ascii="宋体" w:hAnsi="宋体" w:eastAsia="宋体" w:cs="宋体"/>
          <w:i w:val="0"/>
          <w:iCs w:val="0"/>
          <w:snapToGrid w:val="0"/>
          <w:color w:val="auto"/>
          <w:sz w:val="24"/>
          <w:szCs w:val="24"/>
          <w:highlight w:val="none"/>
          <w:lang w:val="zh-CN"/>
        </w:rPr>
        <w:t>日内，按照磋商文件确定的合同文本以及采购标的、规格型号、采购金额、采购数量、技术和服务要求等事项签订政府采购合同。</w:t>
      </w:r>
      <w:r>
        <w:rPr>
          <w:rFonts w:hint="eastAsia" w:ascii="宋体" w:hAnsi="宋体" w:eastAsia="宋体" w:cs="宋体"/>
          <w:i w:val="0"/>
          <w:iCs w:val="0"/>
          <w:color w:val="auto"/>
          <w:sz w:val="24"/>
          <w:szCs w:val="24"/>
          <w:highlight w:val="none"/>
        </w:rPr>
        <w:t>采购人因不可抗力原因迟延签订合同的，应当自不可抗力事由消除之日起7日内完成合同签订事宜。所签订的合同不得对</w:t>
      </w:r>
      <w:r>
        <w:rPr>
          <w:rFonts w:hint="eastAsia" w:ascii="宋体" w:hAnsi="宋体" w:eastAsia="宋体" w:cs="宋体"/>
          <w:i w:val="0"/>
          <w:iCs w:val="0"/>
          <w:color w:val="auto"/>
          <w:sz w:val="24"/>
          <w:szCs w:val="24"/>
          <w:highlight w:val="none"/>
          <w:lang w:val="en-US" w:eastAsia="zh-CN"/>
        </w:rPr>
        <w:t>磋商</w:t>
      </w:r>
      <w:r>
        <w:rPr>
          <w:rFonts w:hint="eastAsia" w:ascii="宋体" w:hAnsi="宋体" w:eastAsia="宋体" w:cs="宋体"/>
          <w:i w:val="0"/>
          <w:iCs w:val="0"/>
          <w:color w:val="auto"/>
          <w:sz w:val="24"/>
          <w:szCs w:val="24"/>
          <w:highlight w:val="none"/>
        </w:rPr>
        <w:t>文件和</w:t>
      </w:r>
      <w:r>
        <w:rPr>
          <w:rFonts w:hint="eastAsia" w:ascii="宋体" w:hAnsi="宋体" w:eastAsia="宋体" w:cs="宋体"/>
          <w:i w:val="0"/>
          <w:iCs w:val="0"/>
          <w:color w:val="auto"/>
          <w:sz w:val="24"/>
          <w:szCs w:val="24"/>
          <w:highlight w:val="none"/>
          <w:lang w:val="en-US" w:eastAsia="zh-CN"/>
        </w:rPr>
        <w:t>成交供应商响应</w:t>
      </w:r>
      <w:r>
        <w:rPr>
          <w:rFonts w:hint="eastAsia" w:ascii="宋体" w:hAnsi="宋体" w:eastAsia="宋体" w:cs="宋体"/>
          <w:i w:val="0"/>
          <w:iCs w:val="0"/>
          <w:color w:val="auto"/>
          <w:sz w:val="24"/>
          <w:szCs w:val="24"/>
          <w:highlight w:val="none"/>
        </w:rPr>
        <w:t>文件作实质性修改。</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人无正当理由拒签合同，给采购人造成损失的，</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人还应当承担民事责任。</w:t>
      </w:r>
    </w:p>
    <w:p w14:paraId="631AC2E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.2</w:t>
      </w:r>
      <w:r>
        <w:rPr>
          <w:rFonts w:hint="eastAsia" w:ascii="宋体" w:hAnsi="宋体" w:eastAsia="宋体" w:cs="宋体"/>
          <w:i w:val="0"/>
          <w:iCs w:val="0"/>
          <w:color w:val="auto"/>
          <w:sz w:val="24"/>
          <w:szCs w:val="24"/>
          <w:highlight w:val="none"/>
          <w:lang w:val="zh-CN"/>
        </w:rPr>
        <w:t>成交供应商拒绝签订政府采购合同的，采购人可以</w:t>
      </w:r>
      <w:r>
        <w:rPr>
          <w:rFonts w:hint="eastAsia" w:ascii="宋体" w:hAnsi="宋体" w:eastAsia="宋体" w:cs="宋体"/>
          <w:i w:val="0"/>
          <w:iCs w:val="0"/>
          <w:color w:val="auto"/>
          <w:sz w:val="24"/>
          <w:szCs w:val="24"/>
          <w:highlight w:val="none"/>
          <w:lang w:val="en-US" w:eastAsia="zh-CN"/>
        </w:rPr>
        <w:t>按照</w:t>
      </w:r>
      <w:r>
        <w:rPr>
          <w:rFonts w:hint="eastAsia" w:ascii="宋体" w:hAnsi="宋体" w:eastAsia="宋体" w:cs="宋体"/>
          <w:i w:val="0"/>
          <w:iCs w:val="0"/>
          <w:color w:val="auto"/>
          <w:sz w:val="24"/>
          <w:szCs w:val="24"/>
          <w:highlight w:val="none"/>
          <w:lang w:val="zh-CN"/>
        </w:rPr>
        <w:t>《政府采购竞争性磋商采购方式管理暂行办法》（财库〔2014〕214号）第二十八条第二款规定</w:t>
      </w:r>
      <w:r>
        <w:rPr>
          <w:rFonts w:hint="eastAsia" w:cs="宋体"/>
          <w:i w:val="0"/>
          <w:iCs w:val="0"/>
          <w:color w:val="auto"/>
          <w:sz w:val="24"/>
          <w:szCs w:val="24"/>
          <w:highlight w:val="none"/>
          <w:lang w:val="zh-CN"/>
        </w:rPr>
        <w:t>的</w:t>
      </w:r>
      <w:r>
        <w:rPr>
          <w:rFonts w:hint="eastAsia" w:cs="宋体"/>
          <w:i w:val="0"/>
          <w:iCs w:val="0"/>
          <w:color w:val="auto"/>
          <w:sz w:val="24"/>
          <w:szCs w:val="24"/>
          <w:highlight w:val="none"/>
          <w:lang w:val="en-US" w:eastAsia="zh-CN"/>
        </w:rPr>
        <w:t>原则</w:t>
      </w:r>
      <w:r>
        <w:rPr>
          <w:rFonts w:hint="eastAsia" w:ascii="宋体" w:hAnsi="宋体" w:eastAsia="宋体" w:cs="宋体"/>
          <w:i w:val="0"/>
          <w:iCs w:val="0"/>
          <w:color w:val="auto"/>
          <w:sz w:val="24"/>
          <w:szCs w:val="24"/>
          <w:highlight w:val="none"/>
          <w:lang w:val="zh-CN"/>
        </w:rPr>
        <w:t>确定其他供应商作为成交供应商并签订政府采购合同，也可以重新开展采购活动。拒绝签订政府采购合同的成交供应商不得参加对该项目重新开展的采购活动。</w:t>
      </w:r>
    </w:p>
    <w:p w14:paraId="116F455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bCs/>
          <w:i w:val="0"/>
          <w:iCs w:val="0"/>
          <w:color w:val="auto"/>
          <w:sz w:val="24"/>
          <w:szCs w:val="24"/>
          <w:highlight w:val="none"/>
        </w:rPr>
        <w:t>.3</w:t>
      </w:r>
      <w:r>
        <w:rPr>
          <w:rFonts w:hint="eastAsia" w:ascii="宋体" w:hAnsi="宋体" w:eastAsia="宋体" w:cs="宋体"/>
          <w:i w:val="0"/>
          <w:iCs w:val="0"/>
          <w:color w:val="auto"/>
          <w:sz w:val="24"/>
          <w:szCs w:val="24"/>
          <w:highlight w:val="none"/>
        </w:rPr>
        <w:t>采购人和</w:t>
      </w:r>
      <w:r>
        <w:rPr>
          <w:rFonts w:hint="eastAsia" w:ascii="宋体" w:hAnsi="宋体" w:eastAsia="宋体"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供应商不得向对方提出任何不合理的要求，作为签订合同的条件，双方不得私下订立背离合同实质性内容的协议。</w:t>
      </w:r>
    </w:p>
    <w:p w14:paraId="1585C77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34.4联合体成交的，联合体各方应当共同与采购人签订合同，就采购合同约定的事项向采购人承担连带责任。</w:t>
      </w:r>
    </w:p>
    <w:p w14:paraId="53A8560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34.5本项目的非主体、非关键性工作是否允许分包，见“供应商须知前附表”。</w:t>
      </w:r>
      <w:r>
        <w:rPr>
          <w:rFonts w:hint="eastAsia" w:ascii="宋体" w:hAnsi="宋体" w:eastAsia="宋体" w:cs="宋体"/>
          <w:i w:val="0"/>
          <w:iCs w:val="0"/>
          <w:color w:val="auto"/>
          <w:sz w:val="24"/>
          <w:szCs w:val="24"/>
          <w:highlight w:val="none"/>
        </w:rPr>
        <w:t>供应商未遵守竞争性磋商文件分包规定的，其</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采购人允许采用分包方式履行合同的，成交供应商可以依法在成交后将成交项目的非主体、非关键性工作采取分包方式履行合同。政府采购合同分包履行的，应当在响应文件中载明分包承担主体，分包承担主体应当具备相应资质条件且不得再次分包，否则</w:t>
      </w:r>
      <w:r>
        <w:rPr>
          <w:rFonts w:hint="eastAsia" w:ascii="宋体" w:hAnsi="宋体" w:eastAsia="宋体" w:cs="宋体"/>
          <w:b/>
          <w:bCs/>
          <w:i w:val="0"/>
          <w:iCs w:val="0"/>
          <w:color w:val="auto"/>
          <w:sz w:val="24"/>
          <w:szCs w:val="24"/>
          <w:highlight w:val="none"/>
          <w:lang w:val="en-US" w:eastAsia="zh-CN"/>
        </w:rPr>
        <w:t>成交无效</w:t>
      </w:r>
      <w:r>
        <w:rPr>
          <w:rFonts w:hint="eastAsia" w:ascii="宋体" w:hAnsi="宋体" w:eastAsia="宋体" w:cs="宋体"/>
          <w:i w:val="0"/>
          <w:iCs w:val="0"/>
          <w:color w:val="auto"/>
          <w:sz w:val="24"/>
          <w:szCs w:val="24"/>
          <w:highlight w:val="none"/>
          <w:lang w:val="en-US" w:eastAsia="zh-CN"/>
        </w:rPr>
        <w:t>。成交供应商就采购项目和分包项目向采购人负责，分包供应商就分包项目承担责任。</w:t>
      </w:r>
      <w:r>
        <w:rPr>
          <w:rFonts w:hint="eastAsia" w:ascii="宋体" w:hAnsi="宋体" w:eastAsia="宋体" w:cs="宋体"/>
          <w:b/>
          <w:bCs/>
          <w:i w:val="0"/>
          <w:iCs w:val="0"/>
          <w:color w:val="auto"/>
          <w:sz w:val="24"/>
          <w:szCs w:val="24"/>
          <w:highlight w:val="none"/>
          <w:lang w:val="en-US" w:eastAsia="zh-CN"/>
        </w:rPr>
        <w:t>政府采购合同不能转包。</w:t>
      </w:r>
    </w:p>
    <w:p w14:paraId="1346853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采购合同履行中，采购人需追加与合同标的相同的</w:t>
      </w:r>
      <w:r>
        <w:rPr>
          <w:rFonts w:hint="eastAsia" w:ascii="宋体" w:hAnsi="宋体" w:eastAsia="宋体" w:cs="宋体"/>
          <w:i w:val="0"/>
          <w:iCs w:val="0"/>
          <w:color w:val="auto"/>
          <w:sz w:val="24"/>
          <w:szCs w:val="24"/>
          <w:highlight w:val="none"/>
          <w:lang w:val="en-US" w:eastAsia="zh-CN"/>
        </w:rPr>
        <w:t>货物、工程或者服务</w:t>
      </w:r>
      <w:r>
        <w:rPr>
          <w:rFonts w:hint="eastAsia" w:ascii="宋体" w:hAnsi="宋体" w:eastAsia="宋体" w:cs="宋体"/>
          <w:i w:val="0"/>
          <w:iCs w:val="0"/>
          <w:color w:val="auto"/>
          <w:sz w:val="24"/>
          <w:szCs w:val="24"/>
          <w:highlight w:val="none"/>
        </w:rPr>
        <w:t>的，在不改变合同其他条款的前提下，可以与成交供应商协商签订补充合同，但所有补充合同的采购金额不得超过原合同采购金额的百分之十。</w:t>
      </w:r>
    </w:p>
    <w:p w14:paraId="43E904D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34.7采购人应于签订合同之日起2个工作日内在政采云平台备案公示。</w:t>
      </w:r>
    </w:p>
    <w:bookmarkEnd w:id="320"/>
    <w:p w14:paraId="4252B453">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33" w:name="_Toc46771673"/>
      <w:bookmarkStart w:id="334" w:name="_Toc163493618"/>
      <w:bookmarkStart w:id="335" w:name="_Toc109899566"/>
      <w:bookmarkStart w:id="336" w:name="_Toc109897467"/>
      <w:bookmarkStart w:id="337" w:name="_Toc109899985"/>
      <w:bookmarkStart w:id="338" w:name="_Toc109900404"/>
      <w:bookmarkStart w:id="339" w:name="_Toc470172693"/>
      <w:r>
        <w:rPr>
          <w:rFonts w:hint="eastAsia" w:ascii="宋体" w:hAnsi="宋体" w:eastAsia="宋体" w:cs="宋体"/>
          <w:b/>
          <w:bCs/>
          <w:i w:val="0"/>
          <w:iCs w:val="0"/>
          <w:color w:val="auto"/>
          <w:kern w:val="2"/>
          <w:sz w:val="24"/>
          <w:szCs w:val="24"/>
          <w:highlight w:val="none"/>
          <w:lang w:val="en-US" w:eastAsia="zh-CN" w:bidi="ar-SA"/>
        </w:rPr>
        <w:t>（十）质疑和投诉</w:t>
      </w:r>
      <w:bookmarkEnd w:id="333"/>
      <w:bookmarkEnd w:id="334"/>
      <w:bookmarkEnd w:id="335"/>
      <w:bookmarkEnd w:id="336"/>
      <w:bookmarkEnd w:id="337"/>
      <w:bookmarkEnd w:id="338"/>
    </w:p>
    <w:p w14:paraId="000ACFE7">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40" w:name="_Toc46772275"/>
      <w:bookmarkStart w:id="341" w:name="_Toc46771674"/>
      <w:bookmarkStart w:id="342" w:name="_Toc51674245"/>
      <w:bookmarkStart w:id="343" w:name="_Toc52960587"/>
      <w:bookmarkStart w:id="344" w:name="_Toc48688823"/>
      <w:bookmarkStart w:id="345" w:name="_Toc109900405"/>
      <w:bookmarkStart w:id="346" w:name="_Toc109899986"/>
      <w:bookmarkStart w:id="347" w:name="_Toc109899567"/>
      <w:bookmarkStart w:id="348" w:name="_Toc109897468"/>
      <w:bookmarkStart w:id="349" w:name="_Toc48846143"/>
      <w:bookmarkStart w:id="350" w:name="_Toc52962761"/>
      <w:r>
        <w:rPr>
          <w:rFonts w:hint="eastAsia" w:ascii="宋体" w:hAnsi="宋体" w:eastAsia="宋体" w:cs="宋体"/>
          <w:b/>
          <w:bCs/>
          <w:i w:val="0"/>
          <w:iCs w:val="0"/>
          <w:color w:val="auto"/>
          <w:kern w:val="2"/>
          <w:sz w:val="24"/>
          <w:szCs w:val="24"/>
          <w:highlight w:val="none"/>
          <w:lang w:val="en-US" w:eastAsia="zh-CN" w:bidi="ar-SA"/>
        </w:rPr>
        <w:t>35.质疑</w:t>
      </w:r>
      <w:bookmarkEnd w:id="340"/>
      <w:bookmarkEnd w:id="341"/>
      <w:bookmarkEnd w:id="342"/>
      <w:bookmarkEnd w:id="343"/>
      <w:bookmarkEnd w:id="344"/>
      <w:bookmarkEnd w:id="345"/>
      <w:bookmarkEnd w:id="346"/>
      <w:bookmarkEnd w:id="347"/>
      <w:bookmarkEnd w:id="348"/>
      <w:bookmarkEnd w:id="349"/>
      <w:bookmarkEnd w:id="350"/>
    </w:p>
    <w:bookmarkEnd w:id="98"/>
    <w:bookmarkEnd w:id="339"/>
    <w:p w14:paraId="522F842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bookmarkStart w:id="351" w:name="_Toc48846144"/>
      <w:bookmarkStart w:id="352" w:name="_Toc109897469"/>
      <w:bookmarkStart w:id="353" w:name="_Toc109899987"/>
      <w:bookmarkStart w:id="354" w:name="_Toc48688824"/>
      <w:bookmarkStart w:id="355" w:name="_Toc46771675"/>
      <w:bookmarkStart w:id="356" w:name="_Toc109899568"/>
      <w:bookmarkStart w:id="357" w:name="_Toc46772276"/>
      <w:bookmarkStart w:id="358" w:name="_Toc51674246"/>
      <w:bookmarkStart w:id="359" w:name="_Toc52960588"/>
      <w:bookmarkStart w:id="360" w:name="_Toc109900406"/>
      <w:bookmarkStart w:id="361" w:name="_Toc52962762"/>
      <w:bookmarkStart w:id="362" w:name="_Toc163493619"/>
      <w:bookmarkStart w:id="363" w:name="_Toc109900408"/>
      <w:bookmarkStart w:id="364" w:name="_Toc109897471"/>
      <w:bookmarkStart w:id="365" w:name="_Toc109899570"/>
      <w:bookmarkStart w:id="366" w:name="_Toc109899989"/>
      <w:bookmarkStart w:id="367" w:name="_Hlk60570485"/>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.1供应商认为</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w:t>
      </w:r>
      <w:r>
        <w:rPr>
          <w:rFonts w:hint="eastAsia" w:ascii="宋体" w:hAnsi="宋体" w:eastAsia="宋体" w:cs="宋体"/>
          <w:i w:val="0"/>
          <w:iCs w:val="0"/>
          <w:color w:val="auto"/>
          <w:sz w:val="24"/>
          <w:szCs w:val="24"/>
          <w:highlight w:val="none"/>
          <w:lang w:eastAsia="zh-CN"/>
        </w:rPr>
        <w:t>评审</w:t>
      </w:r>
      <w:r>
        <w:rPr>
          <w:rFonts w:hint="eastAsia" w:ascii="宋体" w:hAnsi="宋体" w:eastAsia="宋体" w:cs="宋体"/>
          <w:i w:val="0"/>
          <w:iCs w:val="0"/>
          <w:color w:val="auto"/>
          <w:sz w:val="24"/>
          <w:szCs w:val="24"/>
          <w:highlight w:val="none"/>
        </w:rPr>
        <w:t>过程、成交结果使自己的权益受到损害的，可以在知道或者应知其权益受到损害之日起7个工作日内，以书面形式向采购人、采购代理机构提出质疑</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详见“供应商须知前附表”</w:t>
      </w:r>
      <w:r>
        <w:rPr>
          <w:rFonts w:hint="eastAsia" w:ascii="宋体" w:hAnsi="宋体" w:eastAsia="宋体" w:cs="宋体"/>
          <w:i w:val="0"/>
          <w:iCs w:val="0"/>
          <w:color w:val="auto"/>
          <w:sz w:val="24"/>
          <w:szCs w:val="24"/>
          <w:highlight w:val="none"/>
        </w:rPr>
        <w:t>。供应商在法定质疑期内一次性提出针对同一采购程序环节的质疑。</w:t>
      </w:r>
    </w:p>
    <w:p w14:paraId="2723D96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.2提出质疑的供应商（以下简称质疑供应商）应当是参与所质疑项目采购活动的供应商。</w:t>
      </w:r>
    </w:p>
    <w:p w14:paraId="09DCB0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35.3</w:t>
      </w:r>
      <w:r>
        <w:rPr>
          <w:rFonts w:hint="eastAsia" w:ascii="宋体" w:hAnsi="宋体" w:eastAsia="宋体" w:cs="宋体"/>
          <w:i w:val="0"/>
          <w:iCs w:val="0"/>
          <w:color w:val="auto"/>
          <w:sz w:val="24"/>
          <w:szCs w:val="24"/>
          <w:highlight w:val="none"/>
        </w:rPr>
        <w:t>潜在供应商已依法获取其可质疑的</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文件的，可以对该文件提出质疑。对</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文件提出质疑的，应当在获取</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文件或者</w:t>
      </w:r>
      <w:r>
        <w:rPr>
          <w:rFonts w:hint="eastAsia" w:ascii="宋体" w:hAnsi="宋体" w:eastAsia="宋体" w:cs="宋体"/>
          <w:i w:val="0"/>
          <w:iCs w:val="0"/>
          <w:color w:val="auto"/>
          <w:sz w:val="24"/>
          <w:szCs w:val="24"/>
          <w:highlight w:val="none"/>
          <w:lang w:eastAsia="zh-CN"/>
        </w:rPr>
        <w:t>磋商</w:t>
      </w:r>
      <w:r>
        <w:rPr>
          <w:rFonts w:hint="eastAsia" w:ascii="宋体" w:hAnsi="宋体" w:eastAsia="宋体" w:cs="宋体"/>
          <w:i w:val="0"/>
          <w:iCs w:val="0"/>
          <w:color w:val="auto"/>
          <w:sz w:val="24"/>
          <w:szCs w:val="24"/>
          <w:highlight w:val="none"/>
        </w:rPr>
        <w:t>文件公告期限届满之日起7个工作日内提出。</w:t>
      </w:r>
    </w:p>
    <w:p w14:paraId="331319B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35.4</w:t>
      </w:r>
      <w:r>
        <w:rPr>
          <w:rFonts w:hint="eastAsia" w:ascii="宋体" w:hAnsi="宋体" w:eastAsia="宋体" w:cs="宋体"/>
          <w:i w:val="0"/>
          <w:iCs w:val="0"/>
          <w:color w:val="auto"/>
          <w:sz w:val="24"/>
          <w:szCs w:val="24"/>
          <w:highlight w:val="none"/>
        </w:rPr>
        <w:t>供应商提出质疑应当提交质疑函和必要的证明材料。质疑函应当包括下列内容：</w:t>
      </w:r>
    </w:p>
    <w:p w14:paraId="5E0912E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）供应商的姓名或者名称、地址、邮编、联系人及联系电话；</w:t>
      </w:r>
    </w:p>
    <w:p w14:paraId="649F7F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）质疑项目的名称、</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23F85E7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）具体、明确的质疑事项和与质疑事项相关的请求；</w:t>
      </w:r>
    </w:p>
    <w:p w14:paraId="1C83B1C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67C848A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）必要的法律依据；</w:t>
      </w:r>
    </w:p>
    <w:p w14:paraId="6BCFEC3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）提出质疑的日期。</w:t>
      </w:r>
    </w:p>
    <w:p w14:paraId="2623B52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供应商为自然人的，应当由本人签字；供应商为法人或者其他组织的，应当由法定代表人、主要负责人，或者其授权代表签字或者盖章，并加盖公章。</w:t>
      </w:r>
    </w:p>
    <w:p w14:paraId="5F1352A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.5质疑函不符合上述要求的，采购人或代理机构应书面告知具体事项，质疑人应当按要求进行修改或补充，并在质疑有效期限内提交。</w:t>
      </w:r>
    </w:p>
    <w:p w14:paraId="76BD2AC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rPr>
        <w:t>3</w:t>
      </w:r>
      <w:r>
        <w:rPr>
          <w:rFonts w:hint="eastAsia" w:ascii="宋体" w:hAnsi="宋体" w:eastAsia="宋体" w:cs="宋体"/>
          <w:i w:val="0"/>
          <w:iCs w:val="0"/>
          <w:snapToGrid w:val="0"/>
          <w:color w:val="auto"/>
          <w:sz w:val="24"/>
          <w:szCs w:val="24"/>
          <w:highlight w:val="none"/>
          <w:lang w:val="en-US" w:eastAsia="zh-CN"/>
        </w:rPr>
        <w:t>5</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6供应商</w:t>
      </w:r>
      <w:r>
        <w:rPr>
          <w:rFonts w:hint="eastAsia" w:ascii="宋体" w:hAnsi="宋体" w:eastAsia="宋体" w:cs="宋体"/>
          <w:i w:val="0"/>
          <w:iCs w:val="0"/>
          <w:snapToGrid w:val="0"/>
          <w:color w:val="auto"/>
          <w:sz w:val="24"/>
          <w:szCs w:val="24"/>
          <w:highlight w:val="none"/>
        </w:rPr>
        <w:t>进行虚假和恶意</w:t>
      </w:r>
      <w:r>
        <w:rPr>
          <w:rFonts w:hint="eastAsia" w:ascii="宋体" w:hAnsi="宋体" w:eastAsia="宋体" w:cs="宋体"/>
          <w:i w:val="0"/>
          <w:iCs w:val="0"/>
          <w:snapToGrid w:val="0"/>
          <w:color w:val="auto"/>
          <w:sz w:val="24"/>
          <w:szCs w:val="24"/>
          <w:highlight w:val="none"/>
          <w:lang w:val="en-US" w:eastAsia="zh-CN"/>
        </w:rPr>
        <w:t>质疑投诉</w:t>
      </w:r>
      <w:r>
        <w:rPr>
          <w:rFonts w:hint="eastAsia" w:ascii="宋体" w:hAnsi="宋体" w:eastAsia="宋体" w:cs="宋体"/>
          <w:i w:val="0"/>
          <w:iCs w:val="0"/>
          <w:snapToGrid w:val="0"/>
          <w:color w:val="auto"/>
          <w:sz w:val="24"/>
          <w:szCs w:val="24"/>
          <w:highlight w:val="none"/>
        </w:rPr>
        <w:t>的，采购代理机构将提请有关部门将其列入不良记录名单，在一至三年内禁止参加政府采购活动，并将处理决定在相关政府采购媒体上公布。</w:t>
      </w:r>
    </w:p>
    <w:p w14:paraId="06C8AD2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35.7</w:t>
      </w:r>
      <w:r>
        <w:rPr>
          <w:rFonts w:hint="eastAsia" w:ascii="宋体" w:hAnsi="宋体" w:eastAsia="宋体" w:cs="宋体"/>
          <w:i w:val="0"/>
          <w:iCs w:val="0"/>
          <w:color w:val="auto"/>
          <w:sz w:val="24"/>
          <w:szCs w:val="24"/>
          <w:highlight w:val="none"/>
        </w:rPr>
        <w:t>质疑函</w:t>
      </w:r>
      <w:r>
        <w:rPr>
          <w:rFonts w:hint="eastAsia" w:ascii="宋体" w:hAnsi="宋体" w:eastAsia="宋体" w:cs="宋体"/>
          <w:i w:val="0"/>
          <w:iCs w:val="0"/>
          <w:color w:val="auto"/>
          <w:sz w:val="24"/>
          <w:szCs w:val="24"/>
          <w:highlight w:val="none"/>
          <w:lang w:val="en-US" w:eastAsia="zh-CN"/>
        </w:rPr>
        <w:t>应当使用中文，并采用财政部门制定的范本。</w:t>
      </w:r>
    </w:p>
    <w:p w14:paraId="03C1D51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36.质疑答复</w:t>
      </w:r>
      <w:bookmarkEnd w:id="351"/>
      <w:bookmarkEnd w:id="352"/>
      <w:bookmarkEnd w:id="353"/>
      <w:bookmarkEnd w:id="354"/>
      <w:bookmarkEnd w:id="355"/>
      <w:bookmarkEnd w:id="356"/>
      <w:bookmarkEnd w:id="357"/>
      <w:bookmarkEnd w:id="358"/>
      <w:bookmarkEnd w:id="359"/>
      <w:bookmarkEnd w:id="360"/>
      <w:bookmarkEnd w:id="361"/>
    </w:p>
    <w:p w14:paraId="4E8601B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bookmarkStart w:id="368" w:name="_Toc109899569"/>
      <w:bookmarkStart w:id="369" w:name="_Toc109900407"/>
      <w:bookmarkStart w:id="370" w:name="_Toc48846145"/>
      <w:bookmarkStart w:id="371" w:name="_Toc46772277"/>
      <w:bookmarkStart w:id="372" w:name="_Toc109899988"/>
      <w:bookmarkStart w:id="373" w:name="_Toc109897470"/>
      <w:bookmarkStart w:id="374" w:name="_Toc48688825"/>
      <w:bookmarkStart w:id="375" w:name="_Toc52962763"/>
      <w:bookmarkStart w:id="376" w:name="_Toc51674247"/>
      <w:bookmarkStart w:id="377" w:name="_Toc46771676"/>
      <w:bookmarkStart w:id="378" w:name="_Toc52960589"/>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.1采购人、采购代理机构不得拒收质疑供应商在法定质疑期内发出的质疑函，应当在收到质疑函后7个工作日内作出答复，并以书面形式通知质疑供应商和其他有关供应商。</w:t>
      </w:r>
    </w:p>
    <w:p w14:paraId="5D718B0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36.2供应商对评审过程、成交结果提出质疑的，采购人、采购代理机构可以组织原竞争性磋商小组协助答复质疑。</w:t>
      </w:r>
    </w:p>
    <w:p w14:paraId="093BA48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质疑答复应当包括下列内容：</w:t>
      </w:r>
    </w:p>
    <w:p w14:paraId="4A69D1B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lang w:val="zh-CN" w:eastAsia="zh-CN"/>
        </w:rPr>
        <w:t>）质疑供应商的姓名或者名称；</w:t>
      </w:r>
    </w:p>
    <w:p w14:paraId="5DAA627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lang w:val="zh-CN" w:eastAsia="zh-CN"/>
        </w:rPr>
        <w:t>）收到质疑函的日期、质疑项目名称及</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lang w:val="zh-CN" w:eastAsia="zh-CN"/>
        </w:rPr>
        <w:t>编号/包号；</w:t>
      </w:r>
    </w:p>
    <w:p w14:paraId="57B0732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lang w:val="zh-CN" w:eastAsia="zh-CN"/>
        </w:rPr>
        <w:t>）质疑事项、质疑答复的具体内容、事实依据和法律依据；</w:t>
      </w:r>
    </w:p>
    <w:p w14:paraId="797EB66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lang w:val="zh-CN" w:eastAsia="zh-CN"/>
        </w:rPr>
        <w:t>）告知质疑供应商依法投诉的权利；</w:t>
      </w:r>
    </w:p>
    <w:p w14:paraId="7BAD87B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lang w:val="zh-CN" w:eastAsia="zh-CN"/>
        </w:rPr>
        <w:t>）质疑答复人名称；</w:t>
      </w:r>
    </w:p>
    <w:p w14:paraId="0A463F5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zh-CN" w:eastAsia="zh-CN"/>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lang w:val="zh-CN" w:eastAsia="zh-CN"/>
        </w:rPr>
        <w:t>）答复质疑的日期。</w:t>
      </w:r>
    </w:p>
    <w:p w14:paraId="68DAC33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color w:val="auto"/>
          <w:sz w:val="24"/>
          <w:szCs w:val="24"/>
          <w:highlight w:val="none"/>
          <w:lang w:val="en-US" w:eastAsia="zh-CN"/>
        </w:rPr>
        <w:t>36.3</w:t>
      </w:r>
      <w:r>
        <w:rPr>
          <w:rFonts w:hint="eastAsia" w:ascii="宋体" w:hAnsi="宋体" w:eastAsia="宋体" w:cs="宋体"/>
          <w:i w:val="0"/>
          <w:iCs w:val="0"/>
          <w:color w:val="auto"/>
          <w:sz w:val="24"/>
          <w:szCs w:val="24"/>
          <w:highlight w:val="none"/>
          <w:lang w:val="zh-CN" w:eastAsia="zh-CN"/>
        </w:rPr>
        <w:t>质疑答复的内容不得涉及商业秘密。</w:t>
      </w:r>
    </w:p>
    <w:p w14:paraId="668690D7">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37.投诉</w:t>
      </w:r>
      <w:bookmarkEnd w:id="368"/>
      <w:bookmarkEnd w:id="369"/>
      <w:bookmarkEnd w:id="370"/>
      <w:bookmarkEnd w:id="371"/>
      <w:bookmarkEnd w:id="372"/>
      <w:bookmarkEnd w:id="373"/>
      <w:bookmarkEnd w:id="374"/>
      <w:bookmarkEnd w:id="375"/>
      <w:bookmarkEnd w:id="376"/>
      <w:bookmarkEnd w:id="377"/>
      <w:bookmarkEnd w:id="378"/>
    </w:p>
    <w:p w14:paraId="34C5EAA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37.1</w:t>
      </w:r>
      <w:r>
        <w:rPr>
          <w:rFonts w:hint="eastAsia" w:ascii="宋体" w:hAnsi="宋体" w:eastAsia="宋体" w:cs="宋体"/>
          <w:i w:val="0"/>
          <w:iCs w:val="0"/>
          <w:color w:val="auto"/>
          <w:sz w:val="24"/>
          <w:szCs w:val="24"/>
          <w:highlight w:val="none"/>
        </w:rPr>
        <w:t>质疑供应商对采购人、采购代理机构的答复不满意，或者采购人、采购代理机构未在规定时间内作出答复的，可以在答复期满后15个工作日内向</w:t>
      </w:r>
      <w:r>
        <w:rPr>
          <w:rFonts w:hint="eastAsia" w:ascii="宋体" w:hAnsi="宋体" w:eastAsia="宋体" w:cs="宋体"/>
          <w:i w:val="0"/>
          <w:iCs w:val="0"/>
          <w:color w:val="auto"/>
          <w:sz w:val="24"/>
          <w:szCs w:val="24"/>
          <w:highlight w:val="none"/>
          <w:lang w:val="en-US" w:eastAsia="zh-CN"/>
        </w:rPr>
        <w:t>同级政府采购监督管理部门</w:t>
      </w:r>
      <w:r>
        <w:rPr>
          <w:rFonts w:hint="eastAsia" w:ascii="宋体" w:hAnsi="宋体" w:eastAsia="宋体" w:cs="宋体"/>
          <w:i w:val="0"/>
          <w:iCs w:val="0"/>
          <w:color w:val="auto"/>
          <w:sz w:val="24"/>
          <w:szCs w:val="24"/>
          <w:highlight w:val="none"/>
        </w:rPr>
        <w:t>提起投诉。</w:t>
      </w:r>
    </w:p>
    <w:p w14:paraId="7AE3C0F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37.2</w:t>
      </w:r>
      <w:r>
        <w:rPr>
          <w:rFonts w:hint="eastAsia" w:ascii="宋体" w:hAnsi="宋体" w:eastAsia="宋体" w:cs="宋体"/>
          <w:i w:val="0"/>
          <w:iCs w:val="0"/>
          <w:color w:val="auto"/>
          <w:sz w:val="24"/>
          <w:szCs w:val="24"/>
          <w:highlight w:val="none"/>
        </w:rPr>
        <w:t>投诉人投诉时,应当提交投诉书和必要的证明材料，并按照被投诉采购人、采购代理机构（以下简称被投诉人）和与投诉事项有关的供应商数量提供投诉书的副本。投诉书应当包括下列内容：</w:t>
      </w:r>
    </w:p>
    <w:p w14:paraId="495465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1</w:t>
      </w:r>
      <w:r>
        <w:rPr>
          <w:rFonts w:hint="eastAsia" w:ascii="宋体" w:hAnsi="宋体" w:eastAsia="宋体" w:cs="宋体"/>
          <w:i w:val="0"/>
          <w:iCs w:val="0"/>
          <w:color w:val="auto"/>
          <w:sz w:val="24"/>
          <w:szCs w:val="24"/>
          <w:highlight w:val="none"/>
        </w:rPr>
        <w:t>）投诉人和被投诉人的姓名或者名称、通讯地址、邮编、联系人及联系电话；</w:t>
      </w:r>
    </w:p>
    <w:p w14:paraId="1A65A10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2</w:t>
      </w:r>
      <w:r>
        <w:rPr>
          <w:rFonts w:hint="eastAsia" w:ascii="宋体" w:hAnsi="宋体" w:eastAsia="宋体" w:cs="宋体"/>
          <w:i w:val="0"/>
          <w:iCs w:val="0"/>
          <w:color w:val="auto"/>
          <w:sz w:val="24"/>
          <w:szCs w:val="24"/>
          <w:highlight w:val="none"/>
        </w:rPr>
        <w:t>）质疑和质疑答复情况说明及相关证明材料；</w:t>
      </w:r>
    </w:p>
    <w:p w14:paraId="675A6D9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3</w:t>
      </w:r>
      <w:r>
        <w:rPr>
          <w:rFonts w:hint="eastAsia" w:ascii="宋体" w:hAnsi="宋体" w:eastAsia="宋体" w:cs="宋体"/>
          <w:i w:val="0"/>
          <w:iCs w:val="0"/>
          <w:color w:val="auto"/>
          <w:sz w:val="24"/>
          <w:szCs w:val="24"/>
          <w:highlight w:val="none"/>
        </w:rPr>
        <w:t>）具体、明确的投诉事项和与投诉事项相关的投诉请求；</w:t>
      </w:r>
    </w:p>
    <w:p w14:paraId="4A0C159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4</w:t>
      </w:r>
      <w:r>
        <w:rPr>
          <w:rFonts w:hint="eastAsia" w:ascii="宋体" w:hAnsi="宋体" w:eastAsia="宋体" w:cs="宋体"/>
          <w:i w:val="0"/>
          <w:iCs w:val="0"/>
          <w:color w:val="auto"/>
          <w:sz w:val="24"/>
          <w:szCs w:val="24"/>
          <w:highlight w:val="none"/>
        </w:rPr>
        <w:t>）事实依据；</w:t>
      </w:r>
    </w:p>
    <w:p w14:paraId="4CFD3E0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5</w:t>
      </w:r>
      <w:r>
        <w:rPr>
          <w:rFonts w:hint="eastAsia" w:ascii="宋体" w:hAnsi="宋体" w:eastAsia="宋体" w:cs="宋体"/>
          <w:i w:val="0"/>
          <w:iCs w:val="0"/>
          <w:color w:val="auto"/>
          <w:sz w:val="24"/>
          <w:szCs w:val="24"/>
          <w:highlight w:val="none"/>
        </w:rPr>
        <w:t>）法律依据；</w:t>
      </w:r>
    </w:p>
    <w:p w14:paraId="35FA6A4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lang w:val="en-US" w:eastAsia="zh-CN"/>
        </w:rPr>
        <w:t>6</w:t>
      </w:r>
      <w:r>
        <w:rPr>
          <w:rFonts w:hint="eastAsia" w:ascii="宋体" w:hAnsi="宋体" w:eastAsia="宋体" w:cs="宋体"/>
          <w:i w:val="0"/>
          <w:iCs w:val="0"/>
          <w:color w:val="auto"/>
          <w:sz w:val="24"/>
          <w:szCs w:val="24"/>
          <w:highlight w:val="none"/>
        </w:rPr>
        <w:t>）提起投诉的日期。</w:t>
      </w:r>
    </w:p>
    <w:p w14:paraId="4FC7C3A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投诉人为自然人的，应当由本人签字；投诉人为法人或者其他组织的，应当由法定代表人、主要负责人，或者其授权代表签字或者盖章，并加盖公章。</w:t>
      </w:r>
    </w:p>
    <w:p w14:paraId="4DF335B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bCs/>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37.3</w:t>
      </w:r>
      <w:r>
        <w:rPr>
          <w:rFonts w:hint="eastAsia" w:ascii="宋体" w:hAnsi="宋体" w:eastAsia="宋体" w:cs="宋体"/>
          <w:i w:val="0"/>
          <w:iCs w:val="0"/>
          <w:color w:val="auto"/>
          <w:sz w:val="24"/>
          <w:szCs w:val="24"/>
          <w:highlight w:val="none"/>
        </w:rPr>
        <w:t>供应商</w:t>
      </w:r>
      <w:r>
        <w:rPr>
          <w:rFonts w:hint="eastAsia" w:ascii="宋体" w:hAnsi="宋体" w:eastAsia="宋体" w:cs="宋体"/>
          <w:i w:val="0"/>
          <w:iCs w:val="0"/>
          <w:color w:val="auto"/>
          <w:sz w:val="24"/>
          <w:szCs w:val="24"/>
          <w:highlight w:val="none"/>
          <w:lang w:val="en-US" w:eastAsia="zh-CN"/>
        </w:rPr>
        <w:t>质疑、</w:t>
      </w:r>
      <w:r>
        <w:rPr>
          <w:rFonts w:hint="eastAsia" w:ascii="宋体" w:hAnsi="宋体" w:eastAsia="宋体" w:cs="宋体"/>
          <w:i w:val="0"/>
          <w:iCs w:val="0"/>
          <w:color w:val="auto"/>
          <w:sz w:val="24"/>
          <w:szCs w:val="24"/>
          <w:highlight w:val="none"/>
        </w:rPr>
        <w:t>投诉</w:t>
      </w:r>
      <w:r>
        <w:rPr>
          <w:rFonts w:hint="eastAsia" w:ascii="宋体" w:hAnsi="宋体" w:eastAsia="宋体" w:cs="宋体"/>
          <w:i w:val="0"/>
          <w:iCs w:val="0"/>
          <w:color w:val="auto"/>
          <w:sz w:val="24"/>
          <w:szCs w:val="24"/>
          <w:highlight w:val="none"/>
          <w:lang w:val="en-US" w:eastAsia="zh-CN"/>
        </w:rPr>
        <w:t>应当有明确的请求和必要的证明材料</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供应商投诉的事项不得超出</w:t>
      </w:r>
      <w:r>
        <w:rPr>
          <w:rFonts w:hint="eastAsia" w:ascii="宋体" w:hAnsi="宋体" w:eastAsia="宋体" w:cs="宋体"/>
          <w:i w:val="0"/>
          <w:iCs w:val="0"/>
          <w:color w:val="auto"/>
          <w:sz w:val="24"/>
          <w:szCs w:val="24"/>
          <w:highlight w:val="none"/>
          <w:lang w:val="en-US" w:eastAsia="zh-CN"/>
        </w:rPr>
        <w:t>已</w:t>
      </w:r>
      <w:r>
        <w:rPr>
          <w:rFonts w:hint="eastAsia" w:ascii="宋体" w:hAnsi="宋体" w:eastAsia="宋体" w:cs="宋体"/>
          <w:i w:val="0"/>
          <w:iCs w:val="0"/>
          <w:color w:val="auto"/>
          <w:sz w:val="24"/>
          <w:szCs w:val="24"/>
          <w:highlight w:val="none"/>
        </w:rPr>
        <w:t>质疑事项的范围，但基于质疑答复内容提出的投诉事项除外</w:t>
      </w:r>
      <w:r>
        <w:rPr>
          <w:rFonts w:hint="eastAsia" w:ascii="宋体" w:hAnsi="宋体" w:eastAsia="宋体" w:cs="宋体"/>
          <w:bCs/>
          <w:i w:val="0"/>
          <w:iCs w:val="0"/>
          <w:color w:val="auto"/>
          <w:sz w:val="24"/>
          <w:szCs w:val="24"/>
          <w:highlight w:val="none"/>
        </w:rPr>
        <w:t>。</w:t>
      </w:r>
    </w:p>
    <w:p w14:paraId="2A3BCE0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color w:val="auto"/>
          <w:sz w:val="24"/>
          <w:szCs w:val="24"/>
          <w:highlight w:val="none"/>
          <w:lang w:val="zh-CN" w:eastAsia="zh-CN"/>
        </w:rPr>
      </w:pPr>
      <w:r>
        <w:rPr>
          <w:rFonts w:hint="eastAsia" w:ascii="宋体" w:hAnsi="宋体" w:eastAsia="宋体" w:cs="宋体"/>
          <w:i w:val="0"/>
          <w:iCs w:val="0"/>
          <w:snapToGrid w:val="0"/>
          <w:color w:val="auto"/>
          <w:sz w:val="24"/>
          <w:szCs w:val="24"/>
          <w:highlight w:val="none"/>
          <w:lang w:val="en-US" w:eastAsia="zh-CN"/>
        </w:rPr>
        <w:t>37.4</w:t>
      </w:r>
      <w:r>
        <w:rPr>
          <w:rFonts w:hint="eastAsia" w:ascii="宋体" w:hAnsi="宋体" w:eastAsia="宋体" w:cs="宋体"/>
          <w:i w:val="0"/>
          <w:iCs w:val="0"/>
          <w:color w:val="auto"/>
          <w:sz w:val="24"/>
          <w:szCs w:val="24"/>
          <w:highlight w:val="none"/>
          <w:lang w:val="en-US" w:eastAsia="zh-CN"/>
        </w:rPr>
        <w:t>投诉书应当使用中文，并采用财政部门制定的范本</w:t>
      </w:r>
      <w:r>
        <w:rPr>
          <w:rFonts w:hint="eastAsia" w:ascii="宋体" w:hAnsi="宋体" w:eastAsia="宋体" w:cs="宋体"/>
          <w:i w:val="0"/>
          <w:iCs w:val="0"/>
          <w:color w:val="auto"/>
          <w:sz w:val="24"/>
          <w:szCs w:val="24"/>
          <w:highlight w:val="none"/>
          <w:lang w:val="zh-CN" w:eastAsia="zh-CN"/>
        </w:rPr>
        <w:t>。</w:t>
      </w:r>
    </w:p>
    <w:p w14:paraId="072EB102">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（十一）采购代理服务费</w:t>
      </w:r>
      <w:bookmarkEnd w:id="362"/>
    </w:p>
    <w:p w14:paraId="32832303">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38.收取方式和标准</w:t>
      </w:r>
    </w:p>
    <w:p w14:paraId="0F0CA96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bCs/>
          <w:i w:val="0"/>
          <w:iCs w:val="0"/>
          <w:color w:val="auto"/>
          <w:sz w:val="24"/>
          <w:szCs w:val="24"/>
          <w:highlight w:val="none"/>
        </w:rPr>
        <w:t>3</w:t>
      </w:r>
      <w:r>
        <w:rPr>
          <w:rFonts w:hint="eastAsia" w:ascii="宋体" w:hAnsi="宋体" w:eastAsia="宋体" w:cs="宋体"/>
          <w:bCs/>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.1采购代理机构按“供应商须知前附表”规定的方式和标准收取采购代理服务费。</w:t>
      </w:r>
    </w:p>
    <w:p w14:paraId="5E6F9613">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79" w:name="_Toc163493620"/>
      <w:r>
        <w:rPr>
          <w:rFonts w:hint="eastAsia" w:ascii="宋体" w:hAnsi="宋体" w:eastAsia="宋体" w:cs="宋体"/>
          <w:b/>
          <w:bCs/>
          <w:i w:val="0"/>
          <w:iCs w:val="0"/>
          <w:color w:val="auto"/>
          <w:kern w:val="2"/>
          <w:sz w:val="24"/>
          <w:szCs w:val="24"/>
          <w:highlight w:val="none"/>
          <w:lang w:val="en-US" w:eastAsia="zh-CN" w:bidi="ar-SA"/>
        </w:rPr>
        <w:t>（十二）无效响应和终止采购活动</w:t>
      </w:r>
      <w:bookmarkEnd w:id="379"/>
    </w:p>
    <w:p w14:paraId="02780A3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80" w:name="_Toc140132806"/>
      <w:bookmarkStart w:id="381" w:name="_Toc161600338"/>
      <w:r>
        <w:rPr>
          <w:rFonts w:hint="eastAsia" w:ascii="宋体" w:hAnsi="宋体" w:eastAsia="宋体" w:cs="宋体"/>
          <w:b/>
          <w:bCs/>
          <w:i w:val="0"/>
          <w:iCs w:val="0"/>
          <w:color w:val="auto"/>
          <w:kern w:val="2"/>
          <w:sz w:val="24"/>
          <w:szCs w:val="24"/>
          <w:highlight w:val="none"/>
          <w:lang w:val="en-US" w:eastAsia="zh-CN" w:bidi="ar-SA"/>
        </w:rPr>
        <w:t>39.无效</w:t>
      </w:r>
      <w:bookmarkEnd w:id="380"/>
      <w:bookmarkEnd w:id="381"/>
      <w:r>
        <w:rPr>
          <w:rFonts w:hint="eastAsia" w:ascii="宋体" w:hAnsi="宋体" w:eastAsia="宋体" w:cs="宋体"/>
          <w:b/>
          <w:bCs/>
          <w:i w:val="0"/>
          <w:iCs w:val="0"/>
          <w:color w:val="auto"/>
          <w:kern w:val="2"/>
          <w:sz w:val="24"/>
          <w:szCs w:val="24"/>
          <w:highlight w:val="none"/>
          <w:lang w:val="en-US" w:eastAsia="zh-CN" w:bidi="ar-SA"/>
        </w:rPr>
        <w:t>响应</w:t>
      </w:r>
    </w:p>
    <w:p w14:paraId="132D1B41">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w:t>
      </w:r>
      <w:r>
        <w:rPr>
          <w:rFonts w:hint="eastAsia" w:ascii="宋体" w:hAnsi="宋体" w:eastAsia="宋体" w:cs="宋体"/>
          <w:i w:val="0"/>
          <w:iCs w:val="0"/>
          <w:color w:val="auto"/>
          <w:sz w:val="24"/>
          <w:szCs w:val="24"/>
          <w:highlight w:val="none"/>
          <w:lang w:val="en-US" w:eastAsia="zh-CN"/>
        </w:rPr>
        <w:t>9</w:t>
      </w:r>
      <w:r>
        <w:rPr>
          <w:rFonts w:hint="eastAsia" w:ascii="宋体" w:hAnsi="宋体" w:eastAsia="宋体" w:cs="宋体"/>
          <w:i w:val="0"/>
          <w:iCs w:val="0"/>
          <w:color w:val="auto"/>
          <w:sz w:val="24"/>
          <w:szCs w:val="24"/>
          <w:highlight w:val="none"/>
        </w:rPr>
        <w:t>.1响应文件存在“第四章</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评审方法及标准”规定的</w:t>
      </w:r>
      <w:r>
        <w:rPr>
          <w:rFonts w:hint="eastAsia" w:ascii="宋体" w:hAnsi="宋体" w:eastAsia="宋体" w:cs="宋体"/>
          <w:b/>
          <w:bCs/>
          <w:i w:val="0"/>
          <w:iCs w:val="0"/>
          <w:color w:val="auto"/>
          <w:sz w:val="24"/>
          <w:szCs w:val="24"/>
          <w:highlight w:val="none"/>
        </w:rPr>
        <w:t>响应无效</w:t>
      </w:r>
      <w:r>
        <w:rPr>
          <w:rFonts w:hint="eastAsia" w:ascii="宋体" w:hAnsi="宋体" w:eastAsia="宋体" w:cs="宋体"/>
          <w:i w:val="0"/>
          <w:iCs w:val="0"/>
          <w:color w:val="auto"/>
          <w:sz w:val="24"/>
          <w:szCs w:val="24"/>
          <w:highlight w:val="none"/>
        </w:rPr>
        <w:t>情形的，做</w:t>
      </w:r>
      <w:r>
        <w:rPr>
          <w:rFonts w:hint="eastAsia" w:ascii="宋体" w:hAnsi="宋体" w:eastAsia="宋体" w:cs="宋体"/>
          <w:b/>
          <w:bCs/>
          <w:i w:val="0"/>
          <w:iCs w:val="0"/>
          <w:color w:val="auto"/>
          <w:sz w:val="24"/>
          <w:szCs w:val="24"/>
          <w:highlight w:val="none"/>
        </w:rPr>
        <w:t>无效响应</w:t>
      </w:r>
      <w:r>
        <w:rPr>
          <w:rFonts w:hint="eastAsia" w:ascii="宋体" w:hAnsi="宋体" w:eastAsia="宋体" w:cs="宋体"/>
          <w:i w:val="0"/>
          <w:iCs w:val="0"/>
          <w:color w:val="auto"/>
          <w:sz w:val="24"/>
          <w:szCs w:val="24"/>
          <w:highlight w:val="none"/>
        </w:rPr>
        <w:t>处理。</w:t>
      </w:r>
    </w:p>
    <w:p w14:paraId="631C56D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40.终止采购活动</w:t>
      </w:r>
    </w:p>
    <w:p w14:paraId="6F5166E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w:t>
      </w:r>
      <w:r>
        <w:rPr>
          <w:rFonts w:hint="eastAsia" w:ascii="宋体" w:hAnsi="宋体" w:eastAsia="宋体" w:cs="宋体"/>
          <w:i w:val="0"/>
          <w:iCs w:val="0"/>
          <w:color w:val="auto"/>
          <w:sz w:val="24"/>
          <w:szCs w:val="24"/>
          <w:highlight w:val="none"/>
        </w:rPr>
        <w:t>.1出现下列情形之一的，应当终止竞争性磋商采购活动，发布项目终止公告并说明原因，重新开展采购活动：</w:t>
      </w:r>
    </w:p>
    <w:p w14:paraId="09E00DE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（1）因情况变化，不再符合规定的竞争性磋商采购方式适用情形的；</w:t>
      </w:r>
    </w:p>
    <w:p w14:paraId="5FD9540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（2）出现影响采购公正的违法、违规行为的；</w:t>
      </w:r>
    </w:p>
    <w:p w14:paraId="7598E364">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3）在采购过程中符合要求的供应商或者报价未超过采购预算的供应商不足3家的（市场竞争不充分的科研项目、需要扶持的科技成果转化项目以及政府购买服务项目&lt;含政府和社会资本合作项目&gt;）的提交最后报价的供应商可以为2家）。</w:t>
      </w:r>
    </w:p>
    <w:p w14:paraId="3EDE2978">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lang w:val="en-US" w:eastAsia="zh-CN"/>
        </w:rPr>
        <w:t>40.2在采购活动中因重大变故，采购任务取消的，采购人或者采购代理机构应当终止采购活动，通知所有参加采购活动的供应商，并将项目实施情况和采购任务取消原因报送本级财政部门。</w:t>
      </w:r>
    </w:p>
    <w:p w14:paraId="35C9F5A9">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color w:val="auto"/>
          <w:kern w:val="2"/>
          <w:sz w:val="24"/>
          <w:szCs w:val="24"/>
          <w:highlight w:val="none"/>
          <w:lang w:val="en-US" w:eastAsia="zh-CN" w:bidi="ar-SA"/>
        </w:rPr>
      </w:pPr>
      <w:bookmarkStart w:id="382" w:name="_Toc140132766"/>
      <w:bookmarkStart w:id="383" w:name="_Toc161600340"/>
      <w:bookmarkStart w:id="384" w:name="_Toc163493621"/>
      <w:r>
        <w:rPr>
          <w:rFonts w:hint="eastAsia" w:ascii="宋体" w:hAnsi="宋体" w:eastAsia="宋体" w:cs="宋体"/>
          <w:b/>
          <w:bCs/>
          <w:color w:val="auto"/>
          <w:kern w:val="2"/>
          <w:sz w:val="24"/>
          <w:szCs w:val="24"/>
          <w:highlight w:val="none"/>
          <w:lang w:val="en-US" w:eastAsia="zh-CN" w:bidi="ar-SA"/>
        </w:rPr>
        <w:t>（十三）落实政府采购政策</w:t>
      </w:r>
      <w:bookmarkEnd w:id="382"/>
      <w:bookmarkEnd w:id="383"/>
      <w:bookmarkEnd w:id="384"/>
      <w:r>
        <w:rPr>
          <w:rFonts w:hint="eastAsia" w:ascii="宋体" w:hAnsi="宋体" w:eastAsia="宋体" w:cs="宋体"/>
          <w:b/>
          <w:bCs/>
          <w:color w:val="auto"/>
          <w:kern w:val="2"/>
          <w:sz w:val="24"/>
          <w:szCs w:val="24"/>
          <w:highlight w:val="none"/>
          <w:lang w:val="en-US" w:eastAsia="zh-CN" w:bidi="ar-SA"/>
        </w:rPr>
        <w:t>（包括但不限于下列具体政策要求）</w:t>
      </w:r>
    </w:p>
    <w:p w14:paraId="57A34F70">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color w:val="auto"/>
          <w:kern w:val="2"/>
          <w:sz w:val="24"/>
          <w:szCs w:val="28"/>
          <w:highlight w:val="none"/>
          <w:lang w:val="en-US" w:eastAsia="zh-CN" w:bidi="ar-SA"/>
        </w:rPr>
      </w:pPr>
      <w:bookmarkStart w:id="385" w:name="_Toc163492876"/>
      <w:r>
        <w:rPr>
          <w:rFonts w:hint="eastAsia" w:ascii="宋体" w:hAnsi="宋体" w:eastAsia="宋体" w:cs="宋体"/>
          <w:b/>
          <w:bCs/>
          <w:color w:val="auto"/>
          <w:kern w:val="2"/>
          <w:sz w:val="24"/>
          <w:szCs w:val="28"/>
          <w:highlight w:val="none"/>
          <w:lang w:val="en-US" w:eastAsia="zh-CN" w:bidi="ar-SA"/>
        </w:rPr>
        <w:t>41.</w:t>
      </w:r>
      <w:r>
        <w:rPr>
          <w:rFonts w:hint="eastAsia" w:ascii="宋体" w:hAnsi="宋体" w:cs="宋体"/>
          <w:b/>
          <w:bCs/>
          <w:color w:val="auto"/>
          <w:kern w:val="2"/>
          <w:sz w:val="24"/>
          <w:szCs w:val="28"/>
          <w:highlight w:val="none"/>
          <w:lang w:val="en-US" w:eastAsia="zh-CN" w:bidi="ar-SA"/>
        </w:rPr>
        <w:t>本</w:t>
      </w:r>
      <w:r>
        <w:rPr>
          <w:rFonts w:hint="eastAsia" w:ascii="宋体" w:hAnsi="宋体" w:eastAsia="宋体" w:cs="宋体"/>
          <w:b/>
          <w:bCs/>
          <w:color w:val="auto"/>
          <w:kern w:val="2"/>
          <w:sz w:val="24"/>
          <w:szCs w:val="28"/>
          <w:highlight w:val="none"/>
          <w:lang w:val="en-US" w:eastAsia="zh-CN" w:bidi="ar-SA"/>
        </w:rPr>
        <w:t>国产品和进口产品</w:t>
      </w:r>
      <w:bookmarkEnd w:id="385"/>
    </w:p>
    <w:p w14:paraId="59F3A450">
      <w:pPr>
        <w:pStyle w:val="36"/>
        <w:keepNext w:val="0"/>
        <w:keepLines w:val="0"/>
        <w:pageBreakBefore w:val="0"/>
        <w:widowControl w:val="0"/>
        <w:kinsoku/>
        <w:overflowPunct/>
        <w:topLinePunct w:val="0"/>
        <w:autoSpaceDE/>
        <w:autoSpaceDN/>
        <w:bidi w:val="0"/>
        <w:adjustRightInd/>
        <w:jc w:val="both"/>
        <w:textAlignment w:val="auto"/>
        <w:rPr>
          <w:rFonts w:hint="eastAsia"/>
          <w:b w:val="0"/>
          <w:bCs w:val="0"/>
          <w:snapToGrid w:val="0"/>
          <w:color w:val="auto"/>
          <w:sz w:val="24"/>
          <w:highlight w:val="none"/>
          <w:lang w:val="en-US" w:eastAsia="zh-CN"/>
        </w:rPr>
      </w:pPr>
      <w:r>
        <w:rPr>
          <w:rFonts w:hint="eastAsia"/>
          <w:b w:val="0"/>
          <w:bCs w:val="0"/>
          <w:snapToGrid w:val="0"/>
          <w:color w:val="auto"/>
          <w:sz w:val="24"/>
          <w:highlight w:val="none"/>
          <w:lang w:val="en-US" w:eastAsia="zh-CN"/>
        </w:rPr>
        <w:t>41.1本国产品标准及支持政策</w:t>
      </w:r>
    </w:p>
    <w:p w14:paraId="441816D7">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41.1.1产品需在中华人民共和国关境内（含保税区、综合保税区等海关特殊监管区域）完成从原材料、组件到成品的制造、加工或组装，从而产生新的产品属性。仅进行包装、贴牌、简单处理等不改变产品核心属性的操作，不视为境内生产。</w:t>
      </w:r>
    </w:p>
    <w:p w14:paraId="43EE734F">
      <w:pPr>
        <w:pStyle w:val="36"/>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41.1.2产品在境内生产的组件成本应达到财政部会同相关部门确定的总成本规定比例(具体产品目录及比例标准按国家后续发布的规定执行)。在分产品目录及比例标准正式实施前的过渡期内，符合境内生产条件的产品，可视同本国产品。</w:t>
      </w:r>
    </w:p>
    <w:p w14:paraId="19E87B7B">
      <w:pPr>
        <w:pStyle w:val="36"/>
        <w:keepNext w:val="0"/>
        <w:keepLines w:val="0"/>
        <w:pageBreakBefore w:val="0"/>
        <w:widowControl w:val="0"/>
        <w:kinsoku/>
        <w:overflowPunct/>
        <w:topLinePunct w:val="0"/>
        <w:autoSpaceDE/>
        <w:autoSpaceDN/>
        <w:bidi w:val="0"/>
        <w:adjustRightInd/>
        <w:jc w:val="both"/>
        <w:textAlignment w:val="auto"/>
        <w:rPr>
          <w:rFonts w:hint="default"/>
          <w:snapToGrid w:val="0"/>
          <w:color w:val="auto"/>
          <w:sz w:val="24"/>
          <w:highlight w:val="none"/>
          <w:lang w:val="en-US" w:eastAsia="zh-CN"/>
        </w:rPr>
      </w:pPr>
      <w:r>
        <w:rPr>
          <w:rFonts w:hint="eastAsia"/>
          <w:snapToGrid w:val="0"/>
          <w:color w:val="auto"/>
          <w:sz w:val="24"/>
          <w:highlight w:val="none"/>
          <w:lang w:val="en-US" w:eastAsia="zh-CN"/>
        </w:rPr>
        <w:t>41.1.3对国家相关部门后续发布的特定产品清单内的产品，除满足上述条件外，还需同时满足关键组件境内生产、关键工序境内完成等特定要求。</w:t>
      </w:r>
    </w:p>
    <w:p w14:paraId="33FDC980">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41.1.4</w:t>
      </w:r>
      <w:r>
        <w:rPr>
          <w:rFonts w:hint="eastAsia" w:eastAsia="宋体"/>
          <w:snapToGrid w:val="0"/>
          <w:color w:val="auto"/>
          <w:sz w:val="24"/>
          <w:highlight w:val="none"/>
          <w:lang w:val="en-US" w:eastAsia="zh-CN"/>
        </w:rPr>
        <w:t>本国产品标准适用于货物，包括政府采购货物项目和服务项目中涉及的货物。适用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5BE7BA04">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snapToGrid w:val="0"/>
          <w:color w:val="auto"/>
          <w:sz w:val="24"/>
          <w:highlight w:val="none"/>
          <w:lang w:val="en-US" w:eastAsia="zh-CN"/>
        </w:rPr>
        <w:t>41.1.5供应商对其提供的产品出具《关于符合本国产品标准的声明函》（样式见附件1，以下简称《声明函》）或财政部会同有关部门规定的有关证明文件。出具符合要求的《声明函》或有关证明文件的，该产品视为本国产品。</w:t>
      </w:r>
    </w:p>
    <w:p w14:paraId="6DF0CD5C">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r>
        <w:rPr>
          <w:rFonts w:hint="eastAsia" w:eastAsia="宋体"/>
          <w:snapToGrid w:val="0"/>
          <w:color w:val="auto"/>
          <w:sz w:val="24"/>
          <w:highlight w:val="none"/>
          <w:lang w:val="en-US" w:eastAsia="zh-CN"/>
        </w:rPr>
        <w:t>医疗器械产品，取得药品监督管理部门授予的准字号医疗器械注册证的，</w:t>
      </w:r>
      <w:r>
        <w:rPr>
          <w:rFonts w:hint="eastAsia"/>
          <w:snapToGrid w:val="0"/>
          <w:color w:val="auto"/>
          <w:sz w:val="24"/>
          <w:highlight w:val="none"/>
          <w:lang w:val="en-US" w:eastAsia="zh-CN"/>
        </w:rPr>
        <w:t>视为符合本国产品标准。</w:t>
      </w:r>
    </w:p>
    <w:p w14:paraId="7346B0A7">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41.1.6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3D588E5E">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41.1.7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38CD2A38">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41.1.8对于仅有本国产品参与竞争的政府采购项目，本国产品不享受价格扣除评审优惠。</w:t>
      </w:r>
    </w:p>
    <w:p w14:paraId="2B40C7E8">
      <w:pPr>
        <w:pStyle w:val="36"/>
        <w:keepNext w:val="0"/>
        <w:keepLines w:val="0"/>
        <w:pageBreakBefore w:val="0"/>
        <w:widowControl w:val="0"/>
        <w:kinsoku/>
        <w:overflowPunct/>
        <w:topLinePunct w:val="0"/>
        <w:autoSpaceDE/>
        <w:autoSpaceDN/>
        <w:bidi w:val="0"/>
        <w:adjustRightInd/>
        <w:jc w:val="both"/>
        <w:textAlignment w:val="auto"/>
        <w:rPr>
          <w:rFonts w:hint="default" w:eastAsia="宋体"/>
          <w:b w:val="0"/>
          <w:bCs w:val="0"/>
          <w:snapToGrid w:val="0"/>
          <w:color w:val="auto"/>
          <w:sz w:val="24"/>
          <w:highlight w:val="none"/>
          <w:lang w:val="en-US" w:eastAsia="zh-CN"/>
        </w:rPr>
      </w:pPr>
      <w:r>
        <w:rPr>
          <w:rFonts w:hint="eastAsia"/>
          <w:b w:val="0"/>
          <w:bCs w:val="0"/>
          <w:snapToGrid w:val="0"/>
          <w:color w:val="auto"/>
          <w:sz w:val="24"/>
          <w:highlight w:val="none"/>
          <w:lang w:val="en-US" w:eastAsia="zh-CN"/>
        </w:rPr>
        <w:t>41.2进口产品</w:t>
      </w:r>
    </w:p>
    <w:p w14:paraId="169666B9">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rPr>
      </w:pPr>
      <w:r>
        <w:rPr>
          <w:rFonts w:hint="eastAsia" w:eastAsia="宋体"/>
          <w:snapToGrid w:val="0"/>
          <w:color w:val="auto"/>
          <w:sz w:val="24"/>
          <w:highlight w:val="none"/>
          <w:lang w:val="en-US" w:eastAsia="zh-CN"/>
        </w:rPr>
        <w:t>41.2.1凡在海关特殊监管区域内企业生产或加工（包括从境外进口料件）销往境内其他地区的产品，不作为政府采购项下进口产品。对从境外进入海关特殊监管区域，再经办理报关手续后从海关特殊监管区进入境内其他地区的产品，应当认定为进口产品。项目若涉及采购进口产品的，具体要求详见“第三章 采购需求”。</w:t>
      </w:r>
    </w:p>
    <w:p w14:paraId="135B393E">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41.2</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进口产品指通过中国海关报关验放进入中国境内且产自关境外的产品，包括已经进入中国境内的进口产品。</w:t>
      </w:r>
    </w:p>
    <w:p w14:paraId="0C404CE2">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3若采购需求中写明允许采购进口产品，供应商应保证所响应产品可履行合法报通关手续进入中国关境内。</w:t>
      </w:r>
    </w:p>
    <w:p w14:paraId="3D077042">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41.</w:t>
      </w:r>
      <w:r>
        <w:rPr>
          <w:rFonts w:hint="eastAsia"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lang w:val="en-US" w:eastAsia="zh-CN"/>
        </w:rPr>
        <w:t>4若采购需求中未写明允许采购进口产品，如供应商所响应产品为进口产品，其响应将被认定为</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w:t>
      </w:r>
    </w:p>
    <w:p w14:paraId="1F7E8604">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86" w:name="_Toc161600342"/>
      <w:r>
        <w:rPr>
          <w:rFonts w:hint="eastAsia" w:ascii="宋体" w:hAnsi="宋体" w:eastAsia="宋体" w:cs="宋体"/>
          <w:b/>
          <w:bCs/>
          <w:i w:val="0"/>
          <w:iCs w:val="0"/>
          <w:color w:val="auto"/>
          <w:kern w:val="2"/>
          <w:sz w:val="24"/>
          <w:szCs w:val="24"/>
          <w:highlight w:val="none"/>
          <w:lang w:val="en-US" w:eastAsia="zh-CN" w:bidi="ar-SA"/>
        </w:rPr>
        <w:t>42.中小企业、监狱企业及残疾人福利性单位</w:t>
      </w:r>
      <w:bookmarkEnd w:id="386"/>
    </w:p>
    <w:p w14:paraId="3DC30D3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 xml:space="preserve">1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关于中小企业的相关规定依据《中华人民共和国中小企业促进法》、《关于进一步加大政府采购支持中小企业力度的通知》（财库〔2022〕19 号）、《政府采购促进中小企业发展管理办法》（财库〔2020〕46 号）、《关于印发中小企业划型标准规定的通知》（工信部联企业〔2011〕300 号）、《金融业企业划型标准规定》（〔2015〕309 号）等国务院批准的中小企业划分标准执行。 </w:t>
      </w:r>
    </w:p>
    <w:p w14:paraId="6EB577E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eastAsia="zh-CN"/>
        </w:rPr>
      </w:pPr>
      <w:r>
        <w:rPr>
          <w:rFonts w:hint="eastAsia" w:ascii="宋体" w:hAnsi="宋体" w:eastAsia="宋体" w:cs="宋体"/>
          <w:i w:val="0"/>
          <w:iCs w:val="0"/>
          <w:snapToGrid w:val="0"/>
          <w:color w:val="auto"/>
          <w:sz w:val="24"/>
          <w:szCs w:val="24"/>
          <w:highlight w:val="none"/>
          <w:lang w:val="en-US" w:eastAsia="zh-CN"/>
        </w:rPr>
        <w:t>42</w:t>
      </w:r>
      <w:r>
        <w:rPr>
          <w:rFonts w:hint="eastAsia" w:ascii="宋体" w:hAnsi="宋体" w:eastAsia="宋体" w:cs="宋体"/>
          <w:i w:val="0"/>
          <w:iCs w:val="0"/>
          <w:snapToGrid w:val="0"/>
          <w:color w:val="auto"/>
          <w:sz w:val="24"/>
          <w:szCs w:val="24"/>
          <w:highlight w:val="none"/>
        </w:rPr>
        <w:t>.</w:t>
      </w:r>
      <w:r>
        <w:rPr>
          <w:rFonts w:hint="eastAsia" w:ascii="宋体" w:hAnsi="宋体" w:eastAsia="宋体" w:cs="宋体"/>
          <w:i w:val="0"/>
          <w:iCs w:val="0"/>
          <w:snapToGrid w:val="0"/>
          <w:color w:val="auto"/>
          <w:sz w:val="24"/>
          <w:szCs w:val="24"/>
          <w:highlight w:val="none"/>
          <w:lang w:val="en-US" w:eastAsia="zh-CN"/>
        </w:rPr>
        <w:t>2</w:t>
      </w:r>
      <w:r>
        <w:rPr>
          <w:rFonts w:hint="eastAsia" w:ascii="宋体" w:hAnsi="宋体" w:eastAsia="宋体" w:cs="宋体"/>
          <w:i w:val="0"/>
          <w:iCs w:val="0"/>
          <w:snapToGrid w:val="0"/>
          <w:color w:val="auto"/>
          <w:sz w:val="24"/>
          <w:szCs w:val="24"/>
          <w:highlight w:val="none"/>
        </w:rPr>
        <w:t>为促进中小企业发展，依据《关于印发&lt;政府采购促进中小企业发展管理办法&gt;的通知》（财库〔2020〕46号）、《财政部 司法部关于政府采购支持监狱企业发展有关问题的通知》（财库〔2014〕68号）、《关于促进残疾人就业政府采购政策的通知》（财库〔2017〕141号）的规定，本项目供应商如</w:t>
      </w:r>
      <w:r>
        <w:rPr>
          <w:rFonts w:hint="eastAsia" w:ascii="宋体" w:hAnsi="宋体" w:eastAsia="宋体" w:cs="宋体"/>
          <w:i w:val="0"/>
          <w:iCs w:val="0"/>
          <w:snapToGrid w:val="0"/>
          <w:color w:val="auto"/>
          <w:sz w:val="24"/>
          <w:szCs w:val="24"/>
          <w:highlight w:val="none"/>
          <w:lang w:eastAsia="zh-CN"/>
        </w:rPr>
        <w:t>需享受中小企业相关政策的，且</w:t>
      </w:r>
      <w:r>
        <w:rPr>
          <w:rFonts w:hint="eastAsia" w:ascii="宋体" w:hAnsi="宋体" w:eastAsia="宋体" w:cs="宋体"/>
          <w:i w:val="0"/>
          <w:iCs w:val="0"/>
          <w:snapToGrid w:val="0"/>
          <w:color w:val="auto"/>
          <w:sz w:val="24"/>
          <w:szCs w:val="24"/>
          <w:highlight w:val="none"/>
        </w:rPr>
        <w:t>符合上述文件规定的，</w:t>
      </w:r>
      <w:r>
        <w:rPr>
          <w:rFonts w:hint="eastAsia" w:ascii="宋体" w:hAnsi="宋体" w:eastAsia="宋体" w:cs="宋体"/>
          <w:i w:val="0"/>
          <w:iCs w:val="0"/>
          <w:snapToGrid w:val="0"/>
          <w:color w:val="auto"/>
          <w:sz w:val="24"/>
          <w:szCs w:val="24"/>
          <w:highlight w:val="none"/>
          <w:lang w:eastAsia="zh-CN"/>
        </w:rPr>
        <w:t>应按本磋商文件规定格式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，评审时，磋商小组将依据</w:t>
      </w:r>
      <w:r>
        <w:rPr>
          <w:rFonts w:hint="eastAsia" w:ascii="宋体" w:hAnsi="宋体" w:eastAsia="宋体" w:cs="宋体"/>
          <w:i w:val="0"/>
          <w:iCs w:val="0"/>
          <w:snapToGrid w:val="0"/>
          <w:color w:val="auto"/>
          <w:sz w:val="24"/>
          <w:szCs w:val="24"/>
          <w:highlight w:val="none"/>
          <w:lang w:eastAsia="zh-CN"/>
        </w:rPr>
        <w:t>本磋商文件</w:t>
      </w:r>
      <w:r>
        <w:rPr>
          <w:rFonts w:hint="eastAsia" w:ascii="宋体" w:hAnsi="宋体" w:eastAsia="宋体" w:cs="宋体"/>
          <w:i w:val="0"/>
          <w:iCs w:val="0"/>
          <w:snapToGrid w:val="0"/>
          <w:color w:val="auto"/>
          <w:sz w:val="24"/>
          <w:szCs w:val="24"/>
          <w:highlight w:val="none"/>
        </w:rPr>
        <w:t>“供应商须知前附表”规定的报价扣除比例，对供应商报价进行价格扣除，用扣除后的价格参与评审</w:t>
      </w:r>
      <w:r>
        <w:rPr>
          <w:rFonts w:hint="eastAsia" w:ascii="宋体" w:hAnsi="宋体" w:eastAsia="宋体" w:cs="宋体"/>
          <w:i w:val="0"/>
          <w:iCs w:val="0"/>
          <w:snapToGrid w:val="0"/>
          <w:color w:val="auto"/>
          <w:sz w:val="24"/>
          <w:szCs w:val="24"/>
          <w:highlight w:val="none"/>
          <w:lang w:eastAsia="zh-CN"/>
        </w:rPr>
        <w:t>；磋商公告中明确项目专门面向中小企业采购的，“</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”为资格要求文件，</w:t>
      </w:r>
      <w:r>
        <w:rPr>
          <w:rFonts w:hint="eastAsia" w:ascii="宋体" w:hAnsi="宋体" w:eastAsia="宋体" w:cs="宋体"/>
          <w:i w:val="0"/>
          <w:iCs w:val="0"/>
          <w:snapToGrid w:val="0"/>
          <w:color w:val="auto"/>
          <w:sz w:val="24"/>
          <w:szCs w:val="24"/>
          <w:highlight w:val="none"/>
        </w:rPr>
        <w:t>供应商</w:t>
      </w:r>
      <w:r>
        <w:rPr>
          <w:rFonts w:hint="eastAsia" w:ascii="宋体" w:hAnsi="宋体" w:eastAsia="宋体" w:cs="宋体"/>
          <w:i w:val="0"/>
          <w:iCs w:val="0"/>
          <w:snapToGrid w:val="0"/>
          <w:color w:val="auto"/>
          <w:sz w:val="24"/>
          <w:szCs w:val="24"/>
          <w:highlight w:val="none"/>
          <w:lang w:eastAsia="zh-CN"/>
        </w:rPr>
        <w:t>参与磋商须按本磋商文件规定格式</w:t>
      </w:r>
      <w:r>
        <w:rPr>
          <w:rFonts w:hint="eastAsia" w:ascii="宋体" w:hAnsi="宋体" w:eastAsia="宋体" w:cs="宋体"/>
          <w:i w:val="0"/>
          <w:iCs w:val="0"/>
          <w:snapToGrid w:val="0"/>
          <w:color w:val="auto"/>
          <w:sz w:val="24"/>
          <w:szCs w:val="24"/>
          <w:highlight w:val="none"/>
        </w:rPr>
        <w:t>提供</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rPr>
        <w:t>中小企业声明函</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监狱企业证明文件</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或“</w:t>
      </w:r>
      <w:r>
        <w:rPr>
          <w:rFonts w:hint="eastAsia" w:ascii="宋体" w:hAnsi="宋体" w:eastAsia="宋体" w:cs="宋体"/>
          <w:i w:val="0"/>
          <w:iCs w:val="0"/>
          <w:snapToGrid w:val="0"/>
          <w:color w:val="auto"/>
          <w:sz w:val="24"/>
          <w:szCs w:val="24"/>
          <w:highlight w:val="none"/>
        </w:rPr>
        <w:t>残疾人福利性单位声明函</w:t>
      </w:r>
      <w:r>
        <w:rPr>
          <w:rFonts w:hint="eastAsia" w:ascii="宋体" w:hAnsi="宋体" w:eastAsia="宋体" w:cs="宋体"/>
          <w:i w:val="0"/>
          <w:iCs w:val="0"/>
          <w:snapToGrid w:val="0"/>
          <w:color w:val="auto"/>
          <w:sz w:val="24"/>
          <w:szCs w:val="24"/>
          <w:highlight w:val="none"/>
          <w:lang w:eastAsia="zh-CN"/>
        </w:rPr>
        <w:t>”等作为资格证明文件。</w:t>
      </w:r>
    </w:p>
    <w:p w14:paraId="61ADCD5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42.3供应商提供的货物、工程或者服务符合下列情形的，享受中小企业扶持政策： </w:t>
      </w:r>
    </w:p>
    <w:p w14:paraId="41D8188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42.3.1在货物采购项目中，货物由中小企业制造，即货物由中小企业生产且使用该中小企业商号或者注册商标； </w:t>
      </w:r>
    </w:p>
    <w:p w14:paraId="4287B4C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42.3.2在工程采购项目中，工程由中小企业承建，即工程施工单位为中小企业； </w:t>
      </w:r>
    </w:p>
    <w:p w14:paraId="504BBF1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42.3.3在服务采购项目中，服务由中小企业承接，即提供服务的人员为中小企业依照《中华人民共和国劳动合同法》订立劳动合同的从业人员。</w:t>
      </w:r>
    </w:p>
    <w:p w14:paraId="28FED95B">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42.4 在货物采购项目中，供应商提供的货物既有中小企业制造货物，也有大型企业制造货物的，不享受中小企业扶持政策。 </w:t>
      </w:r>
    </w:p>
    <w:p w14:paraId="182B8EB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42.5 以联合体形式参加政府采购活动，联合体各方均为中小企业的，联合体视同中小企业。其中，联合体各方均为小微企业的，联合体视同小微企业。      42.6 在政府采购活动中，监狱企业视同小型、微型企业，享受预留份额、评审中价格扣除等政府采购促进中小企业发展的政府采购政策。监狱企业定义：是指由司法部认定的为罪犯、戒毒人员提供生产项目和劳动对象，且全部产权属于司法部监狱管理局、戒毒管理局、直属煤矿管理局，各省、自治区、直辖市监狱管理局、戒毒管理局，各地（设区的市）监狱、强制隔离戒毒所、戒毒康复所，以及新疆生产建设兵团监狱管理局、戒毒管理局的企业。 </w:t>
      </w:r>
    </w:p>
    <w:p w14:paraId="615AEA5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 在政府采购活动中，残疾人福利性单位视同小型、微型企业，享受预留份额、评审中价格扣除等促进中小企业发展的政府采购政策。残疾人福利性单位定义：享受政府采购支持政策的残疾人福利性单位应当同时满足以下条件： </w:t>
      </w:r>
    </w:p>
    <w:p w14:paraId="0F65A30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42.7.1 安置的残疾人占本单位在职职工人数的比例不低于 25% （含 25%），并且安置的残疾人人数不少于 10 人（含 10人）； </w:t>
      </w:r>
    </w:p>
    <w:p w14:paraId="145068A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42.7.2 依法与安置的每位残疾人签订了1年以上（含1年）的劳动合同或服务协议； </w:t>
      </w:r>
    </w:p>
    <w:p w14:paraId="4AFBBA50">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42.7.3 为安置的每位残疾人按月足额缴纳了基本养老保险、基本医疗保险、失业保险、工伤保险和生育保险等社会保险费； </w:t>
      </w:r>
    </w:p>
    <w:p w14:paraId="4487EF6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42.7.4 通过银行等金融机构向安置的每位残疾人，按月支付了不低于单位所在区县适用的经省级人民政府批准的月最低工资标准的工资； </w:t>
      </w:r>
    </w:p>
    <w:p w14:paraId="66EBECD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42.7.5 提供本单位制造的货物、承担的工程或者服务（以下简称产品），或者提供其他残疾人福利性单位制造的货物（不包括使用非残疾人福利性单位注册商标的货物）； </w:t>
      </w:r>
    </w:p>
    <w:p w14:paraId="556BC0B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42.7.6 前款所称残疾人是指法定劳动年龄内，持有《中华人民共和国残疾人证》或者《中华人民共和国残疾军人证（1 至 8 级）》的自然人，包括具有劳动条件和劳动意愿的精神残疾人。在职职工人数是指与残疾人福利性单位建立劳动关系并依法签订劳动合同或服务协议的雇员人数。 </w:t>
      </w:r>
    </w:p>
    <w:p w14:paraId="3B39EECD">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42.8 本项目是否专门面向中小企业预留采购份额见“第一章 竞争性磋商邀请”。</w:t>
      </w:r>
    </w:p>
    <w:p w14:paraId="5A70CB6C">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42.9 采购标的对应的中小企业划分标准所属行业见“供应商须知前附表”。    42.10小微企业价格评审优惠的政策调整：见“第四章 评审方法及标准”。</w:t>
      </w:r>
    </w:p>
    <w:p w14:paraId="76C0345E">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87" w:name="_Toc161600343"/>
      <w:r>
        <w:rPr>
          <w:rFonts w:hint="eastAsia" w:ascii="宋体" w:hAnsi="宋体" w:eastAsia="宋体" w:cs="宋体"/>
          <w:b/>
          <w:bCs/>
          <w:i w:val="0"/>
          <w:iCs w:val="0"/>
          <w:color w:val="auto"/>
          <w:kern w:val="2"/>
          <w:sz w:val="24"/>
          <w:szCs w:val="24"/>
          <w:highlight w:val="none"/>
          <w:lang w:val="en-US" w:eastAsia="zh-CN" w:bidi="ar-SA"/>
        </w:rPr>
        <w:t>43.政府采购节能产品、环境标志产品</w:t>
      </w:r>
      <w:bookmarkEnd w:id="387"/>
    </w:p>
    <w:p w14:paraId="74D8327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43.1 政府采购节能产品、环境标志产品实施品目清单管理。财政部、发展改革委、生态环境部等部门根据产品节能环保性能、技术水平和市场成熟程度等因素，确定实施政府优先采购和强制采购的产品类别及所依据的相关标准规范，以品目清单的形式发布并适时调整。依据品目清单和认证证书实施政府优先采购和强制采购。关于政府采购节能产品、环境标志产品的相关规定依据《关于调整优化节能产品、环境标志产品政府采购执行机制的通知》（财库〔2019〕9 号）、《关于印发环境标志产品政府采购品目清单的通知》（财库〔2019〕18号）、《关于印发节能产品政府采购品目清单的通知》（财库〔2019〕19号）的规定。</w:t>
      </w:r>
    </w:p>
    <w:p w14:paraId="017FF1A4">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 xml:space="preserve">43.2 采购人拟采购的产品属于品目清单范围的，采购人及其委托的采购代理机构依据国家确定的认证机构出具的、处于有效期之内的节能产品、环境标志产品认证证书，对获得证书的产品实施政府优先采购或强制采购。 </w:t>
      </w:r>
    </w:p>
    <w:p w14:paraId="1379730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43.3 如本项目采购产品属于实施政府强制采购品目清单范围的节能产品，则供应商所报产品必须获得国家确定的认证机构出具的、处于有效期之内的节能产品认证证书，否则</w:t>
      </w:r>
      <w:r>
        <w:rPr>
          <w:rFonts w:hint="eastAsia" w:ascii="宋体" w:hAnsi="宋体" w:eastAsia="宋体" w:cs="宋体"/>
          <w:b/>
          <w:bCs/>
          <w:i w:val="0"/>
          <w:iCs w:val="0"/>
          <w:snapToGrid w:val="0"/>
          <w:color w:val="auto"/>
          <w:sz w:val="24"/>
          <w:szCs w:val="24"/>
          <w:highlight w:val="none"/>
          <w:lang w:val="en-US" w:eastAsia="zh-CN"/>
        </w:rPr>
        <w:t>响应无效</w:t>
      </w:r>
      <w:r>
        <w:rPr>
          <w:rFonts w:hint="eastAsia" w:ascii="宋体" w:hAnsi="宋体" w:eastAsia="宋体" w:cs="宋体"/>
          <w:i w:val="0"/>
          <w:iCs w:val="0"/>
          <w:snapToGrid w:val="0"/>
          <w:color w:val="auto"/>
          <w:sz w:val="24"/>
          <w:szCs w:val="24"/>
          <w:highlight w:val="none"/>
          <w:lang w:val="en-US" w:eastAsia="zh-CN"/>
        </w:rPr>
        <w:t xml:space="preserve">。 </w:t>
      </w:r>
    </w:p>
    <w:p w14:paraId="73ADF02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43.4 非政府强制采购的节能产品或环境标志产品，依据品目清单和认证证书实施政府优先采购。优先采购的具体规定见“第四章 评审方法及标准”（如涉及）。</w:t>
      </w:r>
    </w:p>
    <w:p w14:paraId="1E54CD45">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43.5 供应商</w:t>
      </w:r>
      <w:r>
        <w:rPr>
          <w:rFonts w:hint="eastAsia" w:ascii="宋体" w:hAnsi="宋体" w:eastAsia="宋体" w:cs="宋体"/>
          <w:i w:val="0"/>
          <w:iCs w:val="0"/>
          <w:snapToGrid w:val="0"/>
          <w:color w:val="auto"/>
          <w:sz w:val="24"/>
          <w:szCs w:val="24"/>
          <w:highlight w:val="none"/>
        </w:rPr>
        <w:t>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产品如属于节能产品政府采购品目清单、环境标志产品政府采购品目清单范围的，须提供国家确定的认证机构出具的、处于有效期内的产品认证证书，认证证书的产品型号与所</w:t>
      </w:r>
      <w:r>
        <w:rPr>
          <w:rFonts w:hint="eastAsia" w:ascii="宋体" w:hAnsi="宋体" w:eastAsia="宋体" w:cs="宋体"/>
          <w:i w:val="0"/>
          <w:iCs w:val="0"/>
          <w:snapToGrid w:val="0"/>
          <w:color w:val="auto"/>
          <w:sz w:val="24"/>
          <w:szCs w:val="24"/>
          <w:highlight w:val="none"/>
          <w:lang w:val="en-US" w:eastAsia="zh-CN"/>
        </w:rPr>
        <w:t>报</w:t>
      </w:r>
      <w:r>
        <w:rPr>
          <w:rFonts w:hint="eastAsia" w:ascii="宋体" w:hAnsi="宋体" w:eastAsia="宋体" w:cs="宋体"/>
          <w:i w:val="0"/>
          <w:iCs w:val="0"/>
          <w:snapToGrid w:val="0"/>
          <w:color w:val="auto"/>
          <w:sz w:val="24"/>
          <w:szCs w:val="24"/>
          <w:highlight w:val="none"/>
        </w:rPr>
        <w:t>产品不一致的，视为未提供。属于政府强制采购产品的，已作为</w:t>
      </w:r>
      <w:r>
        <w:rPr>
          <w:rFonts w:hint="eastAsia" w:ascii="宋体" w:hAnsi="宋体" w:eastAsia="宋体" w:cs="宋体"/>
          <w:i w:val="0"/>
          <w:iCs w:val="0"/>
          <w:snapToGrid w:val="0"/>
          <w:color w:val="auto"/>
          <w:sz w:val="24"/>
          <w:szCs w:val="24"/>
          <w:highlight w:val="none"/>
          <w:lang w:val="en-US" w:eastAsia="zh-CN"/>
        </w:rPr>
        <w:t>响应</w:t>
      </w:r>
      <w:r>
        <w:rPr>
          <w:rFonts w:hint="eastAsia" w:ascii="宋体" w:hAnsi="宋体" w:eastAsia="宋体" w:cs="宋体"/>
          <w:i w:val="0"/>
          <w:iCs w:val="0"/>
          <w:snapToGrid w:val="0"/>
          <w:color w:val="auto"/>
          <w:sz w:val="24"/>
          <w:szCs w:val="24"/>
          <w:highlight w:val="none"/>
        </w:rPr>
        <w:t>时强制性要求不再给予</w:t>
      </w:r>
      <w:r>
        <w:rPr>
          <w:rFonts w:hint="eastAsia" w:ascii="宋体" w:hAnsi="宋体" w:eastAsia="宋体" w:cs="宋体"/>
          <w:i w:val="0"/>
          <w:iCs w:val="0"/>
          <w:snapToGrid w:val="0"/>
          <w:color w:val="auto"/>
          <w:sz w:val="24"/>
          <w:szCs w:val="24"/>
          <w:highlight w:val="none"/>
          <w:lang w:val="en-US" w:eastAsia="zh-CN"/>
        </w:rPr>
        <w:t>评审优惠</w:t>
      </w:r>
      <w:r>
        <w:rPr>
          <w:rFonts w:hint="eastAsia" w:ascii="宋体" w:hAnsi="宋体" w:eastAsia="宋体" w:cs="宋体"/>
          <w:i w:val="0"/>
          <w:iCs w:val="0"/>
          <w:snapToGrid w:val="0"/>
          <w:color w:val="auto"/>
          <w:sz w:val="24"/>
          <w:szCs w:val="24"/>
          <w:highlight w:val="none"/>
        </w:rPr>
        <w:t>，未提供认证证书的视为</w:t>
      </w:r>
      <w:r>
        <w:rPr>
          <w:rFonts w:hint="eastAsia" w:ascii="宋体" w:hAnsi="宋体" w:eastAsia="宋体" w:cs="宋体"/>
          <w:b/>
          <w:bCs/>
          <w:i w:val="0"/>
          <w:iCs w:val="0"/>
          <w:snapToGrid w:val="0"/>
          <w:color w:val="auto"/>
          <w:sz w:val="24"/>
          <w:szCs w:val="24"/>
          <w:highlight w:val="none"/>
        </w:rPr>
        <w:t>无效响应</w:t>
      </w:r>
      <w:r>
        <w:rPr>
          <w:rFonts w:hint="eastAsia" w:ascii="宋体" w:hAnsi="宋体" w:eastAsia="宋体" w:cs="宋体"/>
          <w:i w:val="0"/>
          <w:iCs w:val="0"/>
          <w:snapToGrid w:val="0"/>
          <w:color w:val="auto"/>
          <w:sz w:val="24"/>
          <w:szCs w:val="24"/>
          <w:highlight w:val="none"/>
        </w:rPr>
        <w:t>。属于</w:t>
      </w:r>
      <w:r>
        <w:rPr>
          <w:rFonts w:hint="eastAsia" w:ascii="宋体" w:hAnsi="宋体" w:eastAsia="宋体" w:cs="宋体"/>
          <w:i w:val="0"/>
          <w:iCs w:val="0"/>
          <w:snapToGrid w:val="0"/>
          <w:color w:val="auto"/>
          <w:sz w:val="24"/>
          <w:szCs w:val="24"/>
          <w:highlight w:val="none"/>
          <w:lang w:val="en-US" w:eastAsia="zh-CN"/>
        </w:rPr>
        <w:t>优先采购</w:t>
      </w:r>
      <w:r>
        <w:rPr>
          <w:rFonts w:hint="eastAsia" w:ascii="宋体" w:hAnsi="宋体" w:eastAsia="宋体" w:cs="宋体"/>
          <w:i w:val="0"/>
          <w:iCs w:val="0"/>
          <w:snapToGrid w:val="0"/>
          <w:color w:val="auto"/>
          <w:sz w:val="24"/>
          <w:szCs w:val="24"/>
          <w:highlight w:val="none"/>
        </w:rPr>
        <w:t>节能产品政府采购品目清单、环境标志产品政府采购品目清单</w:t>
      </w:r>
      <w:r>
        <w:rPr>
          <w:rFonts w:hint="eastAsia" w:ascii="宋体" w:hAnsi="宋体" w:eastAsia="宋体" w:cs="宋体"/>
          <w:i w:val="0"/>
          <w:iCs w:val="0"/>
          <w:snapToGrid w:val="0"/>
          <w:color w:val="auto"/>
          <w:sz w:val="24"/>
          <w:szCs w:val="24"/>
          <w:highlight w:val="none"/>
          <w:lang w:eastAsia="zh-CN"/>
        </w:rPr>
        <w:t>、</w:t>
      </w:r>
      <w:r>
        <w:rPr>
          <w:rFonts w:hint="eastAsia" w:ascii="宋体" w:hAnsi="宋体" w:eastAsia="宋体" w:cs="宋体"/>
          <w:i w:val="0"/>
          <w:iCs w:val="0"/>
          <w:snapToGrid w:val="0"/>
          <w:color w:val="auto"/>
          <w:sz w:val="24"/>
          <w:szCs w:val="24"/>
          <w:highlight w:val="none"/>
          <w:lang w:val="en-US" w:eastAsia="zh-CN"/>
        </w:rPr>
        <w:t>创新产品</w:t>
      </w:r>
      <w:r>
        <w:rPr>
          <w:rFonts w:hint="eastAsia" w:ascii="宋体" w:hAnsi="宋体" w:eastAsia="宋体" w:cs="宋体"/>
          <w:i w:val="0"/>
          <w:iCs w:val="0"/>
          <w:snapToGrid w:val="0"/>
          <w:color w:val="auto"/>
          <w:sz w:val="24"/>
          <w:szCs w:val="24"/>
          <w:highlight w:val="none"/>
        </w:rPr>
        <w:t>范围的，按照“</w:t>
      </w:r>
      <w:r>
        <w:rPr>
          <w:rFonts w:hint="eastAsia" w:ascii="宋体" w:hAnsi="宋体" w:eastAsia="宋体" w:cs="宋体"/>
          <w:i w:val="0"/>
          <w:iCs w:val="0"/>
          <w:snapToGrid w:val="0"/>
          <w:color w:val="auto"/>
          <w:sz w:val="24"/>
          <w:szCs w:val="24"/>
          <w:highlight w:val="none"/>
          <w:lang w:val="en-US" w:eastAsia="zh-CN"/>
        </w:rPr>
        <w:t>第四章 评审方法及标准</w:t>
      </w:r>
      <w:r>
        <w:rPr>
          <w:rFonts w:hint="eastAsia" w:ascii="宋体" w:hAnsi="宋体" w:eastAsia="宋体" w:cs="宋体"/>
          <w:i w:val="0"/>
          <w:iCs w:val="0"/>
          <w:snapToGrid w:val="0"/>
          <w:color w:val="auto"/>
          <w:sz w:val="24"/>
          <w:szCs w:val="24"/>
          <w:highlight w:val="none"/>
        </w:rPr>
        <w:t>”中相关规定</w:t>
      </w:r>
      <w:r>
        <w:rPr>
          <w:rFonts w:hint="eastAsia" w:ascii="宋体" w:hAnsi="宋体" w:eastAsia="宋体" w:cs="宋体"/>
          <w:i w:val="0"/>
          <w:iCs w:val="0"/>
          <w:color w:val="auto"/>
          <w:sz w:val="24"/>
          <w:szCs w:val="24"/>
          <w:highlight w:val="none"/>
          <w:lang w:val="en-US" w:eastAsia="zh-CN"/>
        </w:rPr>
        <w:t>在评审时给予优惠，具体详见</w:t>
      </w:r>
      <w:r>
        <w:rPr>
          <w:rFonts w:hint="eastAsia" w:ascii="宋体" w:hAnsi="宋体" w:eastAsia="宋体" w:cs="宋体"/>
          <w:i w:val="0"/>
          <w:iCs w:val="0"/>
          <w:snapToGrid w:val="0"/>
          <w:color w:val="auto"/>
          <w:sz w:val="24"/>
          <w:szCs w:val="24"/>
          <w:highlight w:val="none"/>
          <w:lang w:val="en-US" w:eastAsia="zh-CN"/>
        </w:rPr>
        <w:t>“供应商须知前附表”及</w:t>
      </w:r>
      <w:r>
        <w:rPr>
          <w:rFonts w:hint="eastAsia" w:ascii="宋体" w:hAnsi="宋体" w:eastAsia="宋体" w:cs="宋体"/>
          <w:i w:val="0"/>
          <w:iCs w:val="0"/>
          <w:color w:val="auto"/>
          <w:sz w:val="24"/>
          <w:szCs w:val="24"/>
          <w:highlight w:val="none"/>
          <w:lang w:val="en-US" w:eastAsia="zh-CN"/>
        </w:rPr>
        <w:t>“第四章 评审方法及标准”</w:t>
      </w:r>
      <w:r>
        <w:rPr>
          <w:rFonts w:hint="eastAsia" w:ascii="宋体" w:hAnsi="宋体" w:eastAsia="宋体" w:cs="宋体"/>
          <w:i w:val="0"/>
          <w:iCs w:val="0"/>
          <w:color w:val="auto"/>
          <w:sz w:val="24"/>
          <w:szCs w:val="24"/>
          <w:highlight w:val="none"/>
        </w:rPr>
        <w:t>。</w:t>
      </w:r>
    </w:p>
    <w:p w14:paraId="17C511E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44.正版软件</w:t>
      </w:r>
    </w:p>
    <w:p w14:paraId="22C9F7CE">
      <w:pPr>
        <w:pStyle w:val="36"/>
        <w:keepNext w:val="0"/>
        <w:keepLines w:val="0"/>
        <w:pageBreakBefore w:val="0"/>
        <w:widowControl w:val="0"/>
        <w:kinsoku/>
        <w:overflowPunct/>
        <w:topLinePunct w:val="0"/>
        <w:autoSpaceDE/>
        <w:autoSpaceDN/>
        <w:bidi w:val="0"/>
        <w:adjustRightInd/>
        <w:snapToGrid/>
        <w:textAlignment w:val="auto"/>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44.1 依据《财政部 国家发展改革委 信息产业部关于印发无线局域网产品政府采购实施意见的通知》（财库〔2005〕366 号），采购无线局域网产品和含有无线局域网功能的计算机、通信设备、打印机、复印机、投影仪等产品的，优先采购符合国家无线局域网安全标准（GB 15629.11/1102）并通过国家产品认证的产品。其中，国家有特殊信息安全要求的项目必须采购认证产品，否则</w:t>
      </w:r>
      <w:r>
        <w:rPr>
          <w:rFonts w:hint="eastAsia" w:ascii="宋体" w:hAnsi="宋体" w:eastAsia="宋体" w:cs="宋体"/>
          <w:b/>
          <w:bCs/>
          <w:snapToGrid w:val="0"/>
          <w:color w:val="000000"/>
          <w:sz w:val="24"/>
          <w:szCs w:val="24"/>
          <w:highlight w:val="none"/>
          <w:lang w:val="en-US" w:eastAsia="zh-CN"/>
        </w:rPr>
        <w:t>投标无效</w:t>
      </w:r>
      <w:r>
        <w:rPr>
          <w:rFonts w:hint="eastAsia" w:ascii="宋体" w:hAnsi="宋体" w:eastAsia="宋体" w:cs="宋体"/>
          <w:snapToGrid w:val="0"/>
          <w:color w:val="000000"/>
          <w:sz w:val="24"/>
          <w:szCs w:val="24"/>
          <w:highlight w:val="none"/>
          <w:lang w:val="en-US" w:eastAsia="zh-CN"/>
        </w:rPr>
        <w:t xml:space="preserve">。财政部、国家发展改革委、信息产业部根据政府采购改革进展和无线局域网产品技术及市场成熟等情况，从国家指定的认证机构认证的生产厂商和产品型号中确定优先采购的产品，并以“无线局域网认证产品政府采购清单”（以下简称清单）的形式公布。清单中新增认证产品厂商和型号，由财政部、国家发展改革委、信息产业部以文件形式确定、公布并适时调整。 </w:t>
      </w:r>
    </w:p>
    <w:p w14:paraId="6F198368">
      <w:pPr>
        <w:pStyle w:val="36"/>
        <w:keepNext w:val="0"/>
        <w:keepLines w:val="0"/>
        <w:pageBreakBefore w:val="0"/>
        <w:widowControl w:val="0"/>
        <w:kinsoku/>
        <w:overflowPunct/>
        <w:topLinePunct w:val="0"/>
        <w:autoSpaceDE/>
        <w:autoSpaceDN/>
        <w:bidi w:val="0"/>
        <w:adjustRightInd/>
        <w:textAlignment w:val="auto"/>
        <w:rPr>
          <w:rFonts w:hint="eastAsia" w:ascii="宋体" w:hAnsi="宋体" w:eastAsia="宋体" w:cs="宋体"/>
          <w:snapToGrid w:val="0"/>
          <w:color w:val="000000"/>
          <w:sz w:val="24"/>
          <w:szCs w:val="24"/>
          <w:highlight w:val="none"/>
          <w:lang w:val="en-US" w:eastAsia="zh-CN"/>
        </w:rPr>
      </w:pPr>
      <w:r>
        <w:rPr>
          <w:rFonts w:hint="eastAsia" w:ascii="宋体" w:hAnsi="宋体" w:eastAsia="宋体" w:cs="宋体"/>
          <w:snapToGrid w:val="0"/>
          <w:color w:val="000000"/>
          <w:sz w:val="24"/>
          <w:szCs w:val="24"/>
          <w:highlight w:val="none"/>
          <w:lang w:val="en-US" w:eastAsia="zh-CN"/>
        </w:rPr>
        <w:t>44.2 各级政府部门在购置计算机办公设备时，必须采购预装正版操作系统软件的计算机产品，相关规定依据《国家版权局、信息产业部、财政部、国务院机关事务管理局关于政府部门购置计算机办公设备必须采购已预装正版操作系统软件产品的通知》（国权联〔2006〕1 号）、《国务院办公厅关于进一步做好政府机关使用正版软件工作的通知》（国办发〔2010〕47 号）、《国务院办公厅关于印发政府机关使用正版软件管理办法的通知》国办发〔2013〕88号。</w:t>
      </w:r>
    </w:p>
    <w:p w14:paraId="57A1724D">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45.网络安全专用产品 </w:t>
      </w:r>
    </w:p>
    <w:p w14:paraId="13C0877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45.1本项目中如涉及网络关键设备或网络安全专用产品的，应严格执行国家互联网信息办公室、工业和信息化部、公安部、财政部和国家认证认可监督管理委员会 2023年第 1 号《关于调整网络安全专用产品安全管理有关事项的公告》及国家互联网信息办公室、工业和信息化部、公安部和国家认证认可监督管理委员会 2023 年第 2号《关于调整&lt;网络关键设备和网络安全专用产品目录&gt;的公告》等相关文件要求，所投标（响应）设备或产品至少符合以下条件之一：一是已由具备资格的机构安全认证合格或安全检测符合要求；二是已获得《计算机信息系统安全专用产品销售许可证》，且在有效期内。采购人、中标(成交)人双方签订合同及验收环节，应包含上述网络安全要求的条款。</w:t>
      </w:r>
    </w:p>
    <w:p w14:paraId="4911AC78">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45.2本项目中如涉及国家强制性产品认证证书（CCC 认证证书）、电信设备进网许可证、无线电发射设备核准证等市场准入类资质的，应严格执行国家相关法律法规的要求。采购人、中标(成交)人双方签订合同及验收环节，应包含上述市场准入类资质要求的条款。</w:t>
      </w:r>
    </w:p>
    <w:p w14:paraId="05D0648E">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 xml:space="preserve">46.采购需求标准 </w:t>
      </w:r>
    </w:p>
    <w:bookmarkEnd w:id="363"/>
    <w:bookmarkEnd w:id="364"/>
    <w:bookmarkEnd w:id="365"/>
    <w:bookmarkEnd w:id="366"/>
    <w:bookmarkEnd w:id="367"/>
    <w:p w14:paraId="1251808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bookmarkStart w:id="388" w:name="_Toc109897475"/>
      <w:bookmarkStart w:id="389" w:name="_Toc109899574"/>
      <w:bookmarkStart w:id="390" w:name="_Toc163493622"/>
      <w:bookmarkStart w:id="391" w:name="_Toc109899993"/>
      <w:bookmarkStart w:id="392" w:name="_Toc109900412"/>
      <w:r>
        <w:rPr>
          <w:rFonts w:hint="eastAsia" w:ascii="宋体" w:hAnsi="宋体" w:eastAsia="宋体" w:cs="宋体"/>
          <w:i w:val="0"/>
          <w:iCs w:val="0"/>
          <w:snapToGrid w:val="0"/>
          <w:color w:val="auto"/>
          <w:sz w:val="24"/>
          <w:szCs w:val="24"/>
          <w:highlight w:val="none"/>
          <w:lang w:val="en-US" w:eastAsia="zh-CN"/>
        </w:rPr>
        <w:t xml:space="preserve">46.1 商品包装、快递包装政府采购需求标准（试行） </w:t>
      </w:r>
    </w:p>
    <w:p w14:paraId="527BC2D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为助力打好污染防治攻坚战，推广使用绿色包装，根据财政部关于印发《商品包装政府采购需求标准（试行）》、《快递包装政府采购需求标准（试行）》的通知（财办库〔2020〕123 号），本项目如涉及商品包装和快递包装的，则其具体要求见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088B5DEF">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 xml:space="preserve">46.2 绿色数据中心政府采购需求标准（试行） </w:t>
      </w:r>
    </w:p>
    <w:p w14:paraId="2BAD2545">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为加快数据中心绿色转型，根据财政部 生态环境部 工业和信息化部关于印发《绿色数据中心政府采购需求标准（试行）》的通知（财库〔2023〕7 号），本项目如涉及绿色数据中心，则具体要求见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 xml:space="preserve">。 </w:t>
      </w:r>
    </w:p>
    <w:p w14:paraId="33C6F27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46.3台式计算机政府采购需求标准</w:t>
      </w:r>
    </w:p>
    <w:p w14:paraId="7FE94F3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为提高台式计算机政府采购需求管理的科学化、规范化水平，进一步落实政府采购公平竞争原则，优化营商环境，营造良好的产业生态，财政部 工业和信息化部关于印发《台式计算机政府采购需求标准（2023年版）》的通知（财库〔2023〕29号），本项目如涉及台式计算机采购，则具体要求见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83C9A6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46.4便携式计算机政府采购需求标准</w:t>
      </w:r>
    </w:p>
    <w:p w14:paraId="56D621A3">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为提高便携式计算机政府采购需求管理的科学化、规范化水平，进一步落实政府采购公平竞争原则，优化营商环境，营造良好的产业生态，财政部 工业和信息化部关于印发《便携式计算机政府采购需求标准（2023年版）》的通知（财库〔2023〕30号），本项目如涉及便携式计算机采购，则具体要求见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48ED666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46.5一体式计算机政府采购需求标准</w:t>
      </w:r>
    </w:p>
    <w:p w14:paraId="7A06F60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为提高一体式计算机政府采购需求管理的科学化、规范化水平，进一步落实政府采购公平竞争原则，优化营商环境，营造良好的产业生态，财政部 工业和信息化部关于印发《一体式计算机政府采购需求标准（2023年版）》的通知（财库〔2023〕31号），本项目如涉及一体式计算机采购，则具体要求见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AA36A4C">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46.6工作站政府采购需求标准</w:t>
      </w:r>
    </w:p>
    <w:p w14:paraId="401E4836">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为提高工作站政府采购需求管理的科学化、规范化水平，进一步落实政府采购公平竞争原则，优化营商环境，营造良好的产业生态，财政部 工业和信息化部关于印发《工作站政府采购需求标准（2023年版）》的通知（财库〔2023〕32号），本项目如涉及工作站采购，则具体要求见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6AA55F4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46.7通用服务器政府采购需求标准</w:t>
      </w:r>
    </w:p>
    <w:p w14:paraId="6FE6FE7A">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为提高通用服务器政府采购需求管理的科学化、规范化水平，进一步落实政府采购公平竞争原则，优化营商环境，营造良好的产业生态，财政部 工业和信息化部关于印发《通用服务器政府采购需求标准（2023年版）》的通知（财库〔2023〕33号），本项目如涉及通用服务器采购，则具体要求见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5E799E3E">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46.8操作系统政府采购需求标准</w:t>
      </w:r>
    </w:p>
    <w:p w14:paraId="71E70859">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为提高操作系统政府采购需求管理的科学化、规范化水平，进一步落实政府采购公平竞争原则，优化营商环境，营造良好的产业生态，财政部 工业和信息化部关于印发《操作系统政府采购需求标准（2023年版）》的通知（财库〔2023〕34号），本项目如涉及操作系统采购，则具体要求见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757FBE3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46.9数据库政府采购需求标准</w:t>
      </w:r>
    </w:p>
    <w:p w14:paraId="4096E2F1">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为提高数据库政府采购需求管理的科学化、规范化水平，进一步落实政府采购公平竞争原则，优化营商环境，营造良好的产业生态，财政部 工业和信息化部关于印发《数据库政府采购需求标准（2023年版）》的通知（财库〔2023〕35号），本项目如涉及数据库采购，则具体要求见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0F23144D">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46.10物业管理服务政府采购需求标准（办公场所类）（试行）</w:t>
      </w:r>
    </w:p>
    <w:p w14:paraId="0169F247">
      <w:pPr>
        <w:pStyle w:val="36"/>
        <w:keepNext w:val="0"/>
        <w:keepLines w:val="0"/>
        <w:pageBreakBefore w:val="0"/>
        <w:widowControl w:val="0"/>
        <w:kinsoku/>
        <w:overflowPunct/>
        <w:topLinePunct w:val="0"/>
        <w:autoSpaceDE/>
        <w:autoSpaceDN/>
        <w:bidi w:val="0"/>
        <w:adjustRightInd/>
        <w:jc w:val="both"/>
        <w:textAlignment w:val="auto"/>
        <w:rPr>
          <w:rFonts w:hint="eastAsia" w:ascii="宋体" w:hAnsi="宋体" w:eastAsia="宋体" w:cs="宋体"/>
          <w:i w:val="0"/>
          <w:iCs w:val="0"/>
          <w:snapToGrid w:val="0"/>
          <w:color w:val="auto"/>
          <w:sz w:val="24"/>
          <w:szCs w:val="24"/>
          <w:highlight w:val="none"/>
          <w:lang w:val="en-US" w:eastAsia="zh-CN"/>
        </w:rPr>
      </w:pPr>
      <w:r>
        <w:rPr>
          <w:rFonts w:hint="eastAsia" w:ascii="宋体" w:hAnsi="宋体" w:eastAsia="宋体" w:cs="宋体"/>
          <w:i w:val="0"/>
          <w:iCs w:val="0"/>
          <w:snapToGrid w:val="0"/>
          <w:color w:val="auto"/>
          <w:sz w:val="24"/>
          <w:szCs w:val="24"/>
          <w:highlight w:val="none"/>
          <w:lang w:val="en-US" w:eastAsia="zh-CN"/>
        </w:rPr>
        <w:t>为贯彻落实中央全面深化改革委员会审议通过的《深化政府采购制度改革方案》有关要求，推动政府采购需求标准建设，财政部办公厅关于印发《物业管理服务政府采购需求标准（办公场所类）（试行）》的通知（财办库〔2024〕113号），本项目如涉及物业管理服务采购，则具体要求见</w:t>
      </w:r>
      <w:r>
        <w:rPr>
          <w:rFonts w:hint="eastAsia" w:ascii="宋体" w:hAnsi="宋体" w:eastAsia="宋体" w:cs="宋体"/>
          <w:i w:val="0"/>
          <w:iCs w:val="0"/>
          <w:color w:val="auto"/>
          <w:sz w:val="24"/>
          <w:szCs w:val="24"/>
          <w:highlight w:val="none"/>
        </w:rPr>
        <w:t xml:space="preserve">“第三章 </w:t>
      </w:r>
      <w:r>
        <w:rPr>
          <w:rFonts w:hint="eastAsia" w:ascii="宋体" w:hAnsi="宋体" w:eastAsia="宋体" w:cs="宋体"/>
          <w:i w:val="0"/>
          <w:iCs w:val="0"/>
          <w:color w:val="auto"/>
          <w:sz w:val="24"/>
          <w:szCs w:val="24"/>
          <w:highlight w:val="none"/>
          <w:lang w:val="en-US" w:eastAsia="zh-CN"/>
        </w:rPr>
        <w:t>项目</w:t>
      </w:r>
      <w:r>
        <w:rPr>
          <w:rFonts w:hint="eastAsia" w:ascii="宋体" w:hAnsi="宋体" w:eastAsia="宋体" w:cs="宋体"/>
          <w:i w:val="0"/>
          <w:iCs w:val="0"/>
          <w:color w:val="auto"/>
          <w:sz w:val="24"/>
          <w:szCs w:val="24"/>
          <w:highlight w:val="none"/>
        </w:rPr>
        <w:t>采购需求”</w:t>
      </w:r>
      <w:r>
        <w:rPr>
          <w:rFonts w:hint="eastAsia" w:ascii="宋体" w:hAnsi="宋体" w:eastAsia="宋体" w:cs="宋体"/>
          <w:i w:val="0"/>
          <w:iCs w:val="0"/>
          <w:snapToGrid w:val="0"/>
          <w:color w:val="auto"/>
          <w:sz w:val="24"/>
          <w:szCs w:val="24"/>
          <w:highlight w:val="none"/>
          <w:lang w:val="en-US" w:eastAsia="zh-CN"/>
        </w:rPr>
        <w:t>。</w:t>
      </w:r>
    </w:p>
    <w:p w14:paraId="38AF6858">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（十四）政府采购合同融资政策</w:t>
      </w:r>
      <w:bookmarkEnd w:id="388"/>
      <w:bookmarkEnd w:id="389"/>
      <w:bookmarkEnd w:id="390"/>
      <w:bookmarkEnd w:id="391"/>
      <w:bookmarkEnd w:id="392"/>
    </w:p>
    <w:p w14:paraId="78CE466D">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3" w:name="_Toc161600345"/>
      <w:bookmarkStart w:id="394" w:name="_Toc109897476"/>
      <w:r>
        <w:rPr>
          <w:rFonts w:hint="eastAsia" w:ascii="宋体" w:hAnsi="宋体" w:eastAsia="宋体" w:cs="宋体"/>
          <w:b/>
          <w:bCs/>
          <w:i w:val="0"/>
          <w:iCs w:val="0"/>
          <w:color w:val="auto"/>
          <w:kern w:val="2"/>
          <w:sz w:val="24"/>
          <w:szCs w:val="24"/>
          <w:highlight w:val="none"/>
          <w:lang w:val="en-US" w:eastAsia="zh-CN" w:bidi="ar-SA"/>
        </w:rPr>
        <w:t>47.政府采购合同融资政策</w:t>
      </w:r>
      <w:bookmarkEnd w:id="393"/>
    </w:p>
    <w:p w14:paraId="59269D30">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7</w:t>
      </w:r>
      <w:r>
        <w:rPr>
          <w:rFonts w:hint="eastAsia" w:ascii="宋体" w:hAnsi="宋体" w:eastAsia="宋体" w:cs="宋体"/>
          <w:i w:val="0"/>
          <w:iCs w:val="0"/>
          <w:color w:val="auto"/>
          <w:sz w:val="24"/>
          <w:szCs w:val="24"/>
          <w:highlight w:val="none"/>
        </w:rPr>
        <w:t>.1政府采购合同融资政策：见供应商须知前附表。</w:t>
      </w:r>
    </w:p>
    <w:p w14:paraId="032E5A3C">
      <w:pPr>
        <w:pStyle w:val="7"/>
        <w:keepNext w:val="0"/>
        <w:keepLines w:val="0"/>
        <w:pageBreakBefore w:val="0"/>
        <w:widowControl w:val="0"/>
        <w:numPr>
          <w:ilvl w:val="0"/>
          <w:numId w:val="0"/>
        </w:numPr>
        <w:kinsoku/>
        <w:wordWrap/>
        <w:overflowPunct/>
        <w:topLinePunct w:val="0"/>
        <w:autoSpaceDE/>
        <w:autoSpaceDN/>
        <w:bidi w:val="0"/>
        <w:adjustRightInd/>
        <w:snapToGrid/>
        <w:spacing w:before="140" w:after="14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5" w:name="_Toc109900413"/>
      <w:bookmarkStart w:id="396" w:name="_Toc109899575"/>
      <w:bookmarkStart w:id="397" w:name="_Toc109899994"/>
      <w:bookmarkStart w:id="398" w:name="_Toc163493623"/>
      <w:r>
        <w:rPr>
          <w:rFonts w:hint="eastAsia" w:ascii="宋体" w:hAnsi="宋体" w:eastAsia="宋体" w:cs="宋体"/>
          <w:b/>
          <w:bCs/>
          <w:i w:val="0"/>
          <w:iCs w:val="0"/>
          <w:color w:val="auto"/>
          <w:kern w:val="2"/>
          <w:sz w:val="24"/>
          <w:szCs w:val="24"/>
          <w:highlight w:val="none"/>
          <w:lang w:val="en-US" w:eastAsia="zh-CN" w:bidi="ar-SA"/>
        </w:rPr>
        <w:t>（十五）其他</w:t>
      </w:r>
      <w:bookmarkEnd w:id="394"/>
      <w:bookmarkEnd w:id="395"/>
      <w:bookmarkEnd w:id="396"/>
      <w:bookmarkEnd w:id="397"/>
      <w:bookmarkEnd w:id="398"/>
    </w:p>
    <w:p w14:paraId="0C2C4C1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399" w:name="_Toc161600347"/>
      <w:r>
        <w:rPr>
          <w:rFonts w:hint="eastAsia" w:ascii="宋体" w:hAnsi="宋体" w:eastAsia="宋体" w:cs="宋体"/>
          <w:b/>
          <w:bCs/>
          <w:i w:val="0"/>
          <w:iCs w:val="0"/>
          <w:color w:val="auto"/>
          <w:kern w:val="2"/>
          <w:sz w:val="24"/>
          <w:szCs w:val="24"/>
          <w:highlight w:val="none"/>
          <w:lang w:val="en-US" w:eastAsia="zh-CN" w:bidi="ar-SA"/>
        </w:rPr>
        <w:t>48.需要补充的其他内容</w:t>
      </w:r>
      <w:bookmarkEnd w:id="399"/>
    </w:p>
    <w:p w14:paraId="3957C993">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4</w:t>
      </w:r>
      <w:r>
        <w:rPr>
          <w:rFonts w:hint="eastAsia" w:ascii="宋体" w:hAnsi="宋体" w:eastAsia="宋体" w:cs="宋体"/>
          <w:i w:val="0"/>
          <w:iCs w:val="0"/>
          <w:color w:val="auto"/>
          <w:sz w:val="24"/>
          <w:szCs w:val="24"/>
          <w:highlight w:val="none"/>
          <w:lang w:val="en-US" w:eastAsia="zh-CN"/>
        </w:rPr>
        <w:t>8</w:t>
      </w:r>
      <w:r>
        <w:rPr>
          <w:rFonts w:hint="eastAsia" w:ascii="宋体" w:hAnsi="宋体" w:eastAsia="宋体" w:cs="宋体"/>
          <w:i w:val="0"/>
          <w:iCs w:val="0"/>
          <w:color w:val="auto"/>
          <w:sz w:val="24"/>
          <w:szCs w:val="24"/>
          <w:highlight w:val="none"/>
        </w:rPr>
        <w:t>.1需要补充的其他内容：见供应商须知前附表。</w:t>
      </w:r>
    </w:p>
    <w:p w14:paraId="740594BA">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00" w:name="_Toc109897477"/>
      <w:bookmarkStart w:id="401" w:name="_Toc109899576"/>
      <w:bookmarkStart w:id="402" w:name="_Toc109899995"/>
      <w:bookmarkStart w:id="403" w:name="_Toc109900414"/>
      <w:r>
        <w:rPr>
          <w:rFonts w:hint="eastAsia" w:ascii="宋体" w:hAnsi="宋体" w:eastAsia="宋体" w:cs="宋体"/>
          <w:b/>
          <w:bCs/>
          <w:i w:val="0"/>
          <w:iCs w:val="0"/>
          <w:color w:val="auto"/>
          <w:kern w:val="2"/>
          <w:sz w:val="24"/>
          <w:szCs w:val="24"/>
          <w:highlight w:val="none"/>
          <w:lang w:val="en-US" w:eastAsia="zh-CN" w:bidi="ar-SA"/>
        </w:rPr>
        <w:t>49.适用法律</w:t>
      </w:r>
      <w:bookmarkEnd w:id="400"/>
      <w:bookmarkEnd w:id="401"/>
      <w:bookmarkEnd w:id="402"/>
      <w:bookmarkEnd w:id="403"/>
    </w:p>
    <w:p w14:paraId="48B6B3FD">
      <w:pPr>
        <w:keepNext w:val="0"/>
        <w:keepLines w:val="0"/>
        <w:pageBreakBefore w:val="0"/>
        <w:widowControl w:val="0"/>
        <w:tabs>
          <w:tab w:val="left" w:pos="426"/>
        </w:tabs>
        <w:kinsoku/>
        <w:overflowPunct/>
        <w:topLinePunct w:val="0"/>
        <w:autoSpaceDE w:val="0"/>
        <w:autoSpaceDN w:val="0"/>
        <w:bidi w:val="0"/>
        <w:adjustRightInd w:val="0"/>
        <w:snapToGrid w:val="0"/>
        <w:ind w:firstLine="480" w:firstLineChars="20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.1采购人、采购代理机构及供应商的一切采购活动均适用《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政府采购法实施条例》、</w:t>
      </w:r>
      <w:r>
        <w:rPr>
          <w:rFonts w:hint="eastAsia" w:ascii="宋体" w:hAnsi="宋体" w:eastAsia="宋体" w:cs="宋体"/>
          <w:i w:val="0"/>
          <w:iCs w:val="0"/>
          <w:color w:val="auto"/>
          <w:sz w:val="24"/>
          <w:szCs w:val="24"/>
          <w:highlight w:val="none"/>
        </w:rPr>
        <w:t>《政府采购竞争性磋商采购方式管理暂行办法》（财库〔2014〕214号）</w:t>
      </w:r>
      <w:r>
        <w:rPr>
          <w:rFonts w:hint="eastAsia" w:ascii="宋体" w:hAnsi="宋体" w:eastAsia="宋体" w:cs="宋体"/>
          <w:i w:val="0"/>
          <w:iCs w:val="0"/>
          <w:snapToGrid w:val="0"/>
          <w:color w:val="auto"/>
          <w:sz w:val="24"/>
          <w:szCs w:val="24"/>
          <w:highlight w:val="none"/>
          <w:lang w:val="zh-CN"/>
        </w:rPr>
        <w:t>及相关法律法规。</w:t>
      </w:r>
    </w:p>
    <w:p w14:paraId="7EF83039">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lang w:val="zh-CN"/>
        </w:rPr>
      </w:pPr>
      <w:r>
        <w:rPr>
          <w:rFonts w:hint="eastAsia" w:ascii="宋体" w:hAnsi="宋体" w:eastAsia="宋体" w:cs="宋体"/>
          <w:i w:val="0"/>
          <w:iCs w:val="0"/>
          <w:snapToGrid w:val="0"/>
          <w:color w:val="auto"/>
          <w:sz w:val="24"/>
          <w:szCs w:val="24"/>
          <w:highlight w:val="none"/>
          <w:lang w:val="zh-CN"/>
        </w:rPr>
        <w:t>4</w:t>
      </w:r>
      <w:r>
        <w:rPr>
          <w:rFonts w:hint="eastAsia" w:ascii="宋体" w:hAnsi="宋体" w:eastAsia="宋体" w:cs="宋体"/>
          <w:i w:val="0"/>
          <w:iCs w:val="0"/>
          <w:snapToGrid w:val="0"/>
          <w:color w:val="auto"/>
          <w:sz w:val="24"/>
          <w:szCs w:val="24"/>
          <w:highlight w:val="none"/>
          <w:lang w:val="en-US" w:eastAsia="zh-CN"/>
        </w:rPr>
        <w:t>9</w:t>
      </w:r>
      <w:r>
        <w:rPr>
          <w:rFonts w:hint="eastAsia" w:ascii="宋体" w:hAnsi="宋体" w:eastAsia="宋体" w:cs="宋体"/>
          <w:i w:val="0"/>
          <w:iCs w:val="0"/>
          <w:snapToGrid w:val="0"/>
          <w:color w:val="auto"/>
          <w:sz w:val="24"/>
          <w:szCs w:val="24"/>
          <w:highlight w:val="none"/>
          <w:lang w:val="zh-CN"/>
        </w:rPr>
        <w:t>.2政府采购合同的履行、违约责任和解决争议的方法等适用《</w:t>
      </w:r>
      <w:r>
        <w:rPr>
          <w:rFonts w:hint="eastAsia" w:ascii="宋体" w:hAnsi="宋体" w:eastAsia="宋体" w:cs="宋体"/>
          <w:i w:val="0"/>
          <w:iCs w:val="0"/>
          <w:snapToGrid w:val="0"/>
          <w:color w:val="auto"/>
          <w:sz w:val="24"/>
          <w:szCs w:val="24"/>
          <w:highlight w:val="none"/>
        </w:rPr>
        <w:t>中华人民共和国</w:t>
      </w:r>
      <w:r>
        <w:rPr>
          <w:rFonts w:hint="eastAsia" w:ascii="宋体" w:hAnsi="宋体" w:eastAsia="宋体" w:cs="宋体"/>
          <w:i w:val="0"/>
          <w:iCs w:val="0"/>
          <w:snapToGrid w:val="0"/>
          <w:color w:val="auto"/>
          <w:sz w:val="24"/>
          <w:szCs w:val="24"/>
          <w:highlight w:val="none"/>
          <w:lang w:val="zh-CN"/>
        </w:rPr>
        <w:t>民法典》。</w:t>
      </w:r>
    </w:p>
    <w:p w14:paraId="5A914310">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04" w:name="_Toc161600349"/>
      <w:bookmarkStart w:id="405" w:name="_Toc155185887"/>
      <w:r>
        <w:rPr>
          <w:rFonts w:hint="eastAsia" w:ascii="宋体" w:hAnsi="宋体" w:eastAsia="宋体" w:cs="宋体"/>
          <w:b/>
          <w:bCs/>
          <w:i w:val="0"/>
          <w:iCs w:val="0"/>
          <w:color w:val="auto"/>
          <w:kern w:val="2"/>
          <w:sz w:val="24"/>
          <w:szCs w:val="24"/>
          <w:highlight w:val="none"/>
          <w:lang w:val="en-US" w:eastAsia="zh-CN" w:bidi="ar-SA"/>
        </w:rPr>
        <w:t>50.解释权</w:t>
      </w:r>
      <w:bookmarkEnd w:id="404"/>
      <w:bookmarkEnd w:id="405"/>
    </w:p>
    <w:p w14:paraId="02BEF40F">
      <w:pPr>
        <w:pStyle w:val="36"/>
        <w:keepNext w:val="0"/>
        <w:keepLines w:val="0"/>
        <w:pageBreakBefore w:val="0"/>
        <w:widowControl w:val="0"/>
        <w:kinsoku/>
        <w:overflowPunct/>
        <w:topLinePunct w:val="0"/>
        <w:bidi w:val="0"/>
        <w:ind w:firstLine="480"/>
        <w:jc w:val="both"/>
        <w:textAlignment w:val="auto"/>
        <w:rPr>
          <w:rFonts w:hint="eastAsia" w:ascii="宋体" w:hAnsi="宋体" w:eastAsia="宋体" w:cs="宋体"/>
          <w:i w:val="0"/>
          <w:iCs w:val="0"/>
          <w:snapToGrid w:val="0"/>
          <w:color w:val="auto"/>
          <w:sz w:val="24"/>
          <w:szCs w:val="24"/>
          <w:highlight w:val="none"/>
        </w:rPr>
      </w:pPr>
      <w:r>
        <w:rPr>
          <w:rFonts w:hint="eastAsia" w:ascii="宋体" w:hAnsi="宋体" w:eastAsia="宋体" w:cs="宋体"/>
          <w:i w:val="0"/>
          <w:iCs w:val="0"/>
          <w:snapToGrid w:val="0"/>
          <w:color w:val="auto"/>
          <w:sz w:val="24"/>
          <w:szCs w:val="24"/>
          <w:highlight w:val="none"/>
          <w:lang w:val="en-US" w:eastAsia="zh-CN"/>
        </w:rPr>
        <w:t>50</w:t>
      </w:r>
      <w:r>
        <w:rPr>
          <w:rFonts w:hint="eastAsia" w:ascii="宋体" w:hAnsi="宋体" w:eastAsia="宋体" w:cs="宋体"/>
          <w:i w:val="0"/>
          <w:iCs w:val="0"/>
          <w:snapToGrid w:val="0"/>
          <w:color w:val="auto"/>
          <w:sz w:val="24"/>
          <w:szCs w:val="24"/>
          <w:highlight w:val="none"/>
        </w:rPr>
        <w:t>.1本竞争性磋商文件最终解释权归采购人或采购代理机构所有。</w:t>
      </w:r>
    </w:p>
    <w:p w14:paraId="6A67B13D">
      <w:pPr>
        <w:pStyle w:val="36"/>
        <w:ind w:firstLine="480"/>
        <w:jc w:val="both"/>
        <w:rPr>
          <w:rFonts w:hint="eastAsia" w:ascii="宋体" w:hAnsi="宋体" w:eastAsia="宋体" w:cs="宋体"/>
          <w:i w:val="0"/>
          <w:iCs w:val="0"/>
          <w:color w:val="auto"/>
          <w:sz w:val="24"/>
          <w:szCs w:val="24"/>
          <w:highlight w:val="none"/>
        </w:rPr>
      </w:pPr>
    </w:p>
    <w:p w14:paraId="216F1C6D">
      <w:pPr>
        <w:pStyle w:val="36"/>
        <w:ind w:firstLine="480"/>
        <w:jc w:val="both"/>
        <w:rPr>
          <w:i w:val="0"/>
          <w:iCs w:val="0"/>
          <w:color w:val="auto"/>
          <w:highlight w:val="none"/>
        </w:rPr>
      </w:pPr>
    </w:p>
    <w:p w14:paraId="10B57B4E">
      <w:pPr>
        <w:pStyle w:val="36"/>
        <w:ind w:firstLine="480"/>
        <w:jc w:val="both"/>
        <w:rPr>
          <w:i w:val="0"/>
          <w:iCs w:val="0"/>
          <w:color w:val="auto"/>
          <w:highlight w:val="none"/>
        </w:rPr>
        <w:sectPr>
          <w:pgSz w:w="11906" w:h="16838"/>
          <w:pgMar w:top="1440" w:right="1800" w:bottom="1440" w:left="1800" w:header="851" w:footer="652" w:gutter="0"/>
          <w:pgNumType w:fmt="numberInDash"/>
          <w:cols w:space="0" w:num="1"/>
          <w:rtlGutter w:val="0"/>
          <w:docGrid w:type="lines" w:linePitch="312" w:charSpace="0"/>
        </w:sectPr>
      </w:pPr>
    </w:p>
    <w:p w14:paraId="39B2275E">
      <w:pPr>
        <w:pStyle w:val="5"/>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en-US" w:eastAsia="zh-CN" w:bidi="ar-SA"/>
        </w:rPr>
      </w:pPr>
      <w:bookmarkStart w:id="406" w:name="_Toc15068"/>
      <w:bookmarkStart w:id="407" w:name="_Toc163493624"/>
      <w:r>
        <w:rPr>
          <w:rFonts w:hint="eastAsia" w:ascii="宋体" w:hAnsi="宋体" w:eastAsia="宋体" w:cs="宋体"/>
          <w:b/>
          <w:bCs/>
          <w:i w:val="0"/>
          <w:iCs w:val="0"/>
          <w:color w:val="auto"/>
          <w:kern w:val="44"/>
          <w:sz w:val="36"/>
          <w:szCs w:val="36"/>
          <w:highlight w:val="none"/>
          <w:lang w:val="en-US" w:eastAsia="zh-CN" w:bidi="ar-SA"/>
        </w:rPr>
        <w:t>第三章 项目采购需求</w:t>
      </w:r>
      <w:bookmarkEnd w:id="406"/>
      <w:bookmarkEnd w:id="407"/>
    </w:p>
    <w:p w14:paraId="1AEF2814">
      <w:pPr>
        <w:keepNext w:val="0"/>
        <w:keepLines w:val="0"/>
        <w:pageBreakBefore w:val="0"/>
        <w:widowControl w:val="0"/>
        <w:numPr>
          <w:ilvl w:val="0"/>
          <w:numId w:val="0"/>
        </w:numPr>
        <w:kinsoku/>
        <w:wordWrap/>
        <w:overflowPunct/>
        <w:topLinePunct w:val="0"/>
        <w:autoSpaceDE/>
        <w:autoSpaceDN/>
        <w:bidi w:val="0"/>
        <w:adjustRightInd/>
        <w:snapToGrid/>
        <w:spacing w:line="440" w:lineRule="exact"/>
        <w:jc w:val="both"/>
        <w:textAlignment w:val="auto"/>
        <w:rPr>
          <w:rFonts w:hint="eastAsia" w:ascii="宋体" w:hAnsi="宋体" w:eastAsia="宋体" w:cs="宋体"/>
          <w:b/>
          <w:bCs/>
          <w:color w:val="auto"/>
          <w:sz w:val="24"/>
          <w:szCs w:val="24"/>
          <w:lang w:val="en-US" w:eastAsia="zh-CN"/>
        </w:rPr>
      </w:pPr>
      <w:bookmarkStart w:id="408" w:name="_Toc1935"/>
      <w:bookmarkStart w:id="409" w:name="_Toc163493631"/>
      <w:r>
        <w:rPr>
          <w:rFonts w:hint="eastAsia" w:ascii="宋体" w:hAnsi="宋体" w:eastAsia="宋体" w:cs="宋体"/>
          <w:b/>
          <w:bCs/>
          <w:color w:val="auto"/>
          <w:sz w:val="24"/>
          <w:szCs w:val="24"/>
          <w:lang w:val="en-US" w:eastAsia="zh-CN"/>
        </w:rPr>
        <w:t>一、项目依据</w:t>
      </w:r>
    </w:p>
    <w:p w14:paraId="0CF10D19">
      <w:pPr>
        <w:keepNext w:val="0"/>
        <w:keepLines w:val="0"/>
        <w:pageBreakBefore w:val="0"/>
        <w:widowControl w:val="0"/>
        <w:kinsoku/>
        <w:wordWrap/>
        <w:overflowPunct/>
        <w:topLinePunct w:val="0"/>
        <w:autoSpaceDE/>
        <w:autoSpaceDN/>
        <w:bidi w:val="0"/>
        <w:adjustRightInd/>
        <w:snapToGrid/>
        <w:spacing w:line="440" w:lineRule="exact"/>
        <w:ind w:leftChars="0"/>
        <w:jc w:val="both"/>
        <w:textAlignment w:val="auto"/>
        <w:rPr>
          <w:rFonts w:hint="eastAsia" w:ascii="宋体" w:hAnsi="宋体" w:eastAsia="宋体" w:cs="宋体"/>
          <w:b w:val="0"/>
          <w:bCs w:val="0"/>
          <w:color w:val="auto"/>
          <w:sz w:val="24"/>
          <w:szCs w:val="24"/>
          <w:lang w:val="en-US" w:eastAsia="zh-CN"/>
        </w:rPr>
      </w:pPr>
      <w:r>
        <w:rPr>
          <w:rFonts w:hint="eastAsia" w:ascii="宋体" w:hAnsi="宋体" w:eastAsia="宋体" w:cs="宋体"/>
          <w:color w:val="auto"/>
          <w:sz w:val="24"/>
          <w:szCs w:val="24"/>
          <w:lang w:val="en-US" w:eastAsia="zh-CN"/>
        </w:rPr>
        <w:t xml:space="preserve">    按照</w:t>
      </w:r>
      <w:r>
        <w:rPr>
          <w:rFonts w:hint="eastAsia" w:ascii="宋体" w:hAnsi="宋体" w:eastAsia="宋体" w:cs="宋体"/>
          <w:b w:val="0"/>
          <w:bCs w:val="0"/>
          <w:color w:val="auto"/>
          <w:sz w:val="24"/>
          <w:szCs w:val="24"/>
          <w:lang w:val="en-US" w:eastAsia="zh-CN"/>
        </w:rPr>
        <w:t>《关于进一步健全就业公共服务体系的实施意见》和</w:t>
      </w:r>
      <w:r>
        <w:rPr>
          <w:rFonts w:hint="eastAsia" w:ascii="宋体" w:hAnsi="宋体" w:eastAsia="宋体" w:cs="宋体"/>
          <w:sz w:val="24"/>
          <w:szCs w:val="24"/>
          <w:highlight w:val="none"/>
          <w:lang w:val="en-US" w:eastAsia="zh-CN"/>
        </w:rPr>
        <w:t>《自治区全面提升就业公共服务能力三年行动方案（2025—2027年）》，</w:t>
      </w:r>
      <w:r>
        <w:rPr>
          <w:rFonts w:hint="eastAsia" w:ascii="宋体" w:hAnsi="宋体" w:eastAsia="宋体" w:cs="宋体"/>
          <w:color w:val="auto"/>
          <w:sz w:val="24"/>
          <w:szCs w:val="24"/>
          <w:lang w:val="en-US" w:eastAsia="zh-CN"/>
        </w:rPr>
        <w:t>落实</w:t>
      </w:r>
      <w:r>
        <w:rPr>
          <w:rFonts w:hint="eastAsia" w:ascii="宋体" w:hAnsi="宋体" w:eastAsia="宋体" w:cs="宋体"/>
          <w:sz w:val="24"/>
          <w:szCs w:val="24"/>
          <w:highlight w:val="none"/>
          <w:lang w:val="en-US" w:eastAsia="zh-CN"/>
        </w:rPr>
        <w:t>促进就业服务协同化、示范化发展的要求，</w:t>
      </w:r>
      <w:r>
        <w:rPr>
          <w:rFonts w:hint="eastAsia" w:ascii="宋体" w:hAnsi="宋体" w:eastAsia="宋体" w:cs="宋体"/>
          <w:b w:val="0"/>
          <w:bCs w:val="0"/>
          <w:color w:val="auto"/>
          <w:sz w:val="24"/>
          <w:szCs w:val="24"/>
          <w:lang w:val="en-US" w:eastAsia="zh-CN"/>
        </w:rPr>
        <w:t>为日常招聘会提升示范质效。</w:t>
      </w:r>
    </w:p>
    <w:p w14:paraId="55652AF7">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二、项目内容</w:t>
      </w:r>
    </w:p>
    <w:p w14:paraId="5712479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val="0"/>
          <w:bCs w:val="0"/>
          <w:color w:val="auto"/>
          <w:sz w:val="24"/>
          <w:szCs w:val="24"/>
          <w:lang w:val="en-US" w:eastAsia="zh-CN"/>
        </w:rPr>
        <w:t xml:space="preserve">    （一）开展</w:t>
      </w:r>
      <w:r>
        <w:rPr>
          <w:rFonts w:hint="eastAsia" w:ascii="宋体" w:hAnsi="宋体" w:eastAsia="宋体" w:cs="宋体"/>
          <w:b/>
          <w:bCs/>
          <w:color w:val="auto"/>
          <w:sz w:val="24"/>
          <w:szCs w:val="24"/>
          <w:lang w:val="en-US" w:eastAsia="zh-CN"/>
        </w:rPr>
        <w:t>2个系列12场示范招聘活动。</w:t>
      </w:r>
    </w:p>
    <w:p w14:paraId="7E6A57E0">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1.中国新疆人才网示范推广活动。活动地点拟定为北疆的昌吉市、克拉玛依市、博乐市、</w:t>
      </w:r>
      <w:r>
        <w:rPr>
          <w:rFonts w:hint="eastAsia" w:cs="宋体"/>
          <w:color w:val="auto"/>
          <w:kern w:val="2"/>
          <w:sz w:val="24"/>
          <w:szCs w:val="24"/>
          <w:lang w:val="en-US" w:eastAsia="zh-CN" w:bidi="ar-SA"/>
        </w:rPr>
        <w:t>塔城</w:t>
      </w:r>
      <w:r>
        <w:rPr>
          <w:rFonts w:hint="eastAsia" w:ascii="宋体" w:hAnsi="宋体" w:eastAsia="宋体" w:cs="宋体"/>
          <w:color w:val="auto"/>
          <w:kern w:val="2"/>
          <w:sz w:val="24"/>
          <w:szCs w:val="24"/>
          <w:lang w:val="en-US" w:eastAsia="zh-CN" w:bidi="ar-SA"/>
        </w:rPr>
        <w:t>市，南疆的库尔勒市、阿克苏市、喀什市、阿图什市。活动开展8场，以中国新疆人才网为招聘会服务平台，向各地示范推广中国新疆人才网的使用。同时，按企业所在地域交叉供给岗位，引导人力资源全区流动。服务内容包括招聘单位的收集组织（每场不少于40家，提供岗位不少于200个）、宣传推广、现场布展和服务、安全保卫、就业指导、跟踪回访等。共8场。</w:t>
      </w:r>
    </w:p>
    <w:p w14:paraId="1478497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2.自治区高校示范推广系列招聘会。活动地点分别设置在自治区内的新疆大学、新疆农业大学、喀什大学和新疆和田学院。活动共开展4场，服务内容包括招聘单位的收集组织、现场布展和服务、产品租赁、安全保卫、就业指导、跟踪回访等。共4场。</w:t>
      </w:r>
    </w:p>
    <w:p w14:paraId="7C3FF5B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jc w:val="both"/>
        <w:textAlignment w:val="auto"/>
        <w:rPr>
          <w:rFonts w:hint="eastAsia" w:ascii="宋体" w:hAnsi="宋体" w:eastAsia="宋体" w:cs="宋体"/>
          <w:b/>
          <w:bCs/>
          <w:color w:val="auto"/>
          <w:sz w:val="24"/>
          <w:szCs w:val="24"/>
          <w:lang w:val="en-US" w:eastAsia="zh-CN"/>
        </w:rPr>
      </w:pPr>
      <w:r>
        <w:rPr>
          <w:rFonts w:hint="eastAsia" w:ascii="宋体" w:hAnsi="宋体" w:eastAsia="宋体" w:cs="宋体"/>
          <w:b/>
          <w:bCs/>
          <w:color w:val="auto"/>
          <w:sz w:val="24"/>
          <w:szCs w:val="24"/>
          <w:lang w:val="en-US" w:eastAsia="zh-CN"/>
        </w:rPr>
        <w:t>（二）日常招聘会示范提升。</w:t>
      </w:r>
    </w:p>
    <w:p w14:paraId="21EF382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0" w:firstLineChars="200"/>
        <w:jc w:val="both"/>
        <w:textAlignment w:val="auto"/>
        <w:rPr>
          <w:rFonts w:hint="eastAsia" w:ascii="宋体" w:hAnsi="宋体" w:eastAsia="宋体" w:cs="宋体"/>
          <w:color w:val="auto"/>
          <w:kern w:val="2"/>
          <w:sz w:val="24"/>
          <w:szCs w:val="24"/>
          <w:lang w:val="en-US" w:eastAsia="zh-CN" w:bidi="ar-SA"/>
        </w:rPr>
      </w:pPr>
      <w:r>
        <w:rPr>
          <w:rFonts w:hint="eastAsia" w:ascii="宋体" w:hAnsi="宋体" w:eastAsia="宋体" w:cs="宋体"/>
          <w:color w:val="auto"/>
          <w:kern w:val="2"/>
          <w:sz w:val="24"/>
          <w:szCs w:val="24"/>
          <w:lang w:val="en-US" w:eastAsia="zh-CN" w:bidi="ar-SA"/>
        </w:rPr>
        <w:t>1.全年日常招聘会（不少于12场次）就业指导服务。在日常招聘基础上，开展简历诊断等就业指导服务、招聘会效果评估。</w:t>
      </w:r>
    </w:p>
    <w:p w14:paraId="47D6A25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jc w:val="both"/>
        <w:textAlignment w:val="auto"/>
        <w:rPr>
          <w:rFonts w:hint="eastAsia" w:ascii="宋体" w:hAnsi="宋体" w:eastAsia="宋体" w:cs="宋体"/>
          <w:sz w:val="24"/>
          <w:szCs w:val="24"/>
          <w:lang w:val="en-US" w:eastAsia="zh-CN"/>
        </w:rPr>
      </w:pPr>
      <w:r>
        <w:rPr>
          <w:rFonts w:hint="eastAsia" w:ascii="宋体" w:hAnsi="宋体" w:eastAsia="宋体" w:cs="宋体"/>
          <w:color w:val="auto"/>
          <w:kern w:val="2"/>
          <w:sz w:val="24"/>
          <w:szCs w:val="24"/>
          <w:lang w:val="en-US" w:eastAsia="zh-CN" w:bidi="ar-SA"/>
        </w:rPr>
        <w:t>2.全年日常招聘会安保服务。12场。</w:t>
      </w:r>
    </w:p>
    <w:p w14:paraId="1297BFDE">
      <w:pPr>
        <w:pStyle w:val="7"/>
        <w:pageBreakBefore w:val="0"/>
        <w:widowControl w:val="0"/>
        <w:kinsoku/>
        <w:wordWrap/>
        <w:overflowPunct/>
        <w:topLinePunct w:val="0"/>
        <w:bidi w:val="0"/>
        <w:spacing w:before="0" w:after="0" w:line="440" w:lineRule="exact"/>
        <w:textAlignment w:val="auto"/>
        <w:rPr>
          <w:rFonts w:hint="eastAsia" w:ascii="宋体" w:hAnsi="宋体" w:eastAsia="宋体" w:cs="宋体"/>
          <w:sz w:val="24"/>
          <w:szCs w:val="24"/>
          <w:lang w:val="en-US" w:eastAsia="zh-CN"/>
        </w:rPr>
      </w:pPr>
      <w:r>
        <w:rPr>
          <w:rFonts w:hint="eastAsia" w:ascii="宋体" w:hAnsi="宋体" w:eastAsia="宋体" w:cs="宋体"/>
          <w:color w:val="auto"/>
          <w:kern w:val="2"/>
          <w:sz w:val="24"/>
          <w:szCs w:val="24"/>
          <w:lang w:val="en-US" w:eastAsia="zh-CN" w:bidi="ar-SA"/>
        </w:rPr>
        <w:t>三、具体活动方案要求</w:t>
      </w:r>
    </w:p>
    <w:p w14:paraId="7E110938">
      <w:pPr>
        <w:keepNext w:val="0"/>
        <w:keepLines w:val="0"/>
        <w:pageBreakBefore w:val="0"/>
        <w:widowControl w:val="0"/>
        <w:kinsoku/>
        <w:wordWrap/>
        <w:overflowPunct/>
        <w:topLinePunct w:val="0"/>
        <w:autoSpaceDE/>
        <w:autoSpaceDN/>
        <w:bidi w:val="0"/>
        <w:adjustRightInd/>
        <w:snapToGrid/>
        <w:spacing w:line="440" w:lineRule="exact"/>
        <w:ind w:leftChars="0"/>
        <w:jc w:val="both"/>
        <w:textAlignment w:val="auto"/>
        <w:rPr>
          <w:rFonts w:hint="eastAsia" w:ascii="宋体" w:hAnsi="宋体" w:eastAsia="宋体" w:cs="宋体"/>
          <w:color w:val="auto"/>
          <w:sz w:val="24"/>
          <w:szCs w:val="24"/>
          <w:lang w:val="en-US" w:eastAsia="zh-CN"/>
        </w:rPr>
      </w:pPr>
      <w:r>
        <w:rPr>
          <w:rStyle w:val="33"/>
          <w:rFonts w:hint="eastAsia" w:cs="宋体"/>
          <w:b/>
          <w:bCs w:val="0"/>
          <w:i w:val="0"/>
          <w:caps w:val="0"/>
          <w:color w:val="auto"/>
          <w:spacing w:val="0"/>
          <w:sz w:val="24"/>
          <w:szCs w:val="24"/>
          <w:lang w:val="en-US" w:eastAsia="zh-CN"/>
        </w:rPr>
        <w:t>（1）</w:t>
      </w:r>
      <w:r>
        <w:rPr>
          <w:rStyle w:val="33"/>
          <w:rFonts w:hint="eastAsia" w:ascii="宋体" w:hAnsi="宋体" w:eastAsia="宋体" w:cs="宋体"/>
          <w:b/>
          <w:bCs w:val="0"/>
          <w:i w:val="0"/>
          <w:caps w:val="0"/>
          <w:color w:val="auto"/>
          <w:spacing w:val="0"/>
          <w:sz w:val="24"/>
          <w:szCs w:val="24"/>
          <w:lang w:val="en-US" w:eastAsia="zh-CN"/>
        </w:rPr>
        <w:t>中国新疆人才网示范推广活动方案</w:t>
      </w:r>
      <w:r>
        <w:rPr>
          <w:rFonts w:hint="eastAsia" w:ascii="宋体" w:hAnsi="宋体" w:eastAsia="宋体" w:cs="宋体"/>
          <w:color w:val="auto"/>
          <w:sz w:val="24"/>
          <w:szCs w:val="24"/>
          <w:lang w:val="en-US" w:eastAsia="zh-CN"/>
        </w:rPr>
        <w:t xml:space="preserve"> </w:t>
      </w:r>
    </w:p>
    <w:p w14:paraId="617039F7">
      <w:pPr>
        <w:keepNext w:val="0"/>
        <w:keepLines w:val="0"/>
        <w:pageBreakBefore w:val="0"/>
        <w:widowControl w:val="0"/>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color w:val="auto"/>
          <w:sz w:val="24"/>
          <w:szCs w:val="24"/>
          <w:lang w:val="en-US" w:eastAsia="zh-CN"/>
        </w:rPr>
      </w:pPr>
      <w:r>
        <w:rPr>
          <w:rFonts w:hint="eastAsia" w:ascii="宋体" w:hAnsi="宋体" w:eastAsia="宋体" w:cs="宋体"/>
          <w:color w:val="auto"/>
          <w:sz w:val="32"/>
          <w:szCs w:val="32"/>
          <w:lang w:val="en-US" w:eastAsia="zh-CN"/>
        </w:rPr>
        <w:t xml:space="preserve">   </w:t>
      </w:r>
      <w:r>
        <w:rPr>
          <w:rFonts w:hint="eastAsia" w:asciiTheme="minorEastAsia" w:hAnsiTheme="minorEastAsia" w:eastAsiaTheme="minorEastAsia" w:cstheme="minorEastAsia"/>
          <w:color w:val="auto"/>
          <w:sz w:val="24"/>
          <w:szCs w:val="24"/>
          <w:lang w:val="en-US" w:eastAsia="zh-CN"/>
        </w:rPr>
        <w:t xml:space="preserve"> 为进一步以中国新疆人才网为招聘会服务平台，向各地推广示范中国新疆人才网的使用。同时，按企业所在地域交叉供给岗位，引导人力资源全区流动。搭建企业与求职者之间的高效对接平台，推动人力资源合理流动与优化配置，制定中国新疆人才网示范推广活动方案。</w:t>
      </w:r>
    </w:p>
    <w:p w14:paraId="20B3621B">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一、活动目的</w:t>
      </w:r>
    </w:p>
    <w:p w14:paraId="6029773A">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（一）借助中国新疆人才网这一平台，向全疆各地推广其使用，提高平台的知晓度和使用率。</w:t>
      </w:r>
    </w:p>
    <w:p w14:paraId="2BDEE7BD">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（二）促进企业和求职者的有效对接，缓解就业压力，满足企业用人需求。</w:t>
      </w:r>
    </w:p>
    <w:p w14:paraId="02DF45BA">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（三）引导人力资源在全区范围内合理流动，优化人力资源配置。</w:t>
      </w:r>
    </w:p>
    <w:p w14:paraId="3FE68A23">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（四）为求职者提供就业指导和服务，提升其就业能力和职业素养。</w:t>
      </w:r>
    </w:p>
    <w:p w14:paraId="2E7D51FC">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二、活动主题</w:t>
      </w:r>
    </w:p>
    <w:p w14:paraId="059632D2">
      <w:pPr>
        <w:keepNext w:val="0"/>
        <w:keepLines w:val="0"/>
        <w:pageBreakBefore w:val="0"/>
        <w:widowControl w:val="0"/>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新疆人才网 就业好帮手</w:t>
      </w:r>
    </w:p>
    <w:p w14:paraId="64E3A61D">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三、活动时间</w:t>
      </w:r>
    </w:p>
    <w:p w14:paraId="65E9A683">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具体活动时间根据地州实际情况而定，每场活动为期1天。</w:t>
      </w:r>
    </w:p>
    <w:p w14:paraId="5A0EB610">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四、活动地点</w:t>
      </w:r>
    </w:p>
    <w:p w14:paraId="36495AF5">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北疆：</w:t>
      </w:r>
      <w:r>
        <w:rPr>
          <w:rFonts w:hint="eastAsia" w:asciiTheme="minorEastAsia" w:hAnsiTheme="minorEastAsia" w:eastAsiaTheme="minorEastAsia" w:cstheme="minorEastAsia"/>
          <w:color w:val="auto"/>
          <w:kern w:val="2"/>
          <w:sz w:val="24"/>
          <w:szCs w:val="24"/>
          <w:lang w:val="en-US" w:eastAsia="zh-CN" w:bidi="ar-SA"/>
        </w:rPr>
        <w:t>昌吉市、克拉玛依市、博乐市、塔城市</w:t>
      </w:r>
    </w:p>
    <w:p w14:paraId="750692C1">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南疆：</w:t>
      </w:r>
      <w:r>
        <w:rPr>
          <w:rFonts w:hint="eastAsia" w:asciiTheme="minorEastAsia" w:hAnsiTheme="minorEastAsia" w:eastAsiaTheme="minorEastAsia" w:cstheme="minorEastAsia"/>
          <w:color w:val="auto"/>
          <w:kern w:val="2"/>
          <w:sz w:val="24"/>
          <w:szCs w:val="24"/>
          <w:lang w:val="en-US" w:eastAsia="zh-CN" w:bidi="ar-SA"/>
        </w:rPr>
        <w:t>库尔勒市、阿克苏市、喀什市、阿图什市</w:t>
      </w:r>
    </w:p>
    <w:p w14:paraId="6EBFB003">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五、组织单位</w:t>
      </w:r>
    </w:p>
    <w:p w14:paraId="2CD6036E">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主办单位：自治区公共就业服务中心</w:t>
      </w:r>
    </w:p>
    <w:p w14:paraId="63B206FD">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协办单位：活动地公共就业服务中心  </w:t>
      </w:r>
    </w:p>
    <w:p w14:paraId="35610C4E">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六、活动安排</w:t>
      </w:r>
    </w:p>
    <w:p w14:paraId="3A9F994B">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（一）前期准备和培训（活动前1个月）</w:t>
      </w:r>
    </w:p>
    <w:p w14:paraId="07B3D15C">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确定活动场地，与各地相关部门沟通协调，确保场地符合活动要求。</w:t>
      </w:r>
    </w:p>
    <w:p w14:paraId="6184E572">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广泛收集招聘单位信息，邀请企业使用中国新疆人才网参加招聘会，确保每场不少于40家企业，提供岗位不少于200个。  </w:t>
      </w:r>
    </w:p>
    <w:p w14:paraId="46D844C3">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制作活动宣传资料，包括海报、宣传单页、邀请函等，通过线上线下渠道进行宣传推广。</w:t>
      </w:r>
    </w:p>
    <w:p w14:paraId="2D27CFF2">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制定现场布展方案，合理规划展位布局，准备相关设备和物资。</w:t>
      </w:r>
    </w:p>
    <w:p w14:paraId="1E95121D">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与当地公安、消防等有关部门沟通，制定安全保卫方案，确保活动安全有序进行。</w:t>
      </w:r>
    </w:p>
    <w:p w14:paraId="1478F93E">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组织当地（包括县、市）公共就业服务中心工作人员进行培训，讲解中国新疆人才网的操作使用，模拟使用中国新疆人才网开招聘会。</w:t>
      </w:r>
    </w:p>
    <w:p w14:paraId="5C4AC9C7">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（二）活动实施（活动当天）</w:t>
      </w:r>
    </w:p>
    <w:p w14:paraId="38571CED">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招聘会（10:30 -14:00）：指导求职者在中国新疆人才网进行求职登记，协助企业在展位上展示招聘信息，与求职者进行面对面交流和洽谈。设置咨询服务台，为求职者提供就业政策咨询、职业指导、简历诊断等服务。同时，安排工作人员在现场进行巡视，及时解决企业和求职者遇到的问题。</w:t>
      </w:r>
    </w:p>
    <w:p w14:paraId="29FED328">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就业指导讲座（10:30 -11:30）：邀请就业指导专家举办讲座，分享求职技巧、职业规划等方面的知识和经验，帮助求职者提升就业能力。</w:t>
      </w:r>
    </w:p>
    <w:p w14:paraId="2CFBE232">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企业推介会（13:00 -14:00）：选取部分重点企业进行现场推介，介绍企业的发展历程、企业文化、招聘需求等信息，吸引更多求职者关注和应聘。</w:t>
      </w:r>
    </w:p>
    <w:p w14:paraId="438660D9">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（三）后期跟踪（活动结束后1 个月内）</w:t>
      </w:r>
    </w:p>
    <w:p w14:paraId="0AC15020">
      <w:pPr>
        <w:keepNext w:val="0"/>
        <w:keepLines w:val="0"/>
        <w:pageBreakBefore w:val="0"/>
        <w:widowControl w:val="0"/>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对参加活动的企业和求职者进行跟踪回访，了解招聘和求职效果，收集意见和建议，为后续活动的改进提供参考。</w:t>
      </w:r>
    </w:p>
    <w:p w14:paraId="0A17634F">
      <w:pPr>
        <w:keepNext w:val="0"/>
        <w:keepLines w:val="0"/>
        <w:pageBreakBefore w:val="0"/>
        <w:widowControl w:val="0"/>
        <w:kinsoku/>
        <w:wordWrap/>
        <w:overflowPunct/>
        <w:topLinePunct w:val="0"/>
        <w:autoSpaceDE/>
        <w:autoSpaceDN/>
        <w:bidi w:val="0"/>
        <w:adjustRightInd/>
        <w:snapToGrid/>
        <w:spacing w:line="440" w:lineRule="exact"/>
        <w:ind w:leftChars="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 xml:space="preserve">    对活动进行总结评估，分析活动的优点和不足，总结经验教训，为今后类似活动的开展提供借鉴。</w:t>
      </w:r>
    </w:p>
    <w:p w14:paraId="377EC227">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lang w:val="en-US" w:eastAsia="zh-CN"/>
        </w:rPr>
      </w:pPr>
      <w:r>
        <w:rPr>
          <w:rFonts w:hint="eastAsia" w:asciiTheme="minorEastAsia" w:hAnsiTheme="minorEastAsia" w:eastAsiaTheme="minorEastAsia" w:cstheme="minorEastAsia"/>
          <w:color w:val="auto"/>
          <w:kern w:val="0"/>
          <w:sz w:val="24"/>
          <w:szCs w:val="24"/>
          <w:lang w:val="en-US" w:eastAsia="zh-CN"/>
        </w:rPr>
        <w:t>七、活动亮点</w:t>
      </w:r>
    </w:p>
    <w:p w14:paraId="59C411A6">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（一）平台示范推广。以中国新疆人才网为招聘会服务平台，通过活动向各地推广示范平台的使用，提高平台的知名度和影响力，为企业和求职者提供更加便捷高效的招聘求职服务。</w:t>
      </w:r>
    </w:p>
    <w:p w14:paraId="4D1B1E5E">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（二）岗位交叉供给。按企业所在地域交叉供给岗位，打破地域限制，引导人力资源在全区范围内合理流动，优化人力资源配置，促进区域间的经济合作和发展。</w:t>
      </w:r>
    </w:p>
    <w:p w14:paraId="7C28B693">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三）一站式服务。通过中国新疆人才网提供招聘单位和求职者的收集组织、宣传推广、现场布展及服务、安全保卫、就业指导、跟踪回访等一站式服务，为企业和求职者提供全方位的支持和保障，提高活动的质量和效果。</w:t>
      </w:r>
    </w:p>
    <w:p w14:paraId="7FEC7DAC">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sz w:val="24"/>
          <w:szCs w:val="24"/>
          <w:lang w:val="en-US" w:eastAsia="zh-CN"/>
        </w:rPr>
      </w:pPr>
      <w:r>
        <w:rPr>
          <w:rFonts w:hint="eastAsia" w:asciiTheme="minorEastAsia" w:hAnsiTheme="minorEastAsia" w:eastAsiaTheme="minorEastAsia" w:cstheme="minorEastAsia"/>
          <w:color w:val="auto"/>
          <w:sz w:val="24"/>
          <w:szCs w:val="24"/>
          <w:lang w:val="en-US" w:eastAsia="zh-CN"/>
        </w:rPr>
        <w:t>（四）专家指导。邀请就业指导专家举办讲座，为求职者提供专业的求职技巧和职业规划指导，帮助求职者提升就业能力和职业素养，增强其就业竞争力。</w:t>
      </w:r>
    </w:p>
    <w:p w14:paraId="5BB70498">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（五）人才测评。通过大数据对比分析等手段，挖掘求职者潜能，同时分析并提出建议，帮助求职者梳理职业方向，为企业寻找合适的人才。</w:t>
      </w:r>
    </w:p>
    <w:p w14:paraId="126B92B7">
      <w:pPr>
        <w:keepNext w:val="0"/>
        <w:keepLines w:val="0"/>
        <w:pageBreakBefore w:val="0"/>
        <w:widowControl w:val="0"/>
        <w:kinsoku/>
        <w:wordWrap/>
        <w:overflowPunct/>
        <w:topLinePunct w:val="0"/>
        <w:autoSpaceDE/>
        <w:autoSpaceDN/>
        <w:bidi w:val="0"/>
        <w:adjustRightInd/>
        <w:snapToGrid/>
        <w:spacing w:line="440" w:lineRule="exact"/>
        <w:ind w:leftChars="0" w:firstLine="64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八、活动预算（总计74万元）</w:t>
      </w:r>
    </w:p>
    <w:tbl>
      <w:tblPr>
        <w:tblStyle w:val="31"/>
        <w:tblW w:w="8136"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952"/>
        <w:gridCol w:w="1884"/>
        <w:gridCol w:w="5300"/>
      </w:tblGrid>
      <w:tr w14:paraId="53970C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96290BE">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序号</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EE5ED3D">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类目</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02B3A3C4">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具体内容</w:t>
            </w:r>
          </w:p>
        </w:tc>
      </w:tr>
      <w:tr w14:paraId="4096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79E4D43">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1</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0A0F87C">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场地布置</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275A337">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活动现场主视觉桁架、展板、道旗设计制作、运输、安装等</w:t>
            </w:r>
          </w:p>
        </w:tc>
      </w:tr>
      <w:tr w14:paraId="6588494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ED88E7D">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2</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16107F25">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lang w:val="en-US" w:eastAsia="zh-CN"/>
              </w:rPr>
            </w:pPr>
            <w:r>
              <w:rPr>
                <w:rFonts w:hint="eastAsia" w:asciiTheme="minorEastAsia" w:hAnsiTheme="minorEastAsia" w:eastAsiaTheme="minorEastAsia" w:cstheme="minorEastAsia"/>
                <w:b w:val="0"/>
                <w:color w:val="auto"/>
                <w:sz w:val="24"/>
                <w:szCs w:val="24"/>
                <w:highlight w:val="none"/>
                <w:lang w:val="en-US" w:eastAsia="zh-CN"/>
              </w:rPr>
              <w:t>宣传物料</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311055B">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lang w:eastAsia="zh-CN"/>
              </w:rPr>
            </w:pPr>
            <w:r>
              <w:rPr>
                <w:rFonts w:hint="eastAsia" w:asciiTheme="minorEastAsia" w:hAnsiTheme="minorEastAsia" w:eastAsiaTheme="minorEastAsia" w:cstheme="minorEastAsia"/>
                <w:b w:val="0"/>
                <w:color w:val="auto"/>
                <w:sz w:val="24"/>
                <w:szCs w:val="24"/>
                <w:highlight w:val="none"/>
                <w:lang w:eastAsia="zh-CN"/>
              </w:rPr>
              <w:t>网络宣传、</w:t>
            </w:r>
            <w:r>
              <w:rPr>
                <w:rFonts w:hint="eastAsia" w:asciiTheme="minorEastAsia" w:hAnsiTheme="minorEastAsia" w:eastAsiaTheme="minorEastAsia" w:cstheme="minorEastAsia"/>
                <w:b w:val="0"/>
                <w:color w:val="auto"/>
                <w:sz w:val="24"/>
                <w:szCs w:val="24"/>
                <w:highlight w:val="none"/>
                <w:lang w:val="en-US" w:eastAsia="zh-CN"/>
              </w:rPr>
              <w:t>宣传物料制作、直播宣传</w:t>
            </w:r>
            <w:r>
              <w:rPr>
                <w:rFonts w:hint="eastAsia" w:asciiTheme="minorEastAsia" w:hAnsiTheme="minorEastAsia" w:eastAsiaTheme="minorEastAsia" w:cstheme="minorEastAsia"/>
                <w:b w:val="0"/>
                <w:color w:val="auto"/>
                <w:sz w:val="24"/>
                <w:szCs w:val="24"/>
                <w:highlight w:val="none"/>
                <w:lang w:eastAsia="zh-CN"/>
              </w:rPr>
              <w:t>等</w:t>
            </w:r>
          </w:p>
        </w:tc>
      </w:tr>
      <w:tr w14:paraId="4C53D8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1730E5F">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3</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925ADAC">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就业指导</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278E93ED">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专家邀约、现场授课、就业指导手册设计制作等</w:t>
            </w:r>
          </w:p>
        </w:tc>
      </w:tr>
      <w:tr w14:paraId="6B4E0A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FE33B2E">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4</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DEDEDF9">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设备搬运及</w:t>
            </w:r>
          </w:p>
          <w:p w14:paraId="22A3ADA8">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安装调试</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52768196">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sz w:val="24"/>
                <w:szCs w:val="24"/>
                <w:highlight w:val="none"/>
                <w:lang w:val="en-US" w:eastAsia="zh-CN"/>
              </w:rPr>
              <w:t>智能化招聘展位及一体化查询机的搬运及调试等费用</w:t>
            </w:r>
          </w:p>
        </w:tc>
      </w:tr>
      <w:tr w14:paraId="34777F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9"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12FAFFD">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5</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48036A2F">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人才测评</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F92A29E">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kern w:val="2"/>
                <w:sz w:val="24"/>
                <w:szCs w:val="24"/>
                <w:highlight w:val="none"/>
                <w:lang w:val="en-US" w:eastAsia="zh-CN" w:bidi="ar-SA"/>
              </w:rPr>
              <w:t>人才测评设备、报告解读等</w:t>
            </w:r>
          </w:p>
        </w:tc>
      </w:tr>
      <w:tr w14:paraId="5665B76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0" w:hRule="atLeast"/>
          <w:jc w:val="center"/>
        </w:trPr>
        <w:tc>
          <w:tcPr>
            <w:tcW w:w="952"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66607FC1">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sz w:val="24"/>
                <w:szCs w:val="24"/>
                <w:highlight w:val="none"/>
                <w:vertAlign w:val="baseline"/>
                <w:lang w:val="en-US" w:eastAsia="zh-CN"/>
              </w:rPr>
            </w:pPr>
            <w:r>
              <w:rPr>
                <w:rFonts w:hint="eastAsia" w:asciiTheme="minorEastAsia" w:hAnsiTheme="minorEastAsia" w:eastAsiaTheme="minorEastAsia" w:cstheme="minorEastAsia"/>
                <w:b w:val="0"/>
                <w:color w:val="auto"/>
                <w:sz w:val="24"/>
                <w:szCs w:val="24"/>
                <w:highlight w:val="none"/>
                <w:vertAlign w:val="baseline"/>
                <w:lang w:val="en-US" w:eastAsia="zh-CN"/>
              </w:rPr>
              <w:t>6</w:t>
            </w:r>
          </w:p>
        </w:tc>
        <w:tc>
          <w:tcPr>
            <w:tcW w:w="1884"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7A6C23F8">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vertAlign w:val="baseline"/>
                <w:lang w:val="en-US" w:eastAsia="zh-CN" w:bidi="ar-SA"/>
              </w:rPr>
            </w:pPr>
            <w:r>
              <w:rPr>
                <w:rFonts w:hint="eastAsia" w:asciiTheme="minorEastAsia" w:hAnsiTheme="minorEastAsia" w:eastAsiaTheme="minorEastAsia" w:cstheme="minorEastAsia"/>
                <w:b w:val="0"/>
                <w:color w:val="auto"/>
                <w:kern w:val="2"/>
                <w:sz w:val="24"/>
                <w:szCs w:val="24"/>
                <w:highlight w:val="none"/>
                <w:vertAlign w:val="baseline"/>
                <w:lang w:val="en-US" w:eastAsia="zh-CN" w:bidi="ar-SA"/>
              </w:rPr>
              <w:t>其他杂费</w:t>
            </w:r>
          </w:p>
        </w:tc>
        <w:tc>
          <w:tcPr>
            <w:tcW w:w="5300"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14:paraId="307C28A6">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Theme="minorEastAsia" w:hAnsiTheme="minorEastAsia" w:eastAsiaTheme="minorEastAsia" w:cstheme="minorEastAsia"/>
                <w:b w:val="0"/>
                <w:color w:val="auto"/>
                <w:kern w:val="2"/>
                <w:sz w:val="24"/>
                <w:szCs w:val="24"/>
                <w:highlight w:val="none"/>
                <w:lang w:val="en-US" w:eastAsia="zh-CN" w:bidi="ar-SA"/>
              </w:rPr>
            </w:pPr>
            <w:r>
              <w:rPr>
                <w:rFonts w:hint="eastAsia" w:asciiTheme="minorEastAsia" w:hAnsiTheme="minorEastAsia" w:eastAsiaTheme="minorEastAsia" w:cstheme="minorEastAsia"/>
                <w:b w:val="0"/>
                <w:color w:val="auto"/>
                <w:sz w:val="24"/>
                <w:szCs w:val="24"/>
                <w:highlight w:val="none"/>
                <w:lang w:val="en-US" w:eastAsia="zh-CN"/>
              </w:rPr>
              <w:t>税费及</w:t>
            </w:r>
            <w:r>
              <w:rPr>
                <w:rFonts w:hint="eastAsia" w:asciiTheme="minorEastAsia" w:hAnsiTheme="minorEastAsia" w:eastAsiaTheme="minorEastAsia" w:cstheme="minorEastAsia"/>
                <w:b w:val="0"/>
                <w:color w:val="auto"/>
                <w:sz w:val="24"/>
                <w:szCs w:val="24"/>
                <w:highlight w:val="none"/>
                <w:lang w:eastAsia="zh-CN"/>
              </w:rPr>
              <w:t>不可预见的费用支出</w:t>
            </w:r>
          </w:p>
        </w:tc>
      </w:tr>
    </w:tbl>
    <w:p w14:paraId="48E957BA">
      <w:pPr>
        <w:pageBreakBefore w:val="0"/>
        <w:widowControl w:val="0"/>
        <w:kinsoku/>
        <w:wordWrap/>
        <w:overflowPunct/>
        <w:topLinePunct w:val="0"/>
        <w:bidi w:val="0"/>
        <w:spacing w:line="440" w:lineRule="exact"/>
        <w:ind w:leftChars="0"/>
        <w:textAlignment w:val="auto"/>
        <w:rPr>
          <w:rFonts w:hint="eastAsia" w:asciiTheme="minorEastAsia" w:hAnsiTheme="minorEastAsia" w:eastAsiaTheme="minorEastAsia" w:cstheme="minorEastAsia"/>
          <w:color w:val="auto"/>
          <w:kern w:val="0"/>
          <w:sz w:val="24"/>
          <w:szCs w:val="24"/>
          <w:highlight w:val="none"/>
          <w:lang w:val="en-US" w:eastAsia="zh-CN"/>
        </w:rPr>
      </w:pPr>
      <w:r>
        <w:rPr>
          <w:rFonts w:hint="eastAsia" w:asciiTheme="minorEastAsia" w:hAnsiTheme="minorEastAsia" w:eastAsiaTheme="minorEastAsia" w:cstheme="minorEastAsia"/>
          <w:color w:val="auto"/>
          <w:kern w:val="0"/>
          <w:sz w:val="24"/>
          <w:szCs w:val="24"/>
          <w:highlight w:val="none"/>
          <w:lang w:val="en-US" w:eastAsia="zh-CN"/>
        </w:rPr>
        <w:t>九、注意事项</w:t>
      </w:r>
    </w:p>
    <w:p w14:paraId="7D09D468">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（一）活动期间要加强对现场的管理和维护，确保活动秩序良好。</w:t>
      </w:r>
    </w:p>
    <w:p w14:paraId="5ACD9DE6">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（二）做好安全保卫工作，制定应急预案，防范突发事件的发生。</w:t>
      </w:r>
    </w:p>
    <w:p w14:paraId="31B4801B">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（三）加强与企业和求职者的沟通和交流，及时解决他们遇到的问题和困难。</w:t>
      </w:r>
    </w:p>
    <w:p w14:paraId="407CEE73">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lang w:val="en-US" w:eastAsia="zh-CN"/>
        </w:rPr>
        <w:t>（四）活动结束后，要及时对活动进行总结评估，总结经验教训，为今后类似活动的开展提供参考。</w:t>
      </w:r>
    </w:p>
    <w:p w14:paraId="0EE4E276">
      <w:pPr>
        <w:keepNext w:val="0"/>
        <w:keepLines w:val="0"/>
        <w:pageBreakBefore w:val="0"/>
        <w:widowControl w:val="0"/>
        <w:kinsoku/>
        <w:wordWrap/>
        <w:overflowPunct/>
        <w:topLinePunct w:val="0"/>
        <w:autoSpaceDE/>
        <w:autoSpaceDN/>
        <w:bidi w:val="0"/>
        <w:adjustRightInd/>
        <w:snapToGrid/>
        <w:spacing w:line="440" w:lineRule="exact"/>
        <w:textAlignment w:val="auto"/>
        <w:rPr>
          <w:rFonts w:hint="eastAsia"/>
          <w:sz w:val="22"/>
          <w:szCs w:val="21"/>
          <w:highlight w:val="none"/>
          <w:lang w:val="en-US" w:eastAsia="zh-CN"/>
        </w:rPr>
      </w:pPr>
      <w:r>
        <w:rPr>
          <w:rStyle w:val="33"/>
          <w:rFonts w:hint="eastAsia" w:cs="宋体"/>
          <w:b/>
          <w:bCs w:val="0"/>
          <w:i w:val="0"/>
          <w:caps w:val="0"/>
          <w:color w:val="auto"/>
          <w:spacing w:val="0"/>
          <w:sz w:val="24"/>
          <w:szCs w:val="24"/>
          <w:highlight w:val="none"/>
          <w:lang w:val="en-US" w:eastAsia="zh-CN"/>
        </w:rPr>
        <w:t>（2）</w:t>
      </w:r>
      <w:r>
        <w:rPr>
          <w:rStyle w:val="33"/>
          <w:rFonts w:hint="eastAsia" w:ascii="宋体" w:hAnsi="宋体" w:eastAsia="宋体" w:cs="宋体"/>
          <w:b/>
          <w:bCs w:val="0"/>
          <w:i w:val="0"/>
          <w:caps w:val="0"/>
          <w:color w:val="auto"/>
          <w:spacing w:val="0"/>
          <w:sz w:val="24"/>
          <w:szCs w:val="24"/>
          <w:highlight w:val="none"/>
          <w:lang w:val="en-US" w:eastAsia="zh-CN"/>
        </w:rPr>
        <w:t>自治区高校示范推广系列招聘会</w:t>
      </w:r>
    </w:p>
    <w:p w14:paraId="2C0B3B61">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高校作为人才培养的主阵地，是连接教育与就业市场的关键枢纽，既为社会输送具备专业素养的人才，又能精准对接企业用人需求。自治区公共就业服务中心2026年拟在新疆大学、新疆农业大学、喀什大学、新疆和田学院四所区内高校开展高校示范招聘活动，充分发挥高校在人才供给、专业匹配、就业引导上的优势，进一步优化就业公共服务内容与功能布局，扩大就业创业宣传覆盖面、完善长效机制。</w:t>
      </w:r>
    </w:p>
    <w:p w14:paraId="170ABC7D">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一、</w:t>
      </w:r>
      <w:r>
        <w:rPr>
          <w:rFonts w:hint="eastAsia" w:ascii="宋体" w:hAnsi="宋体" w:eastAsia="宋体" w:cs="宋体"/>
          <w:color w:val="auto"/>
          <w:sz w:val="24"/>
          <w:szCs w:val="24"/>
          <w:highlight w:val="none"/>
          <w:lang w:eastAsia="zh-CN"/>
        </w:rPr>
        <w:t>活动时间</w:t>
      </w:r>
    </w:p>
    <w:p w14:paraId="63D7961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    根据高校就业情况及学生求职黄金期，于10月中下旬完成4场招聘活动，兼顾学生课业安排与求职需求。</w:t>
      </w:r>
    </w:p>
    <w:p w14:paraId="09C3108F">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二、活动主题</w:t>
      </w:r>
    </w:p>
    <w:p w14:paraId="3B25218E">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240" w:firstLineChars="1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校聚英才，聘启未来</w:t>
      </w:r>
    </w:p>
    <w:p w14:paraId="7DF9C28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三、活动地点</w:t>
      </w:r>
    </w:p>
    <w:p w14:paraId="2EFA5CA4">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kern w:val="2"/>
          <w:sz w:val="24"/>
          <w:szCs w:val="24"/>
          <w:highlight w:val="none"/>
          <w:lang w:val="en-US" w:eastAsia="zh-CN" w:bidi="ar-SA"/>
        </w:rPr>
        <w:t>新疆大学、新疆农业大学、喀什大学、新疆和田学院</w:t>
      </w:r>
    </w:p>
    <w:p w14:paraId="2E9FC10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四、服务对象</w:t>
      </w:r>
    </w:p>
    <w:p w14:paraId="532BF5B4">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（一）结合各高校优势学科，邀约与工科、农林、医药、教育等专业相关的企业及科研院所、事业单位，精准收集适配岗位信息并提前发布</w:t>
      </w:r>
      <w:r>
        <w:rPr>
          <w:rFonts w:hint="eastAsia" w:ascii="宋体" w:hAnsi="宋体" w:eastAsia="宋体" w:cs="宋体"/>
          <w:color w:val="auto"/>
          <w:sz w:val="24"/>
          <w:szCs w:val="24"/>
          <w:highlight w:val="none"/>
          <w:lang w:val="en-US" w:eastAsia="zh-CN"/>
        </w:rPr>
        <w:t>。</w:t>
      </w:r>
    </w:p>
    <w:p w14:paraId="2BC4A3F9">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eastAsia="zh-CN"/>
        </w:rPr>
        <w:t>（二）</w:t>
      </w:r>
      <w:r>
        <w:rPr>
          <w:rFonts w:hint="eastAsia" w:ascii="宋体" w:hAnsi="宋体" w:eastAsia="宋体" w:cs="宋体"/>
          <w:color w:val="auto"/>
          <w:sz w:val="24"/>
          <w:szCs w:val="24"/>
          <w:highlight w:val="none"/>
          <w:lang w:val="en-US" w:eastAsia="zh-CN"/>
        </w:rPr>
        <w:t>自治区内</w:t>
      </w:r>
      <w:r>
        <w:rPr>
          <w:rFonts w:hint="eastAsia" w:ascii="宋体" w:hAnsi="宋体" w:eastAsia="宋体" w:cs="宋体"/>
          <w:color w:val="auto"/>
          <w:sz w:val="24"/>
          <w:szCs w:val="24"/>
          <w:highlight w:val="none"/>
          <w:lang w:eastAsia="zh-CN"/>
        </w:rPr>
        <w:t>高校的应届毕业生、有实习及就业需求的在校学生，以及高校周边有就业意愿的往届毕业生</w:t>
      </w:r>
      <w:r>
        <w:rPr>
          <w:rFonts w:hint="eastAsia" w:ascii="宋体" w:hAnsi="宋体" w:eastAsia="宋体" w:cs="宋体"/>
          <w:color w:val="auto"/>
          <w:sz w:val="24"/>
          <w:szCs w:val="24"/>
          <w:highlight w:val="none"/>
          <w:lang w:val="en-US" w:eastAsia="zh-CN"/>
        </w:rPr>
        <w:t>。</w:t>
      </w:r>
    </w:p>
    <w:p w14:paraId="21EAFC0B">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五、活动内容</w:t>
      </w:r>
    </w:p>
    <w:p w14:paraId="0BCDDB05">
      <w:pPr>
        <w:keepNext w:val="0"/>
        <w:keepLines w:val="0"/>
        <w:pageBreakBefore w:val="0"/>
        <w:widowControl w:val="0"/>
        <w:kinsoku/>
        <w:wordWrap/>
        <w:overflowPunct/>
        <w:topLinePunct w:val="0"/>
        <w:autoSpaceDE/>
        <w:autoSpaceDN/>
        <w:bidi w:val="0"/>
        <w:adjustRightInd/>
        <w:snapToGrid/>
        <w:spacing w:line="440" w:lineRule="exact"/>
        <w:ind w:leftChars="0" w:firstLine="482" w:firstLineChars="200"/>
        <w:textAlignment w:val="auto"/>
        <w:rPr>
          <w:rFonts w:hint="eastAsia" w:ascii="宋体" w:hAnsi="宋体" w:eastAsia="宋体" w:cs="宋体"/>
          <w:b/>
          <w:bCs/>
          <w:color w:val="auto"/>
          <w:kern w:val="2"/>
          <w:sz w:val="24"/>
          <w:szCs w:val="24"/>
          <w:highlight w:val="none"/>
          <w:u w:val="none" w:color="auto"/>
          <w:lang w:val="en-US" w:eastAsia="zh-CN" w:bidi="ar-SA"/>
        </w:rPr>
      </w:pPr>
      <w:r>
        <w:rPr>
          <w:rFonts w:hint="eastAsia" w:ascii="宋体" w:hAnsi="宋体" w:eastAsia="宋体" w:cs="宋体"/>
          <w:b/>
          <w:bCs/>
          <w:color w:val="auto"/>
          <w:kern w:val="2"/>
          <w:sz w:val="24"/>
          <w:szCs w:val="24"/>
          <w:highlight w:val="none"/>
          <w:u w:val="none" w:color="auto"/>
          <w:lang w:val="en-US" w:eastAsia="zh-CN" w:bidi="ar-SA"/>
        </w:rPr>
        <w:t>（一）招聘会企业邀约。</w:t>
      </w:r>
    </w:p>
    <w:p w14:paraId="39A2D3B6">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b w:val="0"/>
          <w:bCs/>
          <w:color w:val="auto"/>
          <w:sz w:val="24"/>
          <w:szCs w:val="24"/>
          <w:highlight w:val="none"/>
          <w:lang w:eastAsia="zh-CN"/>
        </w:rPr>
      </w:pPr>
      <w:r>
        <w:rPr>
          <w:rFonts w:hint="eastAsia" w:ascii="宋体" w:hAnsi="宋体" w:eastAsia="宋体" w:cs="宋体"/>
          <w:color w:val="auto"/>
          <w:sz w:val="24"/>
          <w:szCs w:val="24"/>
          <w:highlight w:val="none"/>
          <w:lang w:eastAsia="zh-CN"/>
        </w:rPr>
        <w:t>围绕高校学科特色，邀约</w:t>
      </w:r>
      <w:r>
        <w:rPr>
          <w:rFonts w:hint="eastAsia" w:ascii="宋体" w:hAnsi="宋体" w:eastAsia="宋体" w:cs="宋体"/>
          <w:color w:val="auto"/>
          <w:sz w:val="24"/>
          <w:szCs w:val="24"/>
          <w:highlight w:val="none"/>
          <w:lang w:val="en-US" w:eastAsia="zh-CN"/>
        </w:rPr>
        <w:t>对应领域</w:t>
      </w:r>
      <w:r>
        <w:rPr>
          <w:rFonts w:hint="eastAsia" w:ascii="宋体" w:hAnsi="宋体" w:eastAsia="宋体" w:cs="宋体"/>
          <w:color w:val="auto"/>
          <w:sz w:val="24"/>
          <w:szCs w:val="24"/>
          <w:highlight w:val="none"/>
          <w:lang w:eastAsia="zh-CN"/>
        </w:rPr>
        <w:t>企业100家以上。</w:t>
      </w:r>
    </w:p>
    <w:p w14:paraId="22686D6E">
      <w:pPr>
        <w:keepNext w:val="0"/>
        <w:keepLines w:val="0"/>
        <w:pageBreakBefore w:val="0"/>
        <w:widowControl w:val="0"/>
        <w:kinsoku/>
        <w:wordWrap/>
        <w:overflowPunct/>
        <w:topLinePunct w:val="0"/>
        <w:autoSpaceDE/>
        <w:autoSpaceDN/>
        <w:bidi w:val="0"/>
        <w:adjustRightInd/>
        <w:snapToGrid/>
        <w:spacing w:afterAutospacing="0" w:line="440" w:lineRule="exact"/>
        <w:ind w:left="0" w:leftChars="0" w:firstLine="482" w:firstLineChars="200"/>
        <w:jc w:val="both"/>
        <w:textAlignment w:val="auto"/>
        <w:rPr>
          <w:rFonts w:hint="eastAsia" w:ascii="宋体" w:hAnsi="宋体" w:eastAsia="宋体" w:cs="宋体"/>
          <w:b/>
          <w:bCs/>
          <w:color w:val="auto"/>
          <w:kern w:val="2"/>
          <w:sz w:val="24"/>
          <w:szCs w:val="24"/>
          <w:highlight w:val="none"/>
          <w:u w:val="none" w:color="auto"/>
          <w:lang w:val="en-US" w:eastAsia="zh-CN" w:bidi="ar-SA"/>
        </w:rPr>
      </w:pPr>
      <w:r>
        <w:rPr>
          <w:rFonts w:hint="eastAsia" w:ascii="宋体" w:hAnsi="宋体" w:eastAsia="宋体" w:cs="宋体"/>
          <w:b/>
          <w:bCs/>
          <w:color w:val="auto"/>
          <w:kern w:val="2"/>
          <w:sz w:val="24"/>
          <w:szCs w:val="24"/>
          <w:highlight w:val="none"/>
          <w:u w:val="none" w:color="auto"/>
          <w:lang w:val="en-US" w:eastAsia="zh-CN" w:bidi="ar-SA"/>
        </w:rPr>
        <w:t>（二）现场功能区域策划</w:t>
      </w:r>
    </w:p>
    <w:p w14:paraId="06E5F20D">
      <w:pPr>
        <w:keepNext w:val="0"/>
        <w:keepLines w:val="0"/>
        <w:pageBreakBefore w:val="0"/>
        <w:widowControl w:val="0"/>
        <w:kinsoku/>
        <w:wordWrap/>
        <w:overflowPunct/>
        <w:topLinePunct w:val="0"/>
        <w:autoSpaceDE/>
        <w:autoSpaceDN/>
        <w:bidi w:val="0"/>
        <w:adjustRightInd/>
        <w:snapToGrid/>
        <w:spacing w:line="440" w:lineRule="exact"/>
        <w:ind w:left="0" w:leftChars="0" w:firstLine="482" w:firstLineChars="20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1.企业展示区：</w:t>
      </w:r>
      <w:r>
        <w:rPr>
          <w:rFonts w:hint="eastAsia" w:ascii="宋体" w:hAnsi="宋体" w:eastAsia="宋体" w:cs="宋体"/>
          <w:color w:val="auto"/>
          <w:kern w:val="2"/>
          <w:sz w:val="24"/>
          <w:szCs w:val="24"/>
          <w:highlight w:val="none"/>
          <w:shd w:val="clear" w:color="auto" w:fill="FFFFFF"/>
          <w:lang w:val="en-US" w:eastAsia="zh-CN" w:bidi="ar-SA"/>
        </w:rPr>
        <w:t>利用新疆365人才网、高校校园网络平台提前嵌入企业二维码，求职者可扫码观看企业宣传片及招聘岗位；现场设置展板，标注企业与高校相关专业的匹配度，突出岗位对专业技能的要求，方便学生结合自身专业定位求职方向。</w:t>
      </w:r>
    </w:p>
    <w:p w14:paraId="105DD8B2">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2" w:firstLineChars="20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2.现场招聘区：</w:t>
      </w:r>
      <w:r>
        <w:rPr>
          <w:rFonts w:hint="eastAsia" w:ascii="宋体" w:hAnsi="宋体" w:eastAsia="宋体" w:cs="宋体"/>
          <w:color w:val="auto"/>
          <w:kern w:val="2"/>
          <w:sz w:val="24"/>
          <w:szCs w:val="24"/>
          <w:highlight w:val="none"/>
          <w:shd w:val="clear" w:color="auto" w:fill="FFFFFF"/>
          <w:lang w:val="en-US" w:eastAsia="zh-CN" w:bidi="ar-SA"/>
        </w:rPr>
        <w:t>每家单位设置对应的展位号。在每个招聘展位前，需有企业代表或招聘人员负责接待前来咨询的求职者，并解答他们的疑问。企业为求职者提供详细的职位信息，介绍企业的文化、发展前景等，帮助求职者更全面地了解企业。</w:t>
      </w:r>
    </w:p>
    <w:p w14:paraId="661A864C">
      <w:pPr>
        <w:keepNext w:val="0"/>
        <w:keepLines w:val="0"/>
        <w:pageBreakBefore w:val="0"/>
        <w:widowControl w:val="0"/>
        <w:numPr>
          <w:ilvl w:val="0"/>
          <w:numId w:val="0"/>
        </w:numPr>
        <w:kinsoku/>
        <w:wordWrap/>
        <w:overflowPunct/>
        <w:topLinePunct w:val="0"/>
        <w:autoSpaceDE/>
        <w:autoSpaceDN/>
        <w:bidi w:val="0"/>
        <w:adjustRightInd/>
        <w:snapToGrid/>
        <w:spacing w:line="440" w:lineRule="exact"/>
        <w:ind w:left="0" w:leftChars="0" w:firstLine="482" w:firstLineChars="20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b/>
          <w:bCs/>
          <w:color w:val="auto"/>
          <w:kern w:val="2"/>
          <w:sz w:val="24"/>
          <w:szCs w:val="24"/>
          <w:highlight w:val="none"/>
          <w:shd w:val="clear" w:color="auto" w:fill="FFFFFF"/>
          <w:lang w:val="en-US" w:eastAsia="zh-CN" w:bidi="ar-SA"/>
        </w:rPr>
        <w:t>3.现场服务区：</w:t>
      </w:r>
      <w:r>
        <w:rPr>
          <w:rFonts w:hint="eastAsia" w:ascii="宋体" w:hAnsi="宋体" w:eastAsia="宋体" w:cs="宋体"/>
          <w:color w:val="auto"/>
          <w:kern w:val="2"/>
          <w:sz w:val="24"/>
          <w:szCs w:val="24"/>
          <w:highlight w:val="none"/>
          <w:shd w:val="clear" w:color="auto" w:fill="FFFFFF"/>
          <w:lang w:val="en-US" w:eastAsia="zh-CN" w:bidi="ar-SA"/>
        </w:rPr>
        <w:t>包含企业签到处和政策咨询区。企业签到处负责企业签到、签退，展位安排、配套设施提供等；政策咨询区负责向各类求职者宣传讲解就业、创业优惠政策。</w:t>
      </w:r>
    </w:p>
    <w:p w14:paraId="5F33F314">
      <w:pPr>
        <w:keepNext w:val="0"/>
        <w:keepLines w:val="0"/>
        <w:pageBreakBefore w:val="0"/>
        <w:widowControl w:val="0"/>
        <w:numPr>
          <w:ilvl w:val="0"/>
          <w:numId w:val="0"/>
        </w:numPr>
        <w:kinsoku/>
        <w:wordWrap/>
        <w:overflowPunct/>
        <w:topLinePunct w:val="0"/>
        <w:autoSpaceDE/>
        <w:autoSpaceDN/>
        <w:bidi w:val="0"/>
        <w:adjustRightInd/>
        <w:spacing w:line="440" w:lineRule="exact"/>
        <w:ind w:leftChars="0" w:firstLine="482" w:firstLineChars="20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4.直播带岗区：</w:t>
      </w:r>
      <w:r>
        <w:rPr>
          <w:rFonts w:hint="eastAsia" w:ascii="宋体" w:hAnsi="宋体" w:eastAsia="宋体" w:cs="宋体"/>
          <w:color w:val="auto"/>
          <w:kern w:val="2"/>
          <w:sz w:val="24"/>
          <w:szCs w:val="24"/>
          <w:highlight w:val="none"/>
          <w:shd w:val="clear" w:color="auto" w:fill="FFFFFF"/>
          <w:lang w:val="en-US" w:eastAsia="zh-CN" w:bidi="ar-SA"/>
        </w:rPr>
        <w:t>根据活动前期收集企业招工条件，在活动现场设立直播间进行直播带岗，针对受交通或工作原因影响不能到场的企业，在“职在新疆”线上平台直播，打通线上线下招聘，为线上求职者提供企业招聘岗位信息，统计求职人员意愿，方便企业和求职者双向交流。</w:t>
      </w:r>
    </w:p>
    <w:p w14:paraId="7ED38B36">
      <w:pPr>
        <w:pStyle w:val="45"/>
        <w:keepNext w:val="0"/>
        <w:keepLines w:val="0"/>
        <w:pageBreakBefore w:val="0"/>
        <w:widowControl w:val="0"/>
        <w:numPr>
          <w:ilvl w:val="0"/>
          <w:numId w:val="0"/>
        </w:numPr>
        <w:kinsoku/>
        <w:wordWrap/>
        <w:overflowPunct/>
        <w:topLinePunct w:val="0"/>
        <w:autoSpaceDE w:val="0"/>
        <w:autoSpaceDN w:val="0"/>
        <w:bidi w:val="0"/>
        <w:adjustRightInd w:val="0"/>
        <w:snapToGrid w:val="0"/>
        <w:spacing w:line="440" w:lineRule="exact"/>
        <w:ind w:leftChars="0" w:firstLine="482" w:firstLineChars="20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5.互动抽奖区：</w:t>
      </w:r>
      <w:r>
        <w:rPr>
          <w:rFonts w:hint="eastAsia" w:ascii="宋体" w:hAnsi="宋体" w:eastAsia="宋体" w:cs="宋体"/>
          <w:color w:val="auto"/>
          <w:kern w:val="2"/>
          <w:sz w:val="24"/>
          <w:szCs w:val="24"/>
          <w:highlight w:val="none"/>
          <w:shd w:val="clear" w:color="auto" w:fill="FFFFFF"/>
          <w:lang w:val="en-US" w:eastAsia="zh-CN" w:bidi="ar-SA"/>
        </w:rPr>
        <w:t>现场求职者可通过答题获得抽奖机会。</w:t>
      </w:r>
    </w:p>
    <w:p w14:paraId="7B2D87DA">
      <w:pPr>
        <w:pStyle w:val="15"/>
        <w:keepNext w:val="0"/>
        <w:keepLines w:val="0"/>
        <w:pageBreakBefore w:val="0"/>
        <w:widowControl w:val="0"/>
        <w:numPr>
          <w:ilvl w:val="0"/>
          <w:numId w:val="0"/>
        </w:numPr>
        <w:kinsoku/>
        <w:wordWrap/>
        <w:overflowPunct/>
        <w:topLinePunct w:val="0"/>
        <w:autoSpaceDE/>
        <w:autoSpaceDN/>
        <w:bidi w:val="0"/>
        <w:adjustRightInd/>
        <w:snapToGrid/>
        <w:spacing w:after="0" w:line="440" w:lineRule="exact"/>
        <w:ind w:leftChars="0" w:firstLine="482" w:firstLineChars="200"/>
        <w:textAlignment w:val="auto"/>
        <w:rPr>
          <w:rFonts w:hint="eastAsia" w:ascii="宋体" w:hAnsi="宋体" w:eastAsia="宋体" w:cs="宋体"/>
          <w:color w:val="auto"/>
          <w:kern w:val="2"/>
          <w:sz w:val="24"/>
          <w:szCs w:val="24"/>
          <w:highlight w:val="none"/>
          <w:shd w:val="clear" w:color="auto" w:fill="FFFFFF"/>
          <w:lang w:val="en-US" w:eastAsia="zh-CN" w:bidi="ar-SA"/>
        </w:rPr>
      </w:pPr>
      <w:r>
        <w:rPr>
          <w:rFonts w:hint="eastAsia" w:ascii="宋体" w:hAnsi="宋体" w:eastAsia="宋体" w:cs="宋体"/>
          <w:b/>
          <w:bCs/>
          <w:color w:val="auto"/>
          <w:kern w:val="2"/>
          <w:sz w:val="24"/>
          <w:szCs w:val="24"/>
          <w:highlight w:val="none"/>
          <w:shd w:val="clear" w:color="auto" w:fill="FFFFFF"/>
          <w:lang w:val="en-US" w:eastAsia="zh-CN" w:bidi="ar-SA"/>
        </w:rPr>
        <w:t>6.智慧就业区：</w:t>
      </w:r>
      <w:r>
        <w:rPr>
          <w:rFonts w:hint="eastAsia" w:ascii="宋体" w:hAnsi="宋体" w:eastAsia="宋体" w:cs="宋体"/>
          <w:color w:val="auto"/>
          <w:kern w:val="2"/>
          <w:sz w:val="24"/>
          <w:szCs w:val="24"/>
          <w:highlight w:val="none"/>
          <w:shd w:val="clear" w:color="auto" w:fill="FFFFFF"/>
          <w:lang w:val="en-US" w:eastAsia="zh-CN" w:bidi="ar-SA"/>
        </w:rPr>
        <w:t>现场放置AI面试、AI简历制作等智慧就业一体化的设备，并安排相关专业人员提供讲解，采用现场演示和互动问答相结合的方式，让求职者更加直观地了解机器的功能和操作。演示过程中，讲解员可以邀请求职者上台尝试操作，并实时解答他们的疑问。</w:t>
      </w:r>
    </w:p>
    <w:p w14:paraId="1354A2D4">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六、</w:t>
      </w:r>
      <w:r>
        <w:rPr>
          <w:rFonts w:hint="eastAsia" w:cs="宋体"/>
          <w:color w:val="auto"/>
          <w:sz w:val="24"/>
          <w:szCs w:val="24"/>
          <w:highlight w:val="none"/>
          <w:lang w:val="en-US" w:eastAsia="zh-CN"/>
        </w:rPr>
        <w:t>项目预算：合计19.4万元</w:t>
      </w:r>
    </w:p>
    <w:tbl>
      <w:tblPr>
        <w:tblStyle w:val="31"/>
        <w:tblpPr w:leftFromText="180" w:rightFromText="180" w:vertAnchor="text" w:horzAnchor="page" w:tblpX="1958" w:tblpY="54"/>
        <w:tblOverlap w:val="never"/>
        <w:tblW w:w="827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063"/>
        <w:gridCol w:w="2349"/>
        <w:gridCol w:w="4866"/>
      </w:tblGrid>
      <w:tr w14:paraId="2BE81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3" w:type="dxa"/>
            <w:tcBorders>
              <w:top w:val="single" w:color="auto" w:sz="4" w:space="0"/>
              <w:left w:val="single" w:color="auto" w:sz="4" w:space="0"/>
              <w:bottom w:val="single" w:color="auto" w:sz="4" w:space="0"/>
              <w:right w:val="single" w:color="auto" w:sz="4" w:space="0"/>
              <w:tl2br w:val="nil"/>
            </w:tcBorders>
            <w:shd w:val="clear" w:color="auto" w:fill="FFFFFF"/>
            <w:vAlign w:val="center"/>
          </w:tcPr>
          <w:p w14:paraId="3C6EACCF">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序号</w:t>
            </w:r>
          </w:p>
        </w:tc>
        <w:tc>
          <w:tcPr>
            <w:tcW w:w="2349" w:type="dxa"/>
            <w:tcBorders>
              <w:top w:val="single" w:color="auto" w:sz="4" w:space="0"/>
              <w:left w:val="single" w:color="auto" w:sz="4" w:space="0"/>
              <w:bottom w:val="single" w:color="auto" w:sz="4" w:space="0"/>
              <w:right w:val="single" w:color="auto" w:sz="4" w:space="0"/>
            </w:tcBorders>
            <w:shd w:val="clear" w:color="auto" w:fill="FFFFFF"/>
            <w:vAlign w:val="center"/>
          </w:tcPr>
          <w:p w14:paraId="20506A26">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类目</w:t>
            </w:r>
          </w:p>
        </w:tc>
        <w:tc>
          <w:tcPr>
            <w:tcW w:w="4866" w:type="dxa"/>
            <w:tcBorders>
              <w:top w:val="single" w:color="auto" w:sz="4" w:space="0"/>
              <w:left w:val="single" w:color="auto" w:sz="4" w:space="0"/>
              <w:bottom w:val="single" w:color="auto" w:sz="4" w:space="0"/>
              <w:right w:val="single" w:color="auto" w:sz="4" w:space="0"/>
            </w:tcBorders>
            <w:shd w:val="clear" w:color="auto" w:fill="FFFFFF"/>
            <w:vAlign w:val="center"/>
          </w:tcPr>
          <w:p w14:paraId="0479B420">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具体内容</w:t>
            </w:r>
          </w:p>
        </w:tc>
      </w:tr>
      <w:tr w14:paraId="0D6F00A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1EEF409A">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1</w:t>
            </w:r>
          </w:p>
        </w:tc>
        <w:tc>
          <w:tcPr>
            <w:tcW w:w="2349" w:type="dxa"/>
            <w:tcBorders>
              <w:top w:val="single" w:color="auto" w:sz="4" w:space="0"/>
              <w:left w:val="single" w:color="auto" w:sz="4" w:space="0"/>
              <w:bottom w:val="single" w:color="auto" w:sz="4" w:space="0"/>
              <w:right w:val="single" w:color="auto" w:sz="4" w:space="0"/>
            </w:tcBorders>
            <w:shd w:val="clear" w:color="auto" w:fill="FFFFFF"/>
            <w:vAlign w:val="center"/>
          </w:tcPr>
          <w:p w14:paraId="1EF7D8BF">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eastAsia="zh-CN"/>
              </w:rPr>
            </w:pPr>
            <w:r>
              <w:rPr>
                <w:rFonts w:hint="eastAsia" w:ascii="宋体" w:hAnsi="宋体" w:eastAsia="宋体" w:cs="宋体"/>
                <w:b w:val="0"/>
                <w:color w:val="auto"/>
                <w:sz w:val="24"/>
                <w:szCs w:val="24"/>
                <w:highlight w:val="none"/>
                <w:lang w:eastAsia="zh-CN"/>
              </w:rPr>
              <w:t>场地</w:t>
            </w:r>
            <w:r>
              <w:rPr>
                <w:rFonts w:hint="eastAsia" w:ascii="宋体" w:hAnsi="宋体" w:eastAsia="宋体" w:cs="宋体"/>
                <w:b w:val="0"/>
                <w:color w:val="auto"/>
                <w:sz w:val="24"/>
                <w:szCs w:val="24"/>
                <w:highlight w:val="none"/>
                <w:lang w:val="en-US" w:eastAsia="zh-CN"/>
              </w:rPr>
              <w:t>布置</w:t>
            </w:r>
          </w:p>
        </w:tc>
        <w:tc>
          <w:tcPr>
            <w:tcW w:w="4866" w:type="dxa"/>
            <w:tcBorders>
              <w:top w:val="single" w:color="auto" w:sz="4" w:space="0"/>
              <w:left w:val="single" w:color="auto" w:sz="4" w:space="0"/>
              <w:bottom w:val="single" w:color="auto" w:sz="4" w:space="0"/>
              <w:right w:val="single" w:color="auto" w:sz="4" w:space="0"/>
            </w:tcBorders>
            <w:shd w:val="clear" w:color="auto" w:fill="FFFFFF"/>
            <w:vAlign w:val="center"/>
          </w:tcPr>
          <w:p w14:paraId="4720E1BC">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eastAsia="zh-CN"/>
              </w:rPr>
            </w:pPr>
            <w:r>
              <w:rPr>
                <w:rFonts w:hint="eastAsia" w:ascii="宋体" w:hAnsi="宋体" w:eastAsia="宋体" w:cs="宋体"/>
                <w:b w:val="0"/>
                <w:color w:val="auto"/>
                <w:sz w:val="24"/>
                <w:szCs w:val="24"/>
                <w:highlight w:val="none"/>
                <w:lang w:val="en-US" w:eastAsia="zh-CN"/>
              </w:rPr>
              <w:t>活动现场桁架、展板、道旗设计制作、运输安装费用</w:t>
            </w:r>
            <w:r>
              <w:rPr>
                <w:rFonts w:hint="eastAsia" w:ascii="宋体" w:hAnsi="宋体" w:eastAsia="宋体" w:cs="宋体"/>
                <w:b w:val="0"/>
                <w:color w:val="auto"/>
                <w:sz w:val="24"/>
                <w:szCs w:val="24"/>
                <w:highlight w:val="none"/>
                <w:lang w:eastAsia="zh-CN"/>
              </w:rPr>
              <w:t>等</w:t>
            </w:r>
          </w:p>
        </w:tc>
      </w:tr>
      <w:tr w14:paraId="5502AA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76BF2F3E">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2</w:t>
            </w:r>
          </w:p>
        </w:tc>
        <w:tc>
          <w:tcPr>
            <w:tcW w:w="2349" w:type="dxa"/>
            <w:tcBorders>
              <w:top w:val="single" w:color="auto" w:sz="4" w:space="0"/>
              <w:left w:val="single" w:color="auto" w:sz="4" w:space="0"/>
              <w:bottom w:val="single" w:color="auto" w:sz="4" w:space="0"/>
              <w:right w:val="single" w:color="auto" w:sz="4" w:space="0"/>
            </w:tcBorders>
            <w:shd w:val="clear" w:color="auto" w:fill="FFFFFF"/>
            <w:vAlign w:val="center"/>
          </w:tcPr>
          <w:p w14:paraId="01339D49">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eastAsia="zh-CN"/>
              </w:rPr>
            </w:pPr>
            <w:r>
              <w:rPr>
                <w:rFonts w:hint="eastAsia" w:ascii="宋体" w:hAnsi="宋体" w:eastAsia="宋体" w:cs="宋体"/>
                <w:b w:val="0"/>
                <w:color w:val="auto"/>
                <w:sz w:val="24"/>
                <w:szCs w:val="24"/>
                <w:highlight w:val="none"/>
                <w:lang w:val="en-US" w:eastAsia="zh-CN"/>
              </w:rPr>
              <w:t>宣传物料</w:t>
            </w:r>
          </w:p>
        </w:tc>
        <w:tc>
          <w:tcPr>
            <w:tcW w:w="4866" w:type="dxa"/>
            <w:tcBorders>
              <w:top w:val="single" w:color="auto" w:sz="4" w:space="0"/>
              <w:left w:val="single" w:color="auto" w:sz="4" w:space="0"/>
              <w:bottom w:val="single" w:color="auto" w:sz="4" w:space="0"/>
              <w:right w:val="single" w:color="auto" w:sz="4" w:space="0"/>
            </w:tcBorders>
            <w:shd w:val="clear" w:color="auto" w:fill="FFFFFF"/>
            <w:vAlign w:val="center"/>
          </w:tcPr>
          <w:p w14:paraId="2509D9E7">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eastAsia="zh-CN"/>
              </w:rPr>
            </w:pPr>
            <w:r>
              <w:rPr>
                <w:rFonts w:hint="eastAsia" w:ascii="宋体" w:hAnsi="宋体" w:eastAsia="宋体" w:cs="宋体"/>
                <w:b w:val="0"/>
                <w:color w:val="auto"/>
                <w:sz w:val="24"/>
                <w:szCs w:val="24"/>
                <w:highlight w:val="none"/>
                <w:lang w:eastAsia="zh-CN"/>
              </w:rPr>
              <w:t>网络宣传、</w:t>
            </w:r>
            <w:r>
              <w:rPr>
                <w:rFonts w:hint="eastAsia" w:ascii="宋体" w:hAnsi="宋体" w:eastAsia="宋体" w:cs="宋体"/>
                <w:b w:val="0"/>
                <w:color w:val="auto"/>
                <w:sz w:val="24"/>
                <w:szCs w:val="24"/>
                <w:highlight w:val="none"/>
                <w:lang w:val="en-US" w:eastAsia="zh-CN"/>
              </w:rPr>
              <w:t>会议物料制作、宣传</w:t>
            </w:r>
            <w:r>
              <w:rPr>
                <w:rFonts w:hint="eastAsia" w:ascii="宋体" w:hAnsi="宋体" w:eastAsia="宋体" w:cs="宋体"/>
                <w:b w:val="0"/>
                <w:color w:val="auto"/>
                <w:sz w:val="24"/>
                <w:szCs w:val="24"/>
                <w:highlight w:val="none"/>
                <w:lang w:eastAsia="zh-CN"/>
              </w:rPr>
              <w:t>海报制作、</w:t>
            </w:r>
            <w:r>
              <w:rPr>
                <w:rFonts w:hint="eastAsia" w:ascii="宋体" w:hAnsi="宋体" w:eastAsia="宋体" w:cs="宋体"/>
                <w:b w:val="0"/>
                <w:color w:val="auto"/>
                <w:sz w:val="24"/>
                <w:szCs w:val="24"/>
                <w:highlight w:val="none"/>
                <w:lang w:val="en-US" w:eastAsia="zh-CN"/>
              </w:rPr>
              <w:t>视频制作</w:t>
            </w:r>
            <w:r>
              <w:rPr>
                <w:rFonts w:hint="eastAsia" w:ascii="宋体" w:hAnsi="宋体" w:eastAsia="宋体" w:cs="宋体"/>
                <w:b w:val="0"/>
                <w:color w:val="auto"/>
                <w:sz w:val="24"/>
                <w:szCs w:val="24"/>
                <w:highlight w:val="none"/>
                <w:lang w:eastAsia="zh-CN"/>
              </w:rPr>
              <w:t>等</w:t>
            </w:r>
          </w:p>
        </w:tc>
      </w:tr>
      <w:tr w14:paraId="4858B8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1C4E9D2B">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3</w:t>
            </w:r>
          </w:p>
        </w:tc>
        <w:tc>
          <w:tcPr>
            <w:tcW w:w="2349" w:type="dxa"/>
            <w:tcBorders>
              <w:top w:val="single" w:color="auto" w:sz="4" w:space="0"/>
              <w:left w:val="single" w:color="auto" w:sz="4" w:space="0"/>
              <w:bottom w:val="single" w:color="auto" w:sz="4" w:space="0"/>
              <w:right w:val="single" w:color="auto" w:sz="4" w:space="0"/>
            </w:tcBorders>
            <w:shd w:val="clear" w:color="auto" w:fill="FFFFFF"/>
            <w:vAlign w:val="center"/>
          </w:tcPr>
          <w:p w14:paraId="652E8F7B">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设备租赁</w:t>
            </w:r>
          </w:p>
        </w:tc>
        <w:tc>
          <w:tcPr>
            <w:tcW w:w="4866" w:type="dxa"/>
            <w:tcBorders>
              <w:top w:val="single" w:color="auto" w:sz="4" w:space="0"/>
              <w:left w:val="single" w:color="auto" w:sz="4" w:space="0"/>
              <w:bottom w:val="single" w:color="auto" w:sz="4" w:space="0"/>
              <w:right w:val="single" w:color="auto" w:sz="4" w:space="0"/>
            </w:tcBorders>
            <w:shd w:val="clear" w:color="auto" w:fill="FFFFFF"/>
            <w:vAlign w:val="center"/>
          </w:tcPr>
          <w:p w14:paraId="6A210435">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lang w:val="en-US" w:eastAsia="zh-CN"/>
              </w:rPr>
              <w:t>企业信息科技产品租赁、展示墙制作</w:t>
            </w:r>
          </w:p>
        </w:tc>
      </w:tr>
      <w:tr w14:paraId="5514F28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1063" w:type="dxa"/>
            <w:tcBorders>
              <w:top w:val="single" w:color="auto" w:sz="4" w:space="0"/>
              <w:left w:val="single" w:color="auto" w:sz="4" w:space="0"/>
              <w:bottom w:val="single" w:color="auto" w:sz="4" w:space="0"/>
              <w:right w:val="single" w:color="auto" w:sz="4" w:space="0"/>
            </w:tcBorders>
            <w:shd w:val="clear" w:color="auto" w:fill="FFFFFF"/>
            <w:vAlign w:val="center"/>
          </w:tcPr>
          <w:p w14:paraId="5D67AEE2">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sz w:val="24"/>
                <w:szCs w:val="24"/>
                <w:highlight w:val="none"/>
                <w:vertAlign w:val="baseline"/>
                <w:lang w:val="en-US" w:eastAsia="zh-CN"/>
              </w:rPr>
            </w:pPr>
            <w:r>
              <w:rPr>
                <w:rFonts w:hint="eastAsia" w:ascii="宋体" w:hAnsi="宋体" w:eastAsia="宋体" w:cs="宋体"/>
                <w:b w:val="0"/>
                <w:color w:val="auto"/>
                <w:sz w:val="24"/>
                <w:szCs w:val="24"/>
                <w:highlight w:val="none"/>
                <w:vertAlign w:val="baseline"/>
                <w:lang w:val="en-US" w:eastAsia="zh-CN"/>
              </w:rPr>
              <w:t>4</w:t>
            </w:r>
          </w:p>
        </w:tc>
        <w:tc>
          <w:tcPr>
            <w:tcW w:w="2349" w:type="dxa"/>
            <w:tcBorders>
              <w:top w:val="single" w:color="auto" w:sz="4" w:space="0"/>
              <w:left w:val="single" w:color="auto" w:sz="4" w:space="0"/>
              <w:bottom w:val="single" w:color="auto" w:sz="4" w:space="0"/>
              <w:right w:val="single" w:color="auto" w:sz="4" w:space="0"/>
            </w:tcBorders>
            <w:shd w:val="clear" w:color="auto" w:fill="FFFFFF"/>
            <w:vAlign w:val="center"/>
          </w:tcPr>
          <w:p w14:paraId="3F75C151">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kern w:val="2"/>
                <w:sz w:val="24"/>
                <w:szCs w:val="24"/>
                <w:highlight w:val="none"/>
                <w:lang w:val="en-US" w:eastAsia="zh-CN" w:bidi="ar-SA"/>
              </w:rPr>
            </w:pPr>
            <w:r>
              <w:rPr>
                <w:rFonts w:hint="eastAsia" w:ascii="宋体" w:hAnsi="宋体" w:eastAsia="宋体" w:cs="宋体"/>
                <w:b w:val="0"/>
                <w:color w:val="auto"/>
                <w:sz w:val="24"/>
                <w:szCs w:val="24"/>
                <w:highlight w:val="none"/>
                <w:lang w:eastAsia="zh-CN"/>
              </w:rPr>
              <w:t>其他杂费</w:t>
            </w:r>
          </w:p>
        </w:tc>
        <w:tc>
          <w:tcPr>
            <w:tcW w:w="4866" w:type="dxa"/>
            <w:tcBorders>
              <w:top w:val="single" w:color="auto" w:sz="4" w:space="0"/>
              <w:left w:val="single" w:color="auto" w:sz="4" w:space="0"/>
              <w:bottom w:val="single" w:color="auto" w:sz="4" w:space="0"/>
              <w:right w:val="single" w:color="auto" w:sz="4" w:space="0"/>
            </w:tcBorders>
            <w:shd w:val="clear" w:color="auto" w:fill="FFFFFF"/>
            <w:vAlign w:val="center"/>
          </w:tcPr>
          <w:p w14:paraId="1D106542">
            <w:pPr>
              <w:keepNext w:val="0"/>
              <w:keepLines w:val="0"/>
              <w:pageBreakBefore w:val="0"/>
              <w:widowControl w:val="0"/>
              <w:kinsoku/>
              <w:wordWrap/>
              <w:overflowPunct/>
              <w:topLinePunct w:val="0"/>
              <w:autoSpaceDE/>
              <w:autoSpaceDN/>
              <w:bidi w:val="0"/>
              <w:adjustRightInd/>
              <w:snapToGrid/>
              <w:spacing w:line="440" w:lineRule="exact"/>
              <w:ind w:leftChars="0"/>
              <w:jc w:val="center"/>
              <w:textAlignment w:val="auto"/>
              <w:rPr>
                <w:rFonts w:hint="eastAsia" w:ascii="宋体" w:hAnsi="宋体" w:eastAsia="宋体" w:cs="宋体"/>
                <w:b w:val="0"/>
                <w:color w:val="auto"/>
                <w:kern w:val="2"/>
                <w:sz w:val="24"/>
                <w:szCs w:val="24"/>
                <w:highlight w:val="none"/>
                <w:vertAlign w:val="baseline"/>
                <w:lang w:val="en-US" w:eastAsia="zh-CN" w:bidi="ar-SA"/>
              </w:rPr>
            </w:pPr>
            <w:r>
              <w:rPr>
                <w:rFonts w:hint="eastAsia" w:ascii="宋体" w:hAnsi="宋体" w:eastAsia="宋体" w:cs="宋体"/>
                <w:b w:val="0"/>
                <w:color w:val="auto"/>
                <w:sz w:val="24"/>
                <w:szCs w:val="24"/>
                <w:highlight w:val="none"/>
                <w:lang w:val="en-US" w:eastAsia="zh-CN"/>
              </w:rPr>
              <w:t>税费及</w:t>
            </w:r>
            <w:r>
              <w:rPr>
                <w:rFonts w:hint="eastAsia" w:ascii="宋体" w:hAnsi="宋体" w:eastAsia="宋体" w:cs="宋体"/>
                <w:b w:val="0"/>
                <w:color w:val="auto"/>
                <w:sz w:val="24"/>
                <w:szCs w:val="24"/>
                <w:highlight w:val="none"/>
                <w:lang w:eastAsia="zh-CN"/>
              </w:rPr>
              <w:t>不可预见的费用支出</w:t>
            </w:r>
          </w:p>
        </w:tc>
      </w:tr>
    </w:tbl>
    <w:p w14:paraId="010B4FA6">
      <w:pPr>
        <w:rPr>
          <w:rFonts w:hint="eastAsia" w:ascii="宋体" w:hAnsi="宋体" w:eastAsia="宋体" w:cs="宋体"/>
          <w:b w:val="0"/>
          <w:bCs w:val="0"/>
          <w:color w:val="auto"/>
          <w:kern w:val="2"/>
          <w:sz w:val="24"/>
          <w:szCs w:val="24"/>
          <w:highlight w:val="none"/>
          <w:lang w:val="en-US" w:eastAsia="zh-CN" w:bidi="ar-SA"/>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会务服务人员标准化要求</w:t>
      </w:r>
      <w:r>
        <w:rPr>
          <w:rFonts w:hint="eastAsia" w:ascii="宋体" w:hAnsi="宋体" w:eastAsia="宋体" w:cs="宋体"/>
          <w:b w:val="0"/>
          <w:bCs w:val="0"/>
          <w:color w:val="auto"/>
          <w:kern w:val="2"/>
          <w:sz w:val="24"/>
          <w:szCs w:val="24"/>
          <w:highlight w:val="none"/>
          <w:lang w:val="en-US" w:eastAsia="zh-CN" w:bidi="ar-SA"/>
        </w:rPr>
        <w:t>：</w:t>
      </w:r>
    </w:p>
    <w:p w14:paraId="25DB88B7">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highlight w:val="none"/>
          <w:lang w:val="en-US" w:eastAsia="zh-CN" w:bidi="ar-SA"/>
        </w:rPr>
        <w:t>1、统一着装与形象管理：供应商须为所有投入本项目的现场会务</w:t>
      </w:r>
      <w:r>
        <w:rPr>
          <w:rFonts w:hint="eastAsia" w:ascii="宋体" w:hAnsi="宋体" w:eastAsia="宋体" w:cs="宋体"/>
          <w:b w:val="0"/>
          <w:bCs w:val="0"/>
          <w:color w:val="auto"/>
          <w:kern w:val="2"/>
          <w:sz w:val="24"/>
          <w:szCs w:val="24"/>
          <w:lang w:val="en-US" w:eastAsia="zh-CN" w:bidi="ar-SA"/>
        </w:rPr>
        <w:t>服务人员（含签到、引导、咨询、设备保障人员）配备统一样式、统一色系的商务正装或带有本项目/采购人标识的工作马甲。服务人员须佩戴统一制式的工牌，保持仪容整洁、精神饱满。</w:t>
      </w:r>
    </w:p>
    <w:p w14:paraId="5CBA619B">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统一话术与规范应答：供应商须针对本项目的招聘会流程、中国新疆人才网注册使用指引、展位分布、政策咨询引导等环节，制定标准化的《现场服务应答手册》。服务人员在面对求职者及招聘企业问询时，须严格按照手册内容进行解答，确保信息输出口径一致、专业准确。</w:t>
      </w:r>
    </w:p>
    <w:p w14:paraId="0CECDEBE">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3、专业服务标准：现场服务人员须经过岗前培训，熟悉大型活动接待礼仪、人流疏导流程及突发事件上报机制，能够提供主动、热情、专业的会务接待服务。</w:t>
      </w:r>
    </w:p>
    <w:p w14:paraId="62E92AF7">
      <w:pPr>
        <w:keepNext w:val="0"/>
        <w:keepLines w:val="0"/>
        <w:pageBreakBefore w:val="0"/>
        <w:widowControl w:val="0"/>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eastAsia="宋体" w:cs="宋体"/>
          <w:color w:val="auto"/>
          <w:sz w:val="24"/>
          <w:szCs w:val="24"/>
          <w:lang w:val="en-US" w:eastAsia="zh-CN"/>
        </w:rPr>
      </w:pPr>
      <w:r>
        <w:rPr>
          <w:rFonts w:hint="eastAsia" w:cs="宋体"/>
          <w:color w:val="auto"/>
          <w:sz w:val="24"/>
          <w:szCs w:val="24"/>
          <w:lang w:val="en-US" w:eastAsia="zh-CN"/>
        </w:rPr>
        <w:t>七</w:t>
      </w:r>
      <w:r>
        <w:rPr>
          <w:rFonts w:hint="eastAsia" w:ascii="宋体" w:hAnsi="宋体" w:eastAsia="宋体" w:cs="宋体"/>
          <w:color w:val="auto"/>
          <w:sz w:val="24"/>
          <w:szCs w:val="24"/>
          <w:lang w:val="en-US" w:eastAsia="zh-CN"/>
        </w:rPr>
        <w:t>、付款方式：</w:t>
      </w:r>
    </w:p>
    <w:p w14:paraId="7DC79919">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1、付款方式：合同签订后5个工作日内支付合同总价的60%；完成地州活动项目支付合同总价的30%；完成高校活动项目再支付合同总价的10%。</w:t>
      </w:r>
    </w:p>
    <w:p w14:paraId="37307AA8">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2、</w:t>
      </w:r>
      <w:r>
        <w:rPr>
          <w:rFonts w:hint="eastAsia" w:ascii="宋体" w:hAnsi="宋体" w:eastAsia="宋体" w:cs="宋体"/>
          <w:b w:val="0"/>
          <w:bCs w:val="0"/>
          <w:color w:val="auto"/>
          <w:kern w:val="2"/>
          <w:sz w:val="24"/>
          <w:szCs w:val="24"/>
          <w:lang w:val="hr-HR" w:eastAsia="zh-CN" w:bidi="ar-SA"/>
        </w:rPr>
        <w:t>合同履约期限：</w:t>
      </w:r>
      <w:r>
        <w:rPr>
          <w:rFonts w:hint="eastAsia" w:ascii="宋体" w:hAnsi="宋体" w:eastAsia="宋体" w:cs="宋体"/>
          <w:b w:val="0"/>
          <w:bCs w:val="0"/>
          <w:color w:val="auto"/>
          <w:kern w:val="2"/>
          <w:sz w:val="24"/>
          <w:szCs w:val="24"/>
          <w:lang w:val="en-US" w:eastAsia="zh-CN" w:bidi="ar-SA"/>
        </w:rPr>
        <w:t>合同签订生效之日起至2026年11月30日</w:t>
      </w:r>
      <w:r>
        <w:rPr>
          <w:rFonts w:hint="eastAsia" w:cs="宋体"/>
          <w:b w:val="0"/>
          <w:bCs w:val="0"/>
          <w:color w:val="auto"/>
          <w:kern w:val="2"/>
          <w:sz w:val="24"/>
          <w:szCs w:val="24"/>
          <w:lang w:val="en-US" w:eastAsia="zh-CN" w:bidi="ar-SA"/>
        </w:rPr>
        <w:t>止。</w:t>
      </w:r>
    </w:p>
    <w:p w14:paraId="16E13C0F">
      <w:pPr>
        <w:pageBreakBefore w:val="0"/>
        <w:widowControl w:val="0"/>
        <w:kinsoku/>
        <w:wordWrap/>
        <w:overflowPunct/>
        <w:topLinePunct w:val="0"/>
        <w:bidi w:val="0"/>
        <w:spacing w:line="440" w:lineRule="exact"/>
        <w:ind w:leftChars="0" w:firstLine="480" w:firstLineChars="200"/>
        <w:textAlignment w:val="auto"/>
        <w:rPr>
          <w:rFonts w:hint="eastAsia" w:ascii="宋体" w:hAnsi="宋体" w:eastAsia="宋体" w:cs="宋体"/>
          <w:b w:val="0"/>
          <w:bCs w:val="0"/>
          <w:color w:val="auto"/>
          <w:kern w:val="2"/>
          <w:sz w:val="24"/>
          <w:szCs w:val="24"/>
          <w:lang w:val="en-US" w:eastAsia="zh-CN" w:bidi="ar-SA"/>
        </w:rPr>
      </w:pPr>
      <w:r>
        <w:rPr>
          <w:rFonts w:hint="eastAsia" w:ascii="宋体" w:hAnsi="宋体" w:eastAsia="宋体" w:cs="宋体"/>
          <w:b w:val="0"/>
          <w:bCs w:val="0"/>
          <w:color w:val="auto"/>
          <w:kern w:val="2"/>
          <w:sz w:val="24"/>
          <w:szCs w:val="24"/>
          <w:lang w:val="en-US" w:eastAsia="zh-CN" w:bidi="ar-SA"/>
        </w:rPr>
        <w:t>3、交付或实施的地点：采购人指定地点。</w:t>
      </w:r>
    </w:p>
    <w:p w14:paraId="3D8AEEF2">
      <w:pPr>
        <w:pStyle w:val="7"/>
        <w:pageBreakBefore w:val="0"/>
        <w:widowControl w:val="0"/>
        <w:kinsoku/>
        <w:wordWrap/>
        <w:overflowPunct/>
        <w:topLinePunct w:val="0"/>
        <w:bidi w:val="0"/>
        <w:spacing w:before="0" w:after="0" w:line="440" w:lineRule="exact"/>
        <w:ind w:leftChars="0"/>
        <w:textAlignment w:val="auto"/>
        <w:rPr>
          <w:rFonts w:hint="eastAsia" w:ascii="宋体" w:hAnsi="宋体" w:eastAsia="宋体" w:cs="宋体"/>
          <w:lang w:val="en-US" w:eastAsia="zh-CN"/>
        </w:rPr>
      </w:pPr>
    </w:p>
    <w:p w14:paraId="7E51C8BF">
      <w:pPr>
        <w:rPr>
          <w:rFonts w:hint="eastAsia"/>
          <w:lang w:val="en-US" w:eastAsia="zh-CN"/>
        </w:rPr>
      </w:pPr>
    </w:p>
    <w:p w14:paraId="7FEFD420">
      <w:pP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br w:type="page"/>
      </w:r>
    </w:p>
    <w:p w14:paraId="7C50D224">
      <w:pPr>
        <w:spacing w:before="179" w:line="314" w:lineRule="auto"/>
        <w:ind w:left="37" w:firstLine="461"/>
        <w:jc w:val="cente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t>第四章 评审方法及标准</w:t>
      </w:r>
      <w:bookmarkEnd w:id="408"/>
      <w:bookmarkEnd w:id="409"/>
    </w:p>
    <w:p w14:paraId="3C2D8384">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eastAsia"/>
          <w:i w:val="0"/>
          <w:iCs w:val="0"/>
          <w:color w:val="auto"/>
          <w:sz w:val="28"/>
          <w:szCs w:val="28"/>
          <w:highlight w:val="none"/>
          <w:lang w:val="zh-CN" w:eastAsia="zh-CN"/>
        </w:rPr>
      </w:pPr>
      <w:bookmarkStart w:id="410" w:name="_Toc1780"/>
      <w:bookmarkStart w:id="411" w:name="_Toc163493632"/>
      <w:r>
        <w:rPr>
          <w:rFonts w:hint="eastAsia"/>
          <w:i w:val="0"/>
          <w:iCs w:val="0"/>
          <w:color w:val="auto"/>
          <w:sz w:val="28"/>
          <w:szCs w:val="28"/>
          <w:highlight w:val="none"/>
          <w:lang w:val="en-US" w:eastAsia="zh-CN"/>
        </w:rPr>
        <w:t>一、</w:t>
      </w:r>
      <w:r>
        <w:rPr>
          <w:rFonts w:hint="eastAsia"/>
          <w:i w:val="0"/>
          <w:iCs w:val="0"/>
          <w:color w:val="auto"/>
          <w:sz w:val="28"/>
          <w:szCs w:val="28"/>
          <w:highlight w:val="none"/>
          <w:lang w:val="zh-CN" w:eastAsia="zh-CN"/>
        </w:rPr>
        <w:t>评审方法</w:t>
      </w:r>
      <w:bookmarkEnd w:id="410"/>
      <w:bookmarkEnd w:id="411"/>
    </w:p>
    <w:p w14:paraId="53640E9C">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本项目采用综合评分法。综合评分法是指经磋商确定最终采购需求和提交最后报价</w:t>
      </w:r>
      <w:r>
        <w:rPr>
          <w:rFonts w:hint="eastAsia"/>
          <w:b/>
          <w:bCs/>
          <w:i w:val="0"/>
          <w:iCs w:val="0"/>
          <w:color w:val="auto"/>
          <w:szCs w:val="24"/>
          <w:highlight w:val="none"/>
          <w:lang w:val="zh-CN"/>
        </w:rPr>
        <w:t>（因落实政府采购政策进行价格调整的，以调整后的价格计算）</w:t>
      </w:r>
      <w:r>
        <w:rPr>
          <w:rFonts w:hint="eastAsia"/>
          <w:i w:val="0"/>
          <w:iCs w:val="0"/>
          <w:color w:val="auto"/>
          <w:highlight w:val="none"/>
        </w:rPr>
        <w:t>的供应商的响应文件满足磋商文件全部实质性要求且按评审因素的量化指标评审得分最高的供应商为成交候选供应商的评审方法。</w:t>
      </w:r>
    </w:p>
    <w:p w14:paraId="2E5B7BB0">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eastAsia"/>
          <w:i w:val="0"/>
          <w:iCs w:val="0"/>
          <w:color w:val="auto"/>
          <w:sz w:val="28"/>
          <w:szCs w:val="28"/>
          <w:highlight w:val="none"/>
          <w:lang w:val="zh-CN" w:eastAsia="zh-CN"/>
        </w:rPr>
      </w:pPr>
      <w:bookmarkStart w:id="412" w:name="_Toc163493633"/>
      <w:bookmarkStart w:id="413" w:name="_Toc9851"/>
      <w:r>
        <w:rPr>
          <w:rFonts w:hint="eastAsia"/>
          <w:i w:val="0"/>
          <w:iCs w:val="0"/>
          <w:color w:val="auto"/>
          <w:sz w:val="28"/>
          <w:szCs w:val="28"/>
          <w:highlight w:val="none"/>
          <w:lang w:val="en-US" w:eastAsia="zh-CN"/>
        </w:rPr>
        <w:t>二、</w:t>
      </w:r>
      <w:r>
        <w:rPr>
          <w:rFonts w:hint="eastAsia"/>
          <w:i w:val="0"/>
          <w:iCs w:val="0"/>
          <w:color w:val="auto"/>
          <w:sz w:val="28"/>
          <w:szCs w:val="28"/>
          <w:highlight w:val="none"/>
          <w:lang w:val="zh-CN" w:eastAsia="zh-CN"/>
        </w:rPr>
        <w:t>评审程序</w:t>
      </w:r>
      <w:bookmarkEnd w:id="412"/>
      <w:bookmarkEnd w:id="413"/>
    </w:p>
    <w:p w14:paraId="25412360">
      <w:pPr>
        <w:pStyle w:val="7"/>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14" w:name="_Toc163493634"/>
      <w:r>
        <w:rPr>
          <w:rFonts w:hint="eastAsia" w:ascii="宋体" w:hAnsi="宋体" w:eastAsia="宋体" w:cs="宋体"/>
          <w:b/>
          <w:bCs/>
          <w:i w:val="0"/>
          <w:iCs w:val="0"/>
          <w:color w:val="auto"/>
          <w:kern w:val="2"/>
          <w:sz w:val="24"/>
          <w:szCs w:val="24"/>
          <w:highlight w:val="none"/>
          <w:lang w:val="zh-CN" w:eastAsia="zh-CN" w:bidi="ar-SA"/>
        </w:rPr>
        <w:t>（一）资格审查和符合性审查</w:t>
      </w:r>
      <w:bookmarkEnd w:id="414"/>
    </w:p>
    <w:p w14:paraId="64549C54">
      <w:pPr>
        <w:pageBreakBefore w:val="0"/>
        <w:tabs>
          <w:tab w:val="left" w:pos="312"/>
        </w:tabs>
        <w:kinsoku/>
        <w:wordWrap w:val="0"/>
        <w:overflowPunct/>
        <w:topLinePunct w:val="0"/>
        <w:autoSpaceDE/>
        <w:autoSpaceDN/>
        <w:bidi w:val="0"/>
        <w:adjustRightInd w:val="0"/>
        <w:snapToGrid w:val="0"/>
        <w:spacing w:line="440" w:lineRule="exact"/>
        <w:ind w:firstLine="480" w:firstLineChars="200"/>
        <w:jc w:val="both"/>
        <w:textAlignment w:val="auto"/>
        <w:rPr>
          <w:rFonts w:hint="eastAsia"/>
          <w:i w:val="0"/>
          <w:iCs w:val="0"/>
          <w:color w:val="auto"/>
          <w:highlight w:val="none"/>
          <w:lang w:val="zh-CN"/>
        </w:rPr>
      </w:pPr>
      <w:r>
        <w:rPr>
          <w:rFonts w:hint="eastAsia"/>
          <w:i w:val="0"/>
          <w:iCs w:val="0"/>
          <w:color w:val="auto"/>
          <w:szCs w:val="24"/>
          <w:highlight w:val="none"/>
        </w:rPr>
        <w:t>1</w:t>
      </w:r>
      <w:r>
        <w:rPr>
          <w:i w:val="0"/>
          <w:iCs w:val="0"/>
          <w:color w:val="auto"/>
          <w:szCs w:val="24"/>
          <w:highlight w:val="none"/>
        </w:rPr>
        <w:t>.</w:t>
      </w:r>
      <w:r>
        <w:rPr>
          <w:rFonts w:hint="eastAsia"/>
          <w:i w:val="0"/>
          <w:iCs w:val="0"/>
          <w:color w:val="auto"/>
          <w:szCs w:val="24"/>
          <w:highlight w:val="none"/>
        </w:rPr>
        <w:t>磋商小组</w:t>
      </w:r>
      <w:r>
        <w:rPr>
          <w:rFonts w:hint="eastAsia" w:cs="宋体"/>
          <w:i w:val="0"/>
          <w:iCs w:val="0"/>
          <w:color w:val="auto"/>
          <w:highlight w:val="none"/>
        </w:rPr>
        <w:t>根据磋商文件规定的供应商资格条件、评</w:t>
      </w:r>
      <w:r>
        <w:rPr>
          <w:rFonts w:hint="eastAsia" w:cs="宋体"/>
          <w:i w:val="0"/>
          <w:iCs w:val="0"/>
          <w:color w:val="auto"/>
          <w:highlight w:val="none"/>
          <w:lang w:val="en-US" w:eastAsia="zh-CN"/>
        </w:rPr>
        <w:t>审</w:t>
      </w:r>
      <w:r>
        <w:rPr>
          <w:rFonts w:hint="eastAsia" w:cs="宋体"/>
          <w:i w:val="0"/>
          <w:iCs w:val="0"/>
          <w:color w:val="auto"/>
          <w:highlight w:val="none"/>
        </w:rPr>
        <w:t>成交的标准等事项，对供应商的响应文件进行评审。资格审查和符合性审查不符合磋商文件要求的响应文件，按</w:t>
      </w:r>
      <w:r>
        <w:rPr>
          <w:rFonts w:hint="eastAsia" w:cs="宋体"/>
          <w:b/>
          <w:bCs/>
          <w:i w:val="0"/>
          <w:iCs w:val="0"/>
          <w:color w:val="auto"/>
          <w:highlight w:val="none"/>
        </w:rPr>
        <w:t>无效文件</w:t>
      </w:r>
      <w:r>
        <w:rPr>
          <w:rFonts w:hint="eastAsia" w:cs="宋体"/>
          <w:i w:val="0"/>
          <w:iCs w:val="0"/>
          <w:color w:val="auto"/>
          <w:highlight w:val="none"/>
        </w:rPr>
        <w:t>处理，不进入磋商，并告知有关供应商</w:t>
      </w:r>
      <w:r>
        <w:rPr>
          <w:rFonts w:hint="eastAsia"/>
          <w:i w:val="0"/>
          <w:iCs w:val="0"/>
          <w:color w:val="auto"/>
          <w:highlight w:val="none"/>
          <w:lang w:val="zh-CN"/>
        </w:rPr>
        <w:t>。</w:t>
      </w:r>
    </w:p>
    <w:p w14:paraId="24AD4304">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i w:val="0"/>
          <w:iCs w:val="0"/>
          <w:color w:val="auto"/>
          <w:highlight w:val="none"/>
        </w:rPr>
        <w:t>2.</w:t>
      </w:r>
      <w:r>
        <w:rPr>
          <w:rFonts w:hint="eastAsia"/>
          <w:i w:val="0"/>
          <w:iCs w:val="0"/>
          <w:color w:val="auto"/>
          <w:highlight w:val="none"/>
          <w:lang w:val="en-US" w:eastAsia="zh-CN"/>
        </w:rPr>
        <w:t>通过</w:t>
      </w:r>
      <w:r>
        <w:rPr>
          <w:rFonts w:hint="eastAsia" w:cs="宋体"/>
          <w:i w:val="0"/>
          <w:iCs w:val="0"/>
          <w:color w:val="auto"/>
          <w:highlight w:val="none"/>
        </w:rPr>
        <w:t>资格性审查和符合性审查</w:t>
      </w:r>
      <w:r>
        <w:rPr>
          <w:rFonts w:hint="eastAsia" w:cs="宋体"/>
          <w:i w:val="0"/>
          <w:iCs w:val="0"/>
          <w:color w:val="auto"/>
          <w:highlight w:val="none"/>
          <w:lang w:val="en-US" w:eastAsia="zh-CN"/>
        </w:rPr>
        <w:t>的</w:t>
      </w:r>
      <w:r>
        <w:rPr>
          <w:rFonts w:hint="eastAsia"/>
          <w:i w:val="0"/>
          <w:iCs w:val="0"/>
          <w:color w:val="auto"/>
          <w:highlight w:val="none"/>
        </w:rPr>
        <w:t>有效</w:t>
      </w:r>
      <w:r>
        <w:rPr>
          <w:rFonts w:hint="eastAsia"/>
          <w:i w:val="0"/>
          <w:iCs w:val="0"/>
          <w:color w:val="auto"/>
          <w:highlight w:val="none"/>
          <w:lang w:eastAsia="zh-CN"/>
        </w:rPr>
        <w:t>供应商</w:t>
      </w:r>
      <w:r>
        <w:rPr>
          <w:rFonts w:hint="eastAsia"/>
          <w:i w:val="0"/>
          <w:iCs w:val="0"/>
          <w:color w:val="auto"/>
          <w:highlight w:val="none"/>
        </w:rPr>
        <w:t>不足3家的应当终止竞争性磋商采购活动，发布项目终止公告并说明原因，重新开展采购活动。</w:t>
      </w:r>
    </w:p>
    <w:p w14:paraId="2BB3FE29">
      <w:pPr>
        <w:pStyle w:val="36"/>
        <w:pageBreakBefore w:val="0"/>
        <w:kinsoku/>
        <w:overflowPunct/>
        <w:topLinePunct w:val="0"/>
        <w:autoSpaceDE/>
        <w:autoSpaceDN/>
        <w:bidi w:val="0"/>
        <w:spacing w:line="440" w:lineRule="exact"/>
        <w:ind w:firstLine="480"/>
        <w:jc w:val="both"/>
        <w:textAlignment w:val="auto"/>
        <w:rPr>
          <w:rFonts w:hint="default" w:eastAsia="宋体"/>
          <w:i w:val="0"/>
          <w:iCs w:val="0"/>
          <w:color w:val="auto"/>
          <w:highlight w:val="none"/>
          <w:lang w:val="en-US" w:eastAsia="zh-CN"/>
        </w:rPr>
      </w:pPr>
      <w:r>
        <w:rPr>
          <w:rFonts w:hint="eastAsia"/>
          <w:i w:val="0"/>
          <w:iCs w:val="0"/>
          <w:color w:val="auto"/>
          <w:highlight w:val="none"/>
          <w:lang w:val="en-US" w:eastAsia="zh-CN"/>
        </w:rPr>
        <w:t>3.根据《财政部关于政府采购竞争性磋商采购方式管理暂行办法有关问题的补充通知》的要求，采用竞争性磋商采购方式采购的政府购买服务项目（含政府和社会资本合作项目），在采购过程中符合要求的供应商（社会资本）只有2家的，竞争性磋商采购活动可以继续进行。采购过程中符合要求的供应商（社会资本）只有1家的，采购人（项目实施机构）或者采购代理机构应当终止竞争性磋商采购活动，发布项目终止公告并说明原因，重新开展采购活动。</w:t>
      </w:r>
    </w:p>
    <w:p w14:paraId="2480155A">
      <w:pPr>
        <w:pStyle w:val="7"/>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15" w:name="_Toc163493635"/>
      <w:bookmarkStart w:id="416" w:name="_Hlk158124046"/>
      <w:bookmarkStart w:id="417" w:name="_Toc102116178"/>
      <w:bookmarkStart w:id="418" w:name="_Toc102116048"/>
      <w:bookmarkStart w:id="419" w:name="_Toc102057744"/>
      <w:bookmarkStart w:id="420" w:name="_Toc102119879"/>
      <w:bookmarkStart w:id="421" w:name="_Toc102056244"/>
      <w:bookmarkStart w:id="422" w:name="_Toc102114946"/>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响应文件澄清</w:t>
      </w:r>
      <w:bookmarkEnd w:id="415"/>
    </w:p>
    <w:p w14:paraId="4E589A43">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rPr>
      </w:pPr>
      <w:r>
        <w:rPr>
          <w:rFonts w:hint="eastAsia" w:ascii="宋体" w:hAnsi="宋体" w:eastAsia="宋体"/>
          <w:i w:val="0"/>
          <w:iCs w:val="0"/>
          <w:color w:val="auto"/>
          <w:highlight w:val="none"/>
        </w:rPr>
        <w:t>1.</w:t>
      </w:r>
      <w:r>
        <w:rPr>
          <w:rFonts w:hint="eastAsia" w:ascii="宋体" w:hAnsi="宋体" w:eastAsia="宋体"/>
          <w:i w:val="0"/>
          <w:iCs w:val="0"/>
          <w:color w:val="auto"/>
          <w:highlight w:val="none"/>
          <w:lang w:val="en-US" w:eastAsia="zh-CN"/>
        </w:rPr>
        <w:t>磋商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07E33E43">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ascii="宋体" w:hAnsi="宋体" w:eastAsia="宋体"/>
          <w:i w:val="0"/>
          <w:iCs w:val="0"/>
          <w:color w:val="auto"/>
          <w:highlight w:val="none"/>
          <w:lang w:val="en-US" w:eastAsia="zh-CN"/>
        </w:rPr>
        <w:t>2.磋商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bookmarkEnd w:id="416"/>
    <w:p w14:paraId="27E4E052">
      <w:pPr>
        <w:pStyle w:val="7"/>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zh-CN" w:eastAsia="zh-CN" w:bidi="ar-SA"/>
        </w:rPr>
      </w:pPr>
      <w:bookmarkStart w:id="423" w:name="_Toc163493636"/>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zh-CN" w:eastAsia="zh-CN" w:bidi="ar-SA"/>
        </w:rPr>
        <w:t>磋商程序</w:t>
      </w:r>
      <w:bookmarkEnd w:id="423"/>
    </w:p>
    <w:p w14:paraId="3B21DF86">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磋商小组应当依据磋商文件规定的程序、评</w:t>
      </w:r>
      <w:r>
        <w:rPr>
          <w:rFonts w:hint="eastAsia"/>
          <w:i w:val="0"/>
          <w:iCs w:val="0"/>
          <w:color w:val="auto"/>
          <w:highlight w:val="none"/>
          <w:lang w:val="en-US" w:eastAsia="zh-CN"/>
        </w:rPr>
        <w:t>审</w:t>
      </w:r>
      <w:r>
        <w:rPr>
          <w:rFonts w:hint="eastAsia"/>
          <w:i w:val="0"/>
          <w:iCs w:val="0"/>
          <w:color w:val="auto"/>
          <w:highlight w:val="none"/>
        </w:rPr>
        <w:t>成交的标准等事项与</w:t>
      </w:r>
      <w:r>
        <w:rPr>
          <w:rFonts w:hint="eastAsia" w:cs="Helvetica"/>
          <w:i w:val="0"/>
          <w:iCs w:val="0"/>
          <w:color w:val="auto"/>
          <w:szCs w:val="24"/>
          <w:highlight w:val="none"/>
          <w:lang w:val="zh-CN"/>
        </w:rPr>
        <w:t>实质性</w:t>
      </w:r>
      <w:r>
        <w:rPr>
          <w:rFonts w:hint="eastAsia"/>
          <w:i w:val="0"/>
          <w:iCs w:val="0"/>
          <w:color w:val="auto"/>
          <w:highlight w:val="none"/>
        </w:rPr>
        <w:t>响应磋商文件要求的供应商</w:t>
      </w:r>
      <w:r>
        <w:rPr>
          <w:i w:val="0"/>
          <w:iCs w:val="0"/>
          <w:color w:val="auto"/>
          <w:highlight w:val="none"/>
        </w:rPr>
        <w:t>进行</w:t>
      </w:r>
      <w:r>
        <w:rPr>
          <w:rFonts w:hint="eastAsia"/>
          <w:i w:val="0"/>
          <w:iCs w:val="0"/>
          <w:color w:val="auto"/>
          <w:highlight w:val="none"/>
        </w:rPr>
        <w:t>磋商。</w:t>
      </w:r>
    </w:p>
    <w:p w14:paraId="410355B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1.第一轮磋商</w:t>
      </w:r>
    </w:p>
    <w:p w14:paraId="3A166FAD">
      <w:pPr>
        <w:pStyle w:val="36"/>
        <w:pageBreakBefore w:val="0"/>
        <w:kinsoku/>
        <w:overflowPunct/>
        <w:topLinePunct w:val="0"/>
        <w:autoSpaceDE/>
        <w:autoSpaceDN/>
        <w:bidi w:val="0"/>
        <w:spacing w:line="440" w:lineRule="exact"/>
        <w:ind w:firstLine="480"/>
        <w:jc w:val="both"/>
        <w:textAlignment w:val="auto"/>
        <w:rPr>
          <w:rFonts w:cs="宋体"/>
          <w:i w:val="0"/>
          <w:iCs w:val="0"/>
          <w:color w:val="auto"/>
          <w:szCs w:val="24"/>
          <w:highlight w:val="none"/>
        </w:rPr>
      </w:pPr>
      <w:r>
        <w:rPr>
          <w:rFonts w:hint="eastAsia"/>
          <w:i w:val="0"/>
          <w:iCs w:val="0"/>
          <w:color w:val="auto"/>
          <w:highlight w:val="none"/>
          <w:lang w:val="zh-CN"/>
        </w:rPr>
        <w:t>1</w:t>
      </w:r>
      <w:r>
        <w:rPr>
          <w:i w:val="0"/>
          <w:iCs w:val="0"/>
          <w:color w:val="auto"/>
          <w:highlight w:val="none"/>
          <w:lang w:val="zh-CN"/>
        </w:rPr>
        <w:t>.1</w:t>
      </w:r>
      <w:r>
        <w:rPr>
          <w:rFonts w:hint="eastAsia"/>
          <w:i w:val="0"/>
          <w:iCs w:val="0"/>
          <w:color w:val="auto"/>
          <w:highlight w:val="none"/>
          <w:lang w:val="zh-CN"/>
        </w:rPr>
        <w:t>磋商小组将按照系统随机的顺序决定供应商的磋商顺序，并集中与单一供应商分别进行磋商</w:t>
      </w:r>
      <w:r>
        <w:rPr>
          <w:rFonts w:hint="eastAsia" w:cs="宋体"/>
          <w:i w:val="0"/>
          <w:iCs w:val="0"/>
          <w:color w:val="auto"/>
          <w:szCs w:val="24"/>
          <w:highlight w:val="none"/>
        </w:rPr>
        <w:t>。</w:t>
      </w:r>
    </w:p>
    <w:p w14:paraId="77949909">
      <w:pPr>
        <w:pStyle w:val="36"/>
        <w:pageBreakBefore w:val="0"/>
        <w:kinsoku/>
        <w:overflowPunct/>
        <w:topLinePunct w:val="0"/>
        <w:autoSpaceDE/>
        <w:autoSpaceDN/>
        <w:bidi w:val="0"/>
        <w:spacing w:line="440" w:lineRule="exact"/>
        <w:ind w:firstLine="480"/>
        <w:jc w:val="both"/>
        <w:textAlignment w:val="auto"/>
        <w:rPr>
          <w:rFonts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.2</w:t>
      </w:r>
      <w:r>
        <w:rPr>
          <w:rFonts w:hint="eastAsia" w:cs="宋体"/>
          <w:i w:val="0"/>
          <w:iCs w:val="0"/>
          <w:color w:val="auto"/>
          <w:szCs w:val="24"/>
          <w:highlight w:val="none"/>
        </w:rPr>
        <w:t>磋商小组所有成员应当对照磋商文件和响应文件就采购需求、质量和服务等内容集中与单一供应商分别进行磋商，并给予所有参加磋商的供应商平等的磋商机会。在磋商中，磋商的任何一方不得透露与磋商有关的其他供应商的技术资料、价格和其他信息。</w:t>
      </w:r>
    </w:p>
    <w:p w14:paraId="4B5E37B4">
      <w:pPr>
        <w:pStyle w:val="36"/>
        <w:pageBreakBefore w:val="0"/>
        <w:kinsoku/>
        <w:overflowPunct/>
        <w:topLinePunct w:val="0"/>
        <w:autoSpaceDE/>
        <w:autoSpaceDN/>
        <w:bidi w:val="0"/>
        <w:spacing w:line="440" w:lineRule="exact"/>
        <w:ind w:firstLine="480"/>
        <w:jc w:val="both"/>
        <w:textAlignment w:val="auto"/>
        <w:rPr>
          <w:rFonts w:hint="eastAsia" w:eastAsia="宋体" w:cs="宋体"/>
          <w:i w:val="0"/>
          <w:iCs w:val="0"/>
          <w:color w:val="auto"/>
          <w:szCs w:val="24"/>
          <w:highlight w:val="none"/>
          <w:lang w:eastAsia="zh-CN"/>
        </w:rPr>
      </w:pPr>
      <w:r>
        <w:rPr>
          <w:rFonts w:hint="eastAsia" w:cs="宋体"/>
          <w:i w:val="0"/>
          <w:iCs w:val="0"/>
          <w:color w:val="auto"/>
          <w:szCs w:val="24"/>
          <w:highlight w:val="none"/>
        </w:rPr>
        <w:t>1</w:t>
      </w:r>
      <w:r>
        <w:rPr>
          <w:rFonts w:cs="宋体"/>
          <w:i w:val="0"/>
          <w:iCs w:val="0"/>
          <w:color w:val="auto"/>
          <w:szCs w:val="24"/>
          <w:highlight w:val="none"/>
        </w:rPr>
        <w:t>.3</w:t>
      </w:r>
      <w:r>
        <w:rPr>
          <w:rFonts w:hint="eastAsia" w:cs="宋体"/>
          <w:i w:val="0"/>
          <w:iCs w:val="0"/>
          <w:color w:val="auto"/>
          <w:szCs w:val="24"/>
          <w:highlight w:val="none"/>
        </w:rPr>
        <w:t>磋商过程中，磋商小组可以根据磋商文件和磋商情况实质性变动采购需求中的技术、服务要求以及合同草案条款，但不得变动磋商文件中的其他内容。实质性变动的内容，须经采购人代表确认。</w:t>
      </w:r>
    </w:p>
    <w:p w14:paraId="79187789">
      <w:pPr>
        <w:pStyle w:val="36"/>
        <w:pageBreakBefore w:val="0"/>
        <w:kinsoku/>
        <w:overflowPunct/>
        <w:topLinePunct w:val="0"/>
        <w:autoSpaceDE/>
        <w:autoSpaceDN/>
        <w:bidi w:val="0"/>
        <w:spacing w:line="440" w:lineRule="exact"/>
        <w:ind w:firstLine="480"/>
        <w:jc w:val="both"/>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.4</w:t>
      </w:r>
      <w:r>
        <w:rPr>
          <w:rFonts w:hint="eastAsia" w:cs="宋体"/>
          <w:i w:val="0"/>
          <w:iCs w:val="0"/>
          <w:color w:val="auto"/>
          <w:szCs w:val="24"/>
          <w:highlight w:val="none"/>
        </w:rPr>
        <w:t>对磋商文件作出的实质性变动的内容是磋商文件的有效组成部分。磋商小组应将磋商文件的变动情况以书面</w:t>
      </w:r>
      <w:r>
        <w:rPr>
          <w:rFonts w:hint="eastAsia" w:cs="宋体"/>
          <w:i w:val="0"/>
          <w:iCs w:val="0"/>
          <w:color w:val="auto"/>
          <w:szCs w:val="24"/>
          <w:highlight w:val="none"/>
          <w:lang w:val="en-US" w:eastAsia="zh-CN"/>
        </w:rPr>
        <w:t>形</w:t>
      </w:r>
      <w:r>
        <w:rPr>
          <w:rFonts w:hint="eastAsia" w:cs="宋体"/>
          <w:i w:val="0"/>
          <w:iCs w:val="0"/>
          <w:color w:val="auto"/>
          <w:szCs w:val="24"/>
          <w:highlight w:val="none"/>
        </w:rPr>
        <w:t>式通知所有参加磋商的供应商。</w:t>
      </w:r>
    </w:p>
    <w:p w14:paraId="708F2F98">
      <w:pPr>
        <w:pStyle w:val="36"/>
        <w:pageBreakBefore w:val="0"/>
        <w:kinsoku/>
        <w:overflowPunct/>
        <w:topLinePunct w:val="0"/>
        <w:autoSpaceDE/>
        <w:autoSpaceDN/>
        <w:bidi w:val="0"/>
        <w:spacing w:line="440" w:lineRule="exact"/>
        <w:ind w:firstLine="480"/>
        <w:jc w:val="both"/>
        <w:textAlignment w:val="auto"/>
        <w:rPr>
          <w:rFonts w:hint="eastAsia" w:cs="宋体"/>
          <w:i w:val="0"/>
          <w:iCs w:val="0"/>
          <w:color w:val="auto"/>
          <w:szCs w:val="24"/>
          <w:highlight w:val="none"/>
        </w:rPr>
      </w:pPr>
      <w:r>
        <w:rPr>
          <w:rFonts w:hint="eastAsia" w:cs="宋体"/>
          <w:i w:val="0"/>
          <w:iCs w:val="0"/>
          <w:color w:val="auto"/>
          <w:szCs w:val="24"/>
          <w:highlight w:val="none"/>
        </w:rPr>
        <w:t>1</w:t>
      </w:r>
      <w:r>
        <w:rPr>
          <w:rFonts w:cs="宋体"/>
          <w:i w:val="0"/>
          <w:iCs w:val="0"/>
          <w:color w:val="auto"/>
          <w:szCs w:val="24"/>
          <w:highlight w:val="none"/>
        </w:rPr>
        <w:t>.5</w:t>
      </w:r>
      <w:r>
        <w:rPr>
          <w:rFonts w:hint="eastAsia" w:cs="宋体"/>
          <w:i w:val="0"/>
          <w:iCs w:val="0"/>
          <w:color w:val="auto"/>
          <w:szCs w:val="24"/>
          <w:highlight w:val="none"/>
        </w:rPr>
        <w:t>供应商应当按照磋商文件的变动情况和磋商小组的要求在规定的时间内重新提交响应文件，并由其法定代表人或授权代表签字或者加盖公章。由授权代表签字的，应当附法定代表人授权书。供应商为自然人的，应当由本人签字并附身份证明。逾时不提交的，视同退出磋商。</w:t>
      </w:r>
    </w:p>
    <w:p w14:paraId="296A5BF1">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2.多轮磋商</w:t>
      </w:r>
    </w:p>
    <w:p w14:paraId="320277BA">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i w:val="0"/>
          <w:iCs w:val="0"/>
          <w:color w:val="auto"/>
          <w:highlight w:val="none"/>
        </w:rPr>
        <w:t>2.1</w:t>
      </w:r>
      <w:r>
        <w:rPr>
          <w:rFonts w:hint="eastAsia"/>
          <w:i w:val="0"/>
          <w:iCs w:val="0"/>
          <w:color w:val="auto"/>
          <w:highlight w:val="none"/>
        </w:rPr>
        <w:t>磋商文件中不能详细列明采购标的的技术、服务要求，需经磋商由供应商提供最终设计方案或解决方案的项目，磋商小组可以根据采购人对采购需求的确认情况，进行多轮磋商，直到采购人代表最终确认采购需求为止。</w:t>
      </w:r>
    </w:p>
    <w:p w14:paraId="7990D9D0">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i w:val="0"/>
          <w:iCs w:val="0"/>
          <w:color w:val="auto"/>
          <w:highlight w:val="none"/>
        </w:rPr>
        <w:t>2</w:t>
      </w:r>
      <w:r>
        <w:rPr>
          <w:i w:val="0"/>
          <w:iCs w:val="0"/>
          <w:color w:val="auto"/>
          <w:highlight w:val="none"/>
        </w:rPr>
        <w:t>.</w:t>
      </w:r>
      <w:r>
        <w:rPr>
          <w:rFonts w:hint="eastAsia"/>
          <w:i w:val="0"/>
          <w:iCs w:val="0"/>
          <w:color w:val="auto"/>
          <w:highlight w:val="none"/>
          <w:lang w:val="en-US" w:eastAsia="zh-CN"/>
        </w:rPr>
        <w:t>2</w:t>
      </w:r>
      <w:r>
        <w:rPr>
          <w:rFonts w:hint="eastAsia"/>
          <w:i w:val="0"/>
          <w:iCs w:val="0"/>
          <w:color w:val="auto"/>
          <w:highlight w:val="none"/>
        </w:rPr>
        <w:t>磋商程序同第一轮磋商。</w:t>
      </w:r>
    </w:p>
    <w:p w14:paraId="6D13EF99">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rFonts w:hint="eastAsia" w:cs="宋体"/>
          <w:color w:val="auto"/>
          <w:sz w:val="24"/>
          <w:szCs w:val="24"/>
          <w:highlight w:val="none"/>
          <w:lang w:val="en-US" w:eastAsia="zh-CN"/>
        </w:rPr>
        <w:t>2.3本项目磋商轮次及磋商顺序详“供应商须知前附表”。</w:t>
      </w:r>
    </w:p>
    <w:p w14:paraId="47413248">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3.最后报价</w:t>
      </w:r>
    </w:p>
    <w:p w14:paraId="2AED22E8">
      <w:pPr>
        <w:pStyle w:val="36"/>
        <w:pageBreakBefore w:val="0"/>
        <w:kinsoku/>
        <w:overflowPunct/>
        <w:topLinePunct w:val="0"/>
        <w:autoSpaceDE/>
        <w:autoSpaceDN/>
        <w:bidi w:val="0"/>
        <w:spacing w:line="440" w:lineRule="exact"/>
        <w:ind w:firstLine="480"/>
        <w:jc w:val="both"/>
        <w:textAlignment w:val="auto"/>
        <w:rPr>
          <w:i w:val="0"/>
          <w:iCs w:val="0"/>
          <w:color w:val="auto"/>
          <w:highlight w:val="none"/>
        </w:rPr>
      </w:pPr>
      <w:r>
        <w:rPr>
          <w:rFonts w:hint="eastAsia"/>
          <w:i w:val="0"/>
          <w:iCs w:val="0"/>
          <w:color w:val="auto"/>
          <w:highlight w:val="none"/>
        </w:rPr>
        <w:t>3</w:t>
      </w:r>
      <w:r>
        <w:rPr>
          <w:i w:val="0"/>
          <w:iCs w:val="0"/>
          <w:color w:val="auto"/>
          <w:highlight w:val="none"/>
        </w:rPr>
        <w:t>.1</w:t>
      </w:r>
      <w:r>
        <w:rPr>
          <w:rFonts w:hint="eastAsia"/>
          <w:i w:val="0"/>
          <w:iCs w:val="0"/>
          <w:color w:val="auto"/>
          <w:highlight w:val="none"/>
        </w:rPr>
        <w:t>磋商文件中能够详细列明采购标的的技术、服务要求的，磋商结束后，磋商小组应当要求所有</w:t>
      </w:r>
      <w:r>
        <w:rPr>
          <w:rFonts w:hint="eastAsia"/>
          <w:i w:val="0"/>
          <w:iCs w:val="0"/>
          <w:color w:val="auto"/>
          <w:highlight w:val="none"/>
          <w:lang w:val="en-US" w:eastAsia="zh-CN"/>
        </w:rPr>
        <w:t>实质性响应</w:t>
      </w:r>
      <w:r>
        <w:rPr>
          <w:rFonts w:hint="eastAsia"/>
          <w:i w:val="0"/>
          <w:iCs w:val="0"/>
          <w:color w:val="auto"/>
          <w:highlight w:val="none"/>
        </w:rPr>
        <w:t>的供应商，在规定时间内，以书面的方式经授权代表签字（或加盖公章）后提交最后报价，提交最后报价的供应商不得少于3家</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w:t>
      </w:r>
    </w:p>
    <w:p w14:paraId="5C393493">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rPr>
      </w:pPr>
      <w:r>
        <w:rPr>
          <w:i w:val="0"/>
          <w:iCs w:val="0"/>
          <w:color w:val="auto"/>
          <w:highlight w:val="none"/>
        </w:rPr>
        <w:t>3.2</w:t>
      </w:r>
      <w:r>
        <w:rPr>
          <w:rFonts w:hint="eastAsia"/>
          <w:i w:val="0"/>
          <w:iCs w:val="0"/>
          <w:color w:val="auto"/>
          <w:highlight w:val="none"/>
        </w:rPr>
        <w:t>磋商文件中不能详细列明采购标的的技术、服务要求，需经磋商由供应商提供最</w:t>
      </w:r>
      <w:r>
        <w:rPr>
          <w:rFonts w:hint="eastAsia"/>
          <w:i w:val="0"/>
          <w:iCs w:val="0"/>
          <w:color w:val="auto"/>
          <w:highlight w:val="none"/>
          <w:lang w:val="en-US" w:eastAsia="zh-CN"/>
        </w:rPr>
        <w:t>终</w:t>
      </w:r>
      <w:r>
        <w:rPr>
          <w:rFonts w:hint="eastAsia"/>
          <w:i w:val="0"/>
          <w:iCs w:val="0"/>
          <w:color w:val="auto"/>
          <w:highlight w:val="none"/>
        </w:rPr>
        <w:t>设计方案或解决方案的，磋商结束后，磋商小组应当按照少数服从多数的原则投票推荐3家以上供应商的设计方案或者解决方案，并要求其在规定时间内提交最后报价。</w:t>
      </w:r>
    </w:p>
    <w:p w14:paraId="50FAF062">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rPr>
      </w:pPr>
      <w:r>
        <w:rPr>
          <w:i w:val="0"/>
          <w:iCs w:val="0"/>
          <w:color w:val="auto"/>
          <w:highlight w:val="none"/>
        </w:rPr>
        <w:t>3.</w:t>
      </w:r>
      <w:r>
        <w:rPr>
          <w:rFonts w:hint="eastAsia"/>
          <w:i w:val="0"/>
          <w:iCs w:val="0"/>
          <w:color w:val="auto"/>
          <w:highlight w:val="none"/>
          <w:lang w:val="en-US" w:eastAsia="zh-CN"/>
        </w:rPr>
        <w:t>3</w:t>
      </w:r>
      <w:r>
        <w:rPr>
          <w:rFonts w:hint="eastAsia"/>
          <w:i w:val="0"/>
          <w:iCs w:val="0"/>
          <w:color w:val="auto"/>
          <w:highlight w:val="none"/>
        </w:rPr>
        <w:t>最后报价是供应商响应文件的有效组成部分。逾时不提交的，视同退出</w:t>
      </w:r>
      <w:r>
        <w:rPr>
          <w:rFonts w:hint="eastAsia" w:ascii="宋体" w:hAnsi="宋体" w:eastAsia="宋体"/>
          <w:i w:val="0"/>
          <w:iCs w:val="0"/>
          <w:color w:val="auto"/>
          <w:highlight w:val="none"/>
        </w:rPr>
        <w:t>磋商。</w:t>
      </w:r>
    </w:p>
    <w:p w14:paraId="14751A39">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最后</w:t>
      </w:r>
      <w:r>
        <w:rPr>
          <w:rFonts w:ascii="宋体" w:hAnsi="宋体" w:eastAsia="宋体"/>
          <w:i w:val="0"/>
          <w:iCs w:val="0"/>
          <w:color w:val="auto"/>
          <w:highlight w:val="none"/>
          <w:lang w:val="zh-CN"/>
        </w:rPr>
        <w:t>报价出现</w:t>
      </w:r>
      <w:r>
        <w:rPr>
          <w:rFonts w:hint="eastAsia" w:ascii="宋体" w:hAnsi="宋体" w:eastAsia="宋体"/>
          <w:i w:val="0"/>
          <w:iCs w:val="0"/>
          <w:color w:val="auto"/>
          <w:highlight w:val="none"/>
          <w:lang w:val="zh-CN"/>
        </w:rPr>
        <w:t>前后不一致的</w:t>
      </w:r>
      <w:r>
        <w:rPr>
          <w:rFonts w:ascii="宋体" w:hAnsi="宋体" w:eastAsia="宋体"/>
          <w:i w:val="0"/>
          <w:iCs w:val="0"/>
          <w:color w:val="auto"/>
          <w:highlight w:val="none"/>
          <w:lang w:val="zh-CN"/>
        </w:rPr>
        <w:t>，按照下列规定修正：</w:t>
      </w:r>
    </w:p>
    <w:p w14:paraId="7FF06AF5">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（1）</w:t>
      </w:r>
      <w:r>
        <w:rPr>
          <w:rFonts w:ascii="宋体" w:hAnsi="宋体" w:eastAsia="宋体"/>
          <w:i w:val="0"/>
          <w:iCs w:val="0"/>
          <w:color w:val="auto"/>
          <w:highlight w:val="none"/>
          <w:lang w:val="zh-CN"/>
        </w:rPr>
        <w:t>大写金额和小写金额不一致的，以大写金额为准</w:t>
      </w:r>
      <w:r>
        <w:rPr>
          <w:rFonts w:hint="eastAsia" w:ascii="宋体" w:hAnsi="宋体" w:eastAsia="宋体"/>
          <w:i w:val="0"/>
          <w:iCs w:val="0"/>
          <w:color w:val="auto"/>
          <w:highlight w:val="none"/>
          <w:lang w:val="zh-CN"/>
        </w:rPr>
        <w:t>；</w:t>
      </w:r>
    </w:p>
    <w:p w14:paraId="7677FB88">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（2）</w:t>
      </w:r>
      <w:r>
        <w:rPr>
          <w:rFonts w:ascii="宋体" w:hAnsi="宋体" w:eastAsia="宋体"/>
          <w:i w:val="0"/>
          <w:iCs w:val="0"/>
          <w:color w:val="auto"/>
          <w:highlight w:val="none"/>
          <w:lang w:val="zh-CN"/>
        </w:rPr>
        <w:t>单价金额</w:t>
      </w:r>
      <w:r>
        <w:rPr>
          <w:rFonts w:ascii="宋体" w:hAnsi="宋体" w:eastAsia="宋体"/>
          <w:i w:val="0"/>
          <w:iCs w:val="0"/>
          <w:color w:val="auto"/>
          <w:highlight w:val="none"/>
        </w:rPr>
        <w:t>小数点</w:t>
      </w:r>
      <w:r>
        <w:rPr>
          <w:rFonts w:ascii="宋体" w:hAnsi="宋体" w:eastAsia="宋体"/>
          <w:i w:val="0"/>
          <w:iCs w:val="0"/>
          <w:color w:val="auto"/>
          <w:highlight w:val="none"/>
          <w:lang w:val="zh-CN"/>
        </w:rPr>
        <w:t>或百分比有明显错位的，以</w:t>
      </w:r>
      <w:r>
        <w:rPr>
          <w:rFonts w:hint="eastAsia" w:ascii="宋体" w:hAnsi="宋体" w:eastAsia="宋体"/>
          <w:i w:val="0"/>
          <w:iCs w:val="0"/>
          <w:color w:val="auto"/>
          <w:highlight w:val="none"/>
          <w:lang w:val="zh-CN"/>
        </w:rPr>
        <w:t>最后报价表</w:t>
      </w:r>
      <w:r>
        <w:rPr>
          <w:rFonts w:ascii="宋体" w:hAnsi="宋体" w:eastAsia="宋体"/>
          <w:i w:val="0"/>
          <w:iCs w:val="0"/>
          <w:color w:val="auto"/>
          <w:highlight w:val="none"/>
          <w:lang w:val="zh-CN"/>
        </w:rPr>
        <w:t>的总价为准，并修改单价</w:t>
      </w:r>
      <w:r>
        <w:rPr>
          <w:rFonts w:hint="eastAsia" w:ascii="宋体" w:hAnsi="宋体" w:eastAsia="宋体"/>
          <w:i w:val="0"/>
          <w:iCs w:val="0"/>
          <w:color w:val="auto"/>
          <w:highlight w:val="none"/>
          <w:lang w:val="zh-CN"/>
        </w:rPr>
        <w:t>；</w:t>
      </w:r>
    </w:p>
    <w:p w14:paraId="3F18F6F4">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（3）</w:t>
      </w:r>
      <w:r>
        <w:rPr>
          <w:rFonts w:ascii="宋体" w:hAnsi="宋体" w:eastAsia="宋体"/>
          <w:i w:val="0"/>
          <w:iCs w:val="0"/>
          <w:color w:val="auto"/>
          <w:highlight w:val="none"/>
          <w:lang w:val="zh-CN"/>
        </w:rPr>
        <w:t>总价金额与按单价汇总金额不一致的，以单价金额计算结果为准</w:t>
      </w:r>
      <w:r>
        <w:rPr>
          <w:rFonts w:hint="eastAsia" w:ascii="宋体" w:hAnsi="宋体" w:eastAsia="宋体"/>
          <w:i w:val="0"/>
          <w:iCs w:val="0"/>
          <w:color w:val="auto"/>
          <w:highlight w:val="none"/>
          <w:lang w:val="zh-CN"/>
        </w:rPr>
        <w:t>；</w:t>
      </w:r>
    </w:p>
    <w:p w14:paraId="1000B355">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lang w:val="zh-CN"/>
        </w:rPr>
      </w:pPr>
      <w:r>
        <w:rPr>
          <w:rFonts w:hint="eastAsia" w:ascii="宋体" w:hAnsi="宋体" w:eastAsia="宋体"/>
          <w:i w:val="0"/>
          <w:iCs w:val="0"/>
          <w:color w:val="auto"/>
          <w:highlight w:val="none"/>
          <w:lang w:val="zh-CN"/>
        </w:rPr>
        <w:t>（4）</w:t>
      </w:r>
      <w:r>
        <w:rPr>
          <w:rFonts w:ascii="宋体" w:hAnsi="宋体" w:eastAsia="宋体"/>
          <w:i w:val="0"/>
          <w:iCs w:val="0"/>
          <w:color w:val="auto"/>
          <w:highlight w:val="none"/>
          <w:lang w:val="zh-CN"/>
        </w:rPr>
        <w:t>同时出现</w:t>
      </w:r>
      <w:r>
        <w:rPr>
          <w:rFonts w:ascii="宋体" w:hAnsi="宋体" w:eastAsia="宋体"/>
          <w:i w:val="0"/>
          <w:iCs w:val="0"/>
          <w:color w:val="auto"/>
          <w:highlight w:val="none"/>
        </w:rPr>
        <w:t>两种</w:t>
      </w:r>
      <w:r>
        <w:rPr>
          <w:rFonts w:ascii="宋体" w:hAnsi="宋体" w:eastAsia="宋体"/>
          <w:i w:val="0"/>
          <w:iCs w:val="0"/>
          <w:color w:val="auto"/>
          <w:highlight w:val="none"/>
          <w:lang w:val="zh-CN"/>
        </w:rPr>
        <w:t>以上不一致的，按照前款规定的顺序修正</w:t>
      </w:r>
      <w:r>
        <w:rPr>
          <w:rFonts w:hint="eastAsia" w:ascii="宋体" w:hAnsi="宋体" w:eastAsia="宋体"/>
          <w:i w:val="0"/>
          <w:iCs w:val="0"/>
          <w:color w:val="auto"/>
          <w:highlight w:val="none"/>
          <w:lang w:val="zh-CN"/>
        </w:rPr>
        <w:t>；</w:t>
      </w:r>
    </w:p>
    <w:p w14:paraId="119BB152">
      <w:pPr>
        <w:pStyle w:val="36"/>
        <w:pageBreakBefore w:val="0"/>
        <w:kinsoku/>
        <w:overflowPunct/>
        <w:topLinePunct w:val="0"/>
        <w:autoSpaceDE/>
        <w:autoSpaceDN/>
        <w:bidi w:val="0"/>
        <w:spacing w:line="440" w:lineRule="exact"/>
        <w:ind w:firstLine="480"/>
        <w:jc w:val="both"/>
        <w:textAlignment w:val="auto"/>
        <w:rPr>
          <w:rFonts w:ascii="宋体" w:hAnsi="宋体" w:eastAsia="宋体"/>
          <w:i w:val="0"/>
          <w:iCs w:val="0"/>
          <w:color w:val="auto"/>
          <w:highlight w:val="none"/>
        </w:rPr>
      </w:pPr>
      <w:r>
        <w:rPr>
          <w:rFonts w:hint="eastAsia" w:ascii="宋体" w:hAnsi="宋体" w:eastAsia="宋体"/>
          <w:i w:val="0"/>
          <w:iCs w:val="0"/>
          <w:color w:val="auto"/>
          <w:highlight w:val="none"/>
          <w:lang w:val="zh-CN"/>
        </w:rPr>
        <w:t>（5）</w:t>
      </w:r>
      <w:r>
        <w:rPr>
          <w:rFonts w:ascii="宋体" w:hAnsi="宋体" w:eastAsia="宋体"/>
          <w:i w:val="0"/>
          <w:iCs w:val="0"/>
          <w:color w:val="auto"/>
          <w:highlight w:val="none"/>
          <w:lang w:val="zh-CN"/>
        </w:rPr>
        <w:t>修正后的报价</w:t>
      </w:r>
      <w:r>
        <w:rPr>
          <w:rFonts w:hint="eastAsia" w:ascii="宋体" w:hAnsi="宋体" w:eastAsia="宋体"/>
          <w:i w:val="0"/>
          <w:iCs w:val="0"/>
          <w:color w:val="auto"/>
          <w:highlight w:val="none"/>
          <w:lang w:val="zh-CN"/>
        </w:rPr>
        <w:t>应通过书面方式</w:t>
      </w:r>
      <w:r>
        <w:rPr>
          <w:rFonts w:ascii="宋体" w:hAnsi="宋体" w:eastAsia="宋体"/>
          <w:i w:val="0"/>
          <w:iCs w:val="0"/>
          <w:color w:val="auto"/>
          <w:highlight w:val="none"/>
          <w:lang w:val="zh-CN"/>
        </w:rPr>
        <w:t>通知</w:t>
      </w:r>
      <w:r>
        <w:rPr>
          <w:rFonts w:hint="eastAsia" w:ascii="宋体" w:hAnsi="宋体" w:eastAsia="宋体"/>
          <w:i w:val="0"/>
          <w:iCs w:val="0"/>
          <w:color w:val="auto"/>
          <w:highlight w:val="none"/>
          <w:lang w:val="zh-CN"/>
        </w:rPr>
        <w:t>供应商，由</w:t>
      </w:r>
      <w:r>
        <w:rPr>
          <w:rFonts w:ascii="宋体" w:hAnsi="宋体" w:eastAsia="宋体"/>
          <w:i w:val="0"/>
          <w:iCs w:val="0"/>
          <w:color w:val="auto"/>
          <w:highlight w:val="none"/>
          <w:lang w:val="zh-CN"/>
        </w:rPr>
        <w:t>供应商</w:t>
      </w:r>
      <w:r>
        <w:rPr>
          <w:rFonts w:hint="eastAsia" w:ascii="宋体" w:hAnsi="宋体" w:eastAsia="宋体"/>
          <w:i w:val="0"/>
          <w:iCs w:val="0"/>
          <w:color w:val="auto"/>
          <w:highlight w:val="none"/>
          <w:lang w:val="zh-CN"/>
        </w:rPr>
        <w:t>授权代表签字（或加盖公章）</w:t>
      </w:r>
      <w:r>
        <w:rPr>
          <w:rFonts w:ascii="宋体" w:hAnsi="宋体" w:eastAsia="宋体"/>
          <w:i w:val="0"/>
          <w:iCs w:val="0"/>
          <w:color w:val="auto"/>
          <w:highlight w:val="none"/>
          <w:lang w:val="zh-CN"/>
        </w:rPr>
        <w:t>确认后产生约束力，供应商不确认的，</w:t>
      </w:r>
      <w:r>
        <w:rPr>
          <w:rFonts w:hint="eastAsia" w:ascii="宋体" w:hAnsi="宋体" w:eastAsia="宋体"/>
          <w:i w:val="0"/>
          <w:iCs w:val="0"/>
          <w:color w:val="auto"/>
          <w:highlight w:val="none"/>
          <w:lang w:val="zh-CN"/>
        </w:rPr>
        <w:t>按照</w:t>
      </w:r>
      <w:r>
        <w:rPr>
          <w:rFonts w:ascii="宋体" w:hAnsi="宋体" w:eastAsia="宋体"/>
          <w:i w:val="0"/>
          <w:iCs w:val="0"/>
          <w:color w:val="auto"/>
          <w:highlight w:val="none"/>
          <w:lang w:val="zh-CN"/>
        </w:rPr>
        <w:t>无效</w:t>
      </w:r>
      <w:r>
        <w:rPr>
          <w:rFonts w:hint="eastAsia" w:ascii="宋体" w:hAnsi="宋体" w:eastAsia="宋体"/>
          <w:i w:val="0"/>
          <w:iCs w:val="0"/>
          <w:color w:val="auto"/>
          <w:highlight w:val="none"/>
          <w:lang w:val="zh-CN"/>
        </w:rPr>
        <w:t>响应处理</w:t>
      </w:r>
      <w:r>
        <w:rPr>
          <w:rFonts w:ascii="宋体" w:hAnsi="宋体" w:eastAsia="宋体"/>
          <w:i w:val="0"/>
          <w:iCs w:val="0"/>
          <w:color w:val="auto"/>
          <w:highlight w:val="none"/>
          <w:lang w:val="zh-CN"/>
        </w:rPr>
        <w:t>。</w:t>
      </w:r>
    </w:p>
    <w:p w14:paraId="492B1BCC">
      <w:pPr>
        <w:pageBreakBefore w:val="0"/>
        <w:tabs>
          <w:tab w:val="left" w:pos="993"/>
        </w:tabs>
        <w:kinsoku/>
        <w:wordWrap w:val="0"/>
        <w:overflowPunct/>
        <w:topLinePunct w:val="0"/>
        <w:autoSpaceDE/>
        <w:autoSpaceDN/>
        <w:bidi w:val="0"/>
        <w:adjustRightInd w:val="0"/>
        <w:snapToGrid w:val="0"/>
        <w:spacing w:line="440" w:lineRule="exact"/>
        <w:ind w:firstLine="480" w:firstLineChars="200"/>
        <w:jc w:val="both"/>
        <w:textAlignment w:val="auto"/>
        <w:rPr>
          <w:i w:val="0"/>
          <w:iCs w:val="0"/>
          <w:color w:val="auto"/>
          <w:highlight w:val="none"/>
        </w:rPr>
      </w:pPr>
      <w:r>
        <w:rPr>
          <w:rFonts w:hint="eastAsia" w:ascii="宋体" w:hAnsi="宋体" w:eastAsia="宋体"/>
          <w:i w:val="0"/>
          <w:iCs w:val="0"/>
          <w:color w:val="auto"/>
          <w:highlight w:val="none"/>
          <w:lang w:val="en-US" w:eastAsia="zh-CN"/>
        </w:rPr>
        <w:t>3.4已提交响应文件的供应商，在提交最后报价之前，可以根据磋商情况退出磋商，退出磋商供应商的磋商保证金</w:t>
      </w:r>
      <w:r>
        <w:rPr>
          <w:rFonts w:hint="eastAsia"/>
          <w:i w:val="0"/>
          <w:iCs w:val="0"/>
          <w:color w:val="auto"/>
          <w:highlight w:val="none"/>
          <w:lang w:val="en-US" w:eastAsia="zh-CN"/>
        </w:rPr>
        <w:t>可予以</w:t>
      </w:r>
      <w:r>
        <w:rPr>
          <w:rFonts w:hint="eastAsia" w:ascii="宋体" w:hAnsi="宋体" w:eastAsia="宋体"/>
          <w:i w:val="0"/>
          <w:iCs w:val="0"/>
          <w:color w:val="auto"/>
          <w:highlight w:val="none"/>
          <w:lang w:val="en-US" w:eastAsia="zh-CN"/>
        </w:rPr>
        <w:t>退还</w:t>
      </w:r>
      <w:r>
        <w:rPr>
          <w:i w:val="0"/>
          <w:iCs w:val="0"/>
          <w:color w:val="auto"/>
          <w:szCs w:val="24"/>
          <w:highlight w:val="none"/>
          <w:lang w:val="zh-CN"/>
        </w:rPr>
        <w:t>。</w:t>
      </w:r>
    </w:p>
    <w:p w14:paraId="37D01FAF">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24" w:name="_Toc102116049"/>
      <w:bookmarkStart w:id="425" w:name="_Toc102116179"/>
      <w:bookmarkStart w:id="426" w:name="_Toc102056245"/>
      <w:bookmarkStart w:id="427" w:name="_Toc102114947"/>
      <w:bookmarkStart w:id="428" w:name="_Toc102057745"/>
      <w:bookmarkStart w:id="429" w:name="_Toc102119880"/>
      <w:r>
        <w:rPr>
          <w:rFonts w:hint="eastAsia" w:ascii="宋体" w:hAnsi="宋体" w:eastAsia="宋体" w:cs="宋体"/>
          <w:b/>
          <w:bCs/>
          <w:i w:val="0"/>
          <w:iCs w:val="0"/>
          <w:color w:val="auto"/>
          <w:kern w:val="2"/>
          <w:sz w:val="24"/>
          <w:szCs w:val="24"/>
          <w:highlight w:val="none"/>
          <w:lang w:val="en-US" w:eastAsia="zh-CN" w:bidi="ar-SA"/>
        </w:rPr>
        <w:t>4.商务技术评审</w:t>
      </w:r>
    </w:p>
    <w:p w14:paraId="04DD6A02">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zh-CN"/>
        </w:rPr>
        <w:t>4</w:t>
      </w:r>
      <w:r>
        <w:rPr>
          <w:i w:val="0"/>
          <w:iCs w:val="0"/>
          <w:color w:val="auto"/>
          <w:highlight w:val="none"/>
          <w:lang w:val="zh-CN"/>
        </w:rPr>
        <w:t>.1</w:t>
      </w:r>
      <w:r>
        <w:rPr>
          <w:rFonts w:hint="eastAsia"/>
          <w:i w:val="0"/>
          <w:iCs w:val="0"/>
          <w:color w:val="auto"/>
          <w:highlight w:val="none"/>
          <w:lang w:val="zh-CN"/>
        </w:rPr>
        <w:t>经磋商确定最终采购需求和提交最后报价的供应商后，由磋商小组采用综合评分法对提交最后报价的供应商的响应文件和最后报价进行综合评分。</w:t>
      </w:r>
    </w:p>
    <w:bookmarkEnd w:id="417"/>
    <w:bookmarkEnd w:id="418"/>
    <w:bookmarkEnd w:id="419"/>
    <w:bookmarkEnd w:id="420"/>
    <w:bookmarkEnd w:id="421"/>
    <w:bookmarkEnd w:id="422"/>
    <w:bookmarkEnd w:id="424"/>
    <w:bookmarkEnd w:id="425"/>
    <w:bookmarkEnd w:id="426"/>
    <w:bookmarkEnd w:id="427"/>
    <w:bookmarkEnd w:id="428"/>
    <w:bookmarkEnd w:id="429"/>
    <w:p w14:paraId="11B2A599">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30" w:name="_Toc102119882"/>
      <w:bookmarkStart w:id="431" w:name="_Toc102057747"/>
      <w:bookmarkStart w:id="432" w:name="_Toc102116051"/>
      <w:bookmarkStart w:id="433" w:name="_Toc102116181"/>
      <w:bookmarkStart w:id="434" w:name="_Toc102114949"/>
      <w:bookmarkStart w:id="435" w:name="_Toc102056247"/>
      <w:r>
        <w:rPr>
          <w:rFonts w:hint="eastAsia" w:ascii="宋体" w:hAnsi="宋体" w:eastAsia="宋体" w:cs="宋体"/>
          <w:b/>
          <w:bCs/>
          <w:i w:val="0"/>
          <w:iCs w:val="0"/>
          <w:color w:val="auto"/>
          <w:kern w:val="2"/>
          <w:sz w:val="24"/>
          <w:szCs w:val="24"/>
          <w:highlight w:val="none"/>
          <w:lang w:val="en-US" w:eastAsia="zh-CN" w:bidi="ar-SA"/>
        </w:rPr>
        <w:t>5.报价评</w:t>
      </w:r>
      <w:bookmarkEnd w:id="430"/>
      <w:bookmarkEnd w:id="431"/>
      <w:bookmarkEnd w:id="432"/>
      <w:bookmarkEnd w:id="433"/>
      <w:bookmarkEnd w:id="434"/>
      <w:bookmarkEnd w:id="435"/>
      <w:r>
        <w:rPr>
          <w:rFonts w:hint="eastAsia" w:ascii="宋体" w:hAnsi="宋体" w:eastAsia="宋体" w:cs="宋体"/>
          <w:b/>
          <w:bCs/>
          <w:i w:val="0"/>
          <w:iCs w:val="0"/>
          <w:color w:val="auto"/>
          <w:kern w:val="2"/>
          <w:sz w:val="24"/>
          <w:szCs w:val="24"/>
          <w:highlight w:val="none"/>
          <w:lang w:val="en-US" w:eastAsia="zh-CN" w:bidi="ar-SA"/>
        </w:rPr>
        <w:t>审</w:t>
      </w:r>
    </w:p>
    <w:p w14:paraId="4F87D81F">
      <w:pPr>
        <w:pStyle w:val="36"/>
        <w:pageBreakBefore w:val="0"/>
        <w:kinsoku/>
        <w:overflowPunct/>
        <w:topLinePunct w:val="0"/>
        <w:autoSpaceDE/>
        <w:autoSpaceDN/>
        <w:bidi w:val="0"/>
        <w:spacing w:line="440" w:lineRule="exact"/>
        <w:ind w:firstLine="480"/>
        <w:jc w:val="both"/>
        <w:textAlignment w:val="auto"/>
        <w:rPr>
          <w:bCs/>
          <w:i w:val="0"/>
          <w:iCs w:val="0"/>
          <w:color w:val="auto"/>
          <w:szCs w:val="21"/>
          <w:highlight w:val="none"/>
          <w:lang w:val="zh-CN"/>
        </w:rPr>
      </w:pPr>
      <w:r>
        <w:rPr>
          <w:rFonts w:hint="eastAsia"/>
          <w:i w:val="0"/>
          <w:iCs w:val="0"/>
          <w:color w:val="auto"/>
          <w:highlight w:val="none"/>
          <w:lang w:val="zh-CN"/>
        </w:rPr>
        <w:t>5</w:t>
      </w:r>
      <w:r>
        <w:rPr>
          <w:i w:val="0"/>
          <w:iCs w:val="0"/>
          <w:color w:val="auto"/>
          <w:highlight w:val="none"/>
          <w:lang w:val="zh-CN"/>
        </w:rPr>
        <w:t>.1</w:t>
      </w:r>
      <w:r>
        <w:rPr>
          <w:rFonts w:hint="eastAsia"/>
          <w:i w:val="0"/>
          <w:iCs w:val="0"/>
          <w:color w:val="auto"/>
          <w:highlight w:val="none"/>
          <w:lang w:val="zh-CN"/>
        </w:rPr>
        <w:t>报价合理性说明：磋商</w:t>
      </w:r>
      <w:r>
        <w:rPr>
          <w:i w:val="0"/>
          <w:iCs w:val="0"/>
          <w:color w:val="auto"/>
          <w:highlight w:val="none"/>
          <w:lang w:val="zh-CN"/>
        </w:rPr>
        <w:t>小组认为供应商的</w:t>
      </w:r>
      <w:r>
        <w:rPr>
          <w:rFonts w:hint="eastAsia"/>
          <w:i w:val="0"/>
          <w:iCs w:val="0"/>
          <w:color w:val="auto"/>
          <w:highlight w:val="none"/>
          <w:lang w:val="zh-CN"/>
        </w:rPr>
        <w:t>最后</w:t>
      </w:r>
      <w:r>
        <w:rPr>
          <w:i w:val="0"/>
          <w:iCs w:val="0"/>
          <w:color w:val="auto"/>
          <w:highlight w:val="none"/>
          <w:lang w:val="zh-CN"/>
        </w:rPr>
        <w:t>报价明显低于其他供应商</w:t>
      </w:r>
      <w:r>
        <w:rPr>
          <w:rFonts w:hint="eastAsia"/>
          <w:i w:val="0"/>
          <w:iCs w:val="0"/>
          <w:color w:val="auto"/>
          <w:highlight w:val="none"/>
          <w:lang w:val="zh-CN"/>
        </w:rPr>
        <w:t>最后</w:t>
      </w:r>
      <w:r>
        <w:rPr>
          <w:i w:val="0"/>
          <w:iCs w:val="0"/>
          <w:color w:val="auto"/>
          <w:highlight w:val="none"/>
          <w:lang w:val="zh-CN"/>
        </w:rPr>
        <w:t>报价，有可能影响</w:t>
      </w:r>
      <w:r>
        <w:rPr>
          <w:rFonts w:hint="eastAsia"/>
          <w:i w:val="0"/>
          <w:iCs w:val="0"/>
          <w:color w:val="auto"/>
          <w:highlight w:val="none"/>
          <w:lang w:val="en-US" w:eastAsia="zh-CN"/>
        </w:rPr>
        <w:t>服务</w:t>
      </w:r>
      <w:r>
        <w:rPr>
          <w:i w:val="0"/>
          <w:iCs w:val="0"/>
          <w:color w:val="auto"/>
          <w:highlight w:val="none"/>
          <w:lang w:val="zh-CN"/>
        </w:rPr>
        <w:t>质量或者不能诚信履约的，应当要求其</w:t>
      </w:r>
      <w:r>
        <w:rPr>
          <w:rFonts w:hint="eastAsia"/>
          <w:i w:val="0"/>
          <w:iCs w:val="0"/>
          <w:color w:val="auto"/>
          <w:highlight w:val="none"/>
          <w:lang w:val="zh-CN"/>
        </w:rPr>
        <w:t>在</w:t>
      </w:r>
      <w:r>
        <w:rPr>
          <w:i w:val="0"/>
          <w:iCs w:val="0"/>
          <w:color w:val="auto"/>
          <w:highlight w:val="none"/>
          <w:lang w:val="zh-CN"/>
        </w:rPr>
        <w:t>合理的时间内提供说明，必要时提交相关证明材料；供应商不能证明其</w:t>
      </w:r>
      <w:r>
        <w:rPr>
          <w:rFonts w:hint="eastAsia"/>
          <w:i w:val="0"/>
          <w:iCs w:val="0"/>
          <w:color w:val="auto"/>
          <w:highlight w:val="none"/>
          <w:lang w:val="zh-CN"/>
        </w:rPr>
        <w:t>最后</w:t>
      </w:r>
      <w:r>
        <w:rPr>
          <w:i w:val="0"/>
          <w:iCs w:val="0"/>
          <w:color w:val="auto"/>
          <w:highlight w:val="none"/>
          <w:lang w:val="zh-CN"/>
        </w:rPr>
        <w:t>报价合理性的，</w:t>
      </w:r>
      <w:r>
        <w:rPr>
          <w:rFonts w:hint="eastAsia"/>
          <w:i w:val="0"/>
          <w:iCs w:val="0"/>
          <w:color w:val="auto"/>
          <w:highlight w:val="none"/>
          <w:lang w:val="zh-CN"/>
        </w:rPr>
        <w:t>磋商</w:t>
      </w:r>
      <w:r>
        <w:rPr>
          <w:i w:val="0"/>
          <w:iCs w:val="0"/>
          <w:color w:val="auto"/>
          <w:highlight w:val="none"/>
          <w:lang w:val="zh-CN"/>
        </w:rPr>
        <w:t>小组</w:t>
      </w:r>
      <w:r>
        <w:rPr>
          <w:rFonts w:hint="eastAsia"/>
          <w:i w:val="0"/>
          <w:iCs w:val="0"/>
          <w:color w:val="auto"/>
          <w:highlight w:val="none"/>
          <w:lang w:val="zh-CN"/>
        </w:rPr>
        <w:t>应当将其作</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i w:val="0"/>
          <w:iCs w:val="0"/>
          <w:color w:val="auto"/>
          <w:highlight w:val="none"/>
          <w:lang w:val="zh-CN"/>
        </w:rPr>
        <w:t>。</w:t>
      </w:r>
    </w:p>
    <w:p w14:paraId="1B3E8B52">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5.1.1供应商应根据答疑内容在规定的时间内提供说明和成本清单等相关证明材料，磋商小组认定相关证明材料对此报价的说明或者证明材料可以佐证此报价的服务质量和具有诚信履约能力，予以通过审查；</w:t>
      </w:r>
    </w:p>
    <w:p w14:paraId="61371D00">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5.1.2供应商提供的说明或者证明材料必须按照国家财务会计制度的规定要求，逐项就供应商提供的货物和服务的主营业务成本、税收及附加、销售费用、管理费用、财务费用等成本构成事项详细陈述，并由法定代表人或者其授权代表签字确认并加盖公章；</w:t>
      </w:r>
    </w:p>
    <w:p w14:paraId="3E3AF71F">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5.1.3供应商不能合理说明或者不能提供相关证明材料的，由磋商小组认定该供应商以低于成本报价竞标，有可能影响服务质量或者不能诚信履约，应当</w:t>
      </w:r>
      <w:r>
        <w:rPr>
          <w:rFonts w:hint="eastAsia"/>
          <w:i w:val="0"/>
          <w:iCs w:val="0"/>
          <w:color w:val="auto"/>
          <w:highlight w:val="none"/>
          <w:lang w:val="zh-CN"/>
        </w:rPr>
        <w:t>将其作为</w:t>
      </w:r>
      <w:r>
        <w:rPr>
          <w:b/>
          <w:i w:val="0"/>
          <w:iCs w:val="0"/>
          <w:color w:val="auto"/>
          <w:highlight w:val="none"/>
          <w:lang w:val="zh-CN"/>
        </w:rPr>
        <w:t>无效</w:t>
      </w:r>
      <w:r>
        <w:rPr>
          <w:rFonts w:hint="eastAsia"/>
          <w:b/>
          <w:i w:val="0"/>
          <w:iCs w:val="0"/>
          <w:color w:val="auto"/>
          <w:highlight w:val="none"/>
          <w:lang w:val="zh-CN"/>
        </w:rPr>
        <w:t>响应</w:t>
      </w:r>
      <w:r>
        <w:rPr>
          <w:b/>
          <w:i w:val="0"/>
          <w:iCs w:val="0"/>
          <w:color w:val="auto"/>
          <w:highlight w:val="none"/>
          <w:lang w:val="zh-CN"/>
        </w:rPr>
        <w:t>处理</w:t>
      </w:r>
      <w:r>
        <w:rPr>
          <w:rFonts w:hint="eastAsia" w:ascii="宋体" w:hAnsi="宋体" w:eastAsia="宋体"/>
          <w:i w:val="0"/>
          <w:iCs w:val="0"/>
          <w:color w:val="auto"/>
          <w:highlight w:val="none"/>
          <w:lang w:val="en-US" w:eastAsia="zh-CN"/>
        </w:rPr>
        <w:t>；</w:t>
      </w:r>
    </w:p>
    <w:p w14:paraId="512D1AE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ascii="宋体" w:hAnsi="宋体" w:eastAsia="宋体"/>
          <w:i w:val="0"/>
          <w:iCs w:val="0"/>
          <w:color w:val="auto"/>
          <w:highlight w:val="none"/>
          <w:lang w:val="en-US" w:eastAsia="zh-CN"/>
        </w:rPr>
      </w:pPr>
      <w:r>
        <w:rPr>
          <w:rFonts w:hint="eastAsia" w:ascii="宋体" w:hAnsi="宋体" w:eastAsia="宋体"/>
          <w:i w:val="0"/>
          <w:iCs w:val="0"/>
          <w:color w:val="auto"/>
          <w:highlight w:val="none"/>
          <w:lang w:val="en-US" w:eastAsia="zh-CN"/>
        </w:rPr>
        <w:t>5.1.4供应商也可以有预见性地准备好上述要求的书面说明和相关证明材料并加盖公章。</w:t>
      </w:r>
    </w:p>
    <w:p w14:paraId="4727D198">
      <w:pPr>
        <w:pStyle w:val="36"/>
        <w:rPr>
          <w:color w:val="auto"/>
          <w:highlight w:val="none"/>
        </w:rPr>
      </w:pPr>
      <w:r>
        <w:rPr>
          <w:rFonts w:hint="eastAsia"/>
          <w:color w:val="auto"/>
          <w:highlight w:val="none"/>
          <w:lang w:val="en-US" w:eastAsia="zh-CN"/>
        </w:rPr>
        <w:t>5.1.5</w:t>
      </w:r>
      <w:r>
        <w:rPr>
          <w:rFonts w:hint="eastAsia" w:ascii="宋体" w:hAnsi="宋体" w:eastAsia="宋体"/>
          <w:color w:val="auto"/>
          <w:highlight w:val="none"/>
          <w:lang w:val="en-US" w:eastAsia="zh-CN"/>
        </w:rPr>
        <w:t>服务项目的价格分值占总分值的比重不得低于</w:t>
      </w:r>
      <w:r>
        <w:rPr>
          <w:rFonts w:hint="default" w:ascii="宋体" w:hAnsi="宋体" w:eastAsia="宋体"/>
          <w:color w:val="auto"/>
          <w:highlight w:val="none"/>
          <w:lang w:val="en-US" w:eastAsia="zh-CN"/>
        </w:rPr>
        <w:t>10%。</w:t>
      </w:r>
      <w:r>
        <w:rPr>
          <w:rFonts w:hint="eastAsia"/>
          <w:color w:val="auto"/>
          <w:highlight w:val="none"/>
          <w:lang w:val="en-US" w:eastAsia="zh-CN"/>
        </w:rPr>
        <w:t>执行国家统一定价标准和采用固定价格采购的项目，其价格不列为评审因素。</w:t>
      </w:r>
      <w:r>
        <w:rPr>
          <w:color w:val="auto"/>
          <w:highlight w:val="none"/>
        </w:rPr>
        <w:t>价格分应当采用低价优先法计算，即满足招标文件要求且投标价格最低的投标报价为评标基准价，其价格分为满分。</w:t>
      </w:r>
    </w:p>
    <w:p w14:paraId="215581C7">
      <w:pPr>
        <w:pStyle w:val="36"/>
        <w:rPr>
          <w:color w:val="auto"/>
          <w:highlight w:val="none"/>
        </w:rPr>
      </w:pPr>
      <w:r>
        <w:rPr>
          <w:rFonts w:hint="eastAsia"/>
          <w:color w:val="auto"/>
          <w:highlight w:val="none"/>
          <w:lang w:val="en-US" w:eastAsia="zh-CN"/>
        </w:rPr>
        <w:t>5.1.6</w:t>
      </w:r>
      <w:r>
        <w:rPr>
          <w:rFonts w:hint="eastAsia"/>
          <w:iCs/>
          <w:color w:val="auto"/>
          <w:spacing w:val="-6"/>
          <w:sz w:val="24"/>
          <w:highlight w:val="none"/>
        </w:rPr>
        <w:t>除算术修正和落实政府采购政策的价格扣除外，不对投标报价进行调整；</w:t>
      </w:r>
    </w:p>
    <w:p w14:paraId="227E7863">
      <w:pPr>
        <w:pStyle w:val="36"/>
        <w:rPr>
          <w:color w:val="auto"/>
          <w:highlight w:val="none"/>
        </w:rPr>
      </w:pPr>
      <w:r>
        <w:rPr>
          <w:rFonts w:hint="eastAsia"/>
          <w:color w:val="auto"/>
          <w:highlight w:val="none"/>
          <w:lang w:val="en-US" w:eastAsia="zh-CN"/>
        </w:rPr>
        <w:t>5.1.7</w:t>
      </w:r>
      <w:r>
        <w:rPr>
          <w:color w:val="auto"/>
          <w:highlight w:val="none"/>
        </w:rPr>
        <w:t>价</w:t>
      </w:r>
      <w:r>
        <w:rPr>
          <w:rFonts w:hint="eastAsia"/>
          <w:color w:val="auto"/>
          <w:highlight w:val="none"/>
        </w:rPr>
        <w:t>格</w:t>
      </w:r>
      <w:r>
        <w:rPr>
          <w:rFonts w:hint="eastAsia"/>
          <w:color w:val="auto"/>
          <w:highlight w:val="none"/>
          <w:lang w:eastAsia="zh-CN"/>
        </w:rPr>
        <w:t>分值</w:t>
      </w:r>
      <w:r>
        <w:rPr>
          <w:rFonts w:hint="eastAsia"/>
          <w:color w:val="auto"/>
          <w:highlight w:val="none"/>
        </w:rPr>
        <w:t>见本章</w:t>
      </w:r>
      <w:r>
        <w:rPr>
          <w:rFonts w:hint="eastAsia"/>
          <w:color w:val="auto"/>
          <w:highlight w:val="none"/>
          <w:lang w:eastAsia="zh-CN"/>
        </w:rPr>
        <w:t>“三、评审标准”</w:t>
      </w:r>
      <w:r>
        <w:rPr>
          <w:color w:val="auto"/>
          <w:highlight w:val="none"/>
        </w:rPr>
        <w:t>。</w:t>
      </w:r>
    </w:p>
    <w:p w14:paraId="0CBD7FE0">
      <w:pPr>
        <w:pStyle w:val="36"/>
        <w:rPr>
          <w:rFonts w:hint="eastAsia"/>
          <w:color w:val="auto"/>
          <w:highlight w:val="none"/>
          <w:lang w:val="en-US" w:eastAsia="zh-CN"/>
        </w:rPr>
      </w:pPr>
      <w:r>
        <w:rPr>
          <w:rFonts w:hint="eastAsia"/>
          <w:color w:val="auto"/>
          <w:highlight w:val="none"/>
          <w:lang w:val="en-US" w:eastAsia="zh-CN"/>
        </w:rPr>
        <w:t>5.1.8异常低价投标（响应）审查</w:t>
      </w:r>
    </w:p>
    <w:p w14:paraId="6615659D">
      <w:pPr>
        <w:pStyle w:val="36"/>
        <w:rPr>
          <w:rFonts w:hint="eastAsia"/>
          <w:color w:val="auto"/>
          <w:highlight w:val="none"/>
          <w:lang w:val="en-US" w:eastAsia="zh-CN"/>
        </w:rPr>
      </w:pPr>
      <w:r>
        <w:rPr>
          <w:rFonts w:hint="eastAsia"/>
          <w:color w:val="auto"/>
          <w:highlight w:val="none"/>
          <w:lang w:val="en-US" w:eastAsia="zh-CN"/>
        </w:rPr>
        <w:t>1、审查依据</w:t>
      </w:r>
    </w:p>
    <w:p w14:paraId="08BB6186">
      <w:pPr>
        <w:pStyle w:val="36"/>
        <w:rPr>
          <w:rFonts w:hint="eastAsia"/>
          <w:color w:val="auto"/>
          <w:highlight w:val="none"/>
          <w:lang w:val="en-US" w:eastAsia="zh-CN"/>
        </w:rPr>
      </w:pPr>
      <w:r>
        <w:rPr>
          <w:rFonts w:hint="eastAsia"/>
          <w:color w:val="auto"/>
          <w:highlight w:val="none"/>
          <w:lang w:val="en-US" w:eastAsia="zh-CN"/>
        </w:rPr>
        <w:t>依据《中华人民共和国政府采购法》《中华人民共和国政府采购法实施条例》及财政部 2026 年 2 号文件《关于加强政府采购异常低价投标（响应）认定与审查工作的通知》等相关规定，本项目评审委员会对投标（响应）报价开展异常低价审查工作。</w:t>
      </w:r>
    </w:p>
    <w:p w14:paraId="776AF50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color w:val="auto"/>
          <w:sz w:val="24"/>
          <w:szCs w:val="24"/>
          <w:highlight w:val="none"/>
          <w:lang w:val="en-US" w:eastAsia="zh-CN"/>
        </w:rPr>
      </w:pPr>
      <w:r>
        <w:rPr>
          <w:rFonts w:hint="eastAsia" w:ascii="宋体" w:hAnsi="宋体" w:eastAsia="宋体" w:cs="宋体"/>
          <w:color w:val="auto"/>
          <w:sz w:val="24"/>
          <w:szCs w:val="24"/>
          <w:highlight w:val="none"/>
          <w:lang w:val="zh-CN"/>
        </w:rPr>
        <w:t>5.2</w:t>
      </w:r>
      <w:r>
        <w:rPr>
          <w:rFonts w:hint="eastAsia"/>
          <w:color w:val="auto"/>
          <w:sz w:val="24"/>
          <w:szCs w:val="24"/>
          <w:highlight w:val="none"/>
          <w:lang w:val="en-US" w:eastAsia="zh-CN"/>
        </w:rPr>
        <w:t>.</w:t>
      </w:r>
      <w:r>
        <w:rPr>
          <w:rFonts w:hint="eastAsia"/>
          <w:b/>
          <w:bCs/>
          <w:color w:val="auto"/>
          <w:sz w:val="24"/>
          <w:szCs w:val="24"/>
          <w:highlight w:val="none"/>
        </w:rPr>
        <w:t>政府采购异常低价审查</w:t>
      </w:r>
    </w:p>
    <w:p w14:paraId="2D307F6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5.2.1</w:t>
      </w:r>
      <w:r>
        <w:rPr>
          <w:rFonts w:hint="eastAsia"/>
          <w:color w:val="auto"/>
          <w:sz w:val="24"/>
          <w:szCs w:val="24"/>
          <w:highlight w:val="none"/>
        </w:rPr>
        <w:t>政府采购评审中出现下列情形之一的，评审委员会应当启动异常低价投标（响应）审查程序：</w:t>
      </w:r>
    </w:p>
    <w:p w14:paraId="72429835">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投标（响应）报价低于全部通过符合性审查供应商投标（响应）报价平均值50%的，即投标（响应）报价&lt;全部通过符合性审查供应商投标（响应）报价平均值×50%；</w:t>
      </w:r>
    </w:p>
    <w:p w14:paraId="2333ED0C">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2</w:t>
      </w:r>
      <w:r>
        <w:rPr>
          <w:rFonts w:hint="eastAsia"/>
          <w:color w:val="auto"/>
          <w:sz w:val="24"/>
          <w:szCs w:val="24"/>
          <w:highlight w:val="none"/>
          <w:lang w:eastAsia="zh-CN"/>
        </w:rPr>
        <w:t>）</w:t>
      </w:r>
      <w:r>
        <w:rPr>
          <w:rFonts w:hint="eastAsia"/>
          <w:color w:val="auto"/>
          <w:sz w:val="24"/>
          <w:szCs w:val="24"/>
          <w:highlight w:val="none"/>
        </w:rPr>
        <w:t>投标（响应）报价低于通过符合性审查的次低报价供应商投标（响应）报价50%的，即投标（响应）报价&lt;通过符合性审查的次低报价供应商投标（响应）报价×50%；</w:t>
      </w:r>
    </w:p>
    <w:p w14:paraId="773EAD60">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3</w:t>
      </w:r>
      <w:r>
        <w:rPr>
          <w:rFonts w:hint="eastAsia"/>
          <w:color w:val="auto"/>
          <w:sz w:val="24"/>
          <w:szCs w:val="24"/>
          <w:highlight w:val="none"/>
          <w:lang w:eastAsia="zh-CN"/>
        </w:rPr>
        <w:t>）</w:t>
      </w:r>
      <w:r>
        <w:rPr>
          <w:rFonts w:hint="eastAsia"/>
          <w:color w:val="auto"/>
          <w:sz w:val="24"/>
          <w:szCs w:val="24"/>
          <w:highlight w:val="none"/>
        </w:rPr>
        <w:t>投标（响应）报价低于采购项目最高限价45%的，即投标（响应）报价&lt;采购项目最高限价×45%；</w:t>
      </w:r>
    </w:p>
    <w:p w14:paraId="2A69BA9D">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评审委员会基于专业判断，认为供应商报价过低，有可能影响产品质量或者不能诚信履约的其他情形。</w:t>
      </w:r>
    </w:p>
    <w:p w14:paraId="50475768">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lang w:val="en-US" w:eastAsia="zh-CN"/>
        </w:rPr>
        <w:t>5.2.2</w:t>
      </w:r>
      <w:r>
        <w:rPr>
          <w:rFonts w:hint="eastAsia"/>
          <w:color w:val="auto"/>
          <w:sz w:val="24"/>
          <w:szCs w:val="24"/>
          <w:highlight w:val="none"/>
        </w:rPr>
        <w:t>评审委员会启动异常低价投标（响应）审查后，属于前述第</w:t>
      </w:r>
      <w:r>
        <w:rPr>
          <w:rFonts w:hint="eastAsia"/>
          <w:color w:val="auto"/>
          <w:sz w:val="24"/>
          <w:szCs w:val="24"/>
          <w:highlight w:val="none"/>
          <w:lang w:eastAsia="zh-CN"/>
        </w:rPr>
        <w:t>（</w:t>
      </w:r>
      <w:r>
        <w:rPr>
          <w:rFonts w:hint="eastAsia"/>
          <w:color w:val="auto"/>
          <w:sz w:val="24"/>
          <w:szCs w:val="24"/>
          <w:highlight w:val="none"/>
          <w:lang w:val="en-US" w:eastAsia="zh-CN"/>
        </w:rPr>
        <w:t>1</w:t>
      </w:r>
      <w:r>
        <w:rPr>
          <w:rFonts w:hint="eastAsia"/>
          <w:color w:val="auto"/>
          <w:sz w:val="24"/>
          <w:szCs w:val="24"/>
          <w:highlight w:val="none"/>
          <w:lang w:eastAsia="zh-CN"/>
        </w:rPr>
        <w:t>）</w:t>
      </w:r>
      <w:r>
        <w:rPr>
          <w:rFonts w:hint="eastAsia"/>
          <w:color w:val="auto"/>
          <w:sz w:val="24"/>
          <w:szCs w:val="24"/>
          <w:highlight w:val="none"/>
        </w:rPr>
        <w:t>项至第</w:t>
      </w:r>
      <w:r>
        <w:rPr>
          <w:rFonts w:hint="eastAsia"/>
          <w:color w:val="auto"/>
          <w:sz w:val="24"/>
          <w:szCs w:val="24"/>
          <w:highlight w:val="none"/>
          <w:lang w:eastAsia="zh-CN"/>
        </w:rPr>
        <w:t>（</w:t>
      </w:r>
      <w:r>
        <w:rPr>
          <w:rFonts w:hint="eastAsia"/>
          <w:color w:val="auto"/>
          <w:sz w:val="24"/>
          <w:szCs w:val="24"/>
          <w:highlight w:val="none"/>
          <w:lang w:val="en-US" w:eastAsia="zh-CN"/>
        </w:rPr>
        <w:t>4</w:t>
      </w:r>
      <w:r>
        <w:rPr>
          <w:rFonts w:hint="eastAsia"/>
          <w:color w:val="auto"/>
          <w:sz w:val="24"/>
          <w:szCs w:val="24"/>
          <w:highlight w:val="none"/>
          <w:lang w:eastAsia="zh-CN"/>
        </w:rPr>
        <w:t>）</w:t>
      </w:r>
      <w:r>
        <w:rPr>
          <w:rFonts w:hint="eastAsia"/>
          <w:color w:val="auto"/>
          <w:sz w:val="24"/>
          <w:szCs w:val="24"/>
          <w:highlight w:val="none"/>
        </w:rPr>
        <w:t>项情形的，应当要求相关供应商在评审现场合理的时间内对投标（响应）价格作出解释，提供项目具体成本测算等与报价合理性相关的书面说明及必要的证明材料，包括但不限于原材料成本、人工成本、制造费用等，给予相关供应商的合理时间一般不少于30分钟。其中，属于第3项情形，供应商已随投标（响应）文件一并提交相关书面说明及必要的证明材料的，在评审现场可不再重复提交。</w:t>
      </w:r>
    </w:p>
    <w:p w14:paraId="51BBEE1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rPr>
      </w:pPr>
      <w:r>
        <w:rPr>
          <w:rFonts w:hint="eastAsia"/>
          <w:color w:val="auto"/>
          <w:sz w:val="24"/>
          <w:szCs w:val="24"/>
          <w:highlight w:val="none"/>
        </w:rPr>
        <w:t>评审委员会依据专业经验，参考同类项目中标（成交）价格、类似产品市场价格水平、行业人工费用标准、国家有关部门指导行业协会发布的行业平均成本等情况，对报价合理性进行判断。投标（响应）供应商不能提供书面说明、证明材料，或者提供的书面说明、证明材料不能证明其报价合理性的，评审委员会应当将其作为无效投标（响应）处理。</w:t>
      </w:r>
    </w:p>
    <w:p w14:paraId="62D4B52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color w:val="auto"/>
          <w:sz w:val="24"/>
          <w:szCs w:val="24"/>
          <w:highlight w:val="none"/>
          <w:lang w:val="en-US" w:eastAsia="zh-CN"/>
        </w:rPr>
      </w:pPr>
      <w:r>
        <w:rPr>
          <w:rFonts w:hint="eastAsia"/>
          <w:color w:val="auto"/>
          <w:sz w:val="24"/>
          <w:szCs w:val="24"/>
          <w:highlight w:val="none"/>
          <w:lang w:val="en-US" w:eastAsia="zh-CN"/>
        </w:rPr>
        <w:t>供应商未按要求提交说明及证明材料，或提交的材料无法有效证明报价合理性的，评审委员会将其投标（响应）作无效处理。</w:t>
      </w:r>
    </w:p>
    <w:p w14:paraId="79098291">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eastAsia"/>
          <w:lang w:val="zh-CN"/>
        </w:rPr>
      </w:pPr>
      <w:r>
        <w:rPr>
          <w:rFonts w:hint="eastAsia"/>
          <w:color w:val="auto"/>
          <w:sz w:val="24"/>
          <w:szCs w:val="24"/>
          <w:highlight w:val="none"/>
          <w:lang w:val="en-US" w:eastAsia="zh-CN"/>
        </w:rPr>
        <w:t>异常低价审查的全过程及结论，由评审委员会如实记入评审报告，随采购项目档案一并存档备查。</w:t>
      </w:r>
    </w:p>
    <w:p w14:paraId="1784FDBF">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b/>
          <w:bCs/>
          <w:i w:val="0"/>
          <w:iCs w:val="0"/>
          <w:color w:val="auto"/>
          <w:highlight w:val="none"/>
          <w:lang w:val="zh-CN"/>
        </w:rPr>
        <w:t>5</w:t>
      </w:r>
      <w:r>
        <w:rPr>
          <w:b/>
          <w:bCs/>
          <w:i w:val="0"/>
          <w:iCs w:val="0"/>
          <w:color w:val="auto"/>
          <w:highlight w:val="none"/>
          <w:lang w:val="zh-CN"/>
        </w:rPr>
        <w:t>.</w:t>
      </w:r>
      <w:r>
        <w:rPr>
          <w:rFonts w:hint="eastAsia"/>
          <w:b/>
          <w:bCs/>
          <w:i w:val="0"/>
          <w:iCs w:val="0"/>
          <w:color w:val="auto"/>
          <w:highlight w:val="none"/>
          <w:lang w:val="en-US" w:eastAsia="zh-CN"/>
        </w:rPr>
        <w:t>3</w:t>
      </w:r>
      <w:r>
        <w:rPr>
          <w:rFonts w:hint="eastAsia"/>
          <w:b/>
          <w:bCs/>
          <w:i w:val="0"/>
          <w:iCs w:val="0"/>
          <w:color w:val="auto"/>
          <w:highlight w:val="none"/>
          <w:lang w:val="zh-CN"/>
        </w:rPr>
        <w:t>价格扣除：</w:t>
      </w:r>
      <w:r>
        <w:rPr>
          <w:i w:val="0"/>
          <w:iCs w:val="0"/>
          <w:color w:val="auto"/>
          <w:highlight w:val="none"/>
          <w:lang w:val="zh-CN"/>
        </w:rPr>
        <w:t xml:space="preserve"> </w:t>
      </w:r>
    </w:p>
    <w:p w14:paraId="1F4B5526">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1）非专门面向中小企业的采购项目或采购包，对符合规定的小微企业（监狱企业、残疾人福利性单位、联合体各方均为小微企业的联合体、符合小微企业划分标准的个体工商户视同小微企业）报价按照竞争性磋商文件“供应商须知前附表”中的规定扣除，对小微企业中的监狱企业、残疾人福利性单位的报价按照本竞争性磋商文件“供应商须知前附表”中的规定扣除，用扣除后的价格参与评审，采购产品纳入创新产品应用示范推荐目录内企业、采购产品获得节能产品或环境标志产品认证证书的供应商按照本竞争性磋商文件“供应商须知前附表”中的规定给予评审优惠。</w:t>
      </w:r>
    </w:p>
    <w:p w14:paraId="72014FEF">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参加政府采购活动的小微企业（含节能环保、创新产品企业）未提供“中小企业声明函”的；监狱企业未提供“监狱企业证明文件”的；残疾人福利性单位未提供“残疾人福利性单位声明函”的；不得享受相应的价格扣除优惠。组成联合体或者接受分包的小微企业与联合体内其他企业、分包企业之间存在直接控股、管理关系的，不得享受价格扣除优惠。</w:t>
      </w:r>
    </w:p>
    <w:p w14:paraId="1A495953">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（3）组成联合体或者接受分包的小微企业与联合体内其他企业、分包企业</w:t>
      </w:r>
      <w:r>
        <w:rPr>
          <w:rFonts w:hint="default" w:ascii="宋体" w:hAnsi="宋体" w:eastAsia="宋体" w:cs="宋体"/>
          <w:color w:val="auto"/>
          <w:sz w:val="24"/>
          <w:szCs w:val="24"/>
          <w:highlight w:val="none"/>
          <w:lang w:val="en-US" w:eastAsia="zh-CN"/>
        </w:rPr>
        <w:t>之间存在直接控股、管理关系的，不享受价格扣除优惠政策。</w:t>
      </w:r>
    </w:p>
    <w:p w14:paraId="60984AA9">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（4）价格扣除比例对小型企业和微型企业同等对待，不作区分。</w:t>
      </w:r>
    </w:p>
    <w:p w14:paraId="19B743D0">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（5）专门面向中小企业、预留部分采购份额面向中小企业采购的项目或采购包，评审时不再进行价格扣除。</w:t>
      </w:r>
    </w:p>
    <w:p w14:paraId="45EC7F77">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（6）若供应商同时属于小型或微型企业、监狱企业、残疾人福利性单位 中的两种及以上，将不重复享受小微企业价格扣减的优惠政策。</w:t>
      </w:r>
    </w:p>
    <w:p w14:paraId="2AF70487">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5.</w:t>
      </w: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lang w:val="zh-CN" w:eastAsia="zh-CN"/>
        </w:rPr>
        <w:t>价格分采用低价优先法计算，即满足磋商文件要求且最后报价最低的供应商的价格为磋商基准价，其价格分为满分。其他供应商的价格分统一按照下列公式计算：</w:t>
      </w:r>
    </w:p>
    <w:p w14:paraId="461A7491">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磋商报价得分=（磋商基准价/最后磋商报价）×</w:t>
      </w:r>
      <w:r>
        <w:rPr>
          <w:rFonts w:hint="eastAsia" w:ascii="宋体" w:hAnsi="宋体" w:eastAsia="宋体" w:cs="宋体"/>
          <w:color w:val="auto"/>
          <w:sz w:val="24"/>
          <w:szCs w:val="24"/>
          <w:highlight w:val="none"/>
          <w:lang w:val="en-US" w:eastAsia="zh-CN"/>
        </w:rPr>
        <w:t>价格分值</w:t>
      </w:r>
    </w:p>
    <w:p w14:paraId="1393A27E">
      <w:pPr>
        <w:pStyle w:val="36"/>
        <w:pageBreakBefore w:val="0"/>
        <w:kinsoku/>
        <w:overflowPunct/>
        <w:topLinePunct w:val="0"/>
        <w:autoSpaceDE/>
        <w:autoSpaceDN/>
        <w:bidi w:val="0"/>
        <w:spacing w:line="440" w:lineRule="exact"/>
        <w:ind w:firstLine="480"/>
        <w:jc w:val="both"/>
        <w:textAlignment w:val="auto"/>
        <w:rPr>
          <w:rFonts w:hint="eastAsia" w:ascii="宋体" w:hAnsi="宋体" w:eastAsia="宋体" w:cs="宋体"/>
          <w:color w:val="auto"/>
          <w:sz w:val="24"/>
          <w:szCs w:val="24"/>
          <w:highlight w:val="none"/>
          <w:lang w:val="zh-CN" w:eastAsia="zh-CN"/>
        </w:rPr>
      </w:pPr>
      <w:r>
        <w:rPr>
          <w:rFonts w:hint="eastAsia" w:ascii="宋体" w:hAnsi="宋体" w:eastAsia="宋体" w:cs="宋体"/>
          <w:color w:val="auto"/>
          <w:sz w:val="24"/>
          <w:szCs w:val="24"/>
          <w:highlight w:val="none"/>
          <w:lang w:val="zh-CN" w:eastAsia="zh-CN"/>
        </w:rPr>
        <w:t>项目评审过程中，不得去掉最后报价中的最高报价和最低报价。计算方法详见本章“三、评审标准”中的具体计算公式。</w:t>
      </w:r>
    </w:p>
    <w:p w14:paraId="656E57D5">
      <w:pPr>
        <w:pStyle w:val="36"/>
        <w:keepNext w:val="0"/>
        <w:keepLines w:val="0"/>
        <w:pageBreakBefore w:val="0"/>
        <w:widowControl w:val="0"/>
        <w:kinsoku/>
        <w:overflowPunct/>
        <w:topLinePunct w:val="0"/>
        <w:autoSpaceDE/>
        <w:autoSpaceDN/>
        <w:bidi w:val="0"/>
        <w:adjustRightInd/>
        <w:jc w:val="both"/>
        <w:textAlignment w:val="auto"/>
        <w:rPr>
          <w:rFonts w:hint="eastAsia"/>
          <w:snapToGrid w:val="0"/>
          <w:color w:val="auto"/>
          <w:sz w:val="24"/>
          <w:highlight w:val="none"/>
          <w:lang w:val="en-US" w:eastAsia="zh-CN"/>
        </w:rPr>
      </w:pPr>
      <w:bookmarkStart w:id="436" w:name="_Toc102057749"/>
      <w:bookmarkStart w:id="437" w:name="_Toc102056249"/>
      <w:bookmarkStart w:id="438" w:name="_Toc102116183"/>
      <w:bookmarkStart w:id="439" w:name="_Toc102116053"/>
      <w:bookmarkStart w:id="440" w:name="_Toc102114951"/>
      <w:bookmarkStart w:id="441" w:name="_Toc102119884"/>
      <w:bookmarkStart w:id="442" w:name="_Toc102116054"/>
      <w:bookmarkStart w:id="443" w:name="_Toc102116184"/>
      <w:bookmarkStart w:id="444" w:name="_Toc102114952"/>
      <w:bookmarkStart w:id="445" w:name="_Toc102119885"/>
      <w:bookmarkStart w:id="446" w:name="_Toc102057750"/>
      <w:bookmarkStart w:id="447" w:name="_Toc102056250"/>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5供应商对其提供的产品出具《关于符合本国产品标准的声明函》（样式见附件1，以下简称《声明函》）或财政部会同有关部门规定的有关证明文件。出具符合要求的《声明函》或有关证明文件的，该产品视为本国产品。</w:t>
      </w:r>
    </w:p>
    <w:p w14:paraId="7352384E">
      <w:pPr>
        <w:pStyle w:val="36"/>
        <w:jc w:val="both"/>
        <w:rPr>
          <w:rFonts w:hint="eastAsia"/>
          <w:snapToGrid w:val="0"/>
          <w:color w:val="auto"/>
          <w:sz w:val="24"/>
          <w:highlight w:val="none"/>
          <w:lang w:val="en-US" w:eastAsia="zh-CN"/>
        </w:rPr>
      </w:pPr>
      <w:r>
        <w:rPr>
          <w:rFonts w:hint="eastAsia"/>
          <w:snapToGrid w:val="0"/>
          <w:color w:val="auto"/>
          <w:sz w:val="24"/>
          <w:highlight w:val="none"/>
          <w:lang w:val="en-US" w:eastAsia="zh-CN"/>
        </w:rPr>
        <w:t>本国产品标准的货物具体是指《政府采购品目分类目录》中的货物类产品，但不包括其中的房屋和构筑物，文物和陈列品，图书和档案，特种动植物，农林牧渔业产品，矿与矿物，电力、城市燃气、蒸汽和热水、水，食品、饮料和烟草原料，无形资产。</w:t>
      </w:r>
    </w:p>
    <w:p w14:paraId="3E96BE80">
      <w:pPr>
        <w:pStyle w:val="36"/>
        <w:jc w:val="both"/>
        <w:rPr>
          <w:rFonts w:hint="eastAsia" w:ascii="宋体" w:hAnsi="宋体" w:eastAsia="宋体" w:cs="宋体"/>
          <w:snapToGrid w:val="0"/>
          <w:color w:val="auto"/>
          <w:sz w:val="24"/>
          <w:szCs w:val="24"/>
          <w:highlight w:val="none"/>
          <w:lang w:val="en-US" w:eastAsia="zh-CN"/>
        </w:rPr>
      </w:pPr>
      <w:r>
        <w:rPr>
          <w:rFonts w:hint="eastAsia"/>
          <w:snapToGrid w:val="0"/>
          <w:color w:val="auto"/>
          <w:sz w:val="24"/>
          <w:highlight w:val="none"/>
          <w:lang w:val="en-US" w:eastAsia="zh-CN"/>
        </w:rPr>
        <w:t>5.6</w:t>
      </w:r>
      <w:r>
        <w:rPr>
          <w:rFonts w:hint="eastAsia" w:eastAsia="宋体"/>
          <w:snapToGrid w:val="0"/>
          <w:color w:val="auto"/>
          <w:sz w:val="24"/>
          <w:highlight w:val="none"/>
          <w:lang w:val="en-US" w:eastAsia="zh-CN"/>
        </w:rPr>
        <w:t>采购标的仅包含单一产品时，政府采购活动中既有本国产品又有非本国产品参与竞争的，供应商对其提供的产品出具《关于符合本国产品标准的声明函》，依法对本国产品给予价格评审优惠，对本国产品的报价给予20%的价格扣除，用扣除后的价格参与评审。</w:t>
      </w:r>
    </w:p>
    <w:p w14:paraId="6B144494">
      <w:pPr>
        <w:pStyle w:val="36"/>
        <w:keepNext w:val="0"/>
        <w:keepLines w:val="0"/>
        <w:pageBreakBefore w:val="0"/>
        <w:widowControl w:val="0"/>
        <w:kinsoku/>
        <w:overflowPunct/>
        <w:topLinePunct w:val="0"/>
        <w:autoSpaceDE/>
        <w:autoSpaceDN/>
        <w:bidi w:val="0"/>
        <w:adjustRightInd/>
        <w:jc w:val="both"/>
        <w:textAlignment w:val="auto"/>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7</w:t>
      </w:r>
      <w:r>
        <w:rPr>
          <w:rFonts w:hint="eastAsia" w:eastAsia="宋体"/>
          <w:snapToGrid w:val="0"/>
          <w:color w:val="auto"/>
          <w:sz w:val="24"/>
          <w:highlight w:val="none"/>
          <w:lang w:val="en-US" w:eastAsia="zh-CN"/>
        </w:rPr>
        <w:t>采购标的中含有多种产品，政府采购活动中既有本国产品又有非本国产品参与竞争的，供应商为该采购项目或者采购包提供的符合本国产品标准的产品成本之和占该供应商提供的全部产品成本之和的比例达到80%以上时，且供应商在投标（响应）文件中对此作出承诺，出具《本国产品成本占比承诺函》（样式见附件2，以下简称《承诺函》），则依法对该供应商提供的全部产品给予价格评审优惠，即对该供应商提供的全部产品的总报价给予20%的价格扣除，用扣除后的价格参与评审。若供应商所投产品均符合本国产品标准，且已提供《声明函》，可不填写《承诺函》。</w:t>
      </w:r>
    </w:p>
    <w:p w14:paraId="2FFBE21D">
      <w:pPr>
        <w:pStyle w:val="36"/>
        <w:jc w:val="both"/>
        <w:rPr>
          <w:rFonts w:hint="eastAsia"/>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8对于仅有本国产品参与竞争的政府采购项目，本国产品不享受价格扣除评审优惠。</w:t>
      </w:r>
    </w:p>
    <w:p w14:paraId="338BD690">
      <w:pPr>
        <w:pStyle w:val="36"/>
        <w:jc w:val="both"/>
        <w:rPr>
          <w:rFonts w:hint="eastAsia" w:eastAsia="宋体"/>
          <w:snapToGrid w:val="0"/>
          <w:color w:val="auto"/>
          <w:sz w:val="24"/>
          <w:highlight w:val="none"/>
          <w:lang w:val="en-US" w:eastAsia="zh-CN"/>
        </w:rPr>
      </w:pPr>
      <w:r>
        <w:rPr>
          <w:rFonts w:hint="eastAsia"/>
          <w:snapToGrid w:val="0"/>
          <w:color w:val="auto"/>
          <w:sz w:val="24"/>
          <w:highlight w:val="none"/>
          <w:lang w:val="en-US" w:eastAsia="zh-CN"/>
        </w:rPr>
        <w:t>5.9</w:t>
      </w:r>
      <w:r>
        <w:rPr>
          <w:rFonts w:hint="eastAsia" w:eastAsia="宋体"/>
          <w:snapToGrid w:val="0"/>
          <w:color w:val="auto"/>
          <w:sz w:val="24"/>
          <w:highlight w:val="none"/>
          <w:lang w:val="en-US" w:eastAsia="zh-CN"/>
        </w:rPr>
        <w:t>评审委员会应对《声明函》的完整性、准确性进行审查，对含义不明确、同类事项与投标（响应）文件表述不一致或者有明显文字错误等情况的，应当以书面形式要求供应商作出必要的澄清、说明或者补正。经澄清、说明或者补正的《声明函》仍然不符合要求的，供应商提供的相关产品视为不符合本国产品标准。</w:t>
      </w:r>
    </w:p>
    <w:p w14:paraId="5FFA9165">
      <w:pPr>
        <w:pStyle w:val="36"/>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对医疗器械产品，</w:t>
      </w:r>
      <w:r>
        <w:rPr>
          <w:rFonts w:hint="eastAsia"/>
          <w:snapToGrid w:val="0"/>
          <w:color w:val="auto"/>
          <w:sz w:val="24"/>
          <w:highlight w:val="none"/>
          <w:lang w:val="en-US" w:eastAsia="zh-CN"/>
        </w:rPr>
        <w:t>提供</w:t>
      </w:r>
      <w:r>
        <w:rPr>
          <w:rFonts w:hint="eastAsia" w:eastAsia="宋体"/>
          <w:snapToGrid w:val="0"/>
          <w:color w:val="auto"/>
          <w:sz w:val="24"/>
          <w:highlight w:val="none"/>
          <w:lang w:val="en-US" w:eastAsia="zh-CN"/>
        </w:rPr>
        <w:t>取得药品监督管理部门授予的准字号医疗器械注册证的，</w:t>
      </w:r>
      <w:r>
        <w:rPr>
          <w:rFonts w:hint="eastAsia"/>
          <w:snapToGrid w:val="0"/>
          <w:color w:val="auto"/>
          <w:sz w:val="24"/>
          <w:highlight w:val="none"/>
          <w:lang w:val="en-US" w:eastAsia="zh-CN"/>
        </w:rPr>
        <w:t>视为符合本国产品标准，无须填写</w:t>
      </w:r>
      <w:r>
        <w:rPr>
          <w:rFonts w:hint="eastAsia" w:eastAsia="宋体"/>
          <w:snapToGrid w:val="0"/>
          <w:color w:val="auto"/>
          <w:sz w:val="24"/>
          <w:highlight w:val="none"/>
          <w:lang w:val="en-US" w:eastAsia="zh-CN"/>
        </w:rPr>
        <w:t>《声明函》</w:t>
      </w:r>
      <w:r>
        <w:rPr>
          <w:rFonts w:hint="eastAsia"/>
          <w:snapToGrid w:val="0"/>
          <w:color w:val="auto"/>
          <w:sz w:val="24"/>
          <w:highlight w:val="none"/>
          <w:lang w:val="en-US" w:eastAsia="zh-CN"/>
        </w:rPr>
        <w:t>，</w:t>
      </w:r>
      <w:r>
        <w:rPr>
          <w:rFonts w:hint="eastAsia" w:ascii="宋体" w:hAnsi="宋体" w:eastAsia="宋体" w:cs="宋体"/>
          <w:color w:val="auto"/>
          <w:sz w:val="24"/>
          <w:szCs w:val="24"/>
          <w:highlight w:val="none"/>
          <w:lang w:val="en-US" w:eastAsia="zh-CN"/>
        </w:rPr>
        <w:t>报价给予20%的价格扣除，用扣除后的价格参与评审</w:t>
      </w:r>
      <w:r>
        <w:rPr>
          <w:rFonts w:hint="eastAsia" w:cs="宋体"/>
          <w:color w:val="auto"/>
          <w:sz w:val="24"/>
          <w:szCs w:val="24"/>
          <w:highlight w:val="none"/>
          <w:lang w:val="en-US" w:eastAsia="zh-CN"/>
        </w:rPr>
        <w:t>。</w:t>
      </w:r>
    </w:p>
    <w:p w14:paraId="58B0E756">
      <w:pPr>
        <w:pStyle w:val="36"/>
        <w:jc w:val="both"/>
        <w:rPr>
          <w:rFonts w:hint="eastAsia" w:eastAsia="宋体"/>
          <w:snapToGrid w:val="0"/>
          <w:color w:val="auto"/>
          <w:sz w:val="24"/>
          <w:highlight w:val="none"/>
          <w:lang w:val="en-US" w:eastAsia="zh-CN"/>
        </w:rPr>
      </w:pPr>
      <w:r>
        <w:rPr>
          <w:rFonts w:hint="eastAsia" w:eastAsia="宋体"/>
          <w:snapToGrid w:val="0"/>
          <w:color w:val="auto"/>
          <w:sz w:val="24"/>
          <w:highlight w:val="none"/>
          <w:lang w:val="en-US" w:eastAsia="zh-CN"/>
        </w:rPr>
        <w:t>5.</w:t>
      </w:r>
      <w:r>
        <w:rPr>
          <w:rFonts w:hint="eastAsia"/>
          <w:snapToGrid w:val="0"/>
          <w:color w:val="auto"/>
          <w:sz w:val="24"/>
          <w:highlight w:val="none"/>
          <w:lang w:val="en-US" w:eastAsia="zh-CN"/>
        </w:rPr>
        <w:t>10</w:t>
      </w:r>
      <w:r>
        <w:rPr>
          <w:rFonts w:hint="eastAsia" w:eastAsia="宋体"/>
          <w:snapToGrid w:val="0"/>
          <w:color w:val="auto"/>
          <w:sz w:val="24"/>
          <w:highlight w:val="none"/>
          <w:lang w:val="en-US" w:eastAsia="zh-CN"/>
        </w:rPr>
        <w:t>对于非专门面向中小企业的采购项目，既有本国产品也有非本国产品参与竞争，且提供本国产品的供应商同时为小微企业的，对该供应商的产品同时给予支持本国产品和小微企业产品的价格评审优惠。在供应商原始报价基础上计算，用扣除后的价格参与评审。</w:t>
      </w:r>
    </w:p>
    <w:p w14:paraId="576E9827">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6.计分办法</w:t>
      </w:r>
      <w:bookmarkEnd w:id="436"/>
      <w:bookmarkEnd w:id="437"/>
      <w:bookmarkEnd w:id="438"/>
      <w:bookmarkEnd w:id="439"/>
      <w:bookmarkEnd w:id="440"/>
      <w:bookmarkEnd w:id="441"/>
      <w:r>
        <w:rPr>
          <w:rFonts w:hint="eastAsia" w:ascii="宋体" w:hAnsi="宋体" w:eastAsia="宋体" w:cs="宋体"/>
          <w:b/>
          <w:bCs/>
          <w:i w:val="0"/>
          <w:iCs w:val="0"/>
          <w:color w:val="auto"/>
          <w:kern w:val="2"/>
          <w:sz w:val="24"/>
          <w:szCs w:val="24"/>
          <w:highlight w:val="none"/>
          <w:lang w:val="en-US" w:eastAsia="zh-CN" w:bidi="ar-SA"/>
        </w:rPr>
        <w:t>及复核</w:t>
      </w:r>
    </w:p>
    <w:p w14:paraId="0956E193">
      <w:pPr>
        <w:pStyle w:val="36"/>
        <w:pageBreakBefore w:val="0"/>
        <w:kinsoku/>
        <w:overflowPunct/>
        <w:topLinePunct w:val="0"/>
        <w:autoSpaceDE/>
        <w:autoSpaceDN/>
        <w:bidi w:val="0"/>
        <w:spacing w:line="440" w:lineRule="exact"/>
        <w:ind w:firstLine="480"/>
        <w:jc w:val="both"/>
        <w:textAlignment w:val="auto"/>
        <w:rPr>
          <w:i w:val="0"/>
          <w:iCs w:val="0"/>
          <w:color w:val="auto"/>
          <w:kern w:val="0"/>
          <w:highlight w:val="none"/>
          <w:lang w:val="zh-CN"/>
        </w:rPr>
      </w:pPr>
      <w:r>
        <w:rPr>
          <w:rFonts w:hint="eastAsia"/>
          <w:i w:val="0"/>
          <w:iCs w:val="0"/>
          <w:color w:val="auto"/>
          <w:highlight w:val="none"/>
          <w:lang w:val="zh-CN"/>
        </w:rPr>
        <w:t>6</w:t>
      </w:r>
      <w:r>
        <w:rPr>
          <w:i w:val="0"/>
          <w:iCs w:val="0"/>
          <w:color w:val="auto"/>
          <w:highlight w:val="none"/>
          <w:lang w:val="zh-CN"/>
        </w:rPr>
        <w:t>.1</w:t>
      </w:r>
      <w:r>
        <w:rPr>
          <w:rFonts w:hint="eastAsia"/>
          <w:i w:val="0"/>
          <w:iCs w:val="0"/>
          <w:color w:val="auto"/>
          <w:highlight w:val="none"/>
          <w:lang w:val="zh-CN"/>
        </w:rPr>
        <w:t>评审过程中，各项分值一般精确到小数点后两位，评审得分应当为商务评分、技术评分、报价评分之和。磋商小组各成员应当汇总每个供应商的得分。</w:t>
      </w:r>
    </w:p>
    <w:p w14:paraId="7D7F6459">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.2</w:t>
      </w:r>
      <w:r>
        <w:rPr>
          <w:rFonts w:hint="eastAsia"/>
          <w:i w:val="0"/>
          <w:iCs w:val="0"/>
          <w:color w:val="auto"/>
          <w:highlight w:val="none"/>
          <w:lang w:val="zh-CN"/>
        </w:rPr>
        <w:t>评审结果汇总完成后，采购代理机构应当对评审结果进行复核。经复核发现存在以下情形之一的，磋商小组应当当场修改评审结果，并在评审报告中记载：</w:t>
      </w:r>
    </w:p>
    <w:p w14:paraId="51E15D43">
      <w:pPr>
        <w:pStyle w:val="36"/>
        <w:pageBreakBefore w:val="0"/>
        <w:kinsoku/>
        <w:overflowPunct/>
        <w:topLinePunct w:val="0"/>
        <w:autoSpaceDE/>
        <w:autoSpaceDN/>
        <w:bidi w:val="0"/>
        <w:spacing w:line="440" w:lineRule="exact"/>
        <w:ind w:firstLine="480"/>
        <w:jc w:val="both"/>
        <w:textAlignment w:val="auto"/>
        <w:rPr>
          <w:rFonts w:cs="Times New Roman"/>
          <w:i w:val="0"/>
          <w:iCs w:val="0"/>
          <w:color w:val="auto"/>
          <w:szCs w:val="20"/>
          <w:highlight w:val="none"/>
          <w:lang w:val="zh-CN"/>
        </w:rPr>
      </w:pPr>
      <w:r>
        <w:rPr>
          <w:rFonts w:hint="eastAsia"/>
          <w:i w:val="0"/>
          <w:iCs w:val="0"/>
          <w:color w:val="auto"/>
          <w:highlight w:val="none"/>
          <w:lang w:val="zh-CN"/>
        </w:rPr>
        <w:t>（1）</w:t>
      </w:r>
      <w:r>
        <w:rPr>
          <w:rFonts w:hint="eastAsia"/>
          <w:i w:val="0"/>
          <w:iCs w:val="0"/>
          <w:color w:val="auto"/>
          <w:highlight w:val="none"/>
          <w:lang w:val="zh-CN" w:eastAsia="zh-CN"/>
        </w:rPr>
        <w:t>资格性检查认定错误</w:t>
      </w:r>
      <w:r>
        <w:rPr>
          <w:rFonts w:hint="eastAsia"/>
          <w:i w:val="0"/>
          <w:iCs w:val="0"/>
          <w:color w:val="auto"/>
          <w:highlight w:val="none"/>
          <w:lang w:val="zh-CN"/>
        </w:rPr>
        <w:t xml:space="preserve">的； </w:t>
      </w:r>
    </w:p>
    <w:p w14:paraId="74DEA290">
      <w:pPr>
        <w:pStyle w:val="36"/>
        <w:pageBreakBefore w:val="0"/>
        <w:kinsoku/>
        <w:overflowPunct/>
        <w:topLinePunct w:val="0"/>
        <w:autoSpaceDE/>
        <w:autoSpaceDN/>
        <w:bidi w:val="0"/>
        <w:spacing w:line="440" w:lineRule="exact"/>
        <w:ind w:firstLine="480"/>
        <w:jc w:val="both"/>
        <w:textAlignment w:val="auto"/>
        <w:rPr>
          <w:rFonts w:cs="Times New Roman"/>
          <w:i w:val="0"/>
          <w:iCs w:val="0"/>
          <w:color w:val="auto"/>
          <w:szCs w:val="20"/>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2</w:t>
      </w:r>
      <w:r>
        <w:rPr>
          <w:rFonts w:hint="eastAsia"/>
          <w:i w:val="0"/>
          <w:iCs w:val="0"/>
          <w:color w:val="auto"/>
          <w:highlight w:val="none"/>
          <w:lang w:val="zh-CN"/>
        </w:rPr>
        <w:t xml:space="preserve">）分值汇总计算错误的； </w:t>
      </w:r>
    </w:p>
    <w:p w14:paraId="72F62B6F">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3</w:t>
      </w:r>
      <w:r>
        <w:rPr>
          <w:rFonts w:hint="eastAsia"/>
          <w:i w:val="0"/>
          <w:iCs w:val="0"/>
          <w:color w:val="auto"/>
          <w:highlight w:val="none"/>
          <w:lang w:val="zh-CN"/>
        </w:rPr>
        <w:t>）分项评分超出评分标准范围的；</w:t>
      </w:r>
    </w:p>
    <w:p w14:paraId="102EAA79">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4</w:t>
      </w:r>
      <w:r>
        <w:rPr>
          <w:rFonts w:hint="eastAsia"/>
          <w:i w:val="0"/>
          <w:iCs w:val="0"/>
          <w:color w:val="auto"/>
          <w:highlight w:val="none"/>
          <w:lang w:val="zh-CN"/>
        </w:rPr>
        <w:t>）</w:t>
      </w:r>
      <w:r>
        <w:rPr>
          <w:rFonts w:hint="eastAsia" w:cs="Helvetica"/>
          <w:i w:val="0"/>
          <w:iCs w:val="0"/>
          <w:color w:val="auto"/>
          <w:szCs w:val="24"/>
          <w:highlight w:val="none"/>
          <w:lang w:val="zh-CN"/>
        </w:rPr>
        <w:t>磋商小组</w:t>
      </w:r>
      <w:r>
        <w:rPr>
          <w:rFonts w:hint="eastAsia"/>
          <w:i w:val="0"/>
          <w:iCs w:val="0"/>
          <w:color w:val="auto"/>
          <w:highlight w:val="none"/>
          <w:lang w:val="zh-CN"/>
        </w:rPr>
        <w:t>成员对客观</w:t>
      </w:r>
      <w:r>
        <w:rPr>
          <w:rFonts w:hint="eastAsia"/>
          <w:i w:val="0"/>
          <w:iCs w:val="0"/>
          <w:color w:val="auto"/>
          <w:highlight w:val="none"/>
          <w:lang w:val="en-US" w:eastAsia="zh-CN"/>
        </w:rPr>
        <w:t>分</w:t>
      </w:r>
      <w:r>
        <w:rPr>
          <w:rFonts w:hint="eastAsia"/>
          <w:i w:val="0"/>
          <w:iCs w:val="0"/>
          <w:color w:val="auto"/>
          <w:highlight w:val="none"/>
          <w:lang w:val="zh-CN"/>
        </w:rPr>
        <w:t>评分不一致的；</w:t>
      </w:r>
    </w:p>
    <w:p w14:paraId="1E569905">
      <w:pPr>
        <w:pStyle w:val="36"/>
        <w:pageBreakBefore w:val="0"/>
        <w:kinsoku/>
        <w:overflowPunct/>
        <w:topLinePunct w:val="0"/>
        <w:autoSpaceDE/>
        <w:autoSpaceDN/>
        <w:bidi w:val="0"/>
        <w:spacing w:line="440" w:lineRule="exact"/>
        <w:ind w:firstLine="480"/>
        <w:jc w:val="both"/>
        <w:textAlignment w:val="auto"/>
        <w:rPr>
          <w:i w:val="0"/>
          <w:iCs w:val="0"/>
          <w:color w:val="auto"/>
          <w:highlight w:val="none"/>
          <w:lang w:val="zh-CN"/>
        </w:rPr>
      </w:pPr>
      <w:r>
        <w:rPr>
          <w:rFonts w:hint="eastAsia"/>
          <w:i w:val="0"/>
          <w:iCs w:val="0"/>
          <w:color w:val="auto"/>
          <w:highlight w:val="none"/>
          <w:lang w:val="zh-CN"/>
        </w:rPr>
        <w:t>（</w:t>
      </w:r>
      <w:r>
        <w:rPr>
          <w:rFonts w:hint="eastAsia"/>
          <w:i w:val="0"/>
          <w:iCs w:val="0"/>
          <w:color w:val="auto"/>
          <w:highlight w:val="none"/>
          <w:lang w:val="en-US" w:eastAsia="zh-CN"/>
        </w:rPr>
        <w:t>5</w:t>
      </w:r>
      <w:r>
        <w:rPr>
          <w:rFonts w:hint="eastAsia"/>
          <w:i w:val="0"/>
          <w:iCs w:val="0"/>
          <w:color w:val="auto"/>
          <w:highlight w:val="none"/>
          <w:lang w:val="zh-CN"/>
        </w:rPr>
        <w:t>）经</w:t>
      </w:r>
      <w:r>
        <w:rPr>
          <w:rFonts w:hint="eastAsia" w:cs="Helvetica"/>
          <w:i w:val="0"/>
          <w:iCs w:val="0"/>
          <w:color w:val="auto"/>
          <w:szCs w:val="24"/>
          <w:highlight w:val="none"/>
          <w:lang w:val="zh-CN"/>
        </w:rPr>
        <w:t>磋商小组</w:t>
      </w:r>
      <w:r>
        <w:rPr>
          <w:rFonts w:hint="eastAsia" w:cs="Helvetica"/>
          <w:i w:val="0"/>
          <w:iCs w:val="0"/>
          <w:color w:val="auto"/>
          <w:szCs w:val="24"/>
          <w:highlight w:val="none"/>
          <w:lang w:val="en-US" w:eastAsia="zh-CN"/>
        </w:rPr>
        <w:t>一致</w:t>
      </w:r>
      <w:r>
        <w:rPr>
          <w:rFonts w:hint="eastAsia"/>
          <w:i w:val="0"/>
          <w:iCs w:val="0"/>
          <w:color w:val="auto"/>
          <w:highlight w:val="none"/>
          <w:lang w:val="zh-CN"/>
        </w:rPr>
        <w:t>认定评分畸高、畸低的。</w:t>
      </w:r>
    </w:p>
    <w:p w14:paraId="6C6015B1">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zh-CN"/>
        </w:rPr>
        <w:t>6</w:t>
      </w:r>
      <w:r>
        <w:rPr>
          <w:i w:val="0"/>
          <w:iCs w:val="0"/>
          <w:color w:val="auto"/>
          <w:highlight w:val="none"/>
          <w:lang w:val="zh-CN"/>
        </w:rPr>
        <w:t>.3</w:t>
      </w:r>
      <w:r>
        <w:rPr>
          <w:rFonts w:hint="eastAsia"/>
          <w:i w:val="0"/>
          <w:iCs w:val="0"/>
          <w:color w:val="auto"/>
          <w:highlight w:val="none"/>
          <w:lang w:val="zh-CN"/>
        </w:rPr>
        <w:t>各供应商的最终得分为磋商小组所有成员对各供应商评审得分汇总后的算术平均值。</w:t>
      </w:r>
    </w:p>
    <w:p w14:paraId="0EFF5F9B">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6.4除资格性检查认定错误、分值汇总计算错误、分项评分超出评分标准范围、客观分评分不一致、经磋商小组一致认定评分畸高、畸低的情形外，采购人或者采购代理机构不得以任何理由组织重新评审。采购人、采购代理机构发现磋商小组未按照磋商文件规定的评审标准进行评审的，应当重新开展采购活动，并同时书面报告本级财政部门。</w:t>
      </w:r>
    </w:p>
    <w:p w14:paraId="3A5AB6DE">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6.5采购人或者采购代理机构不得通过对样品进行检测、对供应商进行考察等方式改变评审结果。</w:t>
      </w:r>
    </w:p>
    <w:p w14:paraId="1F8EBB86">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7.评审报告</w:t>
      </w:r>
      <w:bookmarkEnd w:id="442"/>
      <w:bookmarkEnd w:id="443"/>
      <w:bookmarkEnd w:id="444"/>
      <w:bookmarkEnd w:id="445"/>
      <w:bookmarkEnd w:id="446"/>
      <w:bookmarkEnd w:id="447"/>
    </w:p>
    <w:p w14:paraId="3341BC5C">
      <w:pPr>
        <w:pStyle w:val="36"/>
        <w:pageBreakBefore w:val="0"/>
        <w:kinsoku/>
        <w:overflowPunct/>
        <w:topLinePunct w:val="0"/>
        <w:autoSpaceDE/>
        <w:autoSpaceDN/>
        <w:bidi w:val="0"/>
        <w:spacing w:line="440" w:lineRule="exact"/>
        <w:ind w:firstLine="480"/>
        <w:jc w:val="both"/>
        <w:textAlignment w:val="auto"/>
        <w:rPr>
          <w:rFonts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.1</w:t>
      </w:r>
      <w:r>
        <w:rPr>
          <w:rFonts w:hint="eastAsia" w:cs="Helvetica"/>
          <w:i w:val="0"/>
          <w:iCs w:val="0"/>
          <w:color w:val="auto"/>
          <w:szCs w:val="24"/>
          <w:highlight w:val="none"/>
          <w:lang w:val="zh-CN"/>
        </w:rPr>
        <w:t>磋商小组</w:t>
      </w:r>
      <w:r>
        <w:rPr>
          <w:rFonts w:hint="eastAsia"/>
          <w:i w:val="0"/>
          <w:iCs w:val="0"/>
          <w:color w:val="auto"/>
          <w:highlight w:val="none"/>
        </w:rPr>
        <w:t>从质量和服务均能满足磋商文件实质性要求的供应商中，按照</w:t>
      </w:r>
      <w:r>
        <w:rPr>
          <w:rFonts w:hint="eastAsia"/>
          <w:i w:val="0"/>
          <w:iCs w:val="0"/>
          <w:color w:val="auto"/>
          <w:highlight w:val="none"/>
          <w:lang w:val="en-US" w:eastAsia="zh-CN"/>
        </w:rPr>
        <w:t>评审</w:t>
      </w:r>
      <w:r>
        <w:rPr>
          <w:rFonts w:hint="eastAsia"/>
          <w:i w:val="0"/>
          <w:iCs w:val="0"/>
          <w:color w:val="auto"/>
          <w:highlight w:val="none"/>
        </w:rPr>
        <w:t>得分由高到低的顺序推荐3名</w:t>
      </w:r>
      <w:r>
        <w:rPr>
          <w:rFonts w:hint="eastAsia"/>
          <w:i w:val="0"/>
          <w:iCs w:val="0"/>
          <w:color w:val="auto"/>
          <w:szCs w:val="24"/>
          <w:highlight w:val="none"/>
          <w:lang w:val="zh-CN"/>
        </w:rPr>
        <w:t>（</w:t>
      </w:r>
      <w:r>
        <w:rPr>
          <w:rFonts w:hint="eastAsia"/>
          <w:i w:val="0"/>
          <w:iCs w:val="0"/>
          <w:color w:val="auto"/>
          <w:highlight w:val="none"/>
        </w:rPr>
        <w:t>市场竞争不充分的科研项目，以及需要扶持的科技成果转化项目可以为</w:t>
      </w:r>
      <w:r>
        <w:rPr>
          <w:i w:val="0"/>
          <w:iCs w:val="0"/>
          <w:color w:val="auto"/>
          <w:highlight w:val="none"/>
        </w:rPr>
        <w:t>2家</w:t>
      </w:r>
      <w:r>
        <w:rPr>
          <w:rFonts w:hint="eastAsia"/>
          <w:i w:val="0"/>
          <w:iCs w:val="0"/>
          <w:color w:val="auto"/>
          <w:highlight w:val="none"/>
        </w:rPr>
        <w:t>，</w:t>
      </w:r>
      <w:r>
        <w:rPr>
          <w:rFonts w:hint="eastAsia"/>
          <w:i w:val="0"/>
          <w:iCs w:val="0"/>
          <w:snapToGrid w:val="0"/>
          <w:color w:val="auto"/>
          <w:highlight w:val="none"/>
        </w:rPr>
        <w:t>政府购买服务项目[含政府和社会资本合作项目]，在采购过程中符合要求的供应商[社会资本]只有2家的</w:t>
      </w:r>
      <w:r>
        <w:rPr>
          <w:rFonts w:hint="eastAsia"/>
          <w:i w:val="0"/>
          <w:iCs w:val="0"/>
          <w:color w:val="auto"/>
          <w:highlight w:val="none"/>
        </w:rPr>
        <w:t>可以为</w:t>
      </w:r>
      <w:r>
        <w:rPr>
          <w:i w:val="0"/>
          <w:iCs w:val="0"/>
          <w:color w:val="auto"/>
          <w:highlight w:val="none"/>
        </w:rPr>
        <w:t>2家</w:t>
      </w:r>
      <w:r>
        <w:rPr>
          <w:i w:val="0"/>
          <w:iCs w:val="0"/>
          <w:color w:val="auto"/>
          <w:szCs w:val="24"/>
          <w:highlight w:val="none"/>
          <w:lang w:val="zh-CN"/>
        </w:rPr>
        <w:t>）</w:t>
      </w:r>
      <w:r>
        <w:rPr>
          <w:rFonts w:hint="eastAsia"/>
          <w:i w:val="0"/>
          <w:iCs w:val="0"/>
          <w:color w:val="auto"/>
          <w:highlight w:val="none"/>
        </w:rPr>
        <w:t>以上</w:t>
      </w:r>
      <w:r>
        <w:rPr>
          <w:rFonts w:hint="eastAsia" w:cs="Helvetica"/>
          <w:i w:val="0"/>
          <w:iCs w:val="0"/>
          <w:color w:val="auto"/>
          <w:szCs w:val="24"/>
          <w:highlight w:val="none"/>
          <w:lang w:val="zh-CN"/>
        </w:rPr>
        <w:t>成交</w:t>
      </w:r>
      <w:r>
        <w:rPr>
          <w:rFonts w:hint="eastAsia"/>
          <w:i w:val="0"/>
          <w:iCs w:val="0"/>
          <w:color w:val="auto"/>
          <w:highlight w:val="none"/>
        </w:rPr>
        <w:t>候选供应商。评审得</w:t>
      </w:r>
      <w:r>
        <w:rPr>
          <w:i w:val="0"/>
          <w:iCs w:val="0"/>
          <w:color w:val="auto"/>
          <w:highlight w:val="none"/>
        </w:rPr>
        <w:t>分相同的，</w:t>
      </w:r>
      <w:r>
        <w:rPr>
          <w:rFonts w:hint="eastAsia" w:cs="Helvetica"/>
          <w:i w:val="0"/>
          <w:iCs w:val="0"/>
          <w:color w:val="auto"/>
          <w:szCs w:val="24"/>
          <w:highlight w:val="none"/>
          <w:lang w:val="zh-CN"/>
        </w:rPr>
        <w:t>磋商小组</w:t>
      </w:r>
      <w:r>
        <w:rPr>
          <w:rFonts w:hint="eastAsia"/>
          <w:i w:val="0"/>
          <w:iCs w:val="0"/>
          <w:color w:val="auto"/>
          <w:highlight w:val="none"/>
        </w:rPr>
        <w:t>按照最后报价由低到高的顺序</w:t>
      </w:r>
      <w:r>
        <w:rPr>
          <w:i w:val="0"/>
          <w:iCs w:val="0"/>
          <w:color w:val="auto"/>
          <w:highlight w:val="none"/>
        </w:rPr>
        <w:t>推荐</w:t>
      </w:r>
      <w:r>
        <w:rPr>
          <w:rFonts w:hint="eastAsia"/>
          <w:i w:val="0"/>
          <w:iCs w:val="0"/>
          <w:color w:val="auto"/>
          <w:highlight w:val="none"/>
        </w:rPr>
        <w:t>；</w:t>
      </w:r>
      <w:r>
        <w:rPr>
          <w:rFonts w:hint="eastAsia"/>
          <w:i w:val="0"/>
          <w:iCs w:val="0"/>
          <w:color w:val="auto"/>
          <w:highlight w:val="none"/>
          <w:lang w:val="en-US" w:eastAsia="zh-CN"/>
        </w:rPr>
        <w:t>评审</w:t>
      </w:r>
      <w:r>
        <w:rPr>
          <w:rFonts w:hint="eastAsia"/>
          <w:i w:val="0"/>
          <w:iCs w:val="0"/>
          <w:color w:val="auto"/>
          <w:highlight w:val="none"/>
        </w:rPr>
        <w:t>得分且最后报价相同的，按</w:t>
      </w:r>
      <w:r>
        <w:rPr>
          <w:rFonts w:hint="eastAsia"/>
          <w:i w:val="0"/>
          <w:iCs w:val="0"/>
          <w:color w:val="auto"/>
          <w:highlight w:val="none"/>
          <w:lang w:val="en-US" w:eastAsia="zh-CN"/>
        </w:rPr>
        <w:t>照</w:t>
      </w:r>
      <w:r>
        <w:rPr>
          <w:rFonts w:hint="eastAsia"/>
          <w:i w:val="0"/>
          <w:iCs w:val="0"/>
          <w:color w:val="auto"/>
          <w:highlight w:val="none"/>
        </w:rPr>
        <w:t>技术</w:t>
      </w:r>
      <w:r>
        <w:rPr>
          <w:rFonts w:hint="eastAsia"/>
          <w:i w:val="0"/>
          <w:iCs w:val="0"/>
          <w:color w:val="auto"/>
          <w:highlight w:val="none"/>
          <w:lang w:val="en-US" w:eastAsia="zh-CN"/>
        </w:rPr>
        <w:t>指标</w:t>
      </w:r>
      <w:r>
        <w:rPr>
          <w:rFonts w:hint="eastAsia"/>
          <w:i w:val="0"/>
          <w:iCs w:val="0"/>
          <w:color w:val="auto"/>
          <w:highlight w:val="none"/>
        </w:rPr>
        <w:t>优劣顺序推荐</w:t>
      </w:r>
      <w:r>
        <w:rPr>
          <w:rFonts w:hint="eastAsia" w:cs="Helvetica"/>
          <w:i w:val="0"/>
          <w:iCs w:val="0"/>
          <w:color w:val="auto"/>
          <w:szCs w:val="24"/>
          <w:highlight w:val="none"/>
          <w:lang w:val="zh-CN"/>
        </w:rPr>
        <w:t>。响应文件满足磋商文件全部实质性要求且评审得分</w:t>
      </w:r>
      <w:r>
        <w:rPr>
          <w:rFonts w:cs="Helvetica"/>
          <w:i w:val="0"/>
          <w:iCs w:val="0"/>
          <w:color w:val="auto"/>
          <w:szCs w:val="24"/>
          <w:highlight w:val="none"/>
          <w:lang w:val="zh-CN"/>
        </w:rPr>
        <w:t>最高</w:t>
      </w:r>
      <w:r>
        <w:rPr>
          <w:rFonts w:hint="eastAsia" w:cs="Helvetica"/>
          <w:i w:val="0"/>
          <w:iCs w:val="0"/>
          <w:color w:val="auto"/>
          <w:szCs w:val="24"/>
          <w:highlight w:val="none"/>
          <w:lang w:val="zh-CN"/>
        </w:rPr>
        <w:t>的供应商为排名第一的成交候选供应商。</w:t>
      </w:r>
      <w:r>
        <w:rPr>
          <w:rFonts w:hint="eastAsia"/>
          <w:i w:val="0"/>
          <w:iCs w:val="0"/>
          <w:color w:val="auto"/>
          <w:highlight w:val="none"/>
        </w:rPr>
        <w:t>磋商小组依据评审结果</w:t>
      </w:r>
      <w:r>
        <w:rPr>
          <w:rFonts w:hint="eastAsia"/>
          <w:i w:val="0"/>
          <w:iCs w:val="0"/>
          <w:color w:val="auto"/>
          <w:highlight w:val="none"/>
          <w:lang w:eastAsia="zh-CN"/>
        </w:rPr>
        <w:t>形成评审报告</w:t>
      </w:r>
      <w:r>
        <w:rPr>
          <w:rFonts w:hint="eastAsia" w:ascii="宋体" w:hAnsi="宋体" w:eastAsia="宋体"/>
          <w:i w:val="0"/>
          <w:iCs w:val="0"/>
          <w:color w:val="auto"/>
          <w:highlight w:val="none"/>
          <w:lang w:eastAsia="zh-CN"/>
        </w:rPr>
        <w:t>。</w:t>
      </w:r>
    </w:p>
    <w:p w14:paraId="17318A62">
      <w:pPr>
        <w:pStyle w:val="36"/>
        <w:pageBreakBefore w:val="0"/>
        <w:kinsoku/>
        <w:overflowPunct/>
        <w:topLinePunct w:val="0"/>
        <w:autoSpaceDE/>
        <w:autoSpaceDN/>
        <w:bidi w:val="0"/>
        <w:spacing w:line="440" w:lineRule="exact"/>
        <w:ind w:firstLine="480"/>
        <w:jc w:val="both"/>
        <w:textAlignment w:val="auto"/>
        <w:rPr>
          <w:rFonts w:hint="eastAsia" w:cs="Helvetica"/>
          <w:i w:val="0"/>
          <w:iCs w:val="0"/>
          <w:color w:val="auto"/>
          <w:szCs w:val="24"/>
          <w:highlight w:val="none"/>
          <w:lang w:val="zh-CN"/>
        </w:rPr>
      </w:pPr>
      <w:r>
        <w:rPr>
          <w:rFonts w:hint="eastAsia" w:cs="Helvetica"/>
          <w:i w:val="0"/>
          <w:iCs w:val="0"/>
          <w:color w:val="auto"/>
          <w:szCs w:val="24"/>
          <w:highlight w:val="none"/>
          <w:lang w:val="en-US" w:eastAsia="zh-CN"/>
        </w:rPr>
        <w:t>7</w:t>
      </w:r>
      <w:r>
        <w:rPr>
          <w:rFonts w:cs="Helvetica"/>
          <w:i w:val="0"/>
          <w:iCs w:val="0"/>
          <w:color w:val="auto"/>
          <w:szCs w:val="24"/>
          <w:highlight w:val="none"/>
          <w:lang w:val="zh-CN"/>
        </w:rPr>
        <w:t>.</w:t>
      </w:r>
      <w:r>
        <w:rPr>
          <w:rFonts w:hint="eastAsia" w:cs="Helvetica"/>
          <w:i w:val="0"/>
          <w:iCs w:val="0"/>
          <w:color w:val="auto"/>
          <w:szCs w:val="24"/>
          <w:highlight w:val="none"/>
          <w:lang w:val="en-US" w:eastAsia="zh-CN"/>
        </w:rPr>
        <w:t>2</w:t>
      </w:r>
      <w:r>
        <w:rPr>
          <w:rFonts w:hint="eastAsia"/>
          <w:i w:val="0"/>
          <w:iCs w:val="0"/>
          <w:color w:val="auto"/>
          <w:highlight w:val="none"/>
          <w:lang w:val="zh-CN" w:eastAsia="zh-CN"/>
        </w:rPr>
        <w:t>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r>
        <w:rPr>
          <w:rFonts w:hint="eastAsia" w:cs="Helvetica"/>
          <w:i w:val="0"/>
          <w:iCs w:val="0"/>
          <w:color w:val="auto"/>
          <w:szCs w:val="24"/>
          <w:highlight w:val="none"/>
          <w:lang w:val="zh-CN"/>
        </w:rPr>
        <w:t>。</w:t>
      </w:r>
    </w:p>
    <w:p w14:paraId="25913F09">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8.响应无效的情形</w:t>
      </w:r>
    </w:p>
    <w:p w14:paraId="21B88F58">
      <w:pPr>
        <w:keepNext w:val="0"/>
        <w:keepLines w:val="0"/>
        <w:pageBreakBefore w:val="0"/>
        <w:widowControl/>
        <w:suppressLineNumbers w:val="0"/>
        <w:kinsoku/>
        <w:overflowPunct/>
        <w:topLinePunct w:val="0"/>
        <w:autoSpaceDE/>
        <w:autoSpaceDN/>
        <w:bidi w:val="0"/>
        <w:spacing w:line="440" w:lineRule="exact"/>
        <w:ind w:firstLine="480" w:firstLineChars="200"/>
        <w:jc w:val="both"/>
        <w:textAlignment w:val="auto"/>
        <w:rPr>
          <w:rFonts w:hint="eastAsia" w:cs="宋体"/>
          <w:i w:val="0"/>
          <w:iCs w:val="0"/>
          <w:color w:val="auto"/>
          <w:kern w:val="2"/>
          <w:sz w:val="24"/>
          <w:szCs w:val="22"/>
          <w:highlight w:val="none"/>
          <w:lang w:val="en-US" w:eastAsia="zh-CN" w:bidi="ar-SA"/>
        </w:rPr>
      </w:pPr>
      <w:r>
        <w:rPr>
          <w:rFonts w:hint="eastAsia" w:cs="宋体"/>
          <w:i w:val="0"/>
          <w:iCs w:val="0"/>
          <w:color w:val="auto"/>
          <w:kern w:val="2"/>
          <w:sz w:val="24"/>
          <w:szCs w:val="22"/>
          <w:highlight w:val="none"/>
          <w:lang w:val="en-US" w:eastAsia="zh-CN" w:bidi="ar-SA"/>
        </w:rPr>
        <w:t>8.1</w:t>
      </w:r>
      <w:r>
        <w:rPr>
          <w:rFonts w:hint="eastAsia" w:ascii="宋体" w:hAnsi="宋体" w:eastAsia="宋体" w:cs="宋体"/>
          <w:b w:val="0"/>
          <w:bCs w:val="0"/>
          <w:i w:val="0"/>
          <w:iCs w:val="0"/>
          <w:color w:val="auto"/>
          <w:sz w:val="24"/>
          <w:szCs w:val="24"/>
          <w:highlight w:val="none"/>
        </w:rPr>
        <w:t>供应商存在下列情况之一的，</w:t>
      </w:r>
      <w:r>
        <w:rPr>
          <w:rFonts w:hint="eastAsia" w:cs="宋体"/>
          <w:b w:val="0"/>
          <w:bCs w:val="0"/>
          <w:i w:val="0"/>
          <w:iCs w:val="0"/>
          <w:color w:val="auto"/>
          <w:sz w:val="24"/>
          <w:szCs w:val="24"/>
          <w:highlight w:val="none"/>
          <w:lang w:val="en-US" w:eastAsia="zh-CN"/>
        </w:rPr>
        <w:t>其</w:t>
      </w:r>
      <w:r>
        <w:rPr>
          <w:rFonts w:hint="eastAsia" w:cs="宋体"/>
          <w:b/>
          <w:bCs/>
          <w:i w:val="0"/>
          <w:iCs w:val="0"/>
          <w:color w:val="auto"/>
          <w:sz w:val="24"/>
          <w:szCs w:val="24"/>
          <w:highlight w:val="none"/>
          <w:lang w:val="en-US" w:eastAsia="zh-CN"/>
        </w:rPr>
        <w:t>响应</w:t>
      </w:r>
      <w:r>
        <w:rPr>
          <w:rFonts w:hint="eastAsia" w:ascii="宋体" w:hAnsi="宋体" w:eastAsia="宋体" w:cs="宋体"/>
          <w:b/>
          <w:bCs/>
          <w:i w:val="0"/>
          <w:iCs w:val="0"/>
          <w:color w:val="auto"/>
          <w:sz w:val="24"/>
          <w:szCs w:val="24"/>
          <w:highlight w:val="none"/>
        </w:rPr>
        <w:t>无效</w:t>
      </w:r>
      <w:r>
        <w:rPr>
          <w:rFonts w:hint="eastAsia" w:ascii="宋体" w:hAnsi="宋体" w:eastAsia="宋体" w:cs="宋体"/>
          <w:b w:val="0"/>
          <w:bCs w:val="0"/>
          <w:i w:val="0"/>
          <w:iCs w:val="0"/>
          <w:color w:val="auto"/>
          <w:sz w:val="24"/>
          <w:szCs w:val="24"/>
          <w:highlight w:val="none"/>
        </w:rPr>
        <w:t>：</w:t>
      </w:r>
    </w:p>
    <w:p w14:paraId="702D1A6A">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1）</w:t>
      </w:r>
      <w:r>
        <w:rPr>
          <w:rFonts w:hint="eastAsia" w:ascii="宋体" w:hAnsi="宋体" w:eastAsia="宋体" w:cs="宋体"/>
          <w:b w:val="0"/>
          <w:bCs w:val="0"/>
          <w:i w:val="0"/>
          <w:iCs w:val="0"/>
          <w:color w:val="auto"/>
          <w:sz w:val="24"/>
          <w:szCs w:val="24"/>
          <w:highlight w:val="none"/>
        </w:rPr>
        <w:t>不同供应商的响应文件由同一单位或者个人编制；</w:t>
      </w:r>
    </w:p>
    <w:p w14:paraId="2B2A7ABE">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不同供应商委托同一单位或者个人办理</w:t>
      </w:r>
      <w:r>
        <w:rPr>
          <w:rFonts w:hint="eastAsia" w:ascii="宋体" w:hAnsi="宋体" w:eastAsia="宋体" w:cs="宋体"/>
          <w:b w:val="0"/>
          <w:bCs w:val="0"/>
          <w:i w:val="0"/>
          <w:iCs w:val="0"/>
          <w:color w:val="auto"/>
          <w:sz w:val="24"/>
          <w:szCs w:val="24"/>
          <w:highlight w:val="none"/>
          <w:lang w:val="en-US" w:eastAsia="zh-CN"/>
        </w:rPr>
        <w:t>磋商响应</w:t>
      </w:r>
      <w:r>
        <w:rPr>
          <w:rFonts w:hint="eastAsia" w:ascii="宋体" w:hAnsi="宋体" w:eastAsia="宋体" w:cs="宋体"/>
          <w:b w:val="0"/>
          <w:bCs w:val="0"/>
          <w:i w:val="0"/>
          <w:iCs w:val="0"/>
          <w:color w:val="auto"/>
          <w:sz w:val="24"/>
          <w:szCs w:val="24"/>
          <w:highlight w:val="none"/>
        </w:rPr>
        <w:t>事宜；</w:t>
      </w:r>
    </w:p>
    <w:p w14:paraId="4EE2FB0A">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不同供应商的响应文件载明的项目管理成员或者联系人员为同一人；</w:t>
      </w:r>
    </w:p>
    <w:p w14:paraId="53A78381">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4）</w:t>
      </w:r>
      <w:r>
        <w:rPr>
          <w:rFonts w:hint="eastAsia" w:ascii="宋体" w:hAnsi="宋体" w:eastAsia="宋体" w:cs="宋体"/>
          <w:b w:val="0"/>
          <w:bCs w:val="0"/>
          <w:i w:val="0"/>
          <w:iCs w:val="0"/>
          <w:color w:val="auto"/>
          <w:sz w:val="24"/>
          <w:szCs w:val="24"/>
          <w:highlight w:val="none"/>
        </w:rPr>
        <w:t>不同供应商的响应文件异常一致或者</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报价呈规律性差异；</w:t>
      </w:r>
    </w:p>
    <w:p w14:paraId="60D5A539">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5）</w:t>
      </w:r>
      <w:r>
        <w:rPr>
          <w:rFonts w:hint="eastAsia" w:ascii="宋体" w:hAnsi="宋体" w:eastAsia="宋体" w:cs="宋体"/>
          <w:b w:val="0"/>
          <w:bCs w:val="0"/>
          <w:i w:val="0"/>
          <w:iCs w:val="0"/>
          <w:color w:val="auto"/>
          <w:sz w:val="24"/>
          <w:szCs w:val="24"/>
          <w:highlight w:val="none"/>
        </w:rPr>
        <w:t>不同供应商的响应文件相互混装；</w:t>
      </w:r>
    </w:p>
    <w:p w14:paraId="2FF50D83">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lang w:val="en-US" w:eastAsia="zh-CN"/>
        </w:rPr>
      </w:pPr>
      <w:r>
        <w:rPr>
          <w:rFonts w:hint="eastAsia" w:ascii="宋体" w:hAnsi="宋体" w:eastAsia="宋体" w:cs="宋体"/>
          <w:b w:val="0"/>
          <w:bCs w:val="0"/>
          <w:i w:val="0"/>
          <w:iCs w:val="0"/>
          <w:color w:val="auto"/>
          <w:sz w:val="24"/>
          <w:szCs w:val="24"/>
          <w:highlight w:val="none"/>
          <w:lang w:eastAsia="zh-CN"/>
        </w:rPr>
        <w:t>（</w:t>
      </w:r>
      <w:r>
        <w:rPr>
          <w:rFonts w:hint="eastAsia" w:ascii="宋体" w:hAnsi="宋体" w:eastAsia="宋体" w:cs="宋体"/>
          <w:b w:val="0"/>
          <w:bCs w:val="0"/>
          <w:i w:val="0"/>
          <w:iCs w:val="0"/>
          <w:color w:val="auto"/>
          <w:sz w:val="24"/>
          <w:szCs w:val="24"/>
          <w:highlight w:val="none"/>
          <w:lang w:val="en-US" w:eastAsia="zh-CN"/>
        </w:rPr>
        <w:t>6）</w:t>
      </w:r>
      <w:r>
        <w:rPr>
          <w:rFonts w:hint="eastAsia" w:ascii="宋体" w:hAnsi="宋体" w:eastAsia="宋体" w:cs="宋体"/>
          <w:b w:val="0"/>
          <w:bCs w:val="0"/>
          <w:i w:val="0"/>
          <w:iCs w:val="0"/>
          <w:color w:val="auto"/>
          <w:sz w:val="24"/>
          <w:szCs w:val="24"/>
          <w:highlight w:val="none"/>
        </w:rPr>
        <w:t>不同供应商的磋商保证金从同一单位或者个人的账户转出</w:t>
      </w:r>
      <w:r>
        <w:rPr>
          <w:rFonts w:hint="eastAsia" w:ascii="宋体" w:hAnsi="宋体" w:eastAsia="宋体" w:cs="宋体"/>
          <w:b w:val="0"/>
          <w:bCs w:val="0"/>
          <w:i w:val="0"/>
          <w:iCs w:val="0"/>
          <w:color w:val="auto"/>
          <w:sz w:val="24"/>
          <w:szCs w:val="24"/>
          <w:highlight w:val="none"/>
          <w:lang w:val="en-US" w:eastAsia="zh-CN"/>
        </w:rPr>
        <w:t>；</w:t>
      </w:r>
    </w:p>
    <w:p w14:paraId="1C3AF755">
      <w:pPr>
        <w:pStyle w:val="36"/>
        <w:pageBreakBefore w:val="0"/>
        <w:kinsoku/>
        <w:overflowPunct/>
        <w:topLinePunct w:val="0"/>
        <w:autoSpaceDE/>
        <w:autoSpaceDN/>
        <w:bidi w:val="0"/>
        <w:spacing w:line="440" w:lineRule="exact"/>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（7）</w:t>
      </w:r>
      <w:r>
        <w:rPr>
          <w:rFonts w:hint="eastAsia"/>
          <w:i w:val="0"/>
          <w:iCs w:val="0"/>
          <w:color w:val="auto"/>
          <w:highlight w:val="none"/>
          <w:lang w:val="zh-CN" w:eastAsia="zh-CN"/>
        </w:rPr>
        <w:t>不同</w:t>
      </w:r>
      <w:r>
        <w:rPr>
          <w:rFonts w:hint="eastAsia"/>
          <w:i w:val="0"/>
          <w:iCs w:val="0"/>
          <w:color w:val="auto"/>
          <w:highlight w:val="none"/>
          <w:lang w:val="en-US" w:eastAsia="zh-CN"/>
        </w:rPr>
        <w:t>供应商</w:t>
      </w:r>
      <w:r>
        <w:rPr>
          <w:rFonts w:hint="eastAsia"/>
          <w:i w:val="0"/>
          <w:iCs w:val="0"/>
          <w:color w:val="auto"/>
          <w:highlight w:val="none"/>
          <w:lang w:val="zh-CN" w:eastAsia="zh-CN"/>
        </w:rPr>
        <w:t>使用同一电脑（机器特征值一致：如MAC地址等）或使用同一电子密钥，编制或上传电子</w:t>
      </w:r>
      <w:r>
        <w:rPr>
          <w:rFonts w:hint="eastAsia"/>
          <w:i w:val="0"/>
          <w:iCs w:val="0"/>
          <w:color w:val="auto"/>
          <w:highlight w:val="none"/>
          <w:lang w:val="en-US" w:eastAsia="zh-CN"/>
        </w:rPr>
        <w:t>响应</w:t>
      </w:r>
      <w:r>
        <w:rPr>
          <w:rFonts w:hint="eastAsia"/>
          <w:i w:val="0"/>
          <w:iCs w:val="0"/>
          <w:color w:val="auto"/>
          <w:highlight w:val="none"/>
          <w:lang w:val="zh-CN" w:eastAsia="zh-CN"/>
        </w:rPr>
        <w:t>文件</w:t>
      </w:r>
      <w:r>
        <w:rPr>
          <w:rFonts w:hint="eastAsia"/>
          <w:i w:val="0"/>
          <w:iCs w:val="0"/>
          <w:color w:val="auto"/>
          <w:highlight w:val="none"/>
          <w:lang w:val="en-US" w:eastAsia="zh-CN"/>
        </w:rPr>
        <w:t>；</w:t>
      </w:r>
    </w:p>
    <w:p w14:paraId="29DA958A">
      <w:pPr>
        <w:pStyle w:val="36"/>
        <w:pageBreakBefore w:val="0"/>
        <w:kinsoku/>
        <w:overflowPunct/>
        <w:topLinePunct w:val="0"/>
        <w:autoSpaceDE/>
        <w:autoSpaceDN/>
        <w:bidi w:val="0"/>
        <w:spacing w:line="440" w:lineRule="exact"/>
        <w:jc w:val="both"/>
        <w:textAlignment w:val="auto"/>
        <w:rPr>
          <w:rFonts w:hint="eastAsia"/>
          <w:i w:val="0"/>
          <w:iCs w:val="0"/>
          <w:color w:val="auto"/>
          <w:highlight w:val="none"/>
          <w:lang w:val="en-US" w:eastAsia="zh-CN"/>
        </w:rPr>
      </w:pPr>
      <w:r>
        <w:rPr>
          <w:rFonts w:hint="eastAsia"/>
          <w:i w:val="0"/>
          <w:iCs w:val="0"/>
          <w:color w:val="auto"/>
          <w:highlight w:val="none"/>
          <w:lang w:val="en-US" w:eastAsia="zh-CN"/>
        </w:rPr>
        <w:t>（8）法律、法规、规章和竞争性磋商文件规定的其他响应无效的情形。</w:t>
      </w:r>
    </w:p>
    <w:p w14:paraId="51CFEB2F">
      <w:pPr>
        <w:pStyle w:val="61"/>
        <w:pageBreakBefore w:val="0"/>
        <w:kinsoku/>
        <w:wordWrap/>
        <w:overflowPunct/>
        <w:topLinePunct w:val="0"/>
        <w:autoSpaceDE/>
        <w:autoSpaceDN/>
        <w:bidi w:val="0"/>
        <w:spacing w:line="440" w:lineRule="exact"/>
        <w:ind w:firstLine="480" w:firstLineChars="200"/>
        <w:jc w:val="both"/>
        <w:textAlignment w:val="auto"/>
        <w:rPr>
          <w:rFonts w:hint="eastAsia" w:ascii="宋体" w:hAnsi="宋体" w:eastAsia="宋体" w:cs="宋体"/>
          <w:b w:val="0"/>
          <w:bCs w:val="0"/>
          <w:i w:val="0"/>
          <w:iCs w:val="0"/>
          <w:color w:val="auto"/>
          <w:sz w:val="24"/>
          <w:szCs w:val="24"/>
          <w:highlight w:val="none"/>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2</w:t>
      </w:r>
      <w:r>
        <w:rPr>
          <w:rFonts w:hint="eastAsia" w:ascii="宋体" w:hAnsi="宋体" w:eastAsia="宋体" w:cs="宋体"/>
          <w:b w:val="0"/>
          <w:bCs w:val="0"/>
          <w:i w:val="0"/>
          <w:iCs w:val="0"/>
          <w:color w:val="auto"/>
          <w:sz w:val="24"/>
          <w:szCs w:val="24"/>
          <w:highlight w:val="none"/>
        </w:rPr>
        <w:t xml:space="preserve"> </w:t>
      </w:r>
      <w:r>
        <w:rPr>
          <w:rFonts w:hint="eastAsia" w:ascii="宋体" w:hAnsi="宋体" w:eastAsia="宋体" w:cs="宋体"/>
          <w:b w:val="0"/>
          <w:bCs w:val="0"/>
          <w:i w:val="0"/>
          <w:iCs w:val="0"/>
          <w:color w:val="auto"/>
          <w:sz w:val="24"/>
          <w:szCs w:val="24"/>
          <w:highlight w:val="none"/>
          <w:lang w:val="en-US" w:eastAsia="zh-CN"/>
        </w:rPr>
        <w:t>磋商</w:t>
      </w:r>
      <w:r>
        <w:rPr>
          <w:rFonts w:hint="eastAsia" w:ascii="宋体" w:hAnsi="宋体" w:eastAsia="宋体" w:cs="宋体"/>
          <w:b w:val="0"/>
          <w:bCs w:val="0"/>
          <w:i w:val="0"/>
          <w:iCs w:val="0"/>
          <w:color w:val="auto"/>
          <w:sz w:val="24"/>
          <w:szCs w:val="24"/>
          <w:highlight w:val="none"/>
        </w:rPr>
        <w:t>小组应当审查</w:t>
      </w:r>
      <w:r>
        <w:rPr>
          <w:rFonts w:hint="eastAsia" w:ascii="宋体" w:hAnsi="宋体" w:eastAsia="宋体" w:cs="宋体"/>
          <w:b w:val="0"/>
          <w:bCs w:val="0"/>
          <w:i w:val="0"/>
          <w:iCs w:val="0"/>
          <w:color w:val="auto"/>
          <w:sz w:val="24"/>
          <w:szCs w:val="24"/>
          <w:highlight w:val="none"/>
          <w:lang w:val="en-US" w:eastAsia="zh-CN"/>
        </w:rPr>
        <w:t>所有供应商的</w:t>
      </w:r>
      <w:r>
        <w:rPr>
          <w:rFonts w:hint="eastAsia" w:ascii="宋体" w:hAnsi="宋体" w:eastAsia="宋体" w:cs="宋体"/>
          <w:b w:val="0"/>
          <w:bCs w:val="0"/>
          <w:i w:val="0"/>
          <w:iCs w:val="0"/>
          <w:color w:val="auto"/>
          <w:sz w:val="24"/>
          <w:szCs w:val="24"/>
          <w:highlight w:val="none"/>
        </w:rPr>
        <w:t>响应文件是否对竞争性磋商文件提出的所有实质性要求和条件做出响应。未能在实质上响应的</w:t>
      </w:r>
      <w:r>
        <w:rPr>
          <w:rFonts w:hint="eastAsia" w:ascii="宋体" w:hAnsi="宋体" w:eastAsia="宋体" w:cs="宋体"/>
          <w:b w:val="0"/>
          <w:bCs w:val="0"/>
          <w:i w:val="0"/>
          <w:iCs w:val="0"/>
          <w:color w:val="auto"/>
          <w:sz w:val="24"/>
          <w:szCs w:val="24"/>
          <w:highlight w:val="none"/>
          <w:lang w:val="en-US" w:eastAsia="zh-CN"/>
        </w:rPr>
        <w:t>供应商</w:t>
      </w:r>
      <w:r>
        <w:rPr>
          <w:rFonts w:hint="eastAsia" w:ascii="宋体" w:hAnsi="宋体" w:eastAsia="宋体" w:cs="宋体"/>
          <w:b w:val="0"/>
          <w:bCs w:val="0"/>
          <w:i w:val="0"/>
          <w:iCs w:val="0"/>
          <w:color w:val="auto"/>
          <w:sz w:val="24"/>
          <w:szCs w:val="24"/>
          <w:highlight w:val="none"/>
        </w:rPr>
        <w:t>，其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5DBCA20D">
      <w:pPr>
        <w:pStyle w:val="36"/>
        <w:pageBreakBefore w:val="0"/>
        <w:kinsoku/>
        <w:overflowPunct/>
        <w:topLinePunct w:val="0"/>
        <w:autoSpaceDE/>
        <w:autoSpaceDN/>
        <w:bidi w:val="0"/>
        <w:spacing w:line="440" w:lineRule="exact"/>
        <w:ind w:firstLine="480"/>
        <w:jc w:val="both"/>
        <w:textAlignment w:val="auto"/>
        <w:rPr>
          <w:rFonts w:hint="eastAsia" w:cs="Helvetica"/>
          <w:i w:val="0"/>
          <w:iCs w:val="0"/>
          <w:color w:val="auto"/>
          <w:szCs w:val="24"/>
          <w:highlight w:val="none"/>
          <w:lang w:val="zh-CN"/>
        </w:rPr>
      </w:pPr>
      <w:r>
        <w:rPr>
          <w:rFonts w:hint="eastAsia" w:ascii="宋体" w:hAnsi="宋体" w:eastAsia="宋体" w:cs="宋体"/>
          <w:b w:val="0"/>
          <w:bCs w:val="0"/>
          <w:i w:val="0"/>
          <w:iCs w:val="0"/>
          <w:color w:val="auto"/>
          <w:sz w:val="24"/>
          <w:szCs w:val="24"/>
          <w:highlight w:val="none"/>
          <w:lang w:val="en-US" w:eastAsia="zh-CN"/>
        </w:rPr>
        <w:t>8</w:t>
      </w:r>
      <w:r>
        <w:rPr>
          <w:rFonts w:hint="eastAsia" w:ascii="宋体" w:hAnsi="宋体" w:eastAsia="宋体" w:cs="宋体"/>
          <w:b w:val="0"/>
          <w:bCs w:val="0"/>
          <w:i w:val="0"/>
          <w:iCs w:val="0"/>
          <w:color w:val="auto"/>
          <w:sz w:val="24"/>
          <w:szCs w:val="24"/>
          <w:highlight w:val="none"/>
        </w:rPr>
        <w:t>.</w:t>
      </w:r>
      <w:r>
        <w:rPr>
          <w:rFonts w:hint="eastAsia" w:ascii="宋体" w:hAnsi="宋体" w:eastAsia="宋体" w:cs="宋体"/>
          <w:b w:val="0"/>
          <w:bCs w:val="0"/>
          <w:i w:val="0"/>
          <w:iCs w:val="0"/>
          <w:color w:val="auto"/>
          <w:sz w:val="24"/>
          <w:szCs w:val="24"/>
          <w:highlight w:val="none"/>
          <w:lang w:val="en-US" w:eastAsia="zh-CN"/>
        </w:rPr>
        <w:t>3</w:t>
      </w:r>
      <w:r>
        <w:rPr>
          <w:rFonts w:hint="eastAsia" w:ascii="宋体" w:hAnsi="宋体" w:eastAsia="宋体" w:cs="宋体"/>
          <w:b w:val="0"/>
          <w:bCs w:val="0"/>
          <w:i w:val="0"/>
          <w:iCs w:val="0"/>
          <w:color w:val="auto"/>
          <w:sz w:val="24"/>
          <w:szCs w:val="24"/>
          <w:highlight w:val="none"/>
        </w:rPr>
        <w:t xml:space="preserve"> 供应商不得误导、干扰</w:t>
      </w:r>
      <w:r>
        <w:rPr>
          <w:rFonts w:hint="eastAsia" w:ascii="宋体" w:hAnsi="宋体" w:eastAsia="宋体" w:cs="宋体"/>
          <w:b w:val="0"/>
          <w:bCs w:val="0"/>
          <w:i w:val="0"/>
          <w:iCs w:val="0"/>
          <w:color w:val="auto"/>
          <w:sz w:val="24"/>
          <w:szCs w:val="24"/>
          <w:highlight w:val="none"/>
          <w:lang w:val="en-US" w:eastAsia="zh-CN"/>
        </w:rPr>
        <w:t>磋商小组</w:t>
      </w:r>
      <w:r>
        <w:rPr>
          <w:rFonts w:hint="eastAsia" w:ascii="宋体" w:hAnsi="宋体" w:eastAsia="宋体" w:cs="宋体"/>
          <w:b w:val="0"/>
          <w:bCs w:val="0"/>
          <w:i w:val="0"/>
          <w:iCs w:val="0"/>
          <w:color w:val="auto"/>
          <w:sz w:val="24"/>
          <w:szCs w:val="24"/>
          <w:highlight w:val="none"/>
        </w:rPr>
        <w:t>的评审活动，否则其</w:t>
      </w:r>
      <w:r>
        <w:rPr>
          <w:rFonts w:hint="eastAsia" w:ascii="宋体" w:hAnsi="宋体" w:eastAsia="宋体" w:cs="宋体"/>
          <w:b/>
          <w:bCs/>
          <w:i w:val="0"/>
          <w:iCs w:val="0"/>
          <w:color w:val="auto"/>
          <w:sz w:val="24"/>
          <w:szCs w:val="24"/>
          <w:highlight w:val="none"/>
          <w:lang w:val="en-US" w:eastAsia="zh-CN"/>
        </w:rPr>
        <w:t>响应无效</w:t>
      </w:r>
      <w:r>
        <w:rPr>
          <w:rFonts w:hint="eastAsia" w:ascii="宋体" w:hAnsi="宋体" w:eastAsia="宋体" w:cs="宋体"/>
          <w:b w:val="0"/>
          <w:bCs w:val="0"/>
          <w:i w:val="0"/>
          <w:iCs w:val="0"/>
          <w:color w:val="auto"/>
          <w:sz w:val="24"/>
          <w:szCs w:val="24"/>
          <w:highlight w:val="none"/>
        </w:rPr>
        <w:t>。</w:t>
      </w:r>
    </w:p>
    <w:p w14:paraId="054A61A3">
      <w:pPr>
        <w:pStyle w:val="8"/>
        <w:keepNext w:val="0"/>
        <w:keepLines w:val="0"/>
        <w:pageBreakBefore w:val="0"/>
        <w:widowControl w:val="0"/>
        <w:numPr>
          <w:ilvl w:val="0"/>
          <w:numId w:val="0"/>
        </w:numPr>
        <w:kinsoku/>
        <w:wordWrap/>
        <w:overflowPunct/>
        <w:topLinePunct w:val="0"/>
        <w:autoSpaceDE/>
        <w:autoSpaceDN/>
        <w:bidi w:val="0"/>
        <w:adjustRightInd/>
        <w:snapToGrid/>
        <w:spacing w:before="80" w:after="60" w:line="440" w:lineRule="exact"/>
        <w:ind w:left="420" w:leftChars="0" w:hanging="420" w:firstLineChars="0"/>
        <w:jc w:val="both"/>
        <w:textAlignment w:val="auto"/>
        <w:rPr>
          <w:rFonts w:hint="eastAsia" w:ascii="宋体" w:hAnsi="宋体" w:eastAsia="宋体" w:cs="宋体"/>
          <w:b/>
          <w:bCs/>
          <w:i w:val="0"/>
          <w:iCs w:val="0"/>
          <w:color w:val="auto"/>
          <w:kern w:val="2"/>
          <w:sz w:val="24"/>
          <w:szCs w:val="24"/>
          <w:highlight w:val="none"/>
          <w:lang w:val="en-US" w:eastAsia="zh-CN" w:bidi="ar-SA"/>
        </w:rPr>
      </w:pPr>
      <w:bookmarkStart w:id="448" w:name="_Toc102119853"/>
      <w:bookmarkStart w:id="449" w:name="_Toc102116152"/>
      <w:bookmarkStart w:id="450" w:name="_Toc102114920"/>
      <w:bookmarkStart w:id="451" w:name="_Toc102056218"/>
      <w:bookmarkStart w:id="452" w:name="_Toc102116022"/>
      <w:bookmarkStart w:id="453" w:name="_Toc102057718"/>
      <w:r>
        <w:rPr>
          <w:rFonts w:hint="eastAsia" w:ascii="宋体" w:hAnsi="宋体" w:eastAsia="宋体" w:cs="宋体"/>
          <w:b/>
          <w:bCs/>
          <w:i w:val="0"/>
          <w:iCs w:val="0"/>
          <w:color w:val="auto"/>
          <w:kern w:val="2"/>
          <w:sz w:val="24"/>
          <w:szCs w:val="24"/>
          <w:highlight w:val="none"/>
          <w:lang w:val="en-US" w:eastAsia="zh-CN" w:bidi="ar-SA"/>
        </w:rPr>
        <w:t>9.停止评审的情形</w:t>
      </w:r>
      <w:bookmarkEnd w:id="448"/>
      <w:bookmarkEnd w:id="449"/>
      <w:bookmarkEnd w:id="450"/>
      <w:bookmarkEnd w:id="451"/>
      <w:bookmarkEnd w:id="452"/>
      <w:bookmarkEnd w:id="453"/>
    </w:p>
    <w:p w14:paraId="58A3D9D5">
      <w:pPr>
        <w:keepNext w:val="0"/>
        <w:keepLines w:val="0"/>
        <w:pageBreakBefore w:val="0"/>
        <w:widowControl/>
        <w:suppressLineNumbers w:val="0"/>
        <w:kinsoku/>
        <w:overflowPunct/>
        <w:topLinePunct w:val="0"/>
        <w:autoSpaceDE/>
        <w:autoSpaceDN/>
        <w:bidi w:val="0"/>
        <w:spacing w:line="440" w:lineRule="exact"/>
        <w:ind w:firstLine="480" w:firstLineChars="200"/>
        <w:jc w:val="both"/>
        <w:textAlignment w:val="auto"/>
        <w:rPr>
          <w:rFonts w:hint="eastAsia" w:ascii="宋体" w:hAnsi="宋体" w:eastAsia="宋体" w:cs="宋体"/>
          <w:i w:val="0"/>
          <w:iCs w:val="0"/>
          <w:color w:val="auto"/>
          <w:kern w:val="2"/>
          <w:sz w:val="24"/>
          <w:szCs w:val="22"/>
          <w:highlight w:val="none"/>
          <w:lang w:val="zh-CN" w:eastAsia="zh-CN" w:bidi="ar-SA"/>
        </w:rPr>
      </w:pPr>
      <w:r>
        <w:rPr>
          <w:rFonts w:hint="eastAsia" w:ascii="宋体" w:hAnsi="宋体" w:eastAsia="宋体" w:cs="宋体"/>
          <w:i w:val="0"/>
          <w:iCs w:val="0"/>
          <w:color w:val="auto"/>
          <w:kern w:val="2"/>
          <w:sz w:val="24"/>
          <w:szCs w:val="22"/>
          <w:highlight w:val="none"/>
          <w:lang w:val="en-US" w:eastAsia="zh-CN" w:bidi="ar-SA"/>
        </w:rPr>
        <w:t>9</w:t>
      </w:r>
      <w:r>
        <w:rPr>
          <w:rFonts w:hint="eastAsia" w:ascii="宋体" w:hAnsi="宋体" w:eastAsia="宋体" w:cs="宋体"/>
          <w:i w:val="0"/>
          <w:iCs w:val="0"/>
          <w:color w:val="auto"/>
          <w:kern w:val="2"/>
          <w:sz w:val="24"/>
          <w:szCs w:val="22"/>
          <w:highlight w:val="none"/>
          <w:lang w:val="zh-CN" w:eastAsia="zh-CN" w:bidi="ar-SA"/>
        </w:rPr>
        <w:t>.1</w:t>
      </w:r>
      <w:r>
        <w:rPr>
          <w:rFonts w:hint="eastAsia" w:ascii="宋体" w:hAnsi="宋体" w:eastAsia="宋体" w:cs="宋体"/>
          <w:i w:val="0"/>
          <w:iCs w:val="0"/>
          <w:color w:val="auto"/>
          <w:kern w:val="2"/>
          <w:sz w:val="24"/>
          <w:szCs w:val="22"/>
          <w:highlight w:val="none"/>
          <w:lang w:val="en-US" w:eastAsia="zh-CN" w:bidi="ar-SA"/>
        </w:rPr>
        <w:t>磋商小组在评审过程中发现供应商有行贿、提供虚假材料或者串通等违法行为的，应当及时向财政部门报告。</w:t>
      </w:r>
    </w:p>
    <w:p w14:paraId="51B564B3">
      <w:pPr>
        <w:pStyle w:val="36"/>
        <w:pageBreakBefore w:val="0"/>
        <w:kinsoku/>
        <w:overflowPunct/>
        <w:topLinePunct w:val="0"/>
        <w:autoSpaceDE/>
        <w:autoSpaceDN/>
        <w:bidi w:val="0"/>
        <w:spacing w:line="440" w:lineRule="exact"/>
        <w:ind w:firstLine="480"/>
        <w:jc w:val="both"/>
        <w:textAlignment w:val="auto"/>
        <w:rPr>
          <w:rFonts w:hint="eastAsia"/>
          <w:i w:val="0"/>
          <w:iCs w:val="0"/>
          <w:color w:val="auto"/>
          <w:highlight w:val="none"/>
          <w:lang w:val="zh-CN"/>
        </w:rPr>
      </w:pPr>
      <w:r>
        <w:rPr>
          <w:rFonts w:hint="eastAsia"/>
          <w:i w:val="0"/>
          <w:iCs w:val="0"/>
          <w:color w:val="auto"/>
          <w:highlight w:val="none"/>
          <w:lang w:val="en-US" w:eastAsia="zh-CN"/>
        </w:rPr>
        <w:t>9.2</w:t>
      </w:r>
      <w:r>
        <w:rPr>
          <w:rFonts w:hint="eastAsia"/>
          <w:i w:val="0"/>
          <w:iCs w:val="0"/>
          <w:color w:val="auto"/>
          <w:highlight w:val="none"/>
          <w:lang w:val="zh-CN"/>
        </w:rPr>
        <w:t>磋商小组发现磋商文件存在歧义、重大缺陷导致评审工作无法进行，或者磋商文件内容违反国家有关强制性规定的，应当停止评审工作，与采购人或者采购代理机构沟通并作书面记录。采购人或者采购代理机构确认后，应当修改磋商文件，重新组织采购活动。</w:t>
      </w:r>
    </w:p>
    <w:p w14:paraId="72A0944C">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jc w:val="both"/>
        <w:textAlignment w:val="auto"/>
        <w:rPr>
          <w:rFonts w:hint="default"/>
          <w:i w:val="0"/>
          <w:iCs w:val="0"/>
          <w:color w:val="auto"/>
          <w:sz w:val="28"/>
          <w:szCs w:val="28"/>
          <w:highlight w:val="none"/>
          <w:lang w:val="en-US" w:eastAsia="zh-CN"/>
        </w:rPr>
      </w:pPr>
      <w:bookmarkStart w:id="454" w:name="_Toc17459"/>
      <w:r>
        <w:rPr>
          <w:rFonts w:hint="eastAsia"/>
          <w:i w:val="0"/>
          <w:iCs w:val="0"/>
          <w:color w:val="auto"/>
          <w:sz w:val="28"/>
          <w:szCs w:val="28"/>
          <w:highlight w:val="none"/>
          <w:lang w:val="en-US" w:eastAsia="zh-CN"/>
        </w:rPr>
        <w:t>三、</w:t>
      </w:r>
      <w:r>
        <w:rPr>
          <w:rFonts w:hint="eastAsia"/>
          <w:i w:val="0"/>
          <w:iCs w:val="0"/>
          <w:color w:val="auto"/>
          <w:sz w:val="28"/>
          <w:szCs w:val="28"/>
          <w:highlight w:val="none"/>
          <w:lang w:val="zh-CN" w:eastAsia="zh-CN"/>
        </w:rPr>
        <w:t>评审</w:t>
      </w:r>
      <w:r>
        <w:rPr>
          <w:rFonts w:hint="eastAsia"/>
          <w:i w:val="0"/>
          <w:iCs w:val="0"/>
          <w:color w:val="auto"/>
          <w:sz w:val="28"/>
          <w:szCs w:val="28"/>
          <w:highlight w:val="none"/>
          <w:lang w:val="en-US" w:eastAsia="zh-CN"/>
        </w:rPr>
        <w:t>其他要求</w:t>
      </w:r>
      <w:bookmarkEnd w:id="454"/>
    </w:p>
    <w:p w14:paraId="3B9B7B2C">
      <w:pPr>
        <w:pStyle w:val="36"/>
        <w:keepNext w:val="0"/>
        <w:keepLines w:val="0"/>
        <w:pageBreakBefore w:val="0"/>
        <w:widowControl w:val="0"/>
        <w:kinsoku/>
        <w:overflowPunct/>
        <w:topLinePunct w:val="0"/>
        <w:autoSpaceDE/>
        <w:autoSpaceDN/>
        <w:bidi w:val="0"/>
        <w:adjustRightInd/>
        <w:snapToGrid/>
        <w:spacing w:line="440" w:lineRule="exact"/>
        <w:ind w:firstLine="480" w:firstLineChars="0"/>
        <w:jc w:val="both"/>
        <w:textAlignment w:val="auto"/>
        <w:rPr>
          <w:rFonts w:hint="eastAsia"/>
          <w:i w:val="0"/>
          <w:iCs w:val="0"/>
          <w:color w:val="auto"/>
          <w:highlight w:val="none"/>
          <w:shd w:val="clear" w:color="auto" w:fill="FFFFFF"/>
          <w:lang w:val="en-US" w:eastAsia="zh-CN"/>
        </w:rPr>
      </w:pPr>
      <w:r>
        <w:rPr>
          <w:rFonts w:hint="eastAsia"/>
          <w:i w:val="0"/>
          <w:iCs w:val="0"/>
          <w:color w:val="auto"/>
          <w:highlight w:val="none"/>
          <w:shd w:val="clear" w:color="auto" w:fill="FFFFFF"/>
          <w:lang w:val="zh-CN" w:eastAsia="zh-CN"/>
        </w:rPr>
        <w:t>【</w:t>
      </w:r>
      <w:r>
        <w:rPr>
          <w:rFonts w:hint="eastAsia"/>
          <w:i w:val="0"/>
          <w:iCs w:val="0"/>
          <w:color w:val="auto"/>
          <w:highlight w:val="none"/>
          <w:shd w:val="clear" w:color="auto" w:fill="FFFFFF"/>
          <w:lang w:val="en-US" w:eastAsia="zh-CN"/>
        </w:rPr>
        <w:t>/</w:t>
      </w:r>
      <w:r>
        <w:rPr>
          <w:rFonts w:hint="eastAsia"/>
          <w:i w:val="0"/>
          <w:iCs w:val="0"/>
          <w:color w:val="auto"/>
          <w:highlight w:val="none"/>
          <w:shd w:val="clear" w:color="auto" w:fill="FFFFFF"/>
          <w:lang w:val="zh-CN" w:eastAsia="zh-CN"/>
        </w:rPr>
        <w:t>】</w:t>
      </w:r>
    </w:p>
    <w:p w14:paraId="7DAD1ED7">
      <w:pPr>
        <w:pStyle w:val="6"/>
        <w:keepNext w:val="0"/>
        <w:keepLines w:val="0"/>
        <w:pageBreakBefore w:val="0"/>
        <w:widowControl w:val="0"/>
        <w:numPr>
          <w:ilvl w:val="0"/>
          <w:numId w:val="0"/>
        </w:numPr>
        <w:kinsoku/>
        <w:wordWrap/>
        <w:overflowPunct/>
        <w:topLinePunct w:val="0"/>
        <w:autoSpaceDE/>
        <w:autoSpaceDN/>
        <w:bidi w:val="0"/>
        <w:adjustRightInd/>
        <w:snapToGrid/>
        <w:spacing w:before="120" w:after="120" w:line="440" w:lineRule="exact"/>
        <w:ind w:left="420" w:leftChars="0" w:hanging="420" w:firstLineChars="0"/>
        <w:textAlignment w:val="auto"/>
        <w:rPr>
          <w:rFonts w:hint="eastAsia"/>
          <w:i w:val="0"/>
          <w:iCs w:val="0"/>
          <w:color w:val="auto"/>
          <w:sz w:val="28"/>
          <w:szCs w:val="28"/>
          <w:highlight w:val="none"/>
          <w:lang w:val="zh-CN" w:eastAsia="zh-CN"/>
        </w:rPr>
      </w:pPr>
      <w:bookmarkStart w:id="455" w:name="_Toc13780"/>
      <w:r>
        <w:rPr>
          <w:rFonts w:hint="eastAsia"/>
          <w:i w:val="0"/>
          <w:iCs w:val="0"/>
          <w:color w:val="auto"/>
          <w:sz w:val="28"/>
          <w:szCs w:val="28"/>
          <w:highlight w:val="none"/>
          <w:lang w:val="en-US" w:eastAsia="zh-CN"/>
        </w:rPr>
        <w:t>四、</w:t>
      </w:r>
      <w:r>
        <w:rPr>
          <w:rFonts w:hint="eastAsia"/>
          <w:i w:val="0"/>
          <w:iCs w:val="0"/>
          <w:color w:val="auto"/>
          <w:sz w:val="28"/>
          <w:szCs w:val="28"/>
          <w:highlight w:val="none"/>
          <w:lang w:val="zh-CN" w:eastAsia="zh-CN"/>
        </w:rPr>
        <w:t>评审标准</w:t>
      </w:r>
      <w:bookmarkEnd w:id="455"/>
    </w:p>
    <w:p w14:paraId="79FEBCCF">
      <w:pPr>
        <w:pStyle w:val="7"/>
        <w:keepNext/>
        <w:keepLines/>
        <w:pageBreakBefore w:val="0"/>
        <w:widowControl w:val="0"/>
        <w:numPr>
          <w:ilvl w:val="0"/>
          <w:numId w:val="0"/>
        </w:numPr>
        <w:kinsoku/>
        <w:wordWrap/>
        <w:overflowPunct/>
        <w:topLinePunct w:val="0"/>
        <w:autoSpaceDE/>
        <w:autoSpaceDN/>
        <w:bidi w:val="0"/>
        <w:adjustRightInd/>
        <w:snapToGrid/>
        <w:spacing w:before="80" w:after="80" w:line="44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56" w:name="_Toc163493638"/>
      <w:r>
        <w:rPr>
          <w:rFonts w:hint="eastAsia" w:ascii="宋体" w:hAnsi="宋体" w:eastAsia="宋体" w:cs="宋体"/>
          <w:b/>
          <w:bCs/>
          <w:i w:val="0"/>
          <w:iCs w:val="0"/>
          <w:color w:val="auto"/>
          <w:kern w:val="2"/>
          <w:sz w:val="24"/>
          <w:szCs w:val="24"/>
          <w:highlight w:val="none"/>
          <w:lang w:val="en-US" w:eastAsia="zh-CN" w:bidi="ar-SA"/>
        </w:rPr>
        <w:t>（一）</w:t>
      </w:r>
      <w:r>
        <w:rPr>
          <w:rFonts w:hint="eastAsia" w:ascii="宋体" w:hAnsi="宋体" w:eastAsia="宋体" w:cs="宋体"/>
          <w:b/>
          <w:bCs/>
          <w:i w:val="0"/>
          <w:iCs w:val="0"/>
          <w:color w:val="auto"/>
          <w:kern w:val="2"/>
          <w:sz w:val="24"/>
          <w:szCs w:val="24"/>
          <w:highlight w:val="none"/>
          <w:lang w:val="zh-CN" w:eastAsia="zh-CN" w:bidi="ar-SA"/>
        </w:rPr>
        <w:t>资格审查表</w:t>
      </w:r>
      <w:bookmarkEnd w:id="456"/>
    </w:p>
    <w:tbl>
      <w:tblPr>
        <w:tblStyle w:val="30"/>
        <w:tblW w:w="516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57" w:type="dxa"/>
          <w:left w:w="108" w:type="dxa"/>
          <w:bottom w:w="57" w:type="dxa"/>
          <w:right w:w="108" w:type="dxa"/>
        </w:tblCellMar>
      </w:tblPr>
      <w:tblGrid>
        <w:gridCol w:w="771"/>
        <w:gridCol w:w="1547"/>
        <w:gridCol w:w="5208"/>
        <w:gridCol w:w="1272"/>
      </w:tblGrid>
      <w:tr w14:paraId="3820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5" w:hRule="atLeast"/>
          <w:jc w:val="center"/>
        </w:trPr>
        <w:tc>
          <w:tcPr>
            <w:tcW w:w="438" w:type="pct"/>
            <w:shd w:val="clear" w:color="auto" w:fill="D8D8D8"/>
            <w:vAlign w:val="center"/>
          </w:tcPr>
          <w:p w14:paraId="01EAF759">
            <w:pPr>
              <w:pStyle w:val="47"/>
              <w:jc w:val="center"/>
              <w:rPr>
                <w:rFonts w:hint="eastAsia" w:ascii="宋体" w:hAnsi="宋体" w:eastAsia="宋体" w:cs="宋体"/>
                <w:b/>
                <w:bCs/>
                <w:i w:val="0"/>
                <w:iCs w:val="0"/>
                <w:color w:val="auto"/>
                <w:sz w:val="24"/>
                <w:szCs w:val="24"/>
                <w:highlight w:val="none"/>
              </w:rPr>
            </w:pPr>
            <w:bookmarkStart w:id="457" w:name="_Toc156490348"/>
            <w:r>
              <w:rPr>
                <w:rFonts w:hint="eastAsia" w:ascii="宋体" w:hAnsi="宋体" w:eastAsia="宋体" w:cs="宋体"/>
                <w:b/>
                <w:bCs/>
                <w:i w:val="0"/>
                <w:iCs w:val="0"/>
                <w:color w:val="auto"/>
                <w:sz w:val="24"/>
                <w:szCs w:val="24"/>
                <w:highlight w:val="none"/>
              </w:rPr>
              <w:t>序号</w:t>
            </w:r>
          </w:p>
        </w:tc>
        <w:tc>
          <w:tcPr>
            <w:tcW w:w="879" w:type="pct"/>
            <w:shd w:val="clear" w:color="auto" w:fill="D8D8D8"/>
            <w:vAlign w:val="center"/>
          </w:tcPr>
          <w:p w14:paraId="3D378484">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审查因素</w:t>
            </w:r>
          </w:p>
        </w:tc>
        <w:tc>
          <w:tcPr>
            <w:tcW w:w="2959" w:type="pct"/>
            <w:shd w:val="clear" w:color="auto" w:fill="D8D8D8"/>
            <w:vAlign w:val="center"/>
          </w:tcPr>
          <w:p w14:paraId="371C8F58">
            <w:pPr>
              <w:pStyle w:val="47"/>
              <w:jc w:val="center"/>
              <w:rPr>
                <w:rFonts w:hint="eastAsia" w:ascii="宋体" w:hAnsi="宋体" w:eastAsia="宋体" w:cs="宋体"/>
                <w:b/>
                <w:bCs/>
                <w:i w:val="0"/>
                <w:iCs w:val="0"/>
                <w:color w:val="auto"/>
                <w:sz w:val="24"/>
                <w:szCs w:val="24"/>
                <w:highlight w:val="none"/>
              </w:rPr>
            </w:pPr>
            <w:r>
              <w:rPr>
                <w:rFonts w:hint="eastAsia" w:ascii="宋体" w:hAnsi="宋体" w:eastAsia="宋体" w:cs="宋体"/>
                <w:b/>
                <w:bCs/>
                <w:i w:val="0"/>
                <w:iCs w:val="0"/>
                <w:color w:val="auto"/>
                <w:sz w:val="24"/>
                <w:szCs w:val="24"/>
                <w:highlight w:val="none"/>
              </w:rPr>
              <w:t>审查内容</w:t>
            </w:r>
          </w:p>
        </w:tc>
        <w:tc>
          <w:tcPr>
            <w:tcW w:w="723" w:type="pct"/>
            <w:shd w:val="clear" w:color="auto" w:fill="D8D8D8"/>
            <w:vAlign w:val="center"/>
          </w:tcPr>
          <w:p w14:paraId="7919DF36">
            <w:pPr>
              <w:pStyle w:val="47"/>
              <w:jc w:val="center"/>
              <w:rPr>
                <w:rFonts w:hint="eastAsia" w:ascii="宋体" w:hAnsi="宋体" w:eastAsia="宋体" w:cs="宋体"/>
                <w:b/>
                <w:bCs/>
                <w:i w:val="0"/>
                <w:iCs w:val="0"/>
                <w:color w:val="auto"/>
                <w:sz w:val="24"/>
                <w:szCs w:val="24"/>
                <w:highlight w:val="none"/>
                <w:lang w:val="en-US" w:eastAsia="zh-CN"/>
              </w:rPr>
            </w:pPr>
            <w:r>
              <w:rPr>
                <w:rFonts w:hint="eastAsia" w:ascii="宋体" w:hAnsi="宋体" w:eastAsia="宋体" w:cs="宋体"/>
                <w:b/>
                <w:bCs/>
                <w:i w:val="0"/>
                <w:iCs w:val="0"/>
                <w:color w:val="auto"/>
                <w:sz w:val="24"/>
                <w:szCs w:val="24"/>
                <w:highlight w:val="none"/>
                <w:lang w:val="en-US" w:eastAsia="zh-CN"/>
              </w:rPr>
              <w:t>格式要求</w:t>
            </w:r>
          </w:p>
        </w:tc>
      </w:tr>
      <w:tr w14:paraId="6BEAB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72" w:hRule="atLeast"/>
          <w:jc w:val="center"/>
        </w:trPr>
        <w:tc>
          <w:tcPr>
            <w:tcW w:w="438" w:type="pct"/>
            <w:shd w:val="clear" w:color="auto" w:fill="FFFFFF"/>
            <w:vAlign w:val="center"/>
          </w:tcPr>
          <w:p w14:paraId="67660E99">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1</w:t>
            </w:r>
          </w:p>
        </w:tc>
        <w:tc>
          <w:tcPr>
            <w:tcW w:w="879" w:type="pct"/>
            <w:shd w:val="clear" w:color="auto" w:fill="FFFFFF"/>
            <w:vAlign w:val="center"/>
          </w:tcPr>
          <w:p w14:paraId="3B45E90D">
            <w:pPr>
              <w:pStyle w:val="47"/>
              <w:jc w:val="both"/>
              <w:rPr>
                <w:rFonts w:hint="eastAsia" w:cs="宋体"/>
                <w:szCs w:val="24"/>
              </w:rPr>
            </w:pPr>
            <w:r>
              <w:rPr>
                <w:rFonts w:hint="eastAsia" w:cs="宋体"/>
                <w:szCs w:val="24"/>
              </w:rPr>
              <w:t xml:space="preserve">满足《政府采购 </w:t>
            </w:r>
          </w:p>
          <w:p w14:paraId="21F48FFA">
            <w:pPr>
              <w:pStyle w:val="47"/>
              <w:jc w:val="both"/>
              <w:rPr>
                <w:rFonts w:hint="eastAsia" w:cs="宋体"/>
                <w:szCs w:val="24"/>
              </w:rPr>
            </w:pPr>
            <w:r>
              <w:rPr>
                <w:rFonts w:hint="eastAsia" w:cs="宋体"/>
                <w:szCs w:val="24"/>
              </w:rPr>
              <w:t xml:space="preserve">法》第二十二条 </w:t>
            </w:r>
          </w:p>
          <w:p w14:paraId="351AFFB1">
            <w:pPr>
              <w:pStyle w:val="47"/>
              <w:jc w:val="both"/>
              <w:rPr>
                <w:rFonts w:hint="eastAsia" w:ascii="宋体" w:hAnsi="宋体" w:eastAsia="宋体" w:cs="宋体"/>
                <w:i w:val="0"/>
                <w:iCs w:val="0"/>
                <w:color w:val="auto"/>
                <w:sz w:val="24"/>
                <w:szCs w:val="24"/>
                <w:highlight w:val="none"/>
              </w:rPr>
            </w:pPr>
            <w:r>
              <w:rPr>
                <w:rFonts w:hint="eastAsia" w:cs="宋体"/>
                <w:szCs w:val="24"/>
              </w:rPr>
              <w:t>规定</w:t>
            </w:r>
          </w:p>
        </w:tc>
        <w:tc>
          <w:tcPr>
            <w:tcW w:w="2959" w:type="pct"/>
            <w:shd w:val="clear" w:color="auto" w:fill="FFFFFF"/>
            <w:vAlign w:val="center"/>
          </w:tcPr>
          <w:p w14:paraId="502E0E33">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具体规定见“第一章 招标公告”</w:t>
            </w:r>
          </w:p>
        </w:tc>
        <w:tc>
          <w:tcPr>
            <w:tcW w:w="723" w:type="pct"/>
            <w:shd w:val="clear" w:color="auto" w:fill="FFFFFF"/>
            <w:vAlign w:val="center"/>
          </w:tcPr>
          <w:p w14:paraId="4AD69B19">
            <w:pPr>
              <w:pStyle w:val="47"/>
              <w:jc w:val="center"/>
              <w:rPr>
                <w:rFonts w:hint="eastAsia" w:ascii="宋体" w:hAnsi="宋体" w:eastAsia="宋体" w:cs="宋体"/>
                <w:b/>
                <w:bCs/>
                <w:i w:val="0"/>
                <w:iCs w:val="0"/>
                <w:color w:val="auto"/>
                <w:sz w:val="24"/>
                <w:szCs w:val="24"/>
                <w:highlight w:val="none"/>
              </w:rPr>
            </w:pPr>
          </w:p>
        </w:tc>
      </w:tr>
      <w:tr w14:paraId="46A39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91" w:hRule="atLeast"/>
          <w:jc w:val="center"/>
        </w:trPr>
        <w:tc>
          <w:tcPr>
            <w:tcW w:w="438" w:type="pct"/>
            <w:shd w:val="clear" w:color="auto" w:fill="FFFFFF"/>
            <w:vAlign w:val="center"/>
          </w:tcPr>
          <w:p w14:paraId="2FC50E41">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1-1</w:t>
            </w:r>
          </w:p>
        </w:tc>
        <w:tc>
          <w:tcPr>
            <w:tcW w:w="879" w:type="pct"/>
            <w:shd w:val="clear" w:color="auto" w:fill="FFFFFF"/>
            <w:vAlign w:val="center"/>
          </w:tcPr>
          <w:p w14:paraId="37D7A6E3">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具有独立承担民事责任的能力</w:t>
            </w:r>
          </w:p>
        </w:tc>
        <w:tc>
          <w:tcPr>
            <w:tcW w:w="2959" w:type="pct"/>
            <w:shd w:val="clear" w:color="auto" w:fill="FFFFFF"/>
            <w:vAlign w:val="center"/>
          </w:tcPr>
          <w:p w14:paraId="4600EC40">
            <w:pPr>
              <w:pStyle w:val="47"/>
              <w:jc w:val="both"/>
              <w:rPr>
                <w:rFonts w:hint="eastAsia" w:ascii="宋体" w:hAnsi="宋体" w:eastAsia="宋体" w:cs="宋体"/>
                <w:i w:val="0"/>
                <w:iCs w:val="0"/>
                <w:color w:val="auto"/>
                <w:spacing w:val="-6"/>
                <w:sz w:val="24"/>
                <w:szCs w:val="24"/>
                <w:highlight w:val="none"/>
                <w:lang w:val="en-US" w:eastAsia="zh-CN"/>
              </w:rPr>
            </w:pPr>
            <w:r>
              <w:rPr>
                <w:rFonts w:hint="eastAsia" w:cs="宋体"/>
                <w:szCs w:val="24"/>
              </w:rPr>
              <w:t>如投标人是企业，应提供“营业执照”；如投标人是事业单位，应提供 “事业单位法人证书”；如投标人是社会团体，应提供“社会团体法人登记证书”；如投标人是个体工商户，应提供有效的“个体工商户营业执照”；如投标人是自然人，应提供有效的自然人身份证明。</w:t>
            </w:r>
          </w:p>
        </w:tc>
        <w:tc>
          <w:tcPr>
            <w:tcW w:w="723" w:type="pct"/>
            <w:shd w:val="clear" w:color="auto" w:fill="FFFFFF"/>
            <w:vAlign w:val="center"/>
          </w:tcPr>
          <w:p w14:paraId="059E0055">
            <w:pPr>
              <w:pStyle w:val="47"/>
              <w:jc w:val="both"/>
              <w:rPr>
                <w:rFonts w:hint="eastAsia" w:ascii="宋体" w:hAnsi="宋体" w:eastAsia="宋体" w:cs="宋体"/>
                <w:spacing w:val="-6"/>
                <w:kern w:val="0"/>
                <w:szCs w:val="24"/>
                <w:lang w:val="en-US" w:eastAsia="zh-CN"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08834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467" w:hRule="atLeast"/>
          <w:jc w:val="center"/>
        </w:trPr>
        <w:tc>
          <w:tcPr>
            <w:tcW w:w="438" w:type="pct"/>
            <w:shd w:val="clear" w:color="auto" w:fill="FFFFFF"/>
            <w:vAlign w:val="center"/>
          </w:tcPr>
          <w:p w14:paraId="65F7D7D4">
            <w:pPr>
              <w:pStyle w:val="47"/>
              <w:jc w:val="center"/>
              <w:rPr>
                <w:rFonts w:hint="eastAsia" w:ascii="宋体" w:hAnsi="宋体" w:eastAsia="宋体" w:cs="宋体"/>
                <w:b/>
                <w:bCs/>
                <w:i w:val="0"/>
                <w:iCs w:val="0"/>
                <w:color w:val="auto"/>
                <w:kern w:val="2"/>
                <w:sz w:val="24"/>
                <w:szCs w:val="24"/>
                <w:highlight w:val="none"/>
                <w:lang w:val="en-US" w:eastAsia="zh-CN" w:bidi="ar-SA"/>
              </w:rPr>
            </w:pPr>
            <w:r>
              <w:rPr>
                <w:rFonts w:hint="eastAsia" w:cs="宋体"/>
                <w:b/>
                <w:bCs/>
                <w:szCs w:val="24"/>
              </w:rPr>
              <w:t>1-2</w:t>
            </w:r>
          </w:p>
        </w:tc>
        <w:tc>
          <w:tcPr>
            <w:tcW w:w="879" w:type="pct"/>
            <w:shd w:val="clear" w:color="auto" w:fill="FFFFFF"/>
            <w:vAlign w:val="center"/>
          </w:tcPr>
          <w:p w14:paraId="3F369769">
            <w:pPr>
              <w:pStyle w:val="47"/>
              <w:jc w:val="both"/>
              <w:rPr>
                <w:rFonts w:hint="eastAsia" w:ascii="宋体" w:hAnsi="宋体" w:eastAsia="宋体" w:cs="宋体"/>
                <w:i w:val="0"/>
                <w:iCs w:val="0"/>
                <w:color w:val="auto"/>
                <w:spacing w:val="-6"/>
                <w:kern w:val="0"/>
                <w:sz w:val="24"/>
                <w:szCs w:val="24"/>
                <w:highlight w:val="none"/>
                <w:lang w:val="en-US" w:eastAsia="zh-CN"/>
              </w:rPr>
            </w:pPr>
            <w:r>
              <w:rPr>
                <w:rFonts w:hint="eastAsia" w:cs="宋体"/>
                <w:szCs w:val="24"/>
              </w:rPr>
              <w:t>具有良好的商业信誉和健全的财务会计制度</w:t>
            </w:r>
          </w:p>
        </w:tc>
        <w:tc>
          <w:tcPr>
            <w:tcW w:w="2959" w:type="pct"/>
            <w:shd w:val="clear" w:color="auto" w:fill="FFFFFF"/>
            <w:vAlign w:val="center"/>
          </w:tcPr>
          <w:p w14:paraId="5411BF43">
            <w:pPr>
              <w:pStyle w:val="47"/>
              <w:jc w:val="both"/>
              <w:rPr>
                <w:rFonts w:hint="eastAsia" w:cs="宋体"/>
                <w:szCs w:val="24"/>
                <w:lang w:val="en-US" w:eastAsia="zh-CN"/>
              </w:rPr>
            </w:pPr>
            <w:r>
              <w:rPr>
                <w:rFonts w:hint="eastAsia" w:cs="宋体"/>
                <w:szCs w:val="24"/>
                <w:lang w:val="en-US" w:eastAsia="zh-CN"/>
              </w:rPr>
              <w:t>提供2023-2025年度经审计的财务报表或审计报告；若供应商成立不足一年，提供成立以来完整财务报表。</w:t>
            </w:r>
          </w:p>
          <w:p w14:paraId="7C9FF287">
            <w:pPr>
              <w:pStyle w:val="47"/>
              <w:jc w:val="both"/>
              <w:rPr>
                <w:rFonts w:hint="eastAsia" w:ascii="宋体" w:hAnsi="宋体" w:eastAsia="宋体" w:cs="宋体"/>
                <w:i w:val="0"/>
                <w:iCs w:val="0"/>
                <w:color w:val="auto"/>
                <w:spacing w:val="-6"/>
                <w:kern w:val="0"/>
                <w:sz w:val="24"/>
                <w:szCs w:val="24"/>
                <w:highlight w:val="none"/>
                <w:lang w:val="en-US" w:eastAsia="zh-CN"/>
              </w:rPr>
            </w:pPr>
          </w:p>
        </w:tc>
        <w:tc>
          <w:tcPr>
            <w:tcW w:w="723" w:type="pct"/>
            <w:shd w:val="clear" w:color="auto" w:fill="FFFFFF"/>
            <w:vAlign w:val="center"/>
          </w:tcPr>
          <w:p w14:paraId="6C3E21E7">
            <w:pPr>
              <w:pStyle w:val="47"/>
              <w:jc w:val="both"/>
              <w:rPr>
                <w:rFonts w:hint="eastAsia" w:ascii="宋体" w:hAnsi="宋体" w:eastAsia="宋体" w:cs="宋体"/>
                <w:spacing w:val="-6"/>
                <w:kern w:val="0"/>
                <w:szCs w:val="24"/>
                <w:lang w:val="en-US" w:eastAsia="zh-CN"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1C8E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4155" w:hRule="atLeast"/>
          <w:jc w:val="center"/>
        </w:trPr>
        <w:tc>
          <w:tcPr>
            <w:tcW w:w="438" w:type="pct"/>
            <w:shd w:val="clear" w:color="auto" w:fill="FFFFFF"/>
            <w:vAlign w:val="center"/>
          </w:tcPr>
          <w:p w14:paraId="3C4DED97">
            <w:pPr>
              <w:pStyle w:val="47"/>
              <w:jc w:val="center"/>
              <w:rPr>
                <w:rFonts w:hint="default" w:ascii="宋体" w:hAnsi="宋体" w:eastAsia="宋体" w:cs="宋体"/>
                <w:b/>
                <w:bCs/>
                <w:i w:val="0"/>
                <w:iCs w:val="0"/>
                <w:color w:val="auto"/>
                <w:kern w:val="2"/>
                <w:sz w:val="24"/>
                <w:szCs w:val="24"/>
                <w:highlight w:val="none"/>
                <w:lang w:val="en-US" w:eastAsia="zh-CN" w:bidi="ar-SA"/>
              </w:rPr>
            </w:pPr>
            <w:r>
              <w:rPr>
                <w:rFonts w:hint="eastAsia" w:cs="宋体"/>
                <w:b/>
                <w:bCs/>
                <w:szCs w:val="24"/>
              </w:rPr>
              <w:t>1-3</w:t>
            </w:r>
          </w:p>
        </w:tc>
        <w:tc>
          <w:tcPr>
            <w:tcW w:w="879" w:type="pct"/>
            <w:shd w:val="clear" w:color="auto" w:fill="FFFFFF"/>
            <w:vAlign w:val="center"/>
          </w:tcPr>
          <w:p w14:paraId="5717BD69">
            <w:pPr>
              <w:pStyle w:val="47"/>
              <w:jc w:val="both"/>
              <w:rPr>
                <w:rFonts w:hint="eastAsia" w:ascii="宋体" w:hAnsi="宋体" w:eastAsia="宋体" w:cs="宋体"/>
                <w:i w:val="0"/>
                <w:iCs w:val="0"/>
                <w:color w:val="auto"/>
                <w:spacing w:val="-6"/>
                <w:kern w:val="0"/>
                <w:sz w:val="24"/>
                <w:szCs w:val="24"/>
                <w:highlight w:val="none"/>
                <w:lang w:val="en-US" w:eastAsia="zh-CN"/>
              </w:rPr>
            </w:pPr>
            <w:r>
              <w:rPr>
                <w:rFonts w:hint="eastAsia" w:cs="宋体"/>
                <w:szCs w:val="24"/>
              </w:rPr>
              <w:t>有依法缴纳税收和社会保障资金的良好记录</w:t>
            </w:r>
          </w:p>
        </w:tc>
        <w:tc>
          <w:tcPr>
            <w:tcW w:w="2959" w:type="pct"/>
            <w:shd w:val="clear" w:color="auto" w:fill="FFFFFF"/>
            <w:vAlign w:val="center"/>
          </w:tcPr>
          <w:p w14:paraId="5E655D5E">
            <w:pPr>
              <w:pStyle w:val="47"/>
              <w:jc w:val="both"/>
              <w:rPr>
                <w:rFonts w:hint="eastAsia" w:cs="宋体"/>
                <w:szCs w:val="24"/>
                <w:lang w:val="en-US" w:eastAsia="zh-CN"/>
              </w:rPr>
            </w:pPr>
            <w:r>
              <w:rPr>
                <w:rFonts w:hint="eastAsia" w:cs="宋体"/>
                <w:szCs w:val="24"/>
                <w:lang w:val="en-US" w:eastAsia="zh-CN"/>
              </w:rPr>
              <w:t>供应商依法缴纳税收的证明材料：本项目投标截止时间前6个月内（连续3个月）缴纳税收的凭据（完税证、缴款书、印花税票、银行代扣（代缴）转账凭证等均可）；</w:t>
            </w:r>
          </w:p>
          <w:p w14:paraId="34C51367">
            <w:pPr>
              <w:pStyle w:val="47"/>
              <w:jc w:val="both"/>
              <w:rPr>
                <w:rFonts w:hint="eastAsia" w:cs="宋体"/>
                <w:szCs w:val="24"/>
                <w:lang w:val="en-US" w:eastAsia="zh-CN"/>
              </w:rPr>
            </w:pPr>
            <w:r>
              <w:rPr>
                <w:rFonts w:hint="eastAsia" w:cs="宋体"/>
                <w:szCs w:val="24"/>
                <w:lang w:val="en-US" w:eastAsia="zh-CN"/>
              </w:rPr>
              <w:t>依法免税的供应商，须提供相应文件证明其依法免税。</w:t>
            </w:r>
          </w:p>
          <w:p w14:paraId="638A3BD3">
            <w:pPr>
              <w:pStyle w:val="47"/>
              <w:jc w:val="both"/>
              <w:rPr>
                <w:rFonts w:hint="eastAsia" w:cs="宋体"/>
                <w:szCs w:val="24"/>
                <w:lang w:val="en-US" w:eastAsia="zh-CN"/>
              </w:rPr>
            </w:pPr>
            <w:r>
              <w:rPr>
                <w:rFonts w:hint="eastAsia" w:cs="宋体"/>
                <w:szCs w:val="24"/>
                <w:lang w:val="en-US" w:eastAsia="zh-CN"/>
              </w:rPr>
              <w:t>供应商依法缴纳社会保障资金的证明材料：本项目磋商截止时间时间前6个月内（连续3个月）缴纳社会保险的凭据（专用收据或社会保险交纳清单）；</w:t>
            </w:r>
          </w:p>
          <w:p w14:paraId="4BDF11B5">
            <w:pPr>
              <w:pStyle w:val="47"/>
              <w:jc w:val="both"/>
              <w:rPr>
                <w:rFonts w:hint="eastAsia" w:cs="宋体"/>
                <w:szCs w:val="24"/>
                <w:lang w:val="en-US" w:eastAsia="zh-CN"/>
              </w:rPr>
            </w:pPr>
            <w:r>
              <w:rPr>
                <w:rFonts w:hint="eastAsia" w:cs="宋体"/>
                <w:szCs w:val="24"/>
                <w:lang w:val="en-US" w:eastAsia="zh-CN"/>
              </w:rPr>
              <w:t>提供连续3个月全员社保缴纳清单。</w:t>
            </w:r>
          </w:p>
          <w:p w14:paraId="18537AC8">
            <w:pPr>
              <w:pStyle w:val="47"/>
              <w:jc w:val="both"/>
              <w:rPr>
                <w:rFonts w:hint="eastAsia" w:cs="宋体"/>
                <w:szCs w:val="24"/>
                <w:lang w:val="en-US" w:eastAsia="zh-CN"/>
              </w:rPr>
            </w:pPr>
            <w:r>
              <w:rPr>
                <w:rFonts w:hint="eastAsia" w:cs="宋体"/>
                <w:szCs w:val="24"/>
                <w:lang w:val="en-US" w:eastAsia="zh-CN"/>
              </w:rPr>
              <w:t>供应商为其他组织或自然人的，也需要按此项规定提供缴纳税收的凭据和交纳社会保险的凭据。</w:t>
            </w:r>
          </w:p>
          <w:p w14:paraId="17049A94">
            <w:pPr>
              <w:pStyle w:val="47"/>
              <w:jc w:val="both"/>
              <w:rPr>
                <w:rFonts w:hint="eastAsia" w:ascii="宋体" w:hAnsi="宋体" w:eastAsia="宋体" w:cs="宋体"/>
                <w:i w:val="0"/>
                <w:iCs w:val="0"/>
                <w:color w:val="auto"/>
                <w:spacing w:val="-6"/>
                <w:kern w:val="0"/>
                <w:sz w:val="24"/>
                <w:szCs w:val="24"/>
                <w:highlight w:val="none"/>
                <w:lang w:val="en-US" w:eastAsia="zh-CN"/>
              </w:rPr>
            </w:pPr>
            <w:r>
              <w:rPr>
                <w:rFonts w:hint="eastAsia" w:cs="宋体"/>
                <w:szCs w:val="24"/>
                <w:lang w:val="en-US" w:eastAsia="zh-CN"/>
              </w:rPr>
              <w:t>依法不需要缴纳社会保障资金的供应商，须提供相应文件证明其依法不需要缴纳社会保障资金。</w:t>
            </w:r>
          </w:p>
        </w:tc>
        <w:tc>
          <w:tcPr>
            <w:tcW w:w="723" w:type="pct"/>
            <w:shd w:val="clear" w:color="auto" w:fill="FFFFFF"/>
            <w:vAlign w:val="center"/>
          </w:tcPr>
          <w:p w14:paraId="2202E4DB">
            <w:pPr>
              <w:pStyle w:val="47"/>
              <w:jc w:val="both"/>
              <w:rPr>
                <w:rFonts w:hint="eastAsia" w:ascii="宋体" w:hAnsi="宋体" w:eastAsia="宋体" w:cs="宋体"/>
                <w:spacing w:val="-6"/>
                <w:kern w:val="0"/>
                <w:szCs w:val="24"/>
                <w:lang w:val="en-US" w:eastAsia="zh-CN"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6E67C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364" w:hRule="atLeast"/>
          <w:jc w:val="center"/>
        </w:trPr>
        <w:tc>
          <w:tcPr>
            <w:tcW w:w="438" w:type="pct"/>
            <w:shd w:val="clear" w:color="auto" w:fill="FFFFFF"/>
            <w:vAlign w:val="center"/>
          </w:tcPr>
          <w:p w14:paraId="6020E885">
            <w:pPr>
              <w:pStyle w:val="47"/>
              <w:jc w:val="center"/>
              <w:rPr>
                <w:rFonts w:hint="default" w:ascii="宋体" w:hAnsi="宋体" w:eastAsia="宋体" w:cs="宋体"/>
                <w:b/>
                <w:bCs/>
                <w:i w:val="0"/>
                <w:iCs w:val="0"/>
                <w:color w:val="auto"/>
                <w:sz w:val="24"/>
                <w:szCs w:val="24"/>
                <w:highlight w:val="none"/>
                <w:lang w:val="en-US" w:eastAsia="zh-CN"/>
              </w:rPr>
            </w:pPr>
            <w:r>
              <w:rPr>
                <w:rFonts w:hint="eastAsia" w:cs="宋体"/>
                <w:b/>
                <w:bCs/>
                <w:szCs w:val="24"/>
              </w:rPr>
              <w:t>1-4</w:t>
            </w:r>
          </w:p>
        </w:tc>
        <w:tc>
          <w:tcPr>
            <w:tcW w:w="879" w:type="pct"/>
            <w:shd w:val="clear" w:color="auto" w:fill="FFFFFF"/>
            <w:vAlign w:val="center"/>
          </w:tcPr>
          <w:p w14:paraId="69681D10">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具有履行合同所必需的设备和专业技术能力</w:t>
            </w:r>
          </w:p>
        </w:tc>
        <w:tc>
          <w:tcPr>
            <w:tcW w:w="2959" w:type="pct"/>
            <w:shd w:val="clear" w:color="auto" w:fill="FFFFFF"/>
            <w:vAlign w:val="center"/>
          </w:tcPr>
          <w:p w14:paraId="23E5D1AC">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投标人履行合同所必须的设备和专业技术能力的证明材料或声明。</w:t>
            </w:r>
          </w:p>
        </w:tc>
        <w:tc>
          <w:tcPr>
            <w:tcW w:w="723" w:type="pct"/>
            <w:shd w:val="clear" w:color="auto" w:fill="FFFFFF"/>
            <w:vAlign w:val="center"/>
          </w:tcPr>
          <w:p w14:paraId="5E098C36">
            <w:pPr>
              <w:pStyle w:val="47"/>
              <w:jc w:val="both"/>
              <w:rPr>
                <w:rFonts w:hint="eastAsia" w:ascii="宋体" w:hAnsi="宋体" w:eastAsia="宋体" w:cs="宋体"/>
                <w:spacing w:val="-6"/>
                <w:kern w:val="0"/>
                <w:szCs w:val="24"/>
                <w:lang w:val="en-US" w:eastAsia="zh-CN"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143B2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74" w:hRule="atLeast"/>
          <w:jc w:val="center"/>
        </w:trPr>
        <w:tc>
          <w:tcPr>
            <w:tcW w:w="438" w:type="pct"/>
            <w:shd w:val="clear" w:color="auto" w:fill="FFFFFF"/>
            <w:vAlign w:val="center"/>
          </w:tcPr>
          <w:p w14:paraId="7290BB72">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1-5</w:t>
            </w:r>
          </w:p>
        </w:tc>
        <w:tc>
          <w:tcPr>
            <w:tcW w:w="879" w:type="pct"/>
            <w:shd w:val="clear" w:color="auto" w:fill="FFFFFF"/>
            <w:vAlign w:val="center"/>
          </w:tcPr>
          <w:p w14:paraId="0A3A5C74">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参加政府采购活动前三年内，在经营活动中没有重大违法记录</w:t>
            </w:r>
          </w:p>
        </w:tc>
        <w:tc>
          <w:tcPr>
            <w:tcW w:w="2959" w:type="pct"/>
            <w:shd w:val="clear" w:color="auto" w:fill="FFFFFF"/>
            <w:vAlign w:val="center"/>
          </w:tcPr>
          <w:p w14:paraId="6B5BBDA4">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参加政府采购活动前3年内在经营活动中没有重大违法记录的书面声明。</w:t>
            </w:r>
          </w:p>
        </w:tc>
        <w:tc>
          <w:tcPr>
            <w:tcW w:w="723" w:type="pct"/>
            <w:shd w:val="clear" w:color="auto" w:fill="FFFFFF"/>
            <w:vAlign w:val="center"/>
          </w:tcPr>
          <w:p w14:paraId="5839134B">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1CB0B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2295" w:hRule="atLeast"/>
          <w:jc w:val="center"/>
        </w:trPr>
        <w:tc>
          <w:tcPr>
            <w:tcW w:w="438" w:type="pct"/>
            <w:shd w:val="clear" w:color="auto" w:fill="FFFFFF"/>
            <w:vAlign w:val="center"/>
          </w:tcPr>
          <w:p w14:paraId="6C255CE7">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1-6</w:t>
            </w:r>
          </w:p>
        </w:tc>
        <w:tc>
          <w:tcPr>
            <w:tcW w:w="879" w:type="pct"/>
            <w:shd w:val="clear" w:color="auto" w:fill="FFFFFF"/>
            <w:vAlign w:val="center"/>
          </w:tcPr>
          <w:p w14:paraId="07A47C7F">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未列入失信被执行人、重大税收违法案件当事人名单、政府采购严重违法失信行为记录名单</w:t>
            </w:r>
          </w:p>
        </w:tc>
        <w:tc>
          <w:tcPr>
            <w:tcW w:w="2959" w:type="pct"/>
            <w:shd w:val="clear" w:color="auto" w:fill="FFFFFF"/>
            <w:vAlign w:val="center"/>
          </w:tcPr>
          <w:p w14:paraId="7E0BC8AF">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“信用中国”网站或“中国政府采购网”查询信息：1、未被列入失信被执行人；2、不是重大税收违法案件当事人名单的投标人；3、未被列入政府采购严重违法失信行为记录名单。</w:t>
            </w:r>
          </w:p>
        </w:tc>
        <w:tc>
          <w:tcPr>
            <w:tcW w:w="723" w:type="pct"/>
            <w:shd w:val="clear" w:color="auto" w:fill="FFFFFF"/>
            <w:vAlign w:val="center"/>
          </w:tcPr>
          <w:p w14:paraId="31A26727">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 响应文件格式》</w:t>
            </w:r>
          </w:p>
        </w:tc>
      </w:tr>
      <w:tr w14:paraId="053C7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54" w:hRule="atLeast"/>
          <w:jc w:val="center"/>
        </w:trPr>
        <w:tc>
          <w:tcPr>
            <w:tcW w:w="438" w:type="pct"/>
            <w:shd w:val="clear" w:color="auto" w:fill="FFFFFF"/>
            <w:vAlign w:val="center"/>
          </w:tcPr>
          <w:p w14:paraId="24FDDE2A">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1-7</w:t>
            </w:r>
          </w:p>
        </w:tc>
        <w:tc>
          <w:tcPr>
            <w:tcW w:w="879" w:type="pct"/>
            <w:shd w:val="clear" w:color="auto" w:fill="FFFFFF"/>
            <w:vAlign w:val="center"/>
          </w:tcPr>
          <w:p w14:paraId="4B5BE3E6">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法律、行政法规规定的其他条件</w:t>
            </w:r>
          </w:p>
        </w:tc>
        <w:tc>
          <w:tcPr>
            <w:tcW w:w="2959" w:type="pct"/>
            <w:shd w:val="clear" w:color="auto" w:fill="FFFFFF"/>
            <w:vAlign w:val="center"/>
          </w:tcPr>
          <w:p w14:paraId="5B522749">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法律、行政法规规定的其他条件</w:t>
            </w:r>
          </w:p>
        </w:tc>
        <w:tc>
          <w:tcPr>
            <w:tcW w:w="723" w:type="pct"/>
            <w:shd w:val="clear" w:color="auto" w:fill="FFFFFF"/>
            <w:vAlign w:val="center"/>
          </w:tcPr>
          <w:p w14:paraId="6CB2E2F5">
            <w:pPr>
              <w:pStyle w:val="47"/>
              <w:jc w:val="both"/>
              <w:rPr>
                <w:rFonts w:hint="eastAsia" w:ascii="宋体" w:hAnsi="宋体" w:eastAsia="宋体" w:cs="宋体"/>
                <w:spacing w:val="-6"/>
                <w:kern w:val="0"/>
                <w:szCs w:val="24"/>
                <w:lang w:bidi="ar"/>
              </w:rPr>
            </w:pPr>
          </w:p>
        </w:tc>
      </w:tr>
      <w:tr w14:paraId="45ADB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68" w:hRule="atLeast"/>
          <w:jc w:val="center"/>
        </w:trPr>
        <w:tc>
          <w:tcPr>
            <w:tcW w:w="438" w:type="pct"/>
            <w:shd w:val="clear" w:color="auto" w:fill="FFFFFF"/>
            <w:vAlign w:val="center"/>
          </w:tcPr>
          <w:p w14:paraId="59D1182A">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2</w:t>
            </w:r>
          </w:p>
        </w:tc>
        <w:tc>
          <w:tcPr>
            <w:tcW w:w="879" w:type="pct"/>
            <w:shd w:val="clear" w:color="auto" w:fill="FFFFFF"/>
            <w:vAlign w:val="center"/>
          </w:tcPr>
          <w:p w14:paraId="627BF512">
            <w:pPr>
              <w:pStyle w:val="47"/>
              <w:jc w:val="both"/>
              <w:rPr>
                <w:rFonts w:hint="eastAsia" w:ascii="宋体" w:hAnsi="宋体" w:eastAsia="宋体" w:cs="宋体"/>
                <w:i w:val="0"/>
                <w:iCs w:val="0"/>
                <w:color w:val="auto"/>
                <w:sz w:val="24"/>
                <w:szCs w:val="24"/>
                <w:highlight w:val="none"/>
                <w:lang w:val="en-US" w:eastAsia="zh-CN"/>
              </w:rPr>
            </w:pPr>
            <w:r>
              <w:rPr>
                <w:rFonts w:hint="eastAsia" w:cs="宋体"/>
                <w:szCs w:val="24"/>
              </w:rPr>
              <w:t>落实政府采购政策需满足的资格要求</w:t>
            </w:r>
          </w:p>
        </w:tc>
        <w:tc>
          <w:tcPr>
            <w:tcW w:w="2959" w:type="pct"/>
            <w:shd w:val="clear" w:color="auto" w:fill="FFFFFF"/>
            <w:vAlign w:val="center"/>
          </w:tcPr>
          <w:p w14:paraId="73466255">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szCs w:val="24"/>
              </w:rPr>
              <w:t>具体要求见“第一章 招标公告”</w:t>
            </w:r>
          </w:p>
        </w:tc>
        <w:tc>
          <w:tcPr>
            <w:tcW w:w="723" w:type="pct"/>
            <w:shd w:val="clear" w:color="auto" w:fill="FFFFFF"/>
            <w:vAlign w:val="center"/>
          </w:tcPr>
          <w:p w14:paraId="5FF76436">
            <w:pPr>
              <w:pStyle w:val="47"/>
              <w:jc w:val="both"/>
              <w:rPr>
                <w:rFonts w:hint="eastAsia" w:ascii="宋体" w:hAnsi="宋体" w:eastAsia="宋体" w:cs="宋体"/>
                <w:spacing w:val="-6"/>
                <w:kern w:val="0"/>
                <w:szCs w:val="24"/>
                <w:lang w:val="en-US" w:eastAsia="zh-CN" w:bidi="ar"/>
              </w:rPr>
            </w:pPr>
          </w:p>
        </w:tc>
      </w:tr>
      <w:tr w14:paraId="27C5F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82" w:hRule="atLeast"/>
          <w:jc w:val="center"/>
        </w:trPr>
        <w:tc>
          <w:tcPr>
            <w:tcW w:w="438" w:type="pct"/>
            <w:shd w:val="clear" w:color="auto" w:fill="FFFFFF"/>
            <w:vAlign w:val="center"/>
          </w:tcPr>
          <w:p w14:paraId="475F1023">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2-1</w:t>
            </w:r>
          </w:p>
        </w:tc>
        <w:tc>
          <w:tcPr>
            <w:tcW w:w="879" w:type="pct"/>
            <w:shd w:val="clear" w:color="auto" w:fill="FFFFFF"/>
            <w:vAlign w:val="center"/>
          </w:tcPr>
          <w:p w14:paraId="7FAB2183">
            <w:pPr>
              <w:pStyle w:val="47"/>
              <w:jc w:val="both"/>
              <w:rPr>
                <w:rFonts w:hint="eastAsia" w:ascii="宋体" w:hAnsi="宋体" w:eastAsia="宋体" w:cs="宋体"/>
                <w:i w:val="0"/>
                <w:iCs w:val="0"/>
                <w:color w:val="auto"/>
                <w:sz w:val="24"/>
                <w:szCs w:val="24"/>
                <w:highlight w:val="none"/>
                <w:lang w:val="en-US" w:eastAsia="zh-CN"/>
              </w:rPr>
            </w:pPr>
            <w:r>
              <w:rPr>
                <w:rFonts w:hint="eastAsia" w:cs="宋体"/>
                <w:kern w:val="0"/>
                <w:szCs w:val="24"/>
                <w:lang w:bidi="ar"/>
              </w:rPr>
              <w:t>中小企业政策</w:t>
            </w:r>
          </w:p>
        </w:tc>
        <w:tc>
          <w:tcPr>
            <w:tcW w:w="2959" w:type="pct"/>
            <w:shd w:val="clear" w:color="auto" w:fill="FFFFFF"/>
            <w:vAlign w:val="center"/>
          </w:tcPr>
          <w:p w14:paraId="7B193BC9">
            <w:pPr>
              <w:pStyle w:val="47"/>
              <w:jc w:val="both"/>
              <w:rPr>
                <w:rFonts w:hint="eastAsia" w:ascii="宋体" w:hAnsi="宋体" w:eastAsia="宋体" w:cs="宋体"/>
                <w:i w:val="0"/>
                <w:iCs w:val="0"/>
                <w:color w:val="auto"/>
                <w:sz w:val="24"/>
                <w:szCs w:val="24"/>
                <w:highlight w:val="none"/>
                <w:lang w:val="en-US" w:eastAsia="zh-CN"/>
              </w:rPr>
            </w:pPr>
            <w:r>
              <w:rPr>
                <w:rFonts w:hint="eastAsia" w:cs="宋体"/>
                <w:kern w:val="0"/>
                <w:szCs w:val="24"/>
                <w:lang w:bidi="ar"/>
              </w:rPr>
              <w:t>具体要求见</w:t>
            </w:r>
            <w:r>
              <w:rPr>
                <w:rFonts w:hint="eastAsia" w:cs="宋体"/>
                <w:szCs w:val="24"/>
              </w:rPr>
              <w:t>“第一章 招标公告”</w:t>
            </w:r>
          </w:p>
        </w:tc>
        <w:tc>
          <w:tcPr>
            <w:tcW w:w="723" w:type="pct"/>
            <w:shd w:val="clear" w:color="auto" w:fill="FFFFFF"/>
            <w:vAlign w:val="center"/>
          </w:tcPr>
          <w:p w14:paraId="257B2F94">
            <w:pPr>
              <w:pStyle w:val="47"/>
              <w:jc w:val="both"/>
              <w:rPr>
                <w:rFonts w:hint="eastAsia" w:ascii="宋体" w:hAnsi="宋体" w:eastAsia="宋体" w:cs="宋体"/>
                <w:spacing w:val="-6"/>
                <w:kern w:val="0"/>
                <w:szCs w:val="24"/>
                <w:lang w:val="en-US" w:eastAsia="zh-CN" w:bidi="ar"/>
              </w:rPr>
            </w:pPr>
          </w:p>
        </w:tc>
      </w:tr>
      <w:tr w14:paraId="38C7B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3845" w:hRule="atLeast"/>
          <w:jc w:val="center"/>
        </w:trPr>
        <w:tc>
          <w:tcPr>
            <w:tcW w:w="438" w:type="pct"/>
            <w:shd w:val="clear" w:color="auto" w:fill="FFFFFF"/>
            <w:vAlign w:val="center"/>
          </w:tcPr>
          <w:p w14:paraId="67114AA2">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2-1-1</w:t>
            </w:r>
          </w:p>
        </w:tc>
        <w:tc>
          <w:tcPr>
            <w:tcW w:w="879" w:type="pct"/>
            <w:shd w:val="clear" w:color="auto" w:fill="FFFFFF"/>
            <w:vAlign w:val="center"/>
          </w:tcPr>
          <w:p w14:paraId="72B0B98B">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中小企业证明文件</w:t>
            </w:r>
          </w:p>
        </w:tc>
        <w:tc>
          <w:tcPr>
            <w:tcW w:w="2959" w:type="pct"/>
            <w:shd w:val="clear" w:color="auto" w:fill="FFFFFF"/>
            <w:vAlign w:val="center"/>
          </w:tcPr>
          <w:p w14:paraId="20B0122A">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当本项目（包）涉及预留份额专门面向中小企业采购，此时建议在《资格证明文件》中提供。</w:t>
            </w:r>
          </w:p>
          <w:p w14:paraId="15D8503D">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 xml:space="preserve">1、投标人单独投标的，应提供“中小企业声明函”或“残疾人福利性单位声明函”或由省级以上监狱管理局、戒毒管理局（含新疆生产建设兵团）出具的属于监狱企业的证明文件。 </w:t>
            </w:r>
          </w:p>
          <w:p w14:paraId="6BE1177E">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2、</w:t>
            </w:r>
            <w:r>
              <w:rPr>
                <w:rFonts w:hint="eastAsia" w:cs="宋体"/>
                <w:spacing w:val="-6"/>
                <w:kern w:val="0"/>
                <w:szCs w:val="24"/>
                <w:lang w:bidi="ar"/>
              </w:rPr>
              <w:t>如招标文件要求以联合体形式参加或者要求合同分包的，且投标人为联合体或拟进行合同分包的，则联合体中的中小企业、签订分包意向协议书的中小企业具体情况须在“中小企业声明函”或“残疾人福利性单位声明函”或由省级以上监狱管理局、戒毒管理局（含新疆生产建设兵团）出具的属于监狱企业的证明文件中如实填报，且满足招标文件关于预留份额的要求。</w:t>
            </w:r>
          </w:p>
        </w:tc>
        <w:tc>
          <w:tcPr>
            <w:tcW w:w="723" w:type="pct"/>
            <w:shd w:val="clear" w:color="auto" w:fill="FFFFFF"/>
            <w:vAlign w:val="center"/>
          </w:tcPr>
          <w:p w14:paraId="1994366A">
            <w:pPr>
              <w:pStyle w:val="47"/>
              <w:jc w:val="both"/>
              <w:rPr>
                <w:rFonts w:hint="eastAsia" w:ascii="宋体" w:hAnsi="宋体" w:eastAsia="宋体" w:cs="宋体"/>
                <w:spacing w:val="-6"/>
                <w:kern w:val="0"/>
                <w:szCs w:val="24"/>
                <w:lang w:val="en-US" w:eastAsia="zh-CN"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 xml:space="preserve">章 </w:t>
            </w:r>
            <w:r>
              <w:rPr>
                <w:rFonts w:hint="eastAsia" w:cs="宋体"/>
                <w:kern w:val="0"/>
                <w:szCs w:val="24"/>
                <w:lang w:val="en-US" w:eastAsia="zh-CN" w:bidi="ar"/>
              </w:rPr>
              <w:t>响应</w:t>
            </w:r>
            <w:r>
              <w:rPr>
                <w:rFonts w:hint="eastAsia" w:ascii="宋体" w:hAnsi="宋体" w:eastAsia="宋体" w:cs="宋体"/>
                <w:spacing w:val="-6"/>
                <w:kern w:val="0"/>
                <w:szCs w:val="24"/>
                <w:lang w:bidi="ar"/>
              </w:rPr>
              <w:t>文件格式》</w:t>
            </w:r>
          </w:p>
        </w:tc>
      </w:tr>
      <w:tr w14:paraId="771CAD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984" w:hRule="atLeast"/>
          <w:jc w:val="center"/>
        </w:trPr>
        <w:tc>
          <w:tcPr>
            <w:tcW w:w="438" w:type="pct"/>
            <w:shd w:val="clear" w:color="auto" w:fill="FFFFFF"/>
            <w:vAlign w:val="center"/>
          </w:tcPr>
          <w:p w14:paraId="561EE156">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2-1-2</w:t>
            </w:r>
          </w:p>
        </w:tc>
        <w:tc>
          <w:tcPr>
            <w:tcW w:w="879" w:type="pct"/>
            <w:shd w:val="clear" w:color="auto" w:fill="FFFFFF"/>
            <w:vAlign w:val="center"/>
          </w:tcPr>
          <w:p w14:paraId="76B4DCC4">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拟分包情况说明及分包意向协议书（本项目不适用）</w:t>
            </w:r>
          </w:p>
        </w:tc>
        <w:tc>
          <w:tcPr>
            <w:tcW w:w="2959" w:type="pct"/>
            <w:shd w:val="clear" w:color="auto" w:fill="FFFFFF"/>
            <w:vAlign w:val="center"/>
          </w:tcPr>
          <w:p w14:paraId="2C99EE7F">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 xml:space="preserve">如本项目（包）要求通过分包措施预留部分采购份额面向中小企业采购、且投标人因落实政府采购政策拟进行分包的，必须提供；否则无须提供。 </w:t>
            </w:r>
          </w:p>
          <w:p w14:paraId="525C282E">
            <w:pPr>
              <w:pStyle w:val="47"/>
              <w:jc w:val="both"/>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spacing w:val="-6"/>
                <w:kern w:val="0"/>
                <w:szCs w:val="24"/>
                <w:lang w:bidi="ar"/>
              </w:rPr>
              <w:t>对于预留份额专门面向中小企业采购的项目（包），组成联合体或者接受分包合同的中小企业与联合体内其他企业、分包企业之间不得存在直接控股、管理关系。</w:t>
            </w:r>
          </w:p>
        </w:tc>
        <w:tc>
          <w:tcPr>
            <w:tcW w:w="723" w:type="pct"/>
            <w:shd w:val="clear" w:color="auto" w:fill="FFFFFF"/>
            <w:vAlign w:val="center"/>
          </w:tcPr>
          <w:p w14:paraId="23BB9AE0">
            <w:pPr>
              <w:pStyle w:val="47"/>
              <w:jc w:val="both"/>
              <w:rPr>
                <w:rFonts w:hint="eastAsia" w:ascii="宋体" w:hAnsi="宋体" w:eastAsia="宋体" w:cs="宋体"/>
                <w:spacing w:val="-6"/>
                <w:kern w:val="0"/>
                <w:szCs w:val="24"/>
                <w:lang w:bidi="ar"/>
              </w:rPr>
            </w:pPr>
            <w:r>
              <w:rPr>
                <w:rFonts w:hint="eastAsia" w:ascii="宋体" w:hAnsi="宋体" w:eastAsia="宋体" w:cs="宋体"/>
                <w:spacing w:val="-6"/>
                <w:kern w:val="0"/>
                <w:szCs w:val="24"/>
                <w:lang w:bidi="ar"/>
              </w:rPr>
              <w:t>格式见《第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 xml:space="preserve">章 </w:t>
            </w:r>
            <w:r>
              <w:rPr>
                <w:rFonts w:hint="eastAsia" w:cs="宋体"/>
                <w:kern w:val="0"/>
                <w:szCs w:val="24"/>
                <w:lang w:val="en-US" w:eastAsia="zh-CN" w:bidi="ar"/>
              </w:rPr>
              <w:t>响应</w:t>
            </w:r>
            <w:r>
              <w:rPr>
                <w:rFonts w:hint="eastAsia" w:ascii="宋体" w:hAnsi="宋体" w:eastAsia="宋体" w:cs="宋体"/>
                <w:spacing w:val="-6"/>
                <w:kern w:val="0"/>
                <w:szCs w:val="24"/>
                <w:lang w:bidi="ar"/>
              </w:rPr>
              <w:t>文件格式》</w:t>
            </w:r>
          </w:p>
          <w:p w14:paraId="5E51CBAE">
            <w:pPr>
              <w:pStyle w:val="47"/>
              <w:jc w:val="both"/>
              <w:rPr>
                <w:rFonts w:hint="eastAsia" w:ascii="宋体" w:hAnsi="宋体" w:eastAsia="宋体" w:cs="宋体"/>
                <w:spacing w:val="-6"/>
                <w:kern w:val="0"/>
                <w:szCs w:val="24"/>
                <w:lang w:val="en-US" w:eastAsia="zh-CN" w:bidi="ar"/>
              </w:rPr>
            </w:pPr>
          </w:p>
        </w:tc>
      </w:tr>
      <w:tr w14:paraId="4D5FE9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54" w:hRule="atLeast"/>
          <w:jc w:val="center"/>
        </w:trPr>
        <w:tc>
          <w:tcPr>
            <w:tcW w:w="438" w:type="pct"/>
            <w:shd w:val="clear" w:color="auto" w:fill="FFFFFF"/>
            <w:vAlign w:val="center"/>
          </w:tcPr>
          <w:p w14:paraId="127F32A0">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2-2</w:t>
            </w:r>
          </w:p>
        </w:tc>
        <w:tc>
          <w:tcPr>
            <w:tcW w:w="879" w:type="pct"/>
            <w:shd w:val="clear" w:color="auto" w:fill="FFFFFF"/>
            <w:vAlign w:val="center"/>
          </w:tcPr>
          <w:p w14:paraId="74CDC7CB">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spacing w:val="-6"/>
                <w:kern w:val="0"/>
                <w:szCs w:val="24"/>
                <w:lang w:bidi="ar"/>
              </w:rPr>
              <w:t>其它落实政府采购政策的资格要求</w:t>
            </w:r>
          </w:p>
        </w:tc>
        <w:tc>
          <w:tcPr>
            <w:tcW w:w="2959" w:type="pct"/>
            <w:shd w:val="clear" w:color="auto" w:fill="FFFFFF"/>
            <w:vAlign w:val="center"/>
          </w:tcPr>
          <w:p w14:paraId="7854C364">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如有，见</w:t>
            </w:r>
            <w:r>
              <w:rPr>
                <w:rFonts w:hint="eastAsia" w:cs="宋体"/>
                <w:szCs w:val="24"/>
              </w:rPr>
              <w:t>“第一章 招标公告”</w:t>
            </w:r>
          </w:p>
        </w:tc>
        <w:tc>
          <w:tcPr>
            <w:tcW w:w="723" w:type="pct"/>
            <w:shd w:val="clear" w:color="auto" w:fill="FFFFFF"/>
            <w:vAlign w:val="center"/>
          </w:tcPr>
          <w:p w14:paraId="6997A46F">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提供证明文件的电子件或电子证照</w:t>
            </w:r>
          </w:p>
        </w:tc>
      </w:tr>
      <w:tr w14:paraId="36A9B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54" w:hRule="atLeast"/>
          <w:jc w:val="center"/>
        </w:trPr>
        <w:tc>
          <w:tcPr>
            <w:tcW w:w="438" w:type="pct"/>
            <w:shd w:val="clear" w:color="auto" w:fill="FFFFFF"/>
            <w:vAlign w:val="center"/>
          </w:tcPr>
          <w:p w14:paraId="35BEFE49">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3</w:t>
            </w:r>
          </w:p>
        </w:tc>
        <w:tc>
          <w:tcPr>
            <w:tcW w:w="879" w:type="pct"/>
            <w:shd w:val="clear" w:color="auto" w:fill="FFFFFF"/>
            <w:vAlign w:val="center"/>
          </w:tcPr>
          <w:p w14:paraId="26FAFC90">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本项目的特定资格要求</w:t>
            </w:r>
          </w:p>
        </w:tc>
        <w:tc>
          <w:tcPr>
            <w:tcW w:w="2959" w:type="pct"/>
            <w:shd w:val="clear" w:color="auto" w:fill="FFFFFF"/>
            <w:vAlign w:val="center"/>
          </w:tcPr>
          <w:p w14:paraId="47C63FF2">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如有，见</w:t>
            </w:r>
            <w:r>
              <w:rPr>
                <w:rFonts w:hint="eastAsia" w:cs="宋体"/>
                <w:szCs w:val="24"/>
              </w:rPr>
              <w:t>“第一章 招标公告”</w:t>
            </w:r>
          </w:p>
        </w:tc>
        <w:tc>
          <w:tcPr>
            <w:tcW w:w="723" w:type="pct"/>
            <w:shd w:val="clear" w:color="auto" w:fill="FFFFFF"/>
            <w:vAlign w:val="center"/>
          </w:tcPr>
          <w:p w14:paraId="24164915">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根据公告要求提供相关资料</w:t>
            </w:r>
          </w:p>
        </w:tc>
      </w:tr>
      <w:tr w14:paraId="1C1B1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706" w:hRule="atLeast"/>
          <w:jc w:val="center"/>
        </w:trPr>
        <w:tc>
          <w:tcPr>
            <w:tcW w:w="438" w:type="pct"/>
            <w:shd w:val="clear" w:color="auto" w:fill="FFFFFF"/>
            <w:vAlign w:val="center"/>
          </w:tcPr>
          <w:p w14:paraId="717F5B44">
            <w:pPr>
              <w:pStyle w:val="47"/>
              <w:jc w:val="center"/>
              <w:rPr>
                <w:rFonts w:hint="eastAsia" w:ascii="宋体" w:hAnsi="宋体" w:eastAsia="宋体" w:cs="宋体"/>
                <w:b/>
                <w:bCs/>
                <w:i w:val="0"/>
                <w:iCs w:val="0"/>
                <w:color w:val="auto"/>
                <w:sz w:val="24"/>
                <w:szCs w:val="24"/>
                <w:highlight w:val="none"/>
                <w:lang w:val="en-US" w:eastAsia="zh-CN"/>
              </w:rPr>
            </w:pPr>
            <w:r>
              <w:rPr>
                <w:rFonts w:hint="eastAsia" w:cs="宋体"/>
                <w:b/>
                <w:bCs/>
                <w:szCs w:val="24"/>
              </w:rPr>
              <w:t>3-1</w:t>
            </w:r>
          </w:p>
        </w:tc>
        <w:tc>
          <w:tcPr>
            <w:tcW w:w="879" w:type="pct"/>
            <w:shd w:val="clear" w:color="auto" w:fill="FFFFFF"/>
            <w:vAlign w:val="center"/>
          </w:tcPr>
          <w:p w14:paraId="41775EBE">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本项目对于联合体的要求（本项目不适用）</w:t>
            </w:r>
          </w:p>
        </w:tc>
        <w:tc>
          <w:tcPr>
            <w:tcW w:w="2959" w:type="pct"/>
            <w:shd w:val="clear" w:color="auto" w:fill="FFFFFF"/>
            <w:vAlign w:val="center"/>
          </w:tcPr>
          <w:p w14:paraId="6E9C46D5">
            <w:pPr>
              <w:pStyle w:val="47"/>
              <w:jc w:val="both"/>
              <w:rPr>
                <w:rFonts w:hint="eastAsia" w:cs="宋体"/>
                <w:kern w:val="0"/>
                <w:szCs w:val="24"/>
                <w:lang w:bidi="ar"/>
              </w:rPr>
            </w:pPr>
            <w:r>
              <w:rPr>
                <w:rFonts w:hint="eastAsia" w:cs="宋体"/>
                <w:kern w:val="0"/>
                <w:szCs w:val="24"/>
                <w:lang w:bidi="ar"/>
              </w:rPr>
              <w:t xml:space="preserve">1、如本项目接受联合体投标，且投标人为联合体时必须提供《联合体协议书》，明确各方拟承担的工作和责任，并指定联合体牵头人，授权其代表所有联合体成员负责本项目投标和合同实施阶段的牵头、协调工作。该联合体协议书应当作为投标文件的组成部分，与投标文件其他内容同时递交。 </w:t>
            </w:r>
          </w:p>
          <w:p w14:paraId="369C00E8">
            <w:pPr>
              <w:pStyle w:val="47"/>
              <w:jc w:val="both"/>
              <w:rPr>
                <w:rFonts w:hint="eastAsia" w:cs="宋体"/>
                <w:kern w:val="0"/>
                <w:szCs w:val="24"/>
                <w:lang w:bidi="ar"/>
              </w:rPr>
            </w:pPr>
            <w:r>
              <w:rPr>
                <w:rFonts w:hint="eastAsia" w:cs="宋体"/>
                <w:kern w:val="0"/>
                <w:szCs w:val="24"/>
                <w:lang w:bidi="ar"/>
              </w:rPr>
              <w:t xml:space="preserve">2、联合体各成员单位均须提供本表中序号1-1、1-2 的证明文件。联合体各成员单位均应满足本表 1-3 及 1-4 项规定。 </w:t>
            </w:r>
          </w:p>
          <w:p w14:paraId="0A3BA7A4">
            <w:pPr>
              <w:pStyle w:val="47"/>
              <w:jc w:val="both"/>
              <w:rPr>
                <w:rFonts w:hint="eastAsia" w:cs="宋体"/>
                <w:kern w:val="0"/>
                <w:szCs w:val="24"/>
                <w:lang w:bidi="ar"/>
              </w:rPr>
            </w:pPr>
            <w:r>
              <w:rPr>
                <w:rFonts w:hint="eastAsia" w:cs="宋体"/>
                <w:kern w:val="0"/>
                <w:szCs w:val="24"/>
                <w:lang w:bidi="ar"/>
              </w:rPr>
              <w:t>3、</w:t>
            </w:r>
            <w:r>
              <w:rPr>
                <w:rFonts w:hint="eastAsia" w:cs="宋体"/>
                <w:spacing w:val="-6"/>
                <w:kern w:val="0"/>
                <w:szCs w:val="24"/>
                <w:lang w:bidi="ar"/>
              </w:rPr>
              <w:t>本表序号 3-2项规定的其他特定资格要求中的每一小项要求，按照《联合体协议书》的分工，联合体各方应具备承担工作所需的特定资格要求并提供证明材料。</w:t>
            </w:r>
            <w:r>
              <w:rPr>
                <w:rFonts w:hint="eastAsia" w:cs="宋体"/>
                <w:kern w:val="0"/>
                <w:szCs w:val="24"/>
                <w:lang w:bidi="ar"/>
              </w:rPr>
              <w:t xml:space="preserve"> </w:t>
            </w:r>
          </w:p>
          <w:p w14:paraId="7FF77B63">
            <w:pPr>
              <w:pStyle w:val="47"/>
              <w:jc w:val="both"/>
              <w:rPr>
                <w:rFonts w:hint="eastAsia" w:cs="宋体"/>
                <w:kern w:val="0"/>
                <w:szCs w:val="24"/>
                <w:lang w:bidi="ar"/>
              </w:rPr>
            </w:pPr>
            <w:r>
              <w:rPr>
                <w:rFonts w:hint="eastAsia" w:cs="宋体"/>
                <w:kern w:val="0"/>
                <w:szCs w:val="24"/>
                <w:lang w:bidi="ar"/>
              </w:rPr>
              <w:t xml:space="preserve">4、联合体中有同类资质的投标人按照联合体分工承担相同工作的，应当按照资质等级较低的投标人确定资质等级。 </w:t>
            </w:r>
          </w:p>
          <w:p w14:paraId="35B102BC">
            <w:pPr>
              <w:pStyle w:val="47"/>
              <w:jc w:val="both"/>
              <w:rPr>
                <w:rFonts w:hint="eastAsia" w:cs="宋体"/>
                <w:kern w:val="0"/>
                <w:szCs w:val="24"/>
                <w:lang w:bidi="ar"/>
              </w:rPr>
            </w:pPr>
            <w:r>
              <w:rPr>
                <w:rFonts w:hint="eastAsia" w:cs="宋体"/>
                <w:kern w:val="0"/>
                <w:szCs w:val="24"/>
                <w:lang w:bidi="ar"/>
              </w:rPr>
              <w:t xml:space="preserve">5、以联合体形式参加政府采购活动的，联合体各方不得再单独参加或者与其他投标人另外组成联合体参加同一合同项下的政府采购活动。 </w:t>
            </w:r>
          </w:p>
          <w:p w14:paraId="2E92144F">
            <w:pPr>
              <w:pStyle w:val="47"/>
              <w:jc w:val="both"/>
              <w:rPr>
                <w:rFonts w:hint="eastAsia" w:cs="宋体"/>
                <w:kern w:val="0"/>
                <w:szCs w:val="24"/>
                <w:lang w:bidi="ar"/>
              </w:rPr>
            </w:pPr>
            <w:r>
              <w:rPr>
                <w:rFonts w:hint="eastAsia" w:cs="宋体"/>
                <w:kern w:val="0"/>
                <w:szCs w:val="24"/>
                <w:lang w:bidi="ar"/>
              </w:rPr>
              <w:t xml:space="preserve">6、若联合体中任一成员单位中途退出，则该联合体的投标无效。 </w:t>
            </w:r>
          </w:p>
          <w:p w14:paraId="048849C6">
            <w:pPr>
              <w:pStyle w:val="47"/>
              <w:jc w:val="both"/>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7、本项目不接受联合体投标时，投标人不得为联合体。</w:t>
            </w:r>
          </w:p>
        </w:tc>
        <w:tc>
          <w:tcPr>
            <w:tcW w:w="723" w:type="pct"/>
            <w:shd w:val="clear" w:color="auto" w:fill="FFFFFF"/>
            <w:vAlign w:val="center"/>
          </w:tcPr>
          <w:p w14:paraId="207E8AC8">
            <w:pPr>
              <w:pStyle w:val="47"/>
              <w:rPr>
                <w:rFonts w:hint="eastAsia" w:cs="宋体"/>
                <w:kern w:val="0"/>
                <w:szCs w:val="24"/>
                <w:lang w:bidi="ar"/>
              </w:rPr>
            </w:pPr>
            <w:r>
              <w:rPr>
                <w:rFonts w:hint="eastAsia" w:cs="宋体"/>
                <w:kern w:val="0"/>
                <w:szCs w:val="24"/>
                <w:lang w:bidi="ar"/>
              </w:rPr>
              <w:t xml:space="preserve">提供《联合体协议书》原件的电子件 </w:t>
            </w:r>
          </w:p>
          <w:p w14:paraId="2C0AB8DD">
            <w:pPr>
              <w:pStyle w:val="47"/>
              <w:rPr>
                <w:rFonts w:hint="eastAsia" w:ascii="宋体" w:hAnsi="宋体" w:eastAsia="宋体" w:cs="宋体"/>
                <w:i w:val="0"/>
                <w:iCs w:val="0"/>
                <w:color w:val="auto"/>
                <w:kern w:val="0"/>
                <w:sz w:val="24"/>
                <w:szCs w:val="24"/>
                <w:highlight w:val="none"/>
                <w:lang w:val="en-US" w:eastAsia="zh-CN"/>
              </w:rPr>
            </w:pPr>
            <w:r>
              <w:rPr>
                <w:rFonts w:hint="eastAsia" w:cs="宋体"/>
                <w:kern w:val="0"/>
                <w:szCs w:val="24"/>
                <w:lang w:bidi="ar"/>
              </w:rPr>
              <w:t>格式见《</w:t>
            </w:r>
            <w:r>
              <w:rPr>
                <w:rFonts w:hint="eastAsia" w:ascii="宋体" w:hAnsi="宋体" w:eastAsia="宋体" w:cs="宋体"/>
                <w:spacing w:val="-6"/>
                <w:kern w:val="0"/>
                <w:szCs w:val="24"/>
                <w:lang w:bidi="ar"/>
              </w:rPr>
              <w:t>第</w:t>
            </w:r>
            <w:r>
              <w:rPr>
                <w:rFonts w:hint="eastAsia" w:ascii="宋体" w:hAnsi="宋体" w:eastAsia="宋体" w:cs="宋体"/>
                <w:spacing w:val="-6"/>
                <w:kern w:val="0"/>
                <w:szCs w:val="24"/>
                <w:lang w:val="en-US" w:eastAsia="zh-CN" w:bidi="ar"/>
              </w:rPr>
              <w:t>六</w:t>
            </w:r>
            <w:r>
              <w:rPr>
                <w:rFonts w:hint="eastAsia" w:ascii="宋体" w:hAnsi="宋体" w:eastAsia="宋体" w:cs="宋体"/>
                <w:spacing w:val="-6"/>
                <w:kern w:val="0"/>
                <w:szCs w:val="24"/>
                <w:lang w:bidi="ar"/>
              </w:rPr>
              <w:t>章</w:t>
            </w:r>
            <w:r>
              <w:rPr>
                <w:rFonts w:hint="eastAsia" w:cs="宋体"/>
                <w:kern w:val="0"/>
                <w:szCs w:val="24"/>
                <w:lang w:bidi="ar"/>
              </w:rPr>
              <w:t xml:space="preserve"> </w:t>
            </w:r>
            <w:r>
              <w:rPr>
                <w:rFonts w:hint="eastAsia" w:cs="宋体"/>
                <w:kern w:val="0"/>
                <w:szCs w:val="24"/>
                <w:lang w:val="en-US" w:eastAsia="zh-CN" w:bidi="ar"/>
              </w:rPr>
              <w:t>响应</w:t>
            </w:r>
            <w:r>
              <w:rPr>
                <w:rFonts w:hint="eastAsia" w:cs="宋体"/>
                <w:kern w:val="0"/>
                <w:szCs w:val="24"/>
                <w:lang w:bidi="ar"/>
              </w:rPr>
              <w:t>文件格式》</w:t>
            </w:r>
          </w:p>
        </w:tc>
      </w:tr>
      <w:tr w14:paraId="771CE5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064" w:hRule="atLeast"/>
          <w:jc w:val="center"/>
        </w:trPr>
        <w:tc>
          <w:tcPr>
            <w:tcW w:w="438" w:type="pct"/>
            <w:shd w:val="clear" w:color="auto" w:fill="FFFFFF"/>
            <w:vAlign w:val="center"/>
          </w:tcPr>
          <w:p w14:paraId="4833D524">
            <w:pPr>
              <w:pStyle w:val="47"/>
              <w:jc w:val="center"/>
              <w:rPr>
                <w:rFonts w:hint="eastAsia" w:cs="宋体"/>
                <w:b/>
                <w:bCs/>
                <w:szCs w:val="24"/>
              </w:rPr>
            </w:pPr>
            <w:r>
              <w:rPr>
                <w:rFonts w:hint="eastAsia" w:cs="宋体"/>
                <w:b/>
                <w:bCs/>
                <w:szCs w:val="24"/>
              </w:rPr>
              <w:t>4</w:t>
            </w:r>
          </w:p>
        </w:tc>
        <w:tc>
          <w:tcPr>
            <w:tcW w:w="879" w:type="pct"/>
            <w:shd w:val="clear" w:color="auto" w:fill="FFFFFF"/>
            <w:vAlign w:val="center"/>
          </w:tcPr>
          <w:p w14:paraId="09EE613B">
            <w:pPr>
              <w:pStyle w:val="47"/>
              <w:jc w:val="both"/>
              <w:rPr>
                <w:rFonts w:hint="eastAsia" w:cs="宋体"/>
                <w:kern w:val="0"/>
                <w:szCs w:val="24"/>
                <w:lang w:bidi="ar"/>
              </w:rPr>
            </w:pPr>
            <w:r>
              <w:rPr>
                <w:rFonts w:hint="eastAsia" w:cs="宋体"/>
              </w:rPr>
              <w:t>其他资格要求</w:t>
            </w:r>
          </w:p>
        </w:tc>
        <w:tc>
          <w:tcPr>
            <w:tcW w:w="2959" w:type="pct"/>
            <w:shd w:val="clear" w:color="auto" w:fill="FFFFFF"/>
            <w:vAlign w:val="center"/>
          </w:tcPr>
          <w:p w14:paraId="71509903">
            <w:pPr>
              <w:pStyle w:val="47"/>
              <w:jc w:val="both"/>
              <w:rPr>
                <w:rFonts w:hint="eastAsia" w:cs="宋体"/>
                <w:kern w:val="0"/>
                <w:szCs w:val="24"/>
                <w:lang w:bidi="ar"/>
              </w:rPr>
            </w:pPr>
            <w:r>
              <w:rPr>
                <w:rFonts w:hint="eastAsia" w:cs="宋体"/>
                <w:kern w:val="0"/>
                <w:szCs w:val="24"/>
                <w:lang w:bidi="ar"/>
              </w:rPr>
              <w:t>如有，见</w:t>
            </w:r>
            <w:r>
              <w:rPr>
                <w:rFonts w:hint="eastAsia" w:cs="宋体"/>
                <w:szCs w:val="24"/>
              </w:rPr>
              <w:t>“第一章 招标公告”</w:t>
            </w:r>
          </w:p>
        </w:tc>
        <w:tc>
          <w:tcPr>
            <w:tcW w:w="723" w:type="pct"/>
            <w:shd w:val="clear" w:color="auto" w:fill="FFFFFF"/>
            <w:vAlign w:val="center"/>
          </w:tcPr>
          <w:p w14:paraId="63FE99C4">
            <w:pPr>
              <w:pStyle w:val="47"/>
              <w:rPr>
                <w:rFonts w:hint="eastAsia" w:cs="宋体"/>
                <w:kern w:val="0"/>
                <w:szCs w:val="24"/>
                <w:lang w:bidi="ar"/>
              </w:rPr>
            </w:pPr>
            <w:r>
              <w:rPr>
                <w:rFonts w:hint="eastAsia" w:cs="宋体"/>
                <w:kern w:val="0"/>
                <w:szCs w:val="24"/>
                <w:lang w:bidi="ar"/>
              </w:rPr>
              <w:t>提供证明文件的电子件或电子证照</w:t>
            </w:r>
          </w:p>
        </w:tc>
      </w:tr>
    </w:tbl>
    <w:p w14:paraId="1C79E11B">
      <w:pPr>
        <w:keepNext w:val="0"/>
        <w:keepLines w:val="0"/>
        <w:pageBreakBefore w:val="0"/>
        <w:widowControl w:val="0"/>
        <w:kinsoku/>
        <w:overflowPunct/>
        <w:topLinePunct w:val="0"/>
        <w:autoSpaceDE/>
        <w:autoSpaceDN/>
        <w:bidi w:val="0"/>
        <w:adjustRightInd/>
        <w:snapToGrid/>
        <w:spacing w:line="420" w:lineRule="exact"/>
        <w:textAlignment w:val="auto"/>
        <w:rPr>
          <w:b/>
          <w:bCs/>
          <w:i w:val="0"/>
          <w:iCs w:val="0"/>
          <w:color w:val="auto"/>
          <w:sz w:val="21"/>
          <w:szCs w:val="21"/>
          <w:highlight w:val="none"/>
        </w:rPr>
      </w:pPr>
      <w:r>
        <w:rPr>
          <w:rFonts w:hint="eastAsia"/>
          <w:b/>
          <w:bCs/>
          <w:i w:val="0"/>
          <w:iCs w:val="0"/>
          <w:color w:val="auto"/>
          <w:sz w:val="21"/>
          <w:szCs w:val="21"/>
          <w:highlight w:val="none"/>
        </w:rPr>
        <w:t>备注：</w:t>
      </w:r>
    </w:p>
    <w:p w14:paraId="509818B3">
      <w:pPr>
        <w:pStyle w:val="40"/>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i w:val="0"/>
          <w:iCs w:val="0"/>
          <w:color w:val="auto"/>
          <w:sz w:val="21"/>
          <w:szCs w:val="21"/>
          <w:highlight w:val="none"/>
        </w:rPr>
        <w:t>1.</w:t>
      </w:r>
      <w:r>
        <w:rPr>
          <w:rFonts w:hint="eastAsia"/>
          <w:i w:val="0"/>
          <w:iCs w:val="0"/>
          <w:color w:val="auto"/>
          <w:sz w:val="21"/>
          <w:szCs w:val="21"/>
          <w:highlight w:val="none"/>
          <w:lang w:eastAsia="zh-CN"/>
        </w:rPr>
        <w:t>供应商须按上表格式要求提供相关证明文件</w:t>
      </w:r>
      <w:r>
        <w:rPr>
          <w:rFonts w:hint="eastAsia"/>
          <w:i w:val="0"/>
          <w:iCs w:val="0"/>
          <w:color w:val="auto"/>
          <w:sz w:val="21"/>
          <w:szCs w:val="21"/>
          <w:highlight w:val="none"/>
        </w:rPr>
        <w:t>，响应文件中须编入清晰的扫描件或网页截图。所有证明材料须清晰可辨认，如因证明材料模糊无法辨认，缺页、漏页导致无法进行评审认定的</w:t>
      </w:r>
      <w:r>
        <w:rPr>
          <w:rFonts w:hint="eastAsia"/>
          <w:i w:val="0"/>
          <w:iCs w:val="0"/>
          <w:color w:val="auto"/>
          <w:sz w:val="21"/>
          <w:szCs w:val="21"/>
          <w:highlight w:val="none"/>
          <w:lang w:eastAsia="zh-CN"/>
        </w:rPr>
        <w:t>，</w:t>
      </w:r>
      <w:r>
        <w:rPr>
          <w:rFonts w:hint="eastAsia"/>
          <w:i w:val="0"/>
          <w:iCs w:val="0"/>
          <w:color w:val="auto"/>
          <w:sz w:val="21"/>
          <w:szCs w:val="21"/>
          <w:highlight w:val="none"/>
        </w:rPr>
        <w:t>责任由供应商</w:t>
      </w:r>
      <w:r>
        <w:rPr>
          <w:rFonts w:hint="eastAsia"/>
          <w:i w:val="0"/>
          <w:iCs w:val="0"/>
          <w:color w:val="auto"/>
          <w:sz w:val="21"/>
          <w:szCs w:val="21"/>
          <w:highlight w:val="none"/>
          <w:lang w:val="en-US" w:eastAsia="zh-CN"/>
        </w:rPr>
        <w:t>承担</w:t>
      </w:r>
      <w:r>
        <w:rPr>
          <w:rFonts w:hint="eastAsia"/>
          <w:i w:val="0"/>
          <w:iCs w:val="0"/>
          <w:color w:val="auto"/>
          <w:sz w:val="21"/>
          <w:szCs w:val="21"/>
          <w:highlight w:val="none"/>
        </w:rPr>
        <w:t>。</w:t>
      </w:r>
    </w:p>
    <w:p w14:paraId="34298128">
      <w:pPr>
        <w:pStyle w:val="40"/>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i w:val="0"/>
          <w:iCs w:val="0"/>
          <w:color w:val="auto"/>
          <w:sz w:val="21"/>
          <w:szCs w:val="21"/>
          <w:highlight w:val="none"/>
        </w:rPr>
      </w:pPr>
      <w:r>
        <w:rPr>
          <w:rFonts w:ascii="宋体" w:hAnsi="宋体" w:eastAsia="宋体" w:cs="宋体"/>
          <w:i w:val="0"/>
          <w:iCs w:val="0"/>
          <w:color w:val="auto"/>
          <w:kern w:val="2"/>
          <w:sz w:val="21"/>
          <w:szCs w:val="21"/>
          <w:highlight w:val="none"/>
          <w:lang w:val="en-US" w:eastAsia="zh-CN" w:bidi="ar-SA"/>
        </w:rPr>
        <w:t>2.</w:t>
      </w:r>
      <w:r>
        <w:rPr>
          <w:rFonts w:hint="eastAsia"/>
          <w:i w:val="0"/>
          <w:iCs w:val="0"/>
          <w:color w:val="auto"/>
          <w:sz w:val="21"/>
          <w:szCs w:val="21"/>
          <w:highlight w:val="none"/>
          <w:lang w:val="zh-CN"/>
        </w:rPr>
        <w:t>信用信息核</w:t>
      </w:r>
      <w:r>
        <w:rPr>
          <w:rFonts w:hint="eastAsia"/>
          <w:i w:val="0"/>
          <w:iCs w:val="0"/>
          <w:color w:val="auto"/>
          <w:sz w:val="21"/>
          <w:szCs w:val="21"/>
          <w:highlight w:val="none"/>
        </w:rPr>
        <w:t>查</w:t>
      </w:r>
    </w:p>
    <w:p w14:paraId="3DA3DB26">
      <w:pPr>
        <w:pStyle w:val="36"/>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2.1资格审查</w:t>
      </w:r>
      <w:r>
        <w:rPr>
          <w:rFonts w:hint="eastAsia"/>
          <w:i w:val="0"/>
          <w:iCs w:val="0"/>
          <w:color w:val="auto"/>
          <w:sz w:val="21"/>
          <w:szCs w:val="21"/>
          <w:highlight w:val="none"/>
          <w:lang w:eastAsia="zh-CN"/>
        </w:rPr>
        <w:t>阶段</w:t>
      </w:r>
      <w:r>
        <w:rPr>
          <w:rFonts w:hint="eastAsia"/>
          <w:i w:val="0"/>
          <w:iCs w:val="0"/>
          <w:color w:val="auto"/>
          <w:sz w:val="21"/>
          <w:szCs w:val="21"/>
          <w:highlight w:val="none"/>
        </w:rPr>
        <w:t>应当核查供应商信用记录，供应商被列入失信被执行人、重大税收违法失信主体、政府采购严重违法失信行为记录名单的，采购</w:t>
      </w:r>
      <w:r>
        <w:rPr>
          <w:rFonts w:hint="eastAsia"/>
          <w:i w:val="0"/>
          <w:iCs w:val="0"/>
          <w:color w:val="auto"/>
          <w:sz w:val="21"/>
          <w:szCs w:val="21"/>
          <w:highlight w:val="none"/>
          <w:lang w:val="en-US" w:eastAsia="zh-CN"/>
        </w:rPr>
        <w:t>人</w:t>
      </w:r>
      <w:r>
        <w:rPr>
          <w:rFonts w:hint="eastAsia"/>
          <w:i w:val="0"/>
          <w:iCs w:val="0"/>
          <w:color w:val="auto"/>
          <w:sz w:val="21"/>
          <w:szCs w:val="21"/>
          <w:highlight w:val="none"/>
        </w:rPr>
        <w:t>拒绝其参与政府采购活动。</w:t>
      </w:r>
    </w:p>
    <w:p w14:paraId="46EE3573">
      <w:pPr>
        <w:pStyle w:val="36"/>
        <w:keepNext w:val="0"/>
        <w:keepLines w:val="0"/>
        <w:pageBreakBefore w:val="0"/>
        <w:widowControl w:val="0"/>
        <w:kinsoku/>
        <w:overflowPunct/>
        <w:topLinePunct w:val="0"/>
        <w:autoSpaceDE/>
        <w:autoSpaceDN/>
        <w:bidi w:val="0"/>
        <w:adjustRightInd/>
        <w:snapToGrid/>
        <w:spacing w:line="420" w:lineRule="exact"/>
        <w:ind w:firstLine="480"/>
        <w:textAlignment w:val="auto"/>
        <w:rPr>
          <w:i w:val="0"/>
          <w:iCs w:val="0"/>
          <w:color w:val="auto"/>
          <w:sz w:val="21"/>
          <w:szCs w:val="21"/>
          <w:highlight w:val="none"/>
        </w:rPr>
      </w:pPr>
      <w:r>
        <w:rPr>
          <w:rFonts w:hint="eastAsia"/>
          <w:i w:val="0"/>
          <w:iCs w:val="0"/>
          <w:color w:val="auto"/>
          <w:sz w:val="21"/>
          <w:szCs w:val="21"/>
          <w:highlight w:val="none"/>
        </w:rPr>
        <w:t>2.2以联合体形式参与磋商的，应当核查联合体所有成员和信用记录，联合体成员存在不良信用记录的，视同联合体存在不良信用信息。</w:t>
      </w:r>
    </w:p>
    <w:p w14:paraId="4CA1DFCD">
      <w:pPr>
        <w:pStyle w:val="40"/>
        <w:keepNext w:val="0"/>
        <w:keepLines w:val="0"/>
        <w:pageBreakBefore w:val="0"/>
        <w:widowControl w:val="0"/>
        <w:numPr>
          <w:ilvl w:val="0"/>
          <w:numId w:val="0"/>
        </w:numPr>
        <w:kinsoku/>
        <w:overflowPunct/>
        <w:topLinePunct w:val="0"/>
        <w:autoSpaceDE/>
        <w:autoSpaceDN/>
        <w:bidi w:val="0"/>
        <w:adjustRightInd/>
        <w:snapToGrid/>
        <w:spacing w:line="420" w:lineRule="exact"/>
        <w:ind w:firstLine="420" w:firstLineChars="200"/>
        <w:textAlignment w:val="auto"/>
        <w:rPr>
          <w:rFonts w:hint="eastAsia"/>
          <w:i w:val="0"/>
          <w:iCs w:val="0"/>
          <w:color w:val="auto"/>
          <w:sz w:val="21"/>
          <w:szCs w:val="21"/>
          <w:highlight w:val="none"/>
        </w:rPr>
      </w:pPr>
      <w:r>
        <w:rPr>
          <w:rFonts w:ascii="宋体" w:hAnsi="宋体" w:eastAsia="宋体" w:cs="宋体"/>
          <w:i w:val="0"/>
          <w:iCs w:val="0"/>
          <w:color w:val="auto"/>
          <w:kern w:val="2"/>
          <w:sz w:val="21"/>
          <w:szCs w:val="21"/>
          <w:highlight w:val="none"/>
          <w:lang w:val="en-US" w:eastAsia="zh-CN" w:bidi="ar-SA"/>
        </w:rPr>
        <w:t>3.</w:t>
      </w:r>
      <w:r>
        <w:rPr>
          <w:rFonts w:hint="eastAsia"/>
          <w:i w:val="0"/>
          <w:iCs w:val="0"/>
          <w:color w:val="auto"/>
          <w:sz w:val="21"/>
          <w:szCs w:val="21"/>
          <w:highlight w:val="none"/>
        </w:rPr>
        <w:t>对于响应文件中有任意一条不满足上表要求的</w:t>
      </w:r>
      <w:r>
        <w:rPr>
          <w:rFonts w:hint="eastAsia"/>
          <w:i w:val="0"/>
          <w:iCs w:val="0"/>
          <w:color w:val="auto"/>
          <w:sz w:val="21"/>
          <w:szCs w:val="21"/>
          <w:highlight w:val="none"/>
          <w:lang w:eastAsia="zh-CN"/>
        </w:rPr>
        <w:t>，</w:t>
      </w:r>
      <w:r>
        <w:rPr>
          <w:rFonts w:hint="eastAsia"/>
          <w:i w:val="0"/>
          <w:iCs w:val="0"/>
          <w:color w:val="auto"/>
          <w:sz w:val="21"/>
          <w:szCs w:val="21"/>
          <w:highlight w:val="none"/>
        </w:rPr>
        <w:t>将导致其</w:t>
      </w:r>
      <w:r>
        <w:rPr>
          <w:rFonts w:hint="eastAsia"/>
          <w:b/>
          <w:bCs/>
          <w:i w:val="0"/>
          <w:iCs w:val="0"/>
          <w:color w:val="auto"/>
          <w:sz w:val="21"/>
          <w:szCs w:val="21"/>
          <w:highlight w:val="none"/>
        </w:rPr>
        <w:t>响应无效</w:t>
      </w:r>
      <w:r>
        <w:rPr>
          <w:rFonts w:hint="eastAsia"/>
          <w:i w:val="0"/>
          <w:iCs w:val="0"/>
          <w:color w:val="auto"/>
          <w:sz w:val="21"/>
          <w:szCs w:val="21"/>
          <w:highlight w:val="none"/>
        </w:rPr>
        <w:t>，不</w:t>
      </w:r>
      <w:r>
        <w:rPr>
          <w:rFonts w:hint="eastAsia"/>
          <w:i w:val="0"/>
          <w:iCs w:val="0"/>
          <w:color w:val="auto"/>
          <w:sz w:val="21"/>
          <w:szCs w:val="21"/>
          <w:highlight w:val="none"/>
          <w:lang w:val="en-US" w:eastAsia="zh-CN"/>
        </w:rPr>
        <w:t>得</w:t>
      </w:r>
      <w:r>
        <w:rPr>
          <w:rFonts w:hint="eastAsia"/>
          <w:i w:val="0"/>
          <w:iCs w:val="0"/>
          <w:color w:val="auto"/>
          <w:sz w:val="21"/>
          <w:szCs w:val="21"/>
          <w:highlight w:val="none"/>
        </w:rPr>
        <w:t>进入下一项评审。</w:t>
      </w:r>
    </w:p>
    <w:p w14:paraId="55110B7F">
      <w:pPr>
        <w:rPr>
          <w:rFonts w:hint="eastAsia"/>
          <w:i w:val="0"/>
          <w:iCs w:val="0"/>
          <w:color w:val="auto"/>
          <w:highlight w:val="none"/>
        </w:rPr>
      </w:pPr>
      <w:r>
        <w:rPr>
          <w:rFonts w:hint="eastAsia"/>
          <w:i w:val="0"/>
          <w:iCs w:val="0"/>
          <w:color w:val="auto"/>
          <w:highlight w:val="none"/>
        </w:rPr>
        <w:br w:type="page"/>
      </w:r>
    </w:p>
    <w:p w14:paraId="613615CA">
      <w:pPr>
        <w:pStyle w:val="7"/>
        <w:keepNext w:val="0"/>
        <w:keepLines w:val="0"/>
        <w:pageBreakBefore w:val="0"/>
        <w:widowControl w:val="0"/>
        <w:numPr>
          <w:ilvl w:val="0"/>
          <w:numId w:val="0"/>
        </w:numPr>
        <w:kinsoku/>
        <w:wordWrap/>
        <w:overflowPunct/>
        <w:topLinePunct w:val="0"/>
        <w:autoSpaceDE/>
        <w:autoSpaceDN/>
        <w:bidi w:val="0"/>
        <w:adjustRightInd/>
        <w:snapToGrid/>
        <w:spacing w:before="100" w:after="100" w:line="480" w:lineRule="exact"/>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bookmarkStart w:id="458" w:name="_Toc163493639"/>
      <w:r>
        <w:rPr>
          <w:rFonts w:hint="eastAsia" w:ascii="宋体" w:hAnsi="宋体" w:eastAsia="宋体" w:cs="宋体"/>
          <w:b/>
          <w:bCs/>
          <w:i w:val="0"/>
          <w:iCs w:val="0"/>
          <w:color w:val="auto"/>
          <w:kern w:val="2"/>
          <w:sz w:val="24"/>
          <w:szCs w:val="24"/>
          <w:highlight w:val="none"/>
          <w:lang w:val="en-US" w:eastAsia="zh-CN" w:bidi="ar-SA"/>
        </w:rPr>
        <w:t>（二）</w:t>
      </w:r>
      <w:r>
        <w:rPr>
          <w:rFonts w:hint="eastAsia" w:ascii="宋体" w:hAnsi="宋体" w:eastAsia="宋体" w:cs="宋体"/>
          <w:b/>
          <w:bCs/>
          <w:i w:val="0"/>
          <w:iCs w:val="0"/>
          <w:color w:val="auto"/>
          <w:kern w:val="2"/>
          <w:sz w:val="24"/>
          <w:szCs w:val="24"/>
          <w:highlight w:val="none"/>
          <w:lang w:val="zh-CN" w:eastAsia="zh-CN" w:bidi="ar-SA"/>
        </w:rPr>
        <w:t>符合性审查表</w:t>
      </w:r>
      <w:bookmarkEnd w:id="457"/>
      <w:bookmarkEnd w:id="458"/>
    </w:p>
    <w:tbl>
      <w:tblPr>
        <w:tblStyle w:val="30"/>
        <w:tblW w:w="5424" w:type="pct"/>
        <w:tblInd w:w="-3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6"/>
        <w:gridCol w:w="1302"/>
        <w:gridCol w:w="5483"/>
        <w:gridCol w:w="866"/>
        <w:gridCol w:w="1088"/>
      </w:tblGrid>
      <w:tr w14:paraId="6867D0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restart"/>
            <w:shd w:val="clear" w:color="auto" w:fill="D8D8D8"/>
            <w:vAlign w:val="center"/>
          </w:tcPr>
          <w:p w14:paraId="3B188FC3">
            <w:pPr>
              <w:pStyle w:val="47"/>
              <w:jc w:val="center"/>
              <w:rPr>
                <w:rFonts w:hint="eastAsia" w:ascii="宋体" w:hAnsi="宋体" w:eastAsia="宋体" w:cs="宋体"/>
                <w:b/>
                <w:bCs/>
                <w:i w:val="0"/>
                <w:iCs w:val="0"/>
                <w:color w:val="auto"/>
                <w:sz w:val="21"/>
                <w:szCs w:val="21"/>
                <w:highlight w:val="none"/>
                <w:lang w:val="zh-CN"/>
              </w:rPr>
            </w:pPr>
            <w:bookmarkStart w:id="459" w:name="_Toc163493640"/>
            <w:r>
              <w:rPr>
                <w:rFonts w:hint="eastAsia" w:ascii="宋体" w:hAnsi="宋体" w:eastAsia="宋体" w:cs="宋体"/>
                <w:b/>
                <w:bCs/>
                <w:i w:val="0"/>
                <w:iCs w:val="0"/>
                <w:color w:val="auto"/>
                <w:sz w:val="21"/>
                <w:szCs w:val="21"/>
                <w:highlight w:val="none"/>
                <w:lang w:val="zh-CN"/>
              </w:rPr>
              <w:t>序号</w:t>
            </w:r>
          </w:p>
        </w:tc>
        <w:tc>
          <w:tcPr>
            <w:tcW w:w="704" w:type="pct"/>
            <w:vMerge w:val="restart"/>
            <w:shd w:val="clear" w:color="auto" w:fill="D8D8D8"/>
            <w:vAlign w:val="center"/>
          </w:tcPr>
          <w:p w14:paraId="316B5F87">
            <w:pPr>
              <w:pStyle w:val="47"/>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审查项名称</w:t>
            </w:r>
          </w:p>
        </w:tc>
        <w:tc>
          <w:tcPr>
            <w:tcW w:w="2964" w:type="pct"/>
            <w:vMerge w:val="restart"/>
            <w:shd w:val="clear" w:color="auto" w:fill="D8D8D8"/>
            <w:vAlign w:val="center"/>
          </w:tcPr>
          <w:p w14:paraId="44B32FDC">
            <w:pPr>
              <w:pStyle w:val="47"/>
              <w:jc w:val="center"/>
              <w:rPr>
                <w:rFonts w:hint="eastAsia" w:ascii="宋体" w:hAnsi="宋体" w:eastAsia="宋体" w:cs="宋体"/>
                <w:b/>
                <w:bCs/>
                <w:i w:val="0"/>
                <w:iCs w:val="0"/>
                <w:color w:val="auto"/>
                <w:sz w:val="21"/>
                <w:szCs w:val="21"/>
                <w:highlight w:val="none"/>
                <w:lang w:val="zh-CN"/>
              </w:rPr>
            </w:pPr>
            <w:r>
              <w:rPr>
                <w:rFonts w:hint="eastAsia" w:ascii="宋体" w:hAnsi="宋体" w:eastAsia="宋体" w:cs="宋体"/>
                <w:b/>
                <w:bCs/>
                <w:i w:val="0"/>
                <w:iCs w:val="0"/>
                <w:color w:val="auto"/>
                <w:sz w:val="21"/>
                <w:szCs w:val="21"/>
                <w:highlight w:val="none"/>
                <w:lang w:val="zh-CN"/>
              </w:rPr>
              <w:t>审查内容</w:t>
            </w:r>
          </w:p>
        </w:tc>
        <w:tc>
          <w:tcPr>
            <w:tcW w:w="1056" w:type="pct"/>
            <w:gridSpan w:val="2"/>
            <w:shd w:val="clear" w:color="auto" w:fill="D8D8D8"/>
            <w:vAlign w:val="center"/>
          </w:tcPr>
          <w:p w14:paraId="2724C461">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审查结果</w:t>
            </w:r>
          </w:p>
        </w:tc>
      </w:tr>
      <w:tr w14:paraId="6963BE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83" w:hRule="atLeast"/>
        </w:trPr>
        <w:tc>
          <w:tcPr>
            <w:tcW w:w="274" w:type="pct"/>
            <w:vMerge w:val="continue"/>
            <w:shd w:val="clear" w:color="auto" w:fill="D8D8D8"/>
            <w:vAlign w:val="center"/>
          </w:tcPr>
          <w:p w14:paraId="1859AA86">
            <w:pPr>
              <w:pStyle w:val="47"/>
              <w:jc w:val="center"/>
              <w:rPr>
                <w:rFonts w:hint="eastAsia" w:ascii="宋体" w:hAnsi="宋体" w:eastAsia="宋体" w:cs="宋体"/>
                <w:b/>
                <w:bCs/>
                <w:i w:val="0"/>
                <w:iCs w:val="0"/>
                <w:color w:val="auto"/>
                <w:sz w:val="21"/>
                <w:szCs w:val="21"/>
                <w:highlight w:val="none"/>
                <w:lang w:val="zh-CN"/>
              </w:rPr>
            </w:pPr>
          </w:p>
        </w:tc>
        <w:tc>
          <w:tcPr>
            <w:tcW w:w="704" w:type="pct"/>
            <w:vMerge w:val="continue"/>
            <w:shd w:val="clear" w:color="auto" w:fill="D8D8D8"/>
            <w:vAlign w:val="center"/>
          </w:tcPr>
          <w:p w14:paraId="51EF0565">
            <w:pPr>
              <w:pStyle w:val="47"/>
              <w:jc w:val="center"/>
              <w:rPr>
                <w:rFonts w:hint="eastAsia" w:ascii="宋体" w:hAnsi="宋体" w:eastAsia="宋体" w:cs="宋体"/>
                <w:b/>
                <w:bCs/>
                <w:i w:val="0"/>
                <w:iCs w:val="0"/>
                <w:color w:val="auto"/>
                <w:sz w:val="21"/>
                <w:szCs w:val="21"/>
                <w:highlight w:val="none"/>
                <w:lang w:val="zh-CN"/>
              </w:rPr>
            </w:pPr>
          </w:p>
        </w:tc>
        <w:tc>
          <w:tcPr>
            <w:tcW w:w="2964" w:type="pct"/>
            <w:vMerge w:val="continue"/>
            <w:shd w:val="clear" w:color="auto" w:fill="D8D8D8"/>
            <w:vAlign w:val="center"/>
          </w:tcPr>
          <w:p w14:paraId="2128C077">
            <w:pPr>
              <w:pStyle w:val="47"/>
              <w:jc w:val="center"/>
              <w:rPr>
                <w:rFonts w:hint="eastAsia" w:ascii="宋体" w:hAnsi="宋体" w:eastAsia="宋体" w:cs="宋体"/>
                <w:b/>
                <w:bCs/>
                <w:i w:val="0"/>
                <w:iCs w:val="0"/>
                <w:color w:val="auto"/>
                <w:sz w:val="21"/>
                <w:szCs w:val="21"/>
                <w:highlight w:val="none"/>
                <w:lang w:val="zh-CN"/>
              </w:rPr>
            </w:pPr>
          </w:p>
        </w:tc>
        <w:tc>
          <w:tcPr>
            <w:tcW w:w="468" w:type="pct"/>
            <w:shd w:val="clear" w:color="auto" w:fill="D8D8D8"/>
            <w:vAlign w:val="center"/>
          </w:tcPr>
          <w:p w14:paraId="0CAA21D7">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符合</w:t>
            </w:r>
          </w:p>
        </w:tc>
        <w:tc>
          <w:tcPr>
            <w:tcW w:w="588" w:type="pct"/>
            <w:shd w:val="clear" w:color="auto" w:fill="D8D8D8"/>
            <w:vAlign w:val="center"/>
          </w:tcPr>
          <w:p w14:paraId="15D1F439">
            <w:pPr>
              <w:pStyle w:val="47"/>
              <w:jc w:val="center"/>
              <w:rPr>
                <w:rFonts w:hint="eastAsia" w:ascii="宋体" w:hAnsi="宋体" w:eastAsia="宋体" w:cs="宋体"/>
                <w:b/>
                <w:bCs/>
                <w:i w:val="0"/>
                <w:iCs w:val="0"/>
                <w:color w:val="auto"/>
                <w:sz w:val="21"/>
                <w:szCs w:val="21"/>
                <w:highlight w:val="none"/>
                <w:lang w:val="en-US" w:eastAsia="zh-CN"/>
              </w:rPr>
            </w:pPr>
            <w:r>
              <w:rPr>
                <w:rFonts w:hint="eastAsia" w:ascii="宋体" w:hAnsi="宋体" w:eastAsia="宋体" w:cs="宋体"/>
                <w:b/>
                <w:bCs/>
                <w:i w:val="0"/>
                <w:iCs w:val="0"/>
                <w:color w:val="auto"/>
                <w:sz w:val="21"/>
                <w:szCs w:val="21"/>
                <w:highlight w:val="none"/>
                <w:lang w:val="en-US" w:eastAsia="zh-CN"/>
              </w:rPr>
              <w:t>不符合</w:t>
            </w:r>
          </w:p>
        </w:tc>
      </w:tr>
      <w:tr w14:paraId="233AF5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8" w:hRule="atLeast"/>
        </w:trPr>
        <w:tc>
          <w:tcPr>
            <w:tcW w:w="274" w:type="pct"/>
            <w:shd w:val="clear" w:color="auto" w:fill="auto"/>
            <w:vAlign w:val="center"/>
          </w:tcPr>
          <w:p w14:paraId="4A515C07">
            <w:pPr>
              <w:pStyle w:val="47"/>
              <w:numPr>
                <w:ilvl w:val="0"/>
                <w:numId w:val="0"/>
              </w:numPr>
              <w:ind w:left="420" w:leftChars="0" w:hanging="420" w:firstLineChars="0"/>
              <w:jc w:val="center"/>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kern w:val="2"/>
                <w:sz w:val="21"/>
                <w:szCs w:val="21"/>
                <w:highlight w:val="none"/>
                <w:lang w:val="zh-CN" w:eastAsia="zh-CN" w:bidi="ar-SA"/>
              </w:rPr>
              <w:t>1</w:t>
            </w:r>
          </w:p>
        </w:tc>
        <w:tc>
          <w:tcPr>
            <w:tcW w:w="704" w:type="pct"/>
            <w:vAlign w:val="center"/>
          </w:tcPr>
          <w:p w14:paraId="5E0E3062">
            <w:pPr>
              <w:pStyle w:val="47"/>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rPr>
              <w:t>签署</w:t>
            </w:r>
          </w:p>
        </w:tc>
        <w:tc>
          <w:tcPr>
            <w:tcW w:w="2964" w:type="pct"/>
            <w:shd w:val="clear" w:color="auto" w:fill="auto"/>
            <w:vAlign w:val="center"/>
          </w:tcPr>
          <w:p w14:paraId="0FA4ED80">
            <w:pPr>
              <w:pStyle w:val="47"/>
              <w:rPr>
                <w:rFonts w:hint="eastAsia" w:ascii="宋体" w:hAnsi="宋体" w:eastAsia="宋体" w:cs="宋体"/>
                <w:i w:val="0"/>
                <w:iCs w:val="0"/>
                <w:color w:val="auto"/>
                <w:sz w:val="21"/>
                <w:szCs w:val="21"/>
                <w:highlight w:val="none"/>
                <w:lang w:val="zh-CN" w:eastAsia="zh-CN"/>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en-US" w:eastAsia="zh-CN"/>
              </w:rPr>
              <w:t>按磋商文件要求签署、盖章的</w:t>
            </w:r>
          </w:p>
        </w:tc>
        <w:tc>
          <w:tcPr>
            <w:tcW w:w="468" w:type="pct"/>
            <w:shd w:val="clear" w:color="auto" w:fill="auto"/>
            <w:vAlign w:val="center"/>
          </w:tcPr>
          <w:p w14:paraId="1E1F1EB1">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5325BAA">
            <w:pPr>
              <w:pStyle w:val="47"/>
              <w:rPr>
                <w:rFonts w:hint="eastAsia" w:ascii="宋体" w:hAnsi="宋体" w:eastAsia="宋体" w:cs="宋体"/>
                <w:i w:val="0"/>
                <w:iCs w:val="0"/>
                <w:color w:val="auto"/>
                <w:sz w:val="21"/>
                <w:szCs w:val="21"/>
                <w:highlight w:val="none"/>
                <w:lang w:val="zh-CN"/>
              </w:rPr>
            </w:pPr>
          </w:p>
        </w:tc>
      </w:tr>
      <w:tr w14:paraId="6BB86F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4" w:type="pct"/>
            <w:shd w:val="clear" w:color="auto" w:fill="auto"/>
            <w:vAlign w:val="center"/>
          </w:tcPr>
          <w:p w14:paraId="70154C2F">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2</w:t>
            </w:r>
          </w:p>
        </w:tc>
        <w:tc>
          <w:tcPr>
            <w:tcW w:w="704" w:type="pct"/>
            <w:shd w:val="clear" w:color="auto" w:fill="auto"/>
            <w:vAlign w:val="center"/>
          </w:tcPr>
          <w:p w14:paraId="1B390AF0">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实质性要求</w:t>
            </w:r>
          </w:p>
        </w:tc>
        <w:tc>
          <w:tcPr>
            <w:tcW w:w="2964" w:type="pct"/>
            <w:shd w:val="clear" w:color="auto" w:fill="auto"/>
            <w:vAlign w:val="center"/>
          </w:tcPr>
          <w:p w14:paraId="6D95F485">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响应文件</w:t>
            </w:r>
            <w:r>
              <w:rPr>
                <w:rFonts w:hint="eastAsia" w:ascii="宋体" w:hAnsi="宋体" w:eastAsia="宋体" w:cs="宋体"/>
                <w:i w:val="0"/>
                <w:iCs w:val="0"/>
                <w:color w:val="auto"/>
                <w:sz w:val="21"/>
                <w:szCs w:val="21"/>
                <w:highlight w:val="none"/>
                <w:lang w:val="zh-CN" w:eastAsia="zh-CN"/>
              </w:rPr>
              <w:t>满足</w:t>
            </w:r>
            <w:r>
              <w:rPr>
                <w:rFonts w:hint="eastAsia" w:ascii="宋体" w:hAnsi="宋体" w:eastAsia="宋体" w:cs="宋体"/>
                <w:i w:val="0"/>
                <w:iCs w:val="0"/>
                <w:color w:val="auto"/>
                <w:sz w:val="21"/>
                <w:szCs w:val="21"/>
                <w:highlight w:val="none"/>
                <w:lang w:val="en-US" w:eastAsia="zh-CN"/>
              </w:rPr>
              <w:t>磋商</w:t>
            </w:r>
            <w:r>
              <w:rPr>
                <w:rFonts w:hint="eastAsia" w:ascii="宋体" w:hAnsi="宋体" w:eastAsia="宋体" w:cs="宋体"/>
                <w:i w:val="0"/>
                <w:iCs w:val="0"/>
                <w:color w:val="auto"/>
                <w:sz w:val="21"/>
                <w:szCs w:val="21"/>
                <w:highlight w:val="none"/>
                <w:lang w:val="zh-CN" w:eastAsia="zh-CN"/>
              </w:rPr>
              <w:t>文件中标注“★”号的实质性条款（或指标）要求的</w:t>
            </w: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具体详见</w:t>
            </w:r>
            <w:r>
              <w:rPr>
                <w:rFonts w:hint="eastAsia" w:ascii="宋体" w:hAnsi="宋体" w:eastAsia="宋体" w:cs="宋体"/>
                <w:i w:val="0"/>
                <w:iCs w:val="0"/>
                <w:color w:val="auto"/>
                <w:sz w:val="21"/>
                <w:szCs w:val="21"/>
                <w:highlight w:val="none"/>
                <w:lang w:val="zh-CN"/>
              </w:rPr>
              <w:t>“实质性响应一览表”</w:t>
            </w:r>
          </w:p>
        </w:tc>
        <w:tc>
          <w:tcPr>
            <w:tcW w:w="468" w:type="pct"/>
            <w:shd w:val="clear" w:color="auto" w:fill="auto"/>
            <w:vAlign w:val="center"/>
          </w:tcPr>
          <w:p w14:paraId="4C63B966">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A615EFE">
            <w:pPr>
              <w:pStyle w:val="47"/>
              <w:rPr>
                <w:rFonts w:hint="eastAsia" w:ascii="宋体" w:hAnsi="宋体" w:eastAsia="宋体" w:cs="宋体"/>
                <w:i w:val="0"/>
                <w:iCs w:val="0"/>
                <w:color w:val="auto"/>
                <w:sz w:val="21"/>
                <w:szCs w:val="21"/>
                <w:highlight w:val="none"/>
                <w:lang w:val="zh-CN"/>
              </w:rPr>
            </w:pPr>
          </w:p>
        </w:tc>
      </w:tr>
      <w:tr w14:paraId="591B9B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8" w:hRule="atLeast"/>
        </w:trPr>
        <w:tc>
          <w:tcPr>
            <w:tcW w:w="274" w:type="pct"/>
            <w:shd w:val="clear" w:color="auto" w:fill="auto"/>
            <w:vAlign w:val="center"/>
          </w:tcPr>
          <w:p w14:paraId="48860C47">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kern w:val="2"/>
                <w:sz w:val="21"/>
                <w:szCs w:val="21"/>
                <w:highlight w:val="none"/>
                <w:lang w:val="zh-CN" w:eastAsia="zh-CN" w:bidi="ar-SA"/>
              </w:rPr>
              <w:t>3</w:t>
            </w:r>
          </w:p>
        </w:tc>
        <w:tc>
          <w:tcPr>
            <w:tcW w:w="704" w:type="pct"/>
            <w:vAlign w:val="center"/>
          </w:tcPr>
          <w:p w14:paraId="31EA832C">
            <w:pPr>
              <w:pStyle w:val="47"/>
              <w:rPr>
                <w:rFonts w:hint="eastAsia" w:ascii="宋体" w:hAnsi="宋体" w:eastAsia="宋体" w:cs="宋体"/>
                <w:i w:val="0"/>
                <w:iCs w:val="0"/>
                <w:color w:val="auto"/>
                <w:sz w:val="21"/>
                <w:szCs w:val="21"/>
                <w:highlight w:val="none"/>
                <w:lang w:val="zh-CN"/>
              </w:rPr>
            </w:pPr>
            <w:r>
              <w:rPr>
                <w:rFonts w:hint="eastAsia" w:ascii="宋体" w:hAnsi="宋体" w:eastAsia="宋体" w:cs="宋体"/>
                <w:i w:val="0"/>
                <w:iCs w:val="0"/>
                <w:color w:val="auto"/>
                <w:sz w:val="21"/>
                <w:szCs w:val="21"/>
                <w:highlight w:val="none"/>
                <w:lang w:val="zh-CN"/>
              </w:rPr>
              <w:t>磋商响应性报价</w:t>
            </w:r>
          </w:p>
        </w:tc>
        <w:tc>
          <w:tcPr>
            <w:tcW w:w="2964" w:type="pct"/>
            <w:shd w:val="clear" w:color="auto" w:fill="auto"/>
            <w:vAlign w:val="center"/>
          </w:tcPr>
          <w:p w14:paraId="02D97709">
            <w:pPr>
              <w:pStyle w:val="47"/>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供应商报价未超过磋商文件中规定的最高限价或者预算金额的</w:t>
            </w:r>
          </w:p>
        </w:tc>
        <w:tc>
          <w:tcPr>
            <w:tcW w:w="468" w:type="pct"/>
            <w:shd w:val="clear" w:color="auto" w:fill="auto"/>
            <w:vAlign w:val="center"/>
          </w:tcPr>
          <w:p w14:paraId="18835E98">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2826E79">
            <w:pPr>
              <w:pStyle w:val="47"/>
              <w:rPr>
                <w:rFonts w:hint="eastAsia" w:ascii="宋体" w:hAnsi="宋体" w:eastAsia="宋体" w:cs="宋体"/>
                <w:i w:val="0"/>
                <w:iCs w:val="0"/>
                <w:color w:val="auto"/>
                <w:sz w:val="21"/>
                <w:szCs w:val="21"/>
                <w:highlight w:val="none"/>
                <w:lang w:val="zh-CN"/>
              </w:rPr>
            </w:pPr>
          </w:p>
        </w:tc>
      </w:tr>
      <w:tr w14:paraId="7BBDFE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4" w:type="pct"/>
            <w:shd w:val="clear" w:color="auto" w:fill="auto"/>
            <w:vAlign w:val="center"/>
          </w:tcPr>
          <w:p w14:paraId="0506D4C6">
            <w:pPr>
              <w:pStyle w:val="47"/>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kern w:val="2"/>
                <w:sz w:val="21"/>
                <w:szCs w:val="21"/>
                <w:highlight w:val="none"/>
                <w:lang w:val="en-US" w:eastAsia="zh-CN" w:bidi="ar-SA"/>
              </w:rPr>
              <w:t>4</w:t>
            </w:r>
          </w:p>
        </w:tc>
        <w:tc>
          <w:tcPr>
            <w:tcW w:w="704" w:type="pct"/>
            <w:shd w:val="clear" w:color="auto" w:fill="auto"/>
            <w:vAlign w:val="center"/>
          </w:tcPr>
          <w:p w14:paraId="44BDD3AE">
            <w:pPr>
              <w:pStyle w:val="47"/>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采购清单</w:t>
            </w:r>
          </w:p>
        </w:tc>
        <w:tc>
          <w:tcPr>
            <w:tcW w:w="2964" w:type="pct"/>
            <w:shd w:val="clear" w:color="auto" w:fill="auto"/>
            <w:vAlign w:val="center"/>
          </w:tcPr>
          <w:p w14:paraId="0AA8C46C">
            <w:pPr>
              <w:pStyle w:val="47"/>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未改变招标文件提供的采购</w:t>
            </w:r>
            <w:r>
              <w:rPr>
                <w:rFonts w:hint="eastAsia" w:cs="宋体"/>
                <w:color w:val="auto"/>
                <w:kern w:val="2"/>
                <w:sz w:val="21"/>
                <w:szCs w:val="21"/>
                <w:highlight w:val="none"/>
                <w:lang w:val="en-US" w:eastAsia="zh-CN" w:bidi="ar-SA"/>
              </w:rPr>
              <w:t>标的</w:t>
            </w:r>
            <w:r>
              <w:rPr>
                <w:rFonts w:hint="eastAsia" w:ascii="宋体" w:hAnsi="宋体" w:eastAsia="宋体" w:cs="宋体"/>
                <w:color w:val="auto"/>
                <w:kern w:val="2"/>
                <w:sz w:val="21"/>
                <w:szCs w:val="21"/>
                <w:highlight w:val="none"/>
                <w:lang w:val="en-US" w:eastAsia="zh-CN" w:bidi="ar-SA"/>
              </w:rPr>
              <w:t>清单</w:t>
            </w:r>
            <w:r>
              <w:rPr>
                <w:rFonts w:hint="eastAsia" w:cs="宋体"/>
                <w:color w:val="auto"/>
                <w:kern w:val="2"/>
                <w:sz w:val="21"/>
                <w:szCs w:val="21"/>
                <w:highlight w:val="none"/>
                <w:lang w:val="en-US" w:eastAsia="zh-CN" w:bidi="ar-SA"/>
              </w:rPr>
              <w:t>数量</w:t>
            </w:r>
            <w:r>
              <w:rPr>
                <w:rFonts w:hint="eastAsia" w:ascii="宋体" w:hAnsi="宋体" w:eastAsia="宋体" w:cs="宋体"/>
                <w:color w:val="auto"/>
                <w:kern w:val="2"/>
                <w:sz w:val="21"/>
                <w:szCs w:val="21"/>
                <w:highlight w:val="none"/>
                <w:lang w:val="en-US" w:eastAsia="zh-CN" w:bidi="ar-SA"/>
              </w:rPr>
              <w:t>的</w:t>
            </w:r>
          </w:p>
        </w:tc>
        <w:tc>
          <w:tcPr>
            <w:tcW w:w="468" w:type="pct"/>
            <w:shd w:val="clear" w:color="auto" w:fill="auto"/>
            <w:vAlign w:val="center"/>
          </w:tcPr>
          <w:p w14:paraId="6E30E424">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86723A5">
            <w:pPr>
              <w:pStyle w:val="47"/>
              <w:rPr>
                <w:rFonts w:hint="eastAsia" w:ascii="宋体" w:hAnsi="宋体" w:eastAsia="宋体" w:cs="宋体"/>
                <w:i w:val="0"/>
                <w:iCs w:val="0"/>
                <w:color w:val="auto"/>
                <w:sz w:val="21"/>
                <w:szCs w:val="21"/>
                <w:highlight w:val="none"/>
                <w:lang w:val="zh-CN"/>
              </w:rPr>
            </w:pPr>
          </w:p>
        </w:tc>
      </w:tr>
      <w:tr w14:paraId="7C777CE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274" w:type="pct"/>
            <w:shd w:val="clear" w:color="auto" w:fill="auto"/>
            <w:vAlign w:val="center"/>
          </w:tcPr>
          <w:p w14:paraId="0D25BA5B">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5</w:t>
            </w:r>
          </w:p>
        </w:tc>
        <w:tc>
          <w:tcPr>
            <w:tcW w:w="704" w:type="pct"/>
            <w:vAlign w:val="center"/>
          </w:tcPr>
          <w:p w14:paraId="6B53D7DD">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虚假材料</w:t>
            </w:r>
          </w:p>
        </w:tc>
        <w:tc>
          <w:tcPr>
            <w:tcW w:w="2964" w:type="pct"/>
            <w:shd w:val="clear" w:color="auto" w:fill="auto"/>
            <w:vAlign w:val="center"/>
          </w:tcPr>
          <w:p w14:paraId="3C241A91">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提供虚假材料的</w:t>
            </w:r>
          </w:p>
        </w:tc>
        <w:tc>
          <w:tcPr>
            <w:tcW w:w="468" w:type="pct"/>
            <w:shd w:val="clear" w:color="auto" w:fill="auto"/>
            <w:vAlign w:val="center"/>
          </w:tcPr>
          <w:p w14:paraId="4B513014">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48AFA180">
            <w:pPr>
              <w:pStyle w:val="47"/>
              <w:rPr>
                <w:rFonts w:hint="eastAsia" w:ascii="宋体" w:hAnsi="宋体" w:eastAsia="宋体" w:cs="宋体"/>
                <w:i w:val="0"/>
                <w:iCs w:val="0"/>
                <w:color w:val="auto"/>
                <w:sz w:val="21"/>
                <w:szCs w:val="21"/>
                <w:highlight w:val="none"/>
                <w:lang w:val="zh-CN"/>
              </w:rPr>
            </w:pPr>
          </w:p>
        </w:tc>
      </w:tr>
      <w:tr w14:paraId="2260FF6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82" w:hRule="atLeast"/>
        </w:trPr>
        <w:tc>
          <w:tcPr>
            <w:tcW w:w="274" w:type="pct"/>
            <w:shd w:val="clear" w:color="auto" w:fill="auto"/>
            <w:vAlign w:val="center"/>
          </w:tcPr>
          <w:p w14:paraId="5772C4C0">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6</w:t>
            </w:r>
          </w:p>
        </w:tc>
        <w:tc>
          <w:tcPr>
            <w:tcW w:w="704" w:type="pct"/>
            <w:vAlign w:val="center"/>
          </w:tcPr>
          <w:p w14:paraId="1817A2C0">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联合体</w:t>
            </w:r>
          </w:p>
        </w:tc>
        <w:tc>
          <w:tcPr>
            <w:tcW w:w="2964" w:type="pct"/>
            <w:shd w:val="clear" w:color="auto" w:fill="auto"/>
            <w:vAlign w:val="center"/>
          </w:tcPr>
          <w:p w14:paraId="39640874">
            <w:pPr>
              <w:pStyle w:val="47"/>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磋商文件规定接受联合体磋商的，</w:t>
            </w:r>
            <w:r>
              <w:rPr>
                <w:rFonts w:hint="eastAsia" w:ascii="宋体" w:hAnsi="宋体" w:eastAsia="宋体" w:cs="宋体"/>
                <w:i w:val="0"/>
                <w:iCs w:val="0"/>
                <w:color w:val="auto"/>
                <w:sz w:val="21"/>
                <w:szCs w:val="21"/>
                <w:highlight w:val="none"/>
                <w:lang w:val="zh-CN" w:eastAsia="zh-CN"/>
              </w:rPr>
              <w:t>联合体供应商提交</w:t>
            </w:r>
            <w:r>
              <w:rPr>
                <w:rFonts w:hint="eastAsia" w:ascii="宋体" w:hAnsi="宋体" w:eastAsia="宋体" w:cs="宋体"/>
                <w:i w:val="0"/>
                <w:iCs w:val="0"/>
                <w:color w:val="auto"/>
                <w:sz w:val="21"/>
                <w:szCs w:val="21"/>
                <w:highlight w:val="none"/>
                <w:lang w:val="en-US" w:eastAsia="zh-CN"/>
              </w:rPr>
              <w:t>了</w:t>
            </w:r>
            <w:r>
              <w:rPr>
                <w:rFonts w:hint="eastAsia" w:ascii="宋体" w:hAnsi="宋体" w:eastAsia="宋体" w:cs="宋体"/>
                <w:i w:val="0"/>
                <w:iCs w:val="0"/>
                <w:color w:val="auto"/>
                <w:sz w:val="21"/>
                <w:szCs w:val="21"/>
                <w:highlight w:val="none"/>
                <w:lang w:val="zh-CN" w:eastAsia="zh-CN"/>
              </w:rPr>
              <w:t>各方共同签署的联合体协议【</w:t>
            </w:r>
            <w:r>
              <w:rPr>
                <w:rFonts w:hint="eastAsia" w:ascii="宋体" w:hAnsi="宋体" w:eastAsia="宋体" w:cs="宋体"/>
                <w:i w:val="0"/>
                <w:iCs w:val="0"/>
                <w:color w:val="auto"/>
                <w:sz w:val="21"/>
                <w:szCs w:val="21"/>
                <w:highlight w:val="none"/>
                <w:lang w:val="en-US" w:eastAsia="zh-CN"/>
              </w:rPr>
              <w:t>如允许联合体磋商的</w:t>
            </w:r>
            <w:r>
              <w:rPr>
                <w:rFonts w:hint="eastAsia" w:ascii="宋体" w:hAnsi="宋体" w:eastAsia="宋体" w:cs="宋体"/>
                <w:i w:val="0"/>
                <w:iCs w:val="0"/>
                <w:color w:val="auto"/>
                <w:sz w:val="21"/>
                <w:szCs w:val="21"/>
                <w:highlight w:val="none"/>
                <w:lang w:val="zh-CN" w:eastAsia="zh-CN"/>
              </w:rPr>
              <w:t>】</w:t>
            </w:r>
          </w:p>
        </w:tc>
        <w:tc>
          <w:tcPr>
            <w:tcW w:w="468" w:type="pct"/>
            <w:shd w:val="clear" w:color="auto" w:fill="auto"/>
            <w:vAlign w:val="center"/>
          </w:tcPr>
          <w:p w14:paraId="2C782F18">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163069B8">
            <w:pPr>
              <w:pStyle w:val="47"/>
              <w:rPr>
                <w:rFonts w:hint="eastAsia" w:ascii="宋体" w:hAnsi="宋体" w:eastAsia="宋体" w:cs="宋体"/>
                <w:i w:val="0"/>
                <w:iCs w:val="0"/>
                <w:color w:val="auto"/>
                <w:sz w:val="21"/>
                <w:szCs w:val="21"/>
                <w:highlight w:val="none"/>
                <w:lang w:val="zh-CN"/>
              </w:rPr>
            </w:pPr>
          </w:p>
        </w:tc>
      </w:tr>
      <w:tr w14:paraId="37C419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0" w:hRule="atLeast"/>
        </w:trPr>
        <w:tc>
          <w:tcPr>
            <w:tcW w:w="274" w:type="pct"/>
            <w:shd w:val="clear" w:color="auto" w:fill="auto"/>
            <w:vAlign w:val="center"/>
          </w:tcPr>
          <w:p w14:paraId="31C12A1B">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7</w:t>
            </w:r>
          </w:p>
        </w:tc>
        <w:tc>
          <w:tcPr>
            <w:tcW w:w="704" w:type="pct"/>
            <w:vAlign w:val="center"/>
          </w:tcPr>
          <w:p w14:paraId="55194F4F">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磋商保证金</w:t>
            </w:r>
          </w:p>
        </w:tc>
        <w:tc>
          <w:tcPr>
            <w:tcW w:w="2964" w:type="pct"/>
            <w:shd w:val="clear" w:color="auto" w:fill="auto"/>
            <w:vAlign w:val="center"/>
          </w:tcPr>
          <w:p w14:paraId="4803457A">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en-US" w:eastAsia="zh-CN"/>
              </w:rPr>
              <w:t>磋商文件规定应当缴纳的，供应商按磋商文件的规定缴纳磋商保证金的</w:t>
            </w:r>
          </w:p>
        </w:tc>
        <w:tc>
          <w:tcPr>
            <w:tcW w:w="468" w:type="pct"/>
            <w:shd w:val="clear" w:color="auto" w:fill="auto"/>
            <w:vAlign w:val="center"/>
          </w:tcPr>
          <w:p w14:paraId="194FF3C2">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72B823">
            <w:pPr>
              <w:pStyle w:val="47"/>
              <w:rPr>
                <w:rFonts w:hint="eastAsia" w:ascii="宋体" w:hAnsi="宋体" w:eastAsia="宋体" w:cs="宋体"/>
                <w:i w:val="0"/>
                <w:iCs w:val="0"/>
                <w:color w:val="auto"/>
                <w:sz w:val="21"/>
                <w:szCs w:val="21"/>
                <w:highlight w:val="none"/>
                <w:lang w:val="zh-CN"/>
              </w:rPr>
            </w:pPr>
          </w:p>
        </w:tc>
      </w:tr>
      <w:tr w14:paraId="30B89D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36" w:hRule="atLeast"/>
        </w:trPr>
        <w:tc>
          <w:tcPr>
            <w:tcW w:w="274" w:type="pct"/>
            <w:shd w:val="clear" w:color="auto" w:fill="auto"/>
            <w:vAlign w:val="center"/>
          </w:tcPr>
          <w:p w14:paraId="6C002E13">
            <w:pPr>
              <w:pStyle w:val="47"/>
              <w:numPr>
                <w:ilvl w:val="0"/>
                <w:numId w:val="0"/>
              </w:numPr>
              <w:ind w:left="0" w:leftChars="0" w:firstLine="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sz w:val="21"/>
                <w:szCs w:val="21"/>
                <w:highlight w:val="none"/>
                <w:lang w:val="en-US" w:eastAsia="zh-CN"/>
              </w:rPr>
              <w:t>8</w:t>
            </w:r>
          </w:p>
        </w:tc>
        <w:tc>
          <w:tcPr>
            <w:tcW w:w="704" w:type="pct"/>
            <w:vAlign w:val="center"/>
          </w:tcPr>
          <w:p w14:paraId="5C91A4A7">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响应文件的澄清、说明、补正</w:t>
            </w:r>
          </w:p>
        </w:tc>
        <w:tc>
          <w:tcPr>
            <w:tcW w:w="2964" w:type="pct"/>
            <w:shd w:val="clear" w:color="auto" w:fill="auto"/>
            <w:vAlign w:val="center"/>
          </w:tcPr>
          <w:p w14:paraId="3E6052BB">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eastAsia="zh-CN"/>
              </w:rPr>
              <w:t>评审期间,</w:t>
            </w: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按磋商小组的要求提交经授权代表签字的澄清、说明、更正且澄清、说明、更正未超出响应文件范围或</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改变</w:t>
            </w:r>
            <w:r>
              <w:rPr>
                <w:rFonts w:hint="eastAsia" w:ascii="宋体" w:hAnsi="宋体" w:eastAsia="宋体" w:cs="宋体"/>
                <w:i w:val="0"/>
                <w:iCs w:val="0"/>
                <w:color w:val="auto"/>
                <w:sz w:val="21"/>
                <w:szCs w:val="21"/>
                <w:highlight w:val="none"/>
                <w:lang w:val="en-US" w:eastAsia="zh-CN"/>
              </w:rPr>
              <w:t>响应</w:t>
            </w:r>
            <w:r>
              <w:rPr>
                <w:rFonts w:hint="eastAsia" w:ascii="宋体" w:hAnsi="宋体" w:eastAsia="宋体" w:cs="宋体"/>
                <w:i w:val="0"/>
                <w:iCs w:val="0"/>
                <w:color w:val="auto"/>
                <w:sz w:val="21"/>
                <w:szCs w:val="21"/>
                <w:highlight w:val="none"/>
                <w:lang w:val="zh-CN" w:eastAsia="zh-CN"/>
              </w:rPr>
              <w:t>文件的实质性内容</w:t>
            </w:r>
          </w:p>
        </w:tc>
        <w:tc>
          <w:tcPr>
            <w:tcW w:w="468" w:type="pct"/>
            <w:shd w:val="clear" w:color="auto" w:fill="auto"/>
            <w:vAlign w:val="center"/>
          </w:tcPr>
          <w:p w14:paraId="1EA81190">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2394B23D">
            <w:pPr>
              <w:pStyle w:val="47"/>
              <w:rPr>
                <w:rFonts w:hint="eastAsia" w:ascii="宋体" w:hAnsi="宋体" w:eastAsia="宋体" w:cs="宋体"/>
                <w:i w:val="0"/>
                <w:iCs w:val="0"/>
                <w:color w:val="auto"/>
                <w:sz w:val="21"/>
                <w:szCs w:val="21"/>
                <w:highlight w:val="none"/>
                <w:lang w:val="zh-CN"/>
              </w:rPr>
            </w:pPr>
          </w:p>
        </w:tc>
      </w:tr>
      <w:tr w14:paraId="6D40C3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94" w:hRule="atLeast"/>
        </w:trPr>
        <w:tc>
          <w:tcPr>
            <w:tcW w:w="274" w:type="pct"/>
            <w:shd w:val="clear" w:color="auto" w:fill="auto"/>
            <w:vAlign w:val="center"/>
          </w:tcPr>
          <w:p w14:paraId="09617D9C">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zh-CN" w:eastAsia="zh-CN" w:bidi="ar-SA"/>
              </w:rPr>
            </w:pPr>
            <w:r>
              <w:rPr>
                <w:rFonts w:hint="eastAsia" w:cs="宋体"/>
                <w:i w:val="0"/>
                <w:iCs w:val="0"/>
                <w:color w:val="auto"/>
                <w:kern w:val="2"/>
                <w:sz w:val="21"/>
                <w:szCs w:val="21"/>
                <w:highlight w:val="none"/>
                <w:lang w:val="en-US" w:eastAsia="zh-CN" w:bidi="ar-SA"/>
              </w:rPr>
              <w:t>9</w:t>
            </w:r>
          </w:p>
        </w:tc>
        <w:tc>
          <w:tcPr>
            <w:tcW w:w="704" w:type="pct"/>
            <w:vAlign w:val="center"/>
          </w:tcPr>
          <w:p w14:paraId="2016E93A">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供应商影响评审</w:t>
            </w:r>
          </w:p>
        </w:tc>
        <w:tc>
          <w:tcPr>
            <w:tcW w:w="2964" w:type="pct"/>
            <w:shd w:val="clear" w:color="auto" w:fill="auto"/>
            <w:vAlign w:val="center"/>
          </w:tcPr>
          <w:p w14:paraId="50B76BB4">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lang w:val="zh-CN" w:eastAsia="zh-CN"/>
              </w:rPr>
              <w:t>对采购人、采购代理机构、磋商小组及其工作人员</w:t>
            </w:r>
            <w:r>
              <w:rPr>
                <w:rFonts w:hint="eastAsia" w:ascii="宋体" w:hAnsi="宋体" w:eastAsia="宋体" w:cs="宋体"/>
                <w:i w:val="0"/>
                <w:iCs w:val="0"/>
                <w:color w:val="auto"/>
                <w:sz w:val="21"/>
                <w:szCs w:val="21"/>
                <w:highlight w:val="none"/>
                <w:lang w:val="en-US" w:eastAsia="zh-CN"/>
              </w:rPr>
              <w:t>未</w:t>
            </w:r>
            <w:r>
              <w:rPr>
                <w:rFonts w:hint="eastAsia" w:ascii="宋体" w:hAnsi="宋体" w:eastAsia="宋体" w:cs="宋体"/>
                <w:i w:val="0"/>
                <w:iCs w:val="0"/>
                <w:color w:val="auto"/>
                <w:sz w:val="21"/>
                <w:szCs w:val="21"/>
                <w:highlight w:val="none"/>
                <w:lang w:val="zh-CN" w:eastAsia="zh-CN"/>
              </w:rPr>
              <w:t>施加影响,</w:t>
            </w:r>
            <w:r>
              <w:rPr>
                <w:rFonts w:hint="eastAsia" w:ascii="宋体" w:hAnsi="宋体" w:eastAsia="宋体" w:cs="宋体"/>
                <w:i w:val="0"/>
                <w:iCs w:val="0"/>
                <w:color w:val="auto"/>
                <w:sz w:val="21"/>
                <w:szCs w:val="21"/>
                <w:highlight w:val="none"/>
                <w:lang w:val="en-US" w:eastAsia="zh-CN"/>
              </w:rPr>
              <w:t>无</w:t>
            </w:r>
            <w:r>
              <w:rPr>
                <w:rFonts w:hint="eastAsia" w:ascii="宋体" w:hAnsi="宋体" w:eastAsia="宋体" w:cs="宋体"/>
                <w:i w:val="0"/>
                <w:iCs w:val="0"/>
                <w:color w:val="auto"/>
                <w:sz w:val="21"/>
                <w:szCs w:val="21"/>
                <w:highlight w:val="none"/>
                <w:lang w:val="zh-CN" w:eastAsia="zh-CN"/>
              </w:rPr>
              <w:t>有碍公平、公正</w:t>
            </w:r>
            <w:r>
              <w:rPr>
                <w:rFonts w:hint="eastAsia" w:ascii="宋体" w:hAnsi="宋体" w:eastAsia="宋体" w:cs="宋体"/>
                <w:i w:val="0"/>
                <w:iCs w:val="0"/>
                <w:color w:val="auto"/>
                <w:sz w:val="21"/>
                <w:szCs w:val="21"/>
                <w:highlight w:val="none"/>
                <w:lang w:val="en-US" w:eastAsia="zh-CN"/>
              </w:rPr>
              <w:t>行为的</w:t>
            </w:r>
          </w:p>
        </w:tc>
        <w:tc>
          <w:tcPr>
            <w:tcW w:w="468" w:type="pct"/>
            <w:shd w:val="clear" w:color="auto" w:fill="auto"/>
            <w:vAlign w:val="center"/>
          </w:tcPr>
          <w:p w14:paraId="75DB24A7">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D6DA84C">
            <w:pPr>
              <w:pStyle w:val="47"/>
              <w:rPr>
                <w:rFonts w:hint="eastAsia" w:ascii="宋体" w:hAnsi="宋体" w:eastAsia="宋体" w:cs="宋体"/>
                <w:i w:val="0"/>
                <w:iCs w:val="0"/>
                <w:color w:val="auto"/>
                <w:sz w:val="21"/>
                <w:szCs w:val="21"/>
                <w:highlight w:val="none"/>
                <w:lang w:val="zh-CN"/>
              </w:rPr>
            </w:pPr>
          </w:p>
        </w:tc>
      </w:tr>
      <w:tr w14:paraId="35AAC1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332BD4A6">
            <w:pPr>
              <w:pStyle w:val="47"/>
              <w:numPr>
                <w:ilvl w:val="0"/>
                <w:numId w:val="0"/>
              </w:numPr>
              <w:ind w:left="420" w:leftChars="0" w:hanging="420" w:firstLineChars="0"/>
              <w:jc w:val="center"/>
              <w:rPr>
                <w:rFonts w:hint="default" w:ascii="宋体" w:hAnsi="宋体" w:eastAsia="宋体" w:cs="宋体"/>
                <w:i w:val="0"/>
                <w:iCs w:val="0"/>
                <w:color w:val="auto"/>
                <w:kern w:val="2"/>
                <w:sz w:val="21"/>
                <w:szCs w:val="21"/>
                <w:highlight w:val="none"/>
                <w:lang w:val="en-US" w:eastAsia="zh-CN" w:bidi="ar-SA"/>
              </w:rPr>
            </w:pPr>
            <w:r>
              <w:rPr>
                <w:rFonts w:hint="eastAsia" w:cs="宋体"/>
                <w:i w:val="0"/>
                <w:iCs w:val="0"/>
                <w:color w:val="auto"/>
                <w:kern w:val="2"/>
                <w:sz w:val="21"/>
                <w:szCs w:val="21"/>
                <w:highlight w:val="none"/>
                <w:lang w:val="en-US" w:eastAsia="zh-CN" w:bidi="ar-SA"/>
              </w:rPr>
              <w:t>10</w:t>
            </w:r>
          </w:p>
        </w:tc>
        <w:tc>
          <w:tcPr>
            <w:tcW w:w="704" w:type="pct"/>
            <w:vAlign w:val="center"/>
          </w:tcPr>
          <w:p w14:paraId="56EEFE7E">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附加条件</w:t>
            </w:r>
          </w:p>
        </w:tc>
        <w:tc>
          <w:tcPr>
            <w:tcW w:w="2964" w:type="pct"/>
            <w:shd w:val="clear" w:color="auto" w:fill="auto"/>
            <w:vAlign w:val="center"/>
          </w:tcPr>
          <w:p w14:paraId="618DB2FB">
            <w:pPr>
              <w:pStyle w:val="47"/>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响应文件没有采购人不能接受的附加条件的</w:t>
            </w:r>
          </w:p>
        </w:tc>
        <w:tc>
          <w:tcPr>
            <w:tcW w:w="468" w:type="pct"/>
            <w:shd w:val="clear" w:color="auto" w:fill="auto"/>
            <w:vAlign w:val="center"/>
          </w:tcPr>
          <w:p w14:paraId="36C2A679">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73E4201A">
            <w:pPr>
              <w:pStyle w:val="47"/>
              <w:rPr>
                <w:rFonts w:hint="eastAsia" w:ascii="宋体" w:hAnsi="宋体" w:eastAsia="宋体" w:cs="宋体"/>
                <w:i w:val="0"/>
                <w:iCs w:val="0"/>
                <w:color w:val="auto"/>
                <w:sz w:val="21"/>
                <w:szCs w:val="21"/>
                <w:highlight w:val="none"/>
                <w:lang w:val="zh-CN"/>
              </w:rPr>
            </w:pPr>
          </w:p>
        </w:tc>
      </w:tr>
      <w:tr w14:paraId="56775CE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3CD6AABE">
            <w:pPr>
              <w:pStyle w:val="47"/>
              <w:jc w:val="center"/>
              <w:rPr>
                <w:rFonts w:hint="default" w:ascii="宋体" w:hAnsi="宋体" w:eastAsia="宋体" w:cs="宋体"/>
                <w:color w:val="auto"/>
                <w:kern w:val="2"/>
                <w:sz w:val="21"/>
                <w:szCs w:val="21"/>
                <w:highlight w:val="none"/>
                <w:lang w:val="en-US" w:eastAsia="zh-CN" w:bidi="ar-SA"/>
              </w:rPr>
            </w:pPr>
            <w:r>
              <w:rPr>
                <w:rFonts w:hint="default" w:ascii="宋体" w:hAnsi="宋体" w:eastAsia="宋体" w:cs="宋体"/>
                <w:color w:val="auto"/>
                <w:sz w:val="21"/>
                <w:szCs w:val="21"/>
                <w:highlight w:val="none"/>
                <w:lang w:val="en-US" w:eastAsia="zh-CN"/>
              </w:rPr>
              <w:t>…</w:t>
            </w:r>
          </w:p>
        </w:tc>
        <w:tc>
          <w:tcPr>
            <w:tcW w:w="704" w:type="pct"/>
            <w:shd w:val="clear" w:color="auto" w:fill="auto"/>
            <w:vAlign w:val="center"/>
          </w:tcPr>
          <w:p w14:paraId="40726A5F">
            <w:pPr>
              <w:pStyle w:val="47"/>
              <w:jc w:val="center"/>
              <w:rPr>
                <w:rFonts w:hint="eastAsia" w:ascii="宋体" w:hAnsi="宋体" w:eastAsia="宋体" w:cs="宋体"/>
                <w:color w:val="auto"/>
                <w:kern w:val="2"/>
                <w:sz w:val="21"/>
                <w:szCs w:val="21"/>
                <w:highlight w:val="none"/>
                <w:lang w:val="zh-CN" w:eastAsia="zh-CN" w:bidi="ar-SA"/>
              </w:rPr>
            </w:pPr>
            <w:r>
              <w:rPr>
                <w:rFonts w:hint="eastAsia" w:ascii="宋体" w:hAnsi="宋体" w:eastAsia="宋体" w:cs="宋体"/>
                <w:color w:val="auto"/>
                <w:sz w:val="21"/>
                <w:szCs w:val="21"/>
                <w:highlight w:val="none"/>
                <w:lang w:val="zh-CN"/>
              </w:rPr>
              <w:t>……</w:t>
            </w:r>
          </w:p>
        </w:tc>
        <w:tc>
          <w:tcPr>
            <w:tcW w:w="2964" w:type="pct"/>
            <w:shd w:val="clear" w:color="auto" w:fill="auto"/>
            <w:vAlign w:val="center"/>
          </w:tcPr>
          <w:p w14:paraId="05CC0303">
            <w:pPr>
              <w:pStyle w:val="47"/>
              <w:rPr>
                <w:rFonts w:hint="eastAsia" w:ascii="宋体" w:hAnsi="宋体" w:eastAsia="宋体" w:cs="宋体"/>
                <w:color w:val="auto"/>
                <w:kern w:val="2"/>
                <w:sz w:val="21"/>
                <w:szCs w:val="21"/>
                <w:highlight w:val="none"/>
                <w:lang w:val="zh-CN" w:eastAsia="zh-CN" w:bidi="ar-SA"/>
              </w:rPr>
            </w:pPr>
          </w:p>
        </w:tc>
        <w:tc>
          <w:tcPr>
            <w:tcW w:w="468" w:type="pct"/>
            <w:shd w:val="clear" w:color="auto" w:fill="auto"/>
            <w:vAlign w:val="center"/>
          </w:tcPr>
          <w:p w14:paraId="3A44DE13">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5D1C94D8">
            <w:pPr>
              <w:pStyle w:val="47"/>
              <w:rPr>
                <w:rFonts w:hint="eastAsia" w:ascii="宋体" w:hAnsi="宋体" w:eastAsia="宋体" w:cs="宋体"/>
                <w:i w:val="0"/>
                <w:iCs w:val="0"/>
                <w:color w:val="auto"/>
                <w:sz w:val="21"/>
                <w:szCs w:val="21"/>
                <w:highlight w:val="none"/>
                <w:lang w:val="zh-CN"/>
              </w:rPr>
            </w:pPr>
          </w:p>
        </w:tc>
      </w:tr>
      <w:tr w14:paraId="105D0E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8" w:hRule="atLeast"/>
        </w:trPr>
        <w:tc>
          <w:tcPr>
            <w:tcW w:w="274" w:type="pct"/>
            <w:shd w:val="clear" w:color="auto" w:fill="auto"/>
            <w:vAlign w:val="center"/>
          </w:tcPr>
          <w:p w14:paraId="65992B2F">
            <w:pPr>
              <w:pStyle w:val="47"/>
              <w:numPr>
                <w:ilvl w:val="0"/>
                <w:numId w:val="0"/>
              </w:numPr>
              <w:ind w:left="420" w:leftChars="0" w:hanging="420" w:firstLineChars="0"/>
              <w:jc w:val="center"/>
              <w:rPr>
                <w:rFonts w:hint="eastAsia" w:ascii="宋体" w:hAnsi="宋体" w:eastAsia="宋体" w:cs="宋体"/>
                <w:i w:val="0"/>
                <w:iCs w:val="0"/>
                <w:color w:val="auto"/>
                <w:kern w:val="2"/>
                <w:sz w:val="21"/>
                <w:szCs w:val="21"/>
                <w:highlight w:val="none"/>
                <w:lang w:val="en-US" w:eastAsia="zh-CN" w:bidi="ar-SA"/>
              </w:rPr>
            </w:pPr>
          </w:p>
        </w:tc>
        <w:tc>
          <w:tcPr>
            <w:tcW w:w="704" w:type="pct"/>
            <w:vAlign w:val="center"/>
          </w:tcPr>
          <w:p w14:paraId="52767F5E">
            <w:pPr>
              <w:pStyle w:val="47"/>
              <w:rPr>
                <w:rFonts w:hint="eastAsia" w:ascii="宋体" w:hAnsi="宋体" w:eastAsia="宋体" w:cs="宋体"/>
                <w:i w:val="0"/>
                <w:iCs w:val="0"/>
                <w:color w:val="auto"/>
                <w:sz w:val="21"/>
                <w:szCs w:val="21"/>
                <w:highlight w:val="none"/>
                <w:lang w:val="zh-CN"/>
              </w:rPr>
            </w:pPr>
          </w:p>
        </w:tc>
        <w:tc>
          <w:tcPr>
            <w:tcW w:w="2964" w:type="pct"/>
            <w:shd w:val="clear" w:color="auto" w:fill="auto"/>
            <w:vAlign w:val="center"/>
          </w:tcPr>
          <w:p w14:paraId="018BE69C">
            <w:pPr>
              <w:pStyle w:val="47"/>
              <w:rPr>
                <w:rFonts w:hint="eastAsia" w:ascii="宋体" w:hAnsi="宋体" w:eastAsia="宋体" w:cs="宋体"/>
                <w:i w:val="0"/>
                <w:iCs w:val="0"/>
                <w:color w:val="auto"/>
                <w:sz w:val="21"/>
                <w:szCs w:val="21"/>
                <w:highlight w:val="none"/>
                <w:lang w:val="zh-CN" w:eastAsia="zh-CN"/>
              </w:rPr>
            </w:pPr>
          </w:p>
        </w:tc>
        <w:tc>
          <w:tcPr>
            <w:tcW w:w="468" w:type="pct"/>
            <w:shd w:val="clear" w:color="auto" w:fill="auto"/>
            <w:vAlign w:val="center"/>
          </w:tcPr>
          <w:p w14:paraId="4BD7EBEE">
            <w:pPr>
              <w:pStyle w:val="47"/>
              <w:rPr>
                <w:rFonts w:hint="eastAsia" w:ascii="宋体" w:hAnsi="宋体" w:eastAsia="宋体" w:cs="宋体"/>
                <w:i w:val="0"/>
                <w:iCs w:val="0"/>
                <w:color w:val="auto"/>
                <w:sz w:val="21"/>
                <w:szCs w:val="21"/>
                <w:highlight w:val="none"/>
                <w:lang w:val="zh-CN"/>
              </w:rPr>
            </w:pPr>
          </w:p>
        </w:tc>
        <w:tc>
          <w:tcPr>
            <w:tcW w:w="588" w:type="pct"/>
            <w:shd w:val="clear" w:color="auto" w:fill="auto"/>
            <w:vAlign w:val="center"/>
          </w:tcPr>
          <w:p w14:paraId="3F4076D0">
            <w:pPr>
              <w:pStyle w:val="47"/>
              <w:rPr>
                <w:rFonts w:hint="eastAsia" w:ascii="宋体" w:hAnsi="宋体" w:eastAsia="宋体" w:cs="宋体"/>
                <w:i w:val="0"/>
                <w:iCs w:val="0"/>
                <w:color w:val="auto"/>
                <w:sz w:val="21"/>
                <w:szCs w:val="21"/>
                <w:highlight w:val="none"/>
                <w:lang w:val="zh-CN"/>
              </w:rPr>
            </w:pPr>
          </w:p>
        </w:tc>
      </w:tr>
    </w:tbl>
    <w:p w14:paraId="29571BE4">
      <w:pPr>
        <w:shd w:val="clear" w:color="auto" w:fill="FFFFFF"/>
        <w:tabs>
          <w:tab w:val="left" w:pos="3045"/>
        </w:tabs>
        <w:autoSpaceDE w:val="0"/>
        <w:autoSpaceDN w:val="0"/>
        <w:adjustRightInd w:val="0"/>
        <w:snapToGrid w:val="0"/>
        <w:spacing w:line="360" w:lineRule="exact"/>
        <w:rPr>
          <w:rFonts w:hint="eastAsia" w:ascii="宋体" w:hAnsi="宋体" w:cs="宋体"/>
          <w:b/>
          <w:i w:val="0"/>
          <w:iCs w:val="0"/>
          <w:color w:val="auto"/>
          <w:sz w:val="24"/>
          <w:highlight w:val="none"/>
        </w:rPr>
      </w:pPr>
    </w:p>
    <w:p w14:paraId="3107E210">
      <w:pPr>
        <w:shd w:val="clear" w:color="auto" w:fill="FFFFFF"/>
        <w:tabs>
          <w:tab w:val="left" w:pos="3045"/>
        </w:tabs>
        <w:autoSpaceDE w:val="0"/>
        <w:autoSpaceDN w:val="0"/>
        <w:adjustRightInd w:val="0"/>
        <w:snapToGrid w:val="0"/>
        <w:spacing w:line="360" w:lineRule="exact"/>
        <w:rPr>
          <w:rFonts w:hint="eastAsia"/>
          <w:i w:val="0"/>
          <w:iCs w:val="0"/>
          <w:color w:val="auto"/>
          <w:highlight w:val="none"/>
        </w:rPr>
      </w:pPr>
      <w:r>
        <w:rPr>
          <w:rFonts w:hint="eastAsia" w:ascii="宋体" w:hAnsi="宋体" w:cs="宋体"/>
          <w:b/>
          <w:i w:val="0"/>
          <w:iCs w:val="0"/>
          <w:color w:val="auto"/>
          <w:sz w:val="24"/>
          <w:highlight w:val="none"/>
        </w:rPr>
        <w:t>符合</w:t>
      </w:r>
      <w:r>
        <w:rPr>
          <w:rFonts w:hint="eastAsia" w:ascii="宋体" w:hAnsi="宋体" w:cs="宋体"/>
          <w:b/>
          <w:i w:val="0"/>
          <w:iCs w:val="0"/>
          <w:color w:val="auto"/>
          <w:sz w:val="24"/>
          <w:highlight w:val="none"/>
          <w:lang w:eastAsia="zh-CN"/>
        </w:rPr>
        <w:t>性</w:t>
      </w:r>
      <w:r>
        <w:rPr>
          <w:rFonts w:hint="eastAsia" w:ascii="宋体" w:hAnsi="宋体" w:cs="宋体"/>
          <w:b/>
          <w:i w:val="0"/>
          <w:iCs w:val="0"/>
          <w:color w:val="auto"/>
          <w:sz w:val="24"/>
          <w:highlight w:val="none"/>
        </w:rPr>
        <w:t>检查</w:t>
      </w:r>
      <w:r>
        <w:rPr>
          <w:rFonts w:hint="eastAsia" w:cs="宋体"/>
          <w:b/>
          <w:i w:val="0"/>
          <w:iCs w:val="0"/>
          <w:color w:val="auto"/>
          <w:sz w:val="24"/>
          <w:highlight w:val="none"/>
          <w:lang w:val="en-US" w:eastAsia="zh-CN"/>
        </w:rPr>
        <w:t>-</w:t>
      </w:r>
      <w:r>
        <w:rPr>
          <w:rFonts w:hint="eastAsia" w:ascii="宋体" w:hAnsi="宋体" w:cs="宋体"/>
          <w:b/>
          <w:i w:val="0"/>
          <w:iCs w:val="0"/>
          <w:color w:val="auto"/>
          <w:sz w:val="24"/>
          <w:highlight w:val="none"/>
        </w:rPr>
        <w:t>附表</w:t>
      </w:r>
    </w:p>
    <w:p w14:paraId="4CC8C7E3">
      <w:pPr>
        <w:rPr>
          <w:rFonts w:hint="eastAsia" w:ascii="宋体" w:hAnsi="宋体" w:eastAsia="宋体" w:cs="宋体"/>
          <w:b/>
          <w:bCs/>
          <w:i w:val="0"/>
          <w:iCs w:val="0"/>
          <w:color w:val="auto"/>
          <w:kern w:val="2"/>
          <w:sz w:val="28"/>
          <w:szCs w:val="28"/>
          <w:highlight w:val="none"/>
          <w:lang w:val="zh-CN" w:eastAsia="zh-CN" w:bidi="ar-SA"/>
        </w:rPr>
      </w:pPr>
      <w:r>
        <w:rPr>
          <w:rFonts w:hint="eastAsia" w:ascii="宋体" w:hAnsi="宋体" w:eastAsia="宋体" w:cs="宋体"/>
          <w:b/>
          <w:bCs/>
          <w:i w:val="0"/>
          <w:iCs w:val="0"/>
          <w:color w:val="auto"/>
          <w:kern w:val="2"/>
          <w:sz w:val="28"/>
          <w:szCs w:val="28"/>
          <w:highlight w:val="none"/>
          <w:lang w:val="zh-CN" w:eastAsia="zh-CN" w:bidi="ar-SA"/>
        </w:rPr>
        <w:br w:type="page"/>
      </w:r>
    </w:p>
    <w:p w14:paraId="4F7CC118">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jc w:val="center"/>
        <w:textAlignment w:val="auto"/>
        <w:rPr>
          <w:rFonts w:hint="eastAsia" w:ascii="宋体" w:hAnsi="宋体" w:eastAsia="宋体" w:cs="宋体"/>
          <w:b/>
          <w:bCs/>
          <w:i w:val="0"/>
          <w:iCs w:val="0"/>
          <w:color w:val="auto"/>
          <w:kern w:val="2"/>
          <w:sz w:val="28"/>
          <w:szCs w:val="28"/>
          <w:highlight w:val="none"/>
          <w:lang w:val="zh-CN" w:eastAsia="zh-CN" w:bidi="ar-SA"/>
        </w:rPr>
      </w:pPr>
      <w:r>
        <w:rPr>
          <w:rFonts w:hint="eastAsia" w:ascii="宋体" w:hAnsi="宋体" w:eastAsia="宋体" w:cs="宋体"/>
          <w:b/>
          <w:bCs/>
          <w:i w:val="0"/>
          <w:iCs w:val="0"/>
          <w:color w:val="auto"/>
          <w:kern w:val="2"/>
          <w:sz w:val="28"/>
          <w:szCs w:val="28"/>
          <w:highlight w:val="none"/>
          <w:lang w:val="zh-CN" w:eastAsia="zh-CN" w:bidi="ar-SA"/>
        </w:rPr>
        <w:t>实质性响应一览表</w:t>
      </w:r>
    </w:p>
    <w:p w14:paraId="231F5A14">
      <w:pPr>
        <w:shd w:val="clear" w:color="auto" w:fill="FFFFFF"/>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ascii="宋体" w:hAnsi="宋体" w:cs="宋体"/>
          <w:b/>
          <w:bCs w:val="0"/>
          <w:i w:val="0"/>
          <w:iCs w:val="0"/>
          <w:color w:val="auto"/>
          <w:sz w:val="24"/>
          <w:highlight w:val="none"/>
          <w:lang w:val="en-US" w:eastAsia="zh-CN"/>
        </w:rPr>
        <w:t>响应</w:t>
      </w:r>
      <w:r>
        <w:rPr>
          <w:rFonts w:hint="eastAsia" w:ascii="宋体" w:hAnsi="宋体" w:cs="宋体"/>
          <w:b/>
          <w:bCs w:val="0"/>
          <w:i w:val="0"/>
          <w:iCs w:val="0"/>
          <w:color w:val="auto"/>
          <w:sz w:val="24"/>
          <w:highlight w:val="none"/>
        </w:rPr>
        <w:t>无效</w:t>
      </w:r>
      <w:r>
        <w:rPr>
          <w:rFonts w:hint="eastAsia" w:ascii="宋体" w:hAnsi="宋体" w:cs="宋体"/>
          <w:b w:val="0"/>
          <w:bCs/>
          <w:i w:val="0"/>
          <w:iCs w:val="0"/>
          <w:color w:val="auto"/>
          <w:sz w:val="24"/>
          <w:highlight w:val="none"/>
        </w:rPr>
        <w:t>）</w:t>
      </w:r>
    </w:p>
    <w:p w14:paraId="4F532689">
      <w:pPr>
        <w:pStyle w:val="23"/>
        <w:rPr>
          <w:rFonts w:hint="eastAsia" w:ascii="宋体" w:hAnsi="宋体" w:cs="宋体"/>
          <w:i w:val="0"/>
          <w:iCs w:val="0"/>
          <w:color w:val="auto"/>
          <w:highlight w:val="none"/>
        </w:rPr>
      </w:pPr>
    </w:p>
    <w:tbl>
      <w:tblPr>
        <w:tblStyle w:val="30"/>
        <w:tblW w:w="4809" w:type="pct"/>
        <w:tblInd w:w="-10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9"/>
        <w:gridCol w:w="2142"/>
        <w:gridCol w:w="2867"/>
        <w:gridCol w:w="1842"/>
        <w:gridCol w:w="657"/>
      </w:tblGrid>
      <w:tr w14:paraId="14042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420" w:type="pct"/>
            <w:vMerge w:val="restart"/>
            <w:vAlign w:val="center"/>
          </w:tcPr>
          <w:p w14:paraId="7974C54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序号</w:t>
            </w:r>
          </w:p>
        </w:tc>
        <w:tc>
          <w:tcPr>
            <w:tcW w:w="3055" w:type="pct"/>
            <w:gridSpan w:val="2"/>
            <w:vAlign w:val="center"/>
          </w:tcPr>
          <w:p w14:paraId="4F79053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磋商</w:t>
            </w:r>
            <w:r>
              <w:rPr>
                <w:rFonts w:hint="eastAsia" w:ascii="宋体" w:hAnsi="宋体" w:eastAsia="宋体" w:cs="宋体"/>
                <w:i w:val="0"/>
                <w:iCs w:val="0"/>
                <w:color w:val="auto"/>
                <w:sz w:val="21"/>
                <w:szCs w:val="21"/>
                <w:highlight w:val="none"/>
              </w:rPr>
              <w:t>文件要求的实质性响应内容</w:t>
            </w:r>
          </w:p>
        </w:tc>
        <w:tc>
          <w:tcPr>
            <w:tcW w:w="1123" w:type="pct"/>
            <w:vMerge w:val="restart"/>
            <w:vAlign w:val="center"/>
          </w:tcPr>
          <w:p w14:paraId="1DFD5A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供应商</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文件具体</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rPr>
              <w:t>内容</w:t>
            </w:r>
          </w:p>
        </w:tc>
        <w:tc>
          <w:tcPr>
            <w:tcW w:w="400" w:type="pct"/>
            <w:vMerge w:val="restart"/>
            <w:vAlign w:val="center"/>
          </w:tcPr>
          <w:p w14:paraId="182E982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w:t>
            </w:r>
          </w:p>
        </w:tc>
      </w:tr>
      <w:tr w14:paraId="3C4CE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420" w:type="pct"/>
            <w:vMerge w:val="continue"/>
            <w:vAlign w:val="center"/>
          </w:tcPr>
          <w:p w14:paraId="72371D4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rPr>
            </w:pPr>
          </w:p>
        </w:tc>
        <w:tc>
          <w:tcPr>
            <w:tcW w:w="1306" w:type="pct"/>
            <w:shd w:val="clear" w:color="auto" w:fill="auto"/>
            <w:vAlign w:val="center"/>
          </w:tcPr>
          <w:p w14:paraId="1BF2081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实质性要求</w:t>
            </w:r>
          </w:p>
        </w:tc>
        <w:tc>
          <w:tcPr>
            <w:tcW w:w="1748" w:type="pct"/>
            <w:shd w:val="clear" w:color="auto" w:fill="auto"/>
            <w:vAlign w:val="center"/>
          </w:tcPr>
          <w:p w14:paraId="7E16D5C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磋商文件中的规定</w:t>
            </w:r>
          </w:p>
        </w:tc>
        <w:tc>
          <w:tcPr>
            <w:tcW w:w="1123" w:type="pct"/>
            <w:vMerge w:val="continue"/>
            <w:vAlign w:val="center"/>
          </w:tcPr>
          <w:p w14:paraId="70107A50">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c>
          <w:tcPr>
            <w:tcW w:w="400" w:type="pct"/>
            <w:vMerge w:val="continue"/>
            <w:vAlign w:val="center"/>
          </w:tcPr>
          <w:p w14:paraId="34815FA2">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eastAsia="zh-CN"/>
              </w:rPr>
            </w:pPr>
          </w:p>
        </w:tc>
      </w:tr>
      <w:tr w14:paraId="64681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8" w:hRule="atLeast"/>
        </w:trPr>
        <w:tc>
          <w:tcPr>
            <w:tcW w:w="420" w:type="pct"/>
            <w:vAlign w:val="center"/>
          </w:tcPr>
          <w:p w14:paraId="1D030E8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p>
        </w:tc>
        <w:tc>
          <w:tcPr>
            <w:tcW w:w="1306" w:type="pct"/>
            <w:vAlign w:val="center"/>
          </w:tcPr>
          <w:p w14:paraId="2AE01BE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响应文件</w:t>
            </w:r>
            <w:r>
              <w:rPr>
                <w:rFonts w:hint="eastAsia" w:ascii="宋体" w:hAnsi="宋体" w:eastAsia="宋体" w:cs="宋体"/>
                <w:i w:val="0"/>
                <w:iCs w:val="0"/>
                <w:color w:val="auto"/>
                <w:sz w:val="21"/>
                <w:szCs w:val="21"/>
                <w:highlight w:val="none"/>
              </w:rPr>
              <w:t>有效期</w:t>
            </w:r>
          </w:p>
        </w:tc>
        <w:tc>
          <w:tcPr>
            <w:tcW w:w="1748" w:type="pct"/>
            <w:vAlign w:val="center"/>
          </w:tcPr>
          <w:p w14:paraId="27457AC5">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（磋商文件关于响应文件有效期的规定）</w:t>
            </w:r>
          </w:p>
        </w:tc>
        <w:tc>
          <w:tcPr>
            <w:tcW w:w="1123" w:type="pct"/>
            <w:vAlign w:val="center"/>
          </w:tcPr>
          <w:p w14:paraId="1B8FC55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eastAsia="zh-CN"/>
              </w:rPr>
              <w:t>【</w:t>
            </w:r>
            <w:r>
              <w:rPr>
                <w:rFonts w:hint="eastAsia" w:ascii="宋体" w:hAnsi="宋体" w:eastAsia="宋体" w:cs="宋体"/>
                <w:i w:val="0"/>
                <w:iCs w:val="0"/>
                <w:color w:val="auto"/>
                <w:sz w:val="21"/>
                <w:szCs w:val="21"/>
                <w:highlight w:val="none"/>
                <w:lang w:val="en-US" w:eastAsia="zh-CN"/>
              </w:rPr>
              <w:t>供应商在</w:t>
            </w:r>
            <w:r>
              <w:rPr>
                <w:rFonts w:hint="eastAsia" w:ascii="宋体" w:hAnsi="宋体" w:eastAsia="宋体" w:cs="宋体"/>
                <w:i w:val="0"/>
                <w:iCs w:val="0"/>
                <w:color w:val="auto"/>
                <w:sz w:val="21"/>
                <w:szCs w:val="21"/>
                <w:highlight w:val="none"/>
              </w:rPr>
              <w:t>此处填写</w:t>
            </w:r>
            <w:r>
              <w:rPr>
                <w:rFonts w:hint="eastAsia" w:ascii="宋体" w:hAnsi="宋体" w:eastAsia="宋体" w:cs="宋体"/>
                <w:i w:val="0"/>
                <w:iCs w:val="0"/>
                <w:color w:val="auto"/>
                <w:sz w:val="21"/>
                <w:szCs w:val="21"/>
                <w:highlight w:val="none"/>
                <w:lang w:eastAsia="zh-CN"/>
              </w:rPr>
              <w:t>响应</w:t>
            </w:r>
            <w:r>
              <w:rPr>
                <w:rFonts w:hint="eastAsia" w:ascii="宋体" w:hAnsi="宋体" w:eastAsia="宋体" w:cs="宋体"/>
                <w:i w:val="0"/>
                <w:iCs w:val="0"/>
                <w:color w:val="auto"/>
                <w:sz w:val="21"/>
                <w:szCs w:val="21"/>
                <w:highlight w:val="none"/>
                <w:lang w:val="en-US" w:eastAsia="zh-CN"/>
              </w:rPr>
              <w:t>文件的相关内容</w:t>
            </w:r>
            <w:r>
              <w:rPr>
                <w:rFonts w:hint="eastAsia" w:ascii="宋体" w:hAnsi="宋体" w:eastAsia="宋体" w:cs="宋体"/>
                <w:i w:val="0"/>
                <w:iCs w:val="0"/>
                <w:color w:val="auto"/>
                <w:sz w:val="21"/>
                <w:szCs w:val="21"/>
                <w:highlight w:val="none"/>
                <w:lang w:eastAsia="zh-CN"/>
              </w:rPr>
              <w:t>】</w:t>
            </w:r>
          </w:p>
        </w:tc>
        <w:tc>
          <w:tcPr>
            <w:tcW w:w="400" w:type="pct"/>
            <w:vAlign w:val="center"/>
          </w:tcPr>
          <w:p w14:paraId="7AC04232">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160B5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0" w:type="pct"/>
            <w:vAlign w:val="center"/>
          </w:tcPr>
          <w:p w14:paraId="501E13E9">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w:t>
            </w:r>
          </w:p>
        </w:tc>
        <w:tc>
          <w:tcPr>
            <w:tcW w:w="1306" w:type="pct"/>
            <w:vAlign w:val="center"/>
          </w:tcPr>
          <w:p w14:paraId="65BB59B1">
            <w:pPr>
              <w:spacing w:line="360" w:lineRule="exact"/>
              <w:jc w:val="center"/>
              <w:rPr>
                <w:rFonts w:hint="eastAsia" w:ascii="宋体" w:hAnsi="宋体" w:eastAsia="宋体" w:cs="宋体"/>
                <w:i w:val="0"/>
                <w:iCs w:val="0"/>
                <w:color w:val="auto"/>
                <w:sz w:val="21"/>
                <w:szCs w:val="21"/>
                <w:highlight w:val="none"/>
              </w:rPr>
            </w:pPr>
            <w:r>
              <w:rPr>
                <w:rFonts w:hint="eastAsia" w:cs="宋体"/>
                <w:color w:val="000000"/>
                <w:sz w:val="21"/>
                <w:szCs w:val="21"/>
              </w:rPr>
              <w:t>交付（实施）的时间（期限）</w:t>
            </w:r>
          </w:p>
        </w:tc>
        <w:tc>
          <w:tcPr>
            <w:tcW w:w="1748" w:type="pct"/>
            <w:vAlign w:val="center"/>
          </w:tcPr>
          <w:p w14:paraId="0AAF3A88">
            <w:pPr>
              <w:spacing w:line="360" w:lineRule="exact"/>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文件“第三章采购需求”关于交付（实施）的时间（期限）的规定</w:t>
            </w:r>
          </w:p>
        </w:tc>
        <w:tc>
          <w:tcPr>
            <w:tcW w:w="1123" w:type="pct"/>
            <w:vAlign w:val="center"/>
          </w:tcPr>
          <w:p w14:paraId="0ED460E3">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79B8A0D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CBBF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0" w:type="pct"/>
            <w:vAlign w:val="center"/>
          </w:tcPr>
          <w:p w14:paraId="28CC6CFE">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3</w:t>
            </w:r>
          </w:p>
        </w:tc>
        <w:tc>
          <w:tcPr>
            <w:tcW w:w="1306" w:type="pct"/>
            <w:vAlign w:val="center"/>
          </w:tcPr>
          <w:p w14:paraId="1C9AFC62">
            <w:pPr>
              <w:spacing w:line="360" w:lineRule="exact"/>
              <w:jc w:val="center"/>
              <w:rPr>
                <w:rFonts w:hint="eastAsia" w:ascii="宋体" w:hAnsi="宋体" w:eastAsia="宋体" w:cs="宋体"/>
                <w:i w:val="0"/>
                <w:iCs w:val="0"/>
                <w:color w:val="auto"/>
                <w:kern w:val="2"/>
                <w:sz w:val="21"/>
                <w:szCs w:val="21"/>
                <w:highlight w:val="none"/>
                <w:lang w:val="en-US" w:eastAsia="zh-CN" w:bidi="ar-SA"/>
              </w:rPr>
            </w:pPr>
            <w:r>
              <w:rPr>
                <w:rFonts w:hint="eastAsia" w:cs="宋体"/>
                <w:color w:val="000000"/>
                <w:sz w:val="21"/>
                <w:szCs w:val="21"/>
              </w:rPr>
              <w:t>交付（实施）地点（范围）</w:t>
            </w:r>
          </w:p>
        </w:tc>
        <w:tc>
          <w:tcPr>
            <w:tcW w:w="1748" w:type="pct"/>
            <w:vAlign w:val="center"/>
          </w:tcPr>
          <w:p w14:paraId="46223A2E">
            <w:pPr>
              <w:spacing w:line="360" w:lineRule="exact"/>
              <w:rPr>
                <w:rFonts w:hint="eastAsia" w:ascii="宋体" w:hAnsi="宋体" w:eastAsia="宋体" w:cs="宋体"/>
                <w:i w:val="0"/>
                <w:iCs w:val="0"/>
                <w:color w:val="auto"/>
                <w:kern w:val="0"/>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文件“第三章采购需求”关于交付（实施）地点（范围）的规定</w:t>
            </w:r>
          </w:p>
        </w:tc>
        <w:tc>
          <w:tcPr>
            <w:tcW w:w="1123" w:type="pct"/>
            <w:vAlign w:val="center"/>
          </w:tcPr>
          <w:p w14:paraId="5A56FEBE">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135B649A">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F3F7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0" w:type="pct"/>
            <w:vAlign w:val="center"/>
          </w:tcPr>
          <w:p w14:paraId="3FE9665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4</w:t>
            </w:r>
          </w:p>
        </w:tc>
        <w:tc>
          <w:tcPr>
            <w:tcW w:w="1306" w:type="pct"/>
            <w:vAlign w:val="center"/>
          </w:tcPr>
          <w:p w14:paraId="66957625">
            <w:pPr>
              <w:spacing w:line="360" w:lineRule="exact"/>
              <w:jc w:val="center"/>
              <w:rPr>
                <w:rFonts w:hint="eastAsia" w:ascii="宋体" w:hAnsi="宋体" w:eastAsia="宋体" w:cs="宋体"/>
                <w:i w:val="0"/>
                <w:iCs w:val="0"/>
                <w:color w:val="auto"/>
                <w:kern w:val="2"/>
                <w:sz w:val="21"/>
                <w:szCs w:val="21"/>
                <w:highlight w:val="none"/>
                <w:lang w:val="en-US" w:eastAsia="zh-CN" w:bidi="ar-SA"/>
              </w:rPr>
            </w:pPr>
            <w:r>
              <w:rPr>
                <w:rFonts w:hint="eastAsia" w:cs="宋体"/>
                <w:color w:val="000000"/>
                <w:sz w:val="21"/>
                <w:szCs w:val="21"/>
              </w:rPr>
              <w:t>付款条件（进度和方式）</w:t>
            </w:r>
          </w:p>
        </w:tc>
        <w:tc>
          <w:tcPr>
            <w:tcW w:w="1748" w:type="pct"/>
            <w:vAlign w:val="center"/>
          </w:tcPr>
          <w:p w14:paraId="5FCDF232">
            <w:pPr>
              <w:spacing w:line="360" w:lineRule="exact"/>
              <w:rPr>
                <w:rFonts w:hint="eastAsia" w:ascii="宋体" w:hAnsi="宋体" w:eastAsia="宋体" w:cs="宋体"/>
                <w:i w:val="0"/>
                <w:iCs w:val="0"/>
                <w:color w:val="auto"/>
                <w:kern w:val="2"/>
                <w:sz w:val="21"/>
                <w:szCs w:val="21"/>
                <w:highlight w:val="none"/>
                <w:lang w:val="en-US" w:eastAsia="zh-CN" w:bidi="ar-SA"/>
              </w:rPr>
            </w:pPr>
            <w:r>
              <w:rPr>
                <w:rFonts w:hint="eastAsia" w:ascii="宋体" w:hAnsi="宋体" w:eastAsia="宋体" w:cs="宋体"/>
                <w:i w:val="0"/>
                <w:iCs w:val="0"/>
                <w:color w:val="auto"/>
                <w:sz w:val="21"/>
                <w:szCs w:val="21"/>
                <w:highlight w:val="none"/>
                <w:lang w:val="en-US" w:eastAsia="zh-CN"/>
              </w:rPr>
              <w:t>磋商</w:t>
            </w:r>
            <w:r>
              <w:rPr>
                <w:rFonts w:hint="eastAsia" w:cs="宋体"/>
                <w:color w:val="000000"/>
                <w:sz w:val="21"/>
                <w:szCs w:val="21"/>
              </w:rPr>
              <w:t>文件“第三章采购需求”关于付款条件（进度和方式）的规定</w:t>
            </w:r>
          </w:p>
        </w:tc>
        <w:tc>
          <w:tcPr>
            <w:tcW w:w="1123" w:type="pct"/>
            <w:vAlign w:val="center"/>
          </w:tcPr>
          <w:p w14:paraId="56E63EAD">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3CC63F8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2BAD1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6" w:hRule="atLeast"/>
        </w:trPr>
        <w:tc>
          <w:tcPr>
            <w:tcW w:w="420" w:type="pct"/>
            <w:vAlign w:val="center"/>
          </w:tcPr>
          <w:p w14:paraId="727A18F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5</w:t>
            </w:r>
          </w:p>
        </w:tc>
        <w:tc>
          <w:tcPr>
            <w:tcW w:w="1306" w:type="pct"/>
            <w:vAlign w:val="center"/>
          </w:tcPr>
          <w:p w14:paraId="20EF89DA">
            <w:pPr>
              <w:spacing w:line="360" w:lineRule="exact"/>
              <w:jc w:val="center"/>
              <w:rPr>
                <w:rFonts w:hint="eastAsia" w:ascii="宋体" w:hAnsi="宋体" w:eastAsia="宋体" w:cs="宋体"/>
                <w:i w:val="0"/>
                <w:iCs w:val="0"/>
                <w:color w:val="auto"/>
                <w:sz w:val="21"/>
                <w:szCs w:val="21"/>
                <w:highlight w:val="none"/>
                <w:lang w:val="en-US" w:eastAsia="zh-CN"/>
              </w:rPr>
            </w:pPr>
            <w:r>
              <w:rPr>
                <w:rFonts w:hint="eastAsia" w:cs="宋体"/>
                <w:color w:val="000000"/>
                <w:sz w:val="21"/>
                <w:szCs w:val="21"/>
                <w:lang w:val="zh-CN"/>
              </w:rPr>
              <w:t>“★”号的实质性条款（或指标）</w:t>
            </w:r>
          </w:p>
        </w:tc>
        <w:tc>
          <w:tcPr>
            <w:tcW w:w="1748" w:type="pct"/>
            <w:vAlign w:val="center"/>
          </w:tcPr>
          <w:p w14:paraId="2C049B56">
            <w:pPr>
              <w:spacing w:line="360" w:lineRule="exact"/>
              <w:rPr>
                <w:rFonts w:hint="eastAsia" w:ascii="宋体" w:hAnsi="宋体" w:eastAsia="宋体" w:cs="宋体"/>
                <w:i w:val="0"/>
                <w:iCs w:val="0"/>
                <w:color w:val="auto"/>
                <w:sz w:val="21"/>
                <w:szCs w:val="21"/>
                <w:highlight w:val="none"/>
                <w:lang w:val="en-US" w:eastAsia="zh-CN"/>
              </w:rPr>
            </w:pPr>
            <w:r>
              <w:rPr>
                <w:rFonts w:hint="eastAsia" w:cs="宋体"/>
                <w:color w:val="000000"/>
                <w:sz w:val="21"/>
                <w:szCs w:val="21"/>
                <w:lang w:val="en-US" w:eastAsia="zh-CN"/>
              </w:rPr>
              <w:t>如有，</w:t>
            </w:r>
            <w:r>
              <w:rPr>
                <w:rFonts w:hint="eastAsia" w:cs="宋体"/>
                <w:color w:val="000000"/>
                <w:sz w:val="21"/>
                <w:szCs w:val="21"/>
              </w:rPr>
              <w:t>详见第三章 项目采购需求，供应商在编制响应表时可按照顺序自行向下扩列</w:t>
            </w:r>
          </w:p>
        </w:tc>
        <w:tc>
          <w:tcPr>
            <w:tcW w:w="1123" w:type="pct"/>
            <w:vAlign w:val="center"/>
          </w:tcPr>
          <w:p w14:paraId="419B9AA0">
            <w:pPr>
              <w:spacing w:line="360" w:lineRule="exact"/>
              <w:jc w:val="center"/>
              <w:rPr>
                <w:rFonts w:hint="eastAsia" w:ascii="宋体" w:hAnsi="宋体" w:eastAsia="宋体" w:cs="宋体"/>
                <w:i w:val="0"/>
                <w:iCs w:val="0"/>
                <w:color w:val="auto"/>
                <w:sz w:val="21"/>
                <w:szCs w:val="21"/>
                <w:highlight w:val="none"/>
              </w:rPr>
            </w:pPr>
          </w:p>
        </w:tc>
        <w:tc>
          <w:tcPr>
            <w:tcW w:w="400" w:type="pct"/>
            <w:vAlign w:val="center"/>
          </w:tcPr>
          <w:p w14:paraId="5A561DC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578D3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420" w:type="pct"/>
            <w:vAlign w:val="center"/>
          </w:tcPr>
          <w:p w14:paraId="1BF7767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6</w:t>
            </w:r>
          </w:p>
        </w:tc>
        <w:tc>
          <w:tcPr>
            <w:tcW w:w="1306" w:type="pct"/>
            <w:vAlign w:val="center"/>
          </w:tcPr>
          <w:p w14:paraId="744B405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zh-CN"/>
              </w:rPr>
              <w:t>……</w:t>
            </w:r>
          </w:p>
        </w:tc>
        <w:tc>
          <w:tcPr>
            <w:tcW w:w="1748" w:type="pct"/>
            <w:vAlign w:val="center"/>
          </w:tcPr>
          <w:p w14:paraId="1E3501D9">
            <w:pPr>
              <w:keepNext w:val="0"/>
              <w:keepLines w:val="0"/>
              <w:pageBreakBefore w:val="0"/>
              <w:widowControl w:val="0"/>
              <w:shd w:val="clear" w:color="auto" w:fill="FFFFFF"/>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rPr>
            </w:pPr>
          </w:p>
        </w:tc>
        <w:tc>
          <w:tcPr>
            <w:tcW w:w="1123" w:type="pct"/>
            <w:vAlign w:val="center"/>
          </w:tcPr>
          <w:p w14:paraId="2A85F15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61702B2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651E9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9" w:hRule="atLeast"/>
        </w:trPr>
        <w:tc>
          <w:tcPr>
            <w:tcW w:w="420" w:type="pct"/>
            <w:vAlign w:val="center"/>
          </w:tcPr>
          <w:p w14:paraId="259529F3">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7</w:t>
            </w:r>
          </w:p>
        </w:tc>
        <w:tc>
          <w:tcPr>
            <w:tcW w:w="1306" w:type="pct"/>
            <w:vAlign w:val="center"/>
          </w:tcPr>
          <w:p w14:paraId="3D20E21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zh-CN"/>
              </w:rPr>
              <w:t>……</w:t>
            </w:r>
          </w:p>
        </w:tc>
        <w:tc>
          <w:tcPr>
            <w:tcW w:w="1748" w:type="pct"/>
            <w:vAlign w:val="center"/>
          </w:tcPr>
          <w:p w14:paraId="535CE24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rPr>
            </w:pPr>
          </w:p>
        </w:tc>
        <w:tc>
          <w:tcPr>
            <w:tcW w:w="1123" w:type="pct"/>
            <w:vAlign w:val="center"/>
          </w:tcPr>
          <w:p w14:paraId="47072BF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1818304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r w14:paraId="38E11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9" w:hRule="atLeast"/>
        </w:trPr>
        <w:tc>
          <w:tcPr>
            <w:tcW w:w="420" w:type="pct"/>
            <w:vAlign w:val="center"/>
          </w:tcPr>
          <w:p w14:paraId="6E25679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1"/>
                <w:szCs w:val="21"/>
                <w:highlight w:val="none"/>
                <w:lang w:val="en-US" w:eastAsia="zh-CN"/>
              </w:rPr>
            </w:pPr>
          </w:p>
        </w:tc>
        <w:tc>
          <w:tcPr>
            <w:tcW w:w="1306" w:type="pct"/>
            <w:shd w:val="clear" w:color="auto" w:fill="auto"/>
            <w:vAlign w:val="center"/>
          </w:tcPr>
          <w:p w14:paraId="5982B57A">
            <w:pPr>
              <w:pStyle w:val="47"/>
              <w:rPr>
                <w:rFonts w:hint="eastAsia" w:ascii="宋体" w:hAnsi="宋体" w:eastAsia="宋体" w:cs="宋体"/>
                <w:i w:val="0"/>
                <w:iCs w:val="0"/>
                <w:color w:val="auto"/>
                <w:kern w:val="2"/>
                <w:sz w:val="21"/>
                <w:szCs w:val="21"/>
                <w:highlight w:val="none"/>
                <w:lang w:val="zh-CN" w:eastAsia="zh-CN" w:bidi="ar-SA"/>
              </w:rPr>
            </w:pPr>
            <w:r>
              <w:rPr>
                <w:rFonts w:hint="eastAsia" w:ascii="宋体" w:hAnsi="宋体" w:eastAsia="宋体" w:cs="宋体"/>
                <w:i w:val="0"/>
                <w:iCs w:val="0"/>
                <w:color w:val="auto"/>
                <w:sz w:val="21"/>
                <w:szCs w:val="21"/>
                <w:highlight w:val="none"/>
                <w:lang w:val="zh-CN"/>
              </w:rPr>
              <w:t>……</w:t>
            </w:r>
          </w:p>
        </w:tc>
        <w:tc>
          <w:tcPr>
            <w:tcW w:w="1748" w:type="pct"/>
            <w:vAlign w:val="center"/>
          </w:tcPr>
          <w:p w14:paraId="70F27D87">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eastAsia="宋体" w:cs="宋体"/>
                <w:i w:val="0"/>
                <w:iCs w:val="0"/>
                <w:color w:val="auto"/>
                <w:sz w:val="21"/>
                <w:szCs w:val="21"/>
                <w:highlight w:val="none"/>
                <w:lang w:eastAsia="zh-CN"/>
              </w:rPr>
            </w:pPr>
          </w:p>
        </w:tc>
        <w:tc>
          <w:tcPr>
            <w:tcW w:w="1123" w:type="pct"/>
            <w:vAlign w:val="center"/>
          </w:tcPr>
          <w:p w14:paraId="479DF9B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c>
          <w:tcPr>
            <w:tcW w:w="400" w:type="pct"/>
            <w:vAlign w:val="center"/>
          </w:tcPr>
          <w:p w14:paraId="4938D177">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eastAsia="宋体" w:cs="宋体"/>
                <w:i w:val="0"/>
                <w:iCs w:val="0"/>
                <w:color w:val="auto"/>
                <w:sz w:val="21"/>
                <w:szCs w:val="21"/>
                <w:highlight w:val="none"/>
              </w:rPr>
            </w:pPr>
          </w:p>
        </w:tc>
      </w:tr>
    </w:tbl>
    <w:p w14:paraId="304718B0">
      <w:pPr>
        <w:pStyle w:val="23"/>
        <w:rPr>
          <w:rFonts w:hint="eastAsia" w:ascii="宋体" w:hAnsi="宋体" w:cs="宋体"/>
          <w:i w:val="0"/>
          <w:iCs w:val="0"/>
          <w:color w:val="auto"/>
          <w:highlight w:val="none"/>
        </w:rPr>
      </w:pPr>
    </w:p>
    <w:p w14:paraId="2DE71E35">
      <w:pPr>
        <w:pStyle w:val="7"/>
        <w:keepNext/>
        <w:keepLines/>
        <w:pageBreakBefore w:val="0"/>
        <w:widowControl w:val="0"/>
        <w:numPr>
          <w:ilvl w:val="0"/>
          <w:numId w:val="0"/>
        </w:numPr>
        <w:kinsoku/>
        <w:wordWrap/>
        <w:overflowPunct/>
        <w:topLinePunct w:val="0"/>
        <w:autoSpaceDE/>
        <w:autoSpaceDN/>
        <w:bidi w:val="0"/>
        <w:adjustRightInd/>
        <w:snapToGrid/>
        <w:spacing w:before="20" w:after="20" w:line="240" w:lineRule="auto"/>
        <w:ind w:left="0" w:leftChars="0" w:hanging="420" w:firstLineChars="0"/>
        <w:textAlignment w:val="auto"/>
        <w:rPr>
          <w:rFonts w:hint="eastAsia"/>
          <w:b/>
          <w:bCs/>
          <w:i w:val="0"/>
          <w:iCs w:val="0"/>
          <w:color w:val="auto"/>
          <w:sz w:val="24"/>
          <w:szCs w:val="24"/>
          <w:highlight w:val="none"/>
          <w:lang w:val="en-US" w:eastAsia="zh-CN"/>
        </w:rPr>
      </w:pPr>
    </w:p>
    <w:p w14:paraId="1EF80FE5">
      <w:pPr>
        <w:pStyle w:val="7"/>
        <w:keepNext/>
        <w:keepLines/>
        <w:pageBreakBefore w:val="0"/>
        <w:widowControl w:val="0"/>
        <w:numPr>
          <w:ilvl w:val="0"/>
          <w:numId w:val="0"/>
        </w:numPr>
        <w:kinsoku/>
        <w:wordWrap/>
        <w:overflowPunct/>
        <w:topLinePunct w:val="0"/>
        <w:autoSpaceDE/>
        <w:autoSpaceDN/>
        <w:bidi w:val="0"/>
        <w:adjustRightInd/>
        <w:snapToGrid/>
        <w:spacing w:before="20" w:after="20" w:line="240" w:lineRule="auto"/>
        <w:ind w:left="367" w:leftChars="87" w:hanging="158" w:hangingChars="75"/>
        <w:textAlignment w:val="auto"/>
        <w:rPr>
          <w:rFonts w:hint="eastAsia" w:ascii="宋体" w:hAnsi="宋体" w:eastAsia="宋体" w:cs="宋体"/>
          <w:b/>
          <w:bCs/>
          <w:i w:val="0"/>
          <w:iCs w:val="0"/>
          <w:color w:val="auto"/>
          <w:kern w:val="2"/>
          <w:sz w:val="21"/>
          <w:szCs w:val="21"/>
          <w:highlight w:val="none"/>
          <w:lang w:val="en-US" w:eastAsia="zh-CN" w:bidi="ar-SA"/>
        </w:rPr>
      </w:pPr>
      <w:r>
        <w:rPr>
          <w:rFonts w:hint="eastAsia"/>
          <w:b/>
          <w:bCs/>
          <w:i w:val="0"/>
          <w:iCs w:val="0"/>
          <w:color w:val="auto"/>
          <w:sz w:val="21"/>
          <w:szCs w:val="21"/>
          <w:highlight w:val="none"/>
          <w:lang w:val="en-US" w:eastAsia="zh-CN"/>
        </w:rPr>
        <w:t>注：“实质性响应一览表”中的内容为参考，可根据项目情况自行设置。</w:t>
      </w:r>
    </w:p>
    <w:p w14:paraId="392483E7">
      <w:pPr>
        <w:rPr>
          <w:rFonts w:hint="eastAsia"/>
          <w:i w:val="0"/>
          <w:iCs w:val="0"/>
          <w:color w:val="auto"/>
          <w:highlight w:val="none"/>
          <w:lang w:val="en-US" w:eastAsia="zh-CN"/>
        </w:rPr>
      </w:pPr>
    </w:p>
    <w:p w14:paraId="10759ABD">
      <w:pPr>
        <w:rPr>
          <w:rFonts w:hint="eastAsia"/>
          <w:i w:val="0"/>
          <w:iCs w:val="0"/>
          <w:color w:val="auto"/>
          <w:highlight w:val="none"/>
          <w:lang w:val="en-US" w:eastAsia="zh-CN"/>
        </w:rPr>
      </w:pPr>
    </w:p>
    <w:p w14:paraId="3D420025">
      <w:pPr>
        <w:pStyle w:val="7"/>
        <w:keepNext w:val="0"/>
        <w:keepLines w:val="0"/>
        <w:pageBreakBefore w:val="0"/>
        <w:widowControl w:val="0"/>
        <w:numPr>
          <w:ilvl w:val="0"/>
          <w:numId w:val="0"/>
        </w:numPr>
        <w:kinsoku/>
        <w:wordWrap/>
        <w:overflowPunct/>
        <w:topLinePunct w:val="0"/>
        <w:autoSpaceDE/>
        <w:autoSpaceDN/>
        <w:bidi w:val="0"/>
        <w:adjustRightInd/>
        <w:snapToGrid/>
        <w:spacing w:before="160" w:after="160" w:line="36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zh-CN" w:eastAsia="zh-CN" w:bidi="ar-SA"/>
        </w:rPr>
      </w:pPr>
      <w:r>
        <w:rPr>
          <w:rFonts w:hint="eastAsia" w:ascii="宋体" w:hAnsi="宋体" w:eastAsia="宋体" w:cs="宋体"/>
          <w:b/>
          <w:bCs/>
          <w:i w:val="0"/>
          <w:iCs w:val="0"/>
          <w:color w:val="auto"/>
          <w:kern w:val="2"/>
          <w:sz w:val="24"/>
          <w:szCs w:val="24"/>
          <w:highlight w:val="none"/>
          <w:lang w:val="en-US" w:eastAsia="zh-CN" w:bidi="ar-SA"/>
        </w:rPr>
        <w:t>（三）</w:t>
      </w:r>
      <w:r>
        <w:rPr>
          <w:rFonts w:hint="eastAsia" w:ascii="宋体" w:hAnsi="宋体" w:eastAsia="宋体" w:cs="宋体"/>
          <w:b/>
          <w:bCs/>
          <w:i w:val="0"/>
          <w:iCs w:val="0"/>
          <w:color w:val="auto"/>
          <w:kern w:val="2"/>
          <w:sz w:val="24"/>
          <w:szCs w:val="24"/>
          <w:highlight w:val="none"/>
          <w:lang w:val="zh-CN" w:eastAsia="zh-CN" w:bidi="ar-SA"/>
        </w:rPr>
        <w:t>评分标准</w:t>
      </w:r>
      <w:bookmarkEnd w:id="459"/>
    </w:p>
    <w:p w14:paraId="06EEC6BD">
      <w:pPr>
        <w:rPr>
          <w:rFonts w:hint="default"/>
          <w:i w:val="0"/>
          <w:iCs w:val="0"/>
          <w:color w:val="auto"/>
          <w:sz w:val="21"/>
          <w:szCs w:val="21"/>
          <w:highlight w:val="none"/>
          <w:lang w:val="en-US" w:eastAsia="zh-CN"/>
        </w:rPr>
      </w:pPr>
      <w:r>
        <w:rPr>
          <w:rFonts w:hint="eastAsia"/>
          <w:i w:val="0"/>
          <w:iCs w:val="0"/>
          <w:color w:val="auto"/>
          <w:sz w:val="21"/>
          <w:szCs w:val="21"/>
          <w:highlight w:val="none"/>
          <w:lang w:val="en-US" w:eastAsia="zh-CN"/>
        </w:rPr>
        <w:t>注：以下评标分项根据项目实际情况可自行设置。</w:t>
      </w:r>
    </w:p>
    <w:tbl>
      <w:tblPr>
        <w:tblStyle w:val="30"/>
        <w:tblW w:w="504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4"/>
        <w:gridCol w:w="1441"/>
        <w:gridCol w:w="1366"/>
        <w:gridCol w:w="5076"/>
      </w:tblGrid>
      <w:tr w14:paraId="5175C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blHeader/>
          <w:jc w:val="center"/>
        </w:trPr>
        <w:tc>
          <w:tcPr>
            <w:tcW w:w="415" w:type="pct"/>
            <w:shd w:val="clear" w:color="auto" w:fill="D8D8D8"/>
            <w:vAlign w:val="center"/>
          </w:tcPr>
          <w:p w14:paraId="4924CA4E">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评标项目</w:t>
            </w:r>
          </w:p>
        </w:tc>
        <w:tc>
          <w:tcPr>
            <w:tcW w:w="838" w:type="pct"/>
            <w:shd w:val="clear" w:color="auto" w:fill="D8D8D8"/>
            <w:vAlign w:val="center"/>
          </w:tcPr>
          <w:p w14:paraId="7A3DCB70">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评标分项</w:t>
            </w:r>
          </w:p>
        </w:tc>
        <w:tc>
          <w:tcPr>
            <w:tcW w:w="794" w:type="pct"/>
            <w:shd w:val="clear" w:color="auto" w:fill="D8D8D8"/>
            <w:vAlign w:val="center"/>
          </w:tcPr>
          <w:p w14:paraId="65B86E0D">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分值</w:t>
            </w:r>
          </w:p>
        </w:tc>
        <w:tc>
          <w:tcPr>
            <w:tcW w:w="2951" w:type="pct"/>
            <w:shd w:val="clear" w:color="auto" w:fill="D8D8D8"/>
            <w:vAlign w:val="center"/>
          </w:tcPr>
          <w:p w14:paraId="467A385D">
            <w:pPr>
              <w:pStyle w:val="47"/>
              <w:jc w:val="center"/>
              <w:rPr>
                <w:rFonts w:hint="eastAsia" w:ascii="宋体" w:hAnsi="宋体" w:eastAsia="宋体" w:cs="宋体"/>
                <w:b/>
                <w:bCs/>
                <w:i w:val="0"/>
                <w:iCs w:val="0"/>
                <w:color w:val="auto"/>
                <w:sz w:val="21"/>
                <w:szCs w:val="21"/>
                <w:highlight w:val="none"/>
              </w:rPr>
            </w:pPr>
            <w:r>
              <w:rPr>
                <w:rFonts w:hint="eastAsia" w:ascii="宋体" w:hAnsi="宋体" w:eastAsia="宋体" w:cs="宋体"/>
                <w:b/>
                <w:bCs/>
                <w:i w:val="0"/>
                <w:iCs w:val="0"/>
                <w:color w:val="auto"/>
                <w:sz w:val="21"/>
                <w:szCs w:val="21"/>
                <w:highlight w:val="none"/>
              </w:rPr>
              <w:t>子项目及分值</w:t>
            </w:r>
          </w:p>
        </w:tc>
      </w:tr>
      <w:tr w14:paraId="1599F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415" w:type="pct"/>
            <w:vAlign w:val="center"/>
          </w:tcPr>
          <w:p w14:paraId="3C480381">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价格部分</w:t>
            </w:r>
          </w:p>
          <w:p w14:paraId="375F38AD">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10</w:t>
            </w:r>
            <w:r>
              <w:rPr>
                <w:rFonts w:hint="eastAsia" w:ascii="宋体" w:hAnsi="宋体" w:eastAsia="宋体" w:cs="宋体"/>
                <w:i w:val="0"/>
                <w:iCs w:val="0"/>
                <w:color w:val="auto"/>
                <w:sz w:val="21"/>
                <w:szCs w:val="21"/>
                <w:highlight w:val="none"/>
              </w:rPr>
              <w:t>分）</w:t>
            </w:r>
          </w:p>
        </w:tc>
        <w:tc>
          <w:tcPr>
            <w:tcW w:w="838" w:type="pct"/>
            <w:tcBorders>
              <w:bottom w:val="single" w:color="auto" w:sz="4" w:space="0"/>
            </w:tcBorders>
            <w:vAlign w:val="center"/>
          </w:tcPr>
          <w:p w14:paraId="7C2CA7B7">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最后</w:t>
            </w:r>
            <w:r>
              <w:rPr>
                <w:rFonts w:hint="eastAsia" w:ascii="宋体" w:hAnsi="宋体" w:eastAsia="宋体" w:cs="宋体"/>
                <w:i w:val="0"/>
                <w:iCs w:val="0"/>
                <w:color w:val="auto"/>
                <w:sz w:val="21"/>
                <w:szCs w:val="21"/>
                <w:highlight w:val="none"/>
              </w:rPr>
              <w:t>报价</w:t>
            </w:r>
          </w:p>
        </w:tc>
        <w:tc>
          <w:tcPr>
            <w:tcW w:w="794" w:type="pct"/>
            <w:vAlign w:val="center"/>
          </w:tcPr>
          <w:p w14:paraId="036F3EE6">
            <w:pPr>
              <w:pStyle w:val="47"/>
              <w:jc w:val="center"/>
              <w:rPr>
                <w:rFonts w:hint="eastAsia" w:ascii="宋体" w:hAnsi="宋体" w:eastAsia="宋体" w:cs="宋体"/>
                <w:i w:val="0"/>
                <w:iCs w:val="0"/>
                <w:color w:val="auto"/>
                <w:sz w:val="21"/>
                <w:szCs w:val="21"/>
                <w:highlight w:val="none"/>
                <w:lang w:val="en-US" w:eastAsia="zh-CN"/>
              </w:rPr>
            </w:pPr>
            <w:r>
              <w:rPr>
                <w:rFonts w:hint="eastAsia" w:cs="宋体"/>
                <w:sz w:val="21"/>
                <w:szCs w:val="21"/>
                <w:lang w:val="en-US" w:eastAsia="zh-CN"/>
              </w:rPr>
              <w:t>响应</w:t>
            </w:r>
            <w:r>
              <w:rPr>
                <w:rFonts w:hint="eastAsia" w:ascii="宋体" w:hAnsi="宋体" w:cs="宋体"/>
                <w:sz w:val="21"/>
                <w:szCs w:val="21"/>
              </w:rPr>
              <w:t>报价（10分）</w:t>
            </w:r>
          </w:p>
        </w:tc>
        <w:tc>
          <w:tcPr>
            <w:tcW w:w="2951" w:type="pct"/>
            <w:vAlign w:val="center"/>
          </w:tcPr>
          <w:p w14:paraId="677276CA">
            <w:pPr>
              <w:pStyle w:val="47"/>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满足竞争性磋商文件要求且</w:t>
            </w:r>
            <w:r>
              <w:rPr>
                <w:rFonts w:hint="eastAsia" w:ascii="宋体" w:hAnsi="宋体" w:eastAsia="宋体" w:cs="宋体"/>
                <w:i w:val="0"/>
                <w:iCs w:val="0"/>
                <w:color w:val="auto"/>
                <w:sz w:val="21"/>
                <w:szCs w:val="21"/>
                <w:highlight w:val="none"/>
                <w:lang w:val="en-US" w:eastAsia="zh-CN"/>
              </w:rPr>
              <w:t>最后</w:t>
            </w:r>
            <w:r>
              <w:rPr>
                <w:rFonts w:hint="eastAsia" w:ascii="宋体" w:hAnsi="宋体" w:eastAsia="宋体" w:cs="宋体"/>
                <w:i w:val="0"/>
                <w:iCs w:val="0"/>
                <w:color w:val="auto"/>
                <w:sz w:val="21"/>
                <w:szCs w:val="21"/>
                <w:highlight w:val="none"/>
              </w:rPr>
              <w:t>报价最低的报价为评审基准价，其价格分为满分。其他供应商的价格分统一按照下列公式计算：</w:t>
            </w:r>
          </w:p>
          <w:p w14:paraId="6B1401DE">
            <w:pPr>
              <w:pStyle w:val="47"/>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sz w:val="21"/>
                <w:szCs w:val="21"/>
                <w:highlight w:val="none"/>
              </w:rPr>
              <w:t>报价得分=</w:t>
            </w:r>
            <w:r>
              <w:rPr>
                <w:rFonts w:hint="eastAsia" w:ascii="宋体" w:hAnsi="宋体" w:eastAsia="宋体" w:cs="宋体"/>
                <w:i w:val="0"/>
                <w:iCs w:val="0"/>
                <w:color w:val="auto"/>
                <w:sz w:val="21"/>
                <w:szCs w:val="21"/>
                <w:highlight w:val="none"/>
                <w:lang w:val="zh-CN"/>
              </w:rPr>
              <w:t>（磋商基准价/最后磋商报价）</w:t>
            </w:r>
            <w:r>
              <w:rPr>
                <w:rFonts w:hint="eastAsia" w:ascii="宋体" w:hAnsi="宋体" w:eastAsia="宋体" w:cs="宋体"/>
                <w:i w:val="0"/>
                <w:iCs w:val="0"/>
                <w:color w:val="auto"/>
                <w:sz w:val="21"/>
                <w:szCs w:val="21"/>
                <w:highlight w:val="none"/>
              </w:rPr>
              <w:t>×价格分值</w:t>
            </w:r>
          </w:p>
          <w:p w14:paraId="3D9AC4AA">
            <w:pPr>
              <w:pStyle w:val="47"/>
              <w:rPr>
                <w:rFonts w:hint="eastAsia" w:ascii="宋体" w:hAnsi="宋体" w:eastAsia="宋体" w:cs="宋体"/>
                <w:i w:val="0"/>
                <w:iCs w:val="0"/>
                <w:color w:val="auto"/>
                <w:sz w:val="21"/>
                <w:szCs w:val="21"/>
                <w:highlight w:val="none"/>
              </w:rPr>
            </w:pPr>
          </w:p>
          <w:p w14:paraId="798EFDFB">
            <w:pPr>
              <w:pStyle w:val="47"/>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备注：符合供应商须知中价格扣除规定的，在评审时予以价格扣除，用扣除后的</w:t>
            </w:r>
            <w:r>
              <w:rPr>
                <w:rFonts w:hint="eastAsia" w:ascii="宋体" w:hAnsi="宋体" w:eastAsia="宋体" w:cs="宋体"/>
                <w:i w:val="0"/>
                <w:iCs w:val="0"/>
                <w:color w:val="auto"/>
                <w:sz w:val="21"/>
                <w:szCs w:val="21"/>
                <w:highlight w:val="none"/>
                <w:lang w:val="en-US" w:eastAsia="zh-CN"/>
              </w:rPr>
              <w:t>最后报价</w:t>
            </w:r>
            <w:r>
              <w:rPr>
                <w:rFonts w:hint="eastAsia" w:ascii="宋体" w:hAnsi="宋体" w:eastAsia="宋体" w:cs="宋体"/>
                <w:i w:val="0"/>
                <w:iCs w:val="0"/>
                <w:color w:val="auto"/>
                <w:sz w:val="21"/>
                <w:szCs w:val="21"/>
                <w:highlight w:val="none"/>
              </w:rPr>
              <w:t>参与评审。</w:t>
            </w:r>
          </w:p>
        </w:tc>
      </w:tr>
      <w:tr w14:paraId="1F710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3" w:hRule="atLeast"/>
          <w:jc w:val="center"/>
        </w:trPr>
        <w:tc>
          <w:tcPr>
            <w:tcW w:w="415" w:type="pct"/>
            <w:vMerge w:val="restart"/>
            <w:vAlign w:val="center"/>
          </w:tcPr>
          <w:p w14:paraId="0EA62830">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商务部分</w:t>
            </w:r>
          </w:p>
          <w:p w14:paraId="6C0619A6">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35</w:t>
            </w:r>
            <w:r>
              <w:rPr>
                <w:rFonts w:hint="eastAsia" w:ascii="宋体" w:hAnsi="宋体" w:eastAsia="宋体" w:cs="宋体"/>
                <w:i w:val="0"/>
                <w:iCs w:val="0"/>
                <w:color w:val="auto"/>
                <w:sz w:val="21"/>
                <w:szCs w:val="21"/>
                <w:highlight w:val="none"/>
              </w:rPr>
              <w:t>分）</w:t>
            </w:r>
          </w:p>
        </w:tc>
        <w:tc>
          <w:tcPr>
            <w:tcW w:w="838" w:type="pct"/>
            <w:tcBorders>
              <w:top w:val="single" w:color="auto" w:sz="4" w:space="0"/>
            </w:tcBorders>
            <w:vAlign w:val="center"/>
          </w:tcPr>
          <w:p w14:paraId="7B47B92D">
            <w:pPr>
              <w:pStyle w:val="74"/>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宋体" w:hAnsi="宋体" w:eastAsia="宋体" w:cs="宋体"/>
                <w:i w:val="0"/>
                <w:iCs w:val="0"/>
                <w:color w:val="auto"/>
                <w:sz w:val="21"/>
                <w:szCs w:val="21"/>
                <w:highlight w:val="none"/>
                <w:lang w:val="en-US" w:eastAsia="zh-CN"/>
              </w:rPr>
            </w:pPr>
            <w:r>
              <w:rPr>
                <w:rFonts w:hint="eastAsia"/>
                <w:sz w:val="21"/>
                <w:szCs w:val="21"/>
                <w:lang w:val="en-US" w:eastAsia="zh-CN"/>
              </w:rPr>
              <w:t>类似业绩</w:t>
            </w:r>
          </w:p>
        </w:tc>
        <w:tc>
          <w:tcPr>
            <w:tcW w:w="794" w:type="pct"/>
            <w:vAlign w:val="center"/>
          </w:tcPr>
          <w:p w14:paraId="4E7EA155">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i w:val="0"/>
                <w:iCs w:val="0"/>
                <w:color w:val="auto"/>
                <w:sz w:val="21"/>
                <w:szCs w:val="21"/>
                <w:highlight w:val="none"/>
              </w:rPr>
            </w:pPr>
            <w:r>
              <w:rPr>
                <w:rFonts w:hint="eastAsia" w:ascii="Times New Roman" w:hAnsi="Times New Roman" w:cs="Times New Roman"/>
                <w:sz w:val="21"/>
                <w:szCs w:val="21"/>
                <w:lang w:val="en-US" w:eastAsia="zh-CN"/>
              </w:rPr>
              <w:t>15</w:t>
            </w:r>
            <w:r>
              <w:rPr>
                <w:rFonts w:ascii="Times New Roman" w:hAnsi="Times New Roman" w:cs="Times New Roman"/>
                <w:sz w:val="21"/>
                <w:szCs w:val="21"/>
              </w:rPr>
              <w:t>分</w:t>
            </w:r>
          </w:p>
        </w:tc>
        <w:tc>
          <w:tcPr>
            <w:tcW w:w="2951" w:type="pct"/>
          </w:tcPr>
          <w:p w14:paraId="0E6A49D5">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i w:val="0"/>
                <w:iCs w:val="0"/>
                <w:color w:val="auto"/>
                <w:sz w:val="21"/>
                <w:szCs w:val="21"/>
                <w:highlight w:val="none"/>
                <w:lang w:val="en-US" w:eastAsia="zh-CN"/>
              </w:rPr>
            </w:pPr>
            <w:r>
              <w:rPr>
                <w:rFonts w:hint="default" w:ascii="宋体" w:hAnsi="宋体" w:eastAsia="宋体" w:cs="宋体"/>
                <w:i w:val="0"/>
                <w:iCs w:val="0"/>
                <w:color w:val="auto"/>
                <w:kern w:val="0"/>
                <w:sz w:val="21"/>
                <w:szCs w:val="21"/>
                <w:highlight w:val="none"/>
                <w:lang w:val="en-US" w:eastAsia="zh-CN" w:bidi="ar-SA"/>
              </w:rPr>
              <w:t>供应商</w:t>
            </w:r>
            <w:r>
              <w:rPr>
                <w:rFonts w:hint="eastAsia" w:ascii="宋体" w:hAnsi="宋体" w:eastAsia="宋体" w:cs="宋体"/>
                <w:i w:val="0"/>
                <w:iCs w:val="0"/>
                <w:color w:val="auto"/>
                <w:kern w:val="0"/>
                <w:sz w:val="21"/>
                <w:szCs w:val="21"/>
                <w:highlight w:val="none"/>
                <w:lang w:val="en-US" w:eastAsia="zh-CN" w:bidi="ar-SA"/>
              </w:rPr>
              <w:t>提供</w:t>
            </w:r>
            <w:r>
              <w:rPr>
                <w:rFonts w:hint="default" w:ascii="宋体" w:hAnsi="宋体" w:eastAsia="宋体" w:cs="宋体"/>
                <w:i w:val="0"/>
                <w:iCs w:val="0"/>
                <w:color w:val="auto"/>
                <w:kern w:val="0"/>
                <w:sz w:val="21"/>
                <w:szCs w:val="21"/>
                <w:highlight w:val="none"/>
                <w:lang w:val="en-US" w:eastAsia="zh-CN" w:bidi="ar-SA"/>
              </w:rPr>
              <w:t>自2023年1月1日以来承担过</w:t>
            </w:r>
            <w:r>
              <w:rPr>
                <w:rFonts w:hint="eastAsia" w:ascii="宋体" w:hAnsi="宋体" w:eastAsia="宋体" w:cs="宋体"/>
                <w:i w:val="0"/>
                <w:iCs w:val="0"/>
                <w:color w:val="auto"/>
                <w:kern w:val="0"/>
                <w:sz w:val="21"/>
                <w:szCs w:val="21"/>
                <w:highlight w:val="none"/>
                <w:lang w:val="en-US" w:eastAsia="zh-CN" w:bidi="ar-SA"/>
              </w:rPr>
              <w:t>与本项目类似的(如线上线下招聘会组织、就业服务推广、人力资源活动承办等项目）</w:t>
            </w:r>
            <w:r>
              <w:rPr>
                <w:rFonts w:hint="default" w:ascii="宋体" w:hAnsi="宋体" w:eastAsia="宋体" w:cs="宋体"/>
                <w:i w:val="0"/>
                <w:iCs w:val="0"/>
                <w:color w:val="auto"/>
                <w:kern w:val="0"/>
                <w:sz w:val="21"/>
                <w:szCs w:val="21"/>
                <w:highlight w:val="none"/>
                <w:lang w:val="en-US" w:eastAsia="zh-CN" w:bidi="ar-SA"/>
              </w:rPr>
              <w:t>业绩的，每提供一份有效业绩得</w:t>
            </w:r>
            <w:r>
              <w:rPr>
                <w:rFonts w:hint="eastAsia" w:cs="宋体"/>
                <w:i w:val="0"/>
                <w:iCs w:val="0"/>
                <w:color w:val="auto"/>
                <w:kern w:val="0"/>
                <w:sz w:val="21"/>
                <w:szCs w:val="21"/>
                <w:highlight w:val="none"/>
                <w:lang w:val="en-US" w:eastAsia="zh-CN" w:bidi="ar-SA"/>
              </w:rPr>
              <w:t>3</w:t>
            </w:r>
            <w:r>
              <w:rPr>
                <w:rFonts w:hint="default" w:ascii="宋体" w:hAnsi="宋体" w:eastAsia="宋体" w:cs="宋体"/>
                <w:i w:val="0"/>
                <w:iCs w:val="0"/>
                <w:color w:val="auto"/>
                <w:kern w:val="0"/>
                <w:sz w:val="21"/>
                <w:szCs w:val="21"/>
                <w:highlight w:val="none"/>
                <w:lang w:val="en-US" w:eastAsia="zh-CN" w:bidi="ar-SA"/>
              </w:rPr>
              <w:t>分，本项最高得1</w:t>
            </w:r>
            <w:r>
              <w:rPr>
                <w:rFonts w:hint="eastAsia" w:cs="宋体"/>
                <w:i w:val="0"/>
                <w:iCs w:val="0"/>
                <w:color w:val="auto"/>
                <w:kern w:val="0"/>
                <w:sz w:val="21"/>
                <w:szCs w:val="21"/>
                <w:highlight w:val="none"/>
                <w:lang w:val="en-US" w:eastAsia="zh-CN" w:bidi="ar-SA"/>
              </w:rPr>
              <w:t>5</w:t>
            </w:r>
            <w:r>
              <w:rPr>
                <w:rFonts w:hint="default" w:ascii="宋体" w:hAnsi="宋体" w:eastAsia="宋体" w:cs="宋体"/>
                <w:i w:val="0"/>
                <w:iCs w:val="0"/>
                <w:color w:val="auto"/>
                <w:kern w:val="0"/>
                <w:sz w:val="21"/>
                <w:szCs w:val="21"/>
                <w:highlight w:val="none"/>
                <w:lang w:val="en-US" w:eastAsia="zh-CN" w:bidi="ar-SA"/>
              </w:rPr>
              <w:t>分。</w:t>
            </w:r>
          </w:p>
          <w:p w14:paraId="3C69BE6B">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b/>
                <w:bCs/>
                <w:i w:val="0"/>
                <w:iCs w:val="0"/>
                <w:color w:val="auto"/>
                <w:sz w:val="21"/>
                <w:szCs w:val="21"/>
                <w:highlight w:val="none"/>
                <w:lang w:val="en-US" w:eastAsia="zh-CN"/>
              </w:rPr>
            </w:pPr>
            <w:r>
              <w:rPr>
                <w:rFonts w:hint="default" w:ascii="宋体" w:hAnsi="宋体" w:eastAsia="宋体" w:cs="宋体"/>
                <w:b/>
                <w:bCs/>
                <w:i w:val="0"/>
                <w:iCs w:val="0"/>
                <w:color w:val="auto"/>
                <w:kern w:val="0"/>
                <w:sz w:val="21"/>
                <w:szCs w:val="21"/>
                <w:highlight w:val="none"/>
                <w:lang w:val="en-US" w:eastAsia="zh-CN" w:bidi="ar-SA"/>
              </w:rPr>
              <w:t>注：有效业绩须提供合同/协议（含首页、服务内容页、签字盖章页）或验收报告扫描件加盖公章，未提供证明资料的不计分。</w:t>
            </w:r>
          </w:p>
        </w:tc>
      </w:tr>
      <w:tr w14:paraId="2794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415" w:type="pct"/>
            <w:vMerge w:val="continue"/>
            <w:vAlign w:val="center"/>
          </w:tcPr>
          <w:p w14:paraId="052C663E">
            <w:pPr>
              <w:pStyle w:val="47"/>
              <w:jc w:val="center"/>
              <w:rPr>
                <w:rFonts w:hint="eastAsia" w:ascii="宋体" w:hAnsi="宋体" w:eastAsia="宋体" w:cs="宋体"/>
                <w:i w:val="0"/>
                <w:iCs w:val="0"/>
                <w:color w:val="auto"/>
                <w:sz w:val="21"/>
                <w:szCs w:val="21"/>
                <w:highlight w:val="none"/>
              </w:rPr>
            </w:pPr>
          </w:p>
        </w:tc>
        <w:tc>
          <w:tcPr>
            <w:tcW w:w="838" w:type="pct"/>
            <w:tcBorders>
              <w:top w:val="single" w:color="auto" w:sz="4" w:space="0"/>
            </w:tcBorders>
            <w:vAlign w:val="center"/>
          </w:tcPr>
          <w:p w14:paraId="460AF2C5">
            <w:pPr>
              <w:pStyle w:val="74"/>
              <w:keepNext w:val="0"/>
              <w:keepLines w:val="0"/>
              <w:pageBreakBefore w:val="0"/>
              <w:kinsoku/>
              <w:wordWrap/>
              <w:overflowPunct/>
              <w:topLinePunct w:val="0"/>
              <w:autoSpaceDE/>
              <w:autoSpaceDN/>
              <w:bidi w:val="0"/>
              <w:adjustRightInd/>
              <w:snapToGrid/>
              <w:spacing w:line="320" w:lineRule="exact"/>
              <w:jc w:val="center"/>
              <w:textAlignment w:val="auto"/>
              <w:rPr>
                <w:rFonts w:hint="eastAsia"/>
                <w:sz w:val="21"/>
                <w:szCs w:val="21"/>
                <w:lang w:val="en-US" w:eastAsia="zh-CN"/>
              </w:rPr>
            </w:pPr>
            <w:r>
              <w:rPr>
                <w:rFonts w:hint="default"/>
                <w:sz w:val="21"/>
                <w:szCs w:val="21"/>
                <w:lang w:val="en-US" w:eastAsia="zh-CN"/>
              </w:rPr>
              <w:t>资源部署</w:t>
            </w:r>
          </w:p>
        </w:tc>
        <w:tc>
          <w:tcPr>
            <w:tcW w:w="794" w:type="pct"/>
            <w:vAlign w:val="center"/>
          </w:tcPr>
          <w:p w14:paraId="628FC415">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宋体" w:hAnsi="宋体" w:eastAsia="宋体" w:cs="宋体"/>
                <w:i w:val="0"/>
                <w:iCs w:val="0"/>
                <w:color w:val="auto"/>
                <w:sz w:val="21"/>
                <w:szCs w:val="21"/>
                <w:highlight w:val="none"/>
                <w:lang w:val="en-US" w:eastAsia="zh-CN"/>
              </w:rPr>
            </w:pPr>
            <w:r>
              <w:rPr>
                <w:rFonts w:hint="eastAsia" w:ascii="Times New Roman" w:hAnsi="Times New Roman" w:cs="Times New Roman"/>
                <w:kern w:val="0"/>
                <w:sz w:val="21"/>
                <w:szCs w:val="21"/>
                <w:lang w:val="en-US" w:eastAsia="zh-CN"/>
              </w:rPr>
              <w:t>10</w:t>
            </w:r>
            <w:r>
              <w:rPr>
                <w:rFonts w:ascii="Times New Roman" w:hAnsi="Times New Roman" w:cs="Times New Roman"/>
                <w:kern w:val="0"/>
                <w:sz w:val="21"/>
                <w:szCs w:val="21"/>
              </w:rPr>
              <w:t>分</w:t>
            </w:r>
          </w:p>
        </w:tc>
        <w:tc>
          <w:tcPr>
            <w:tcW w:w="2951" w:type="pct"/>
            <w:vAlign w:val="center"/>
          </w:tcPr>
          <w:p w14:paraId="0574C7E6">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供应商需与高校、行业协会、企事业单位签订人力资源服务类合作协议。</w:t>
            </w:r>
          </w:p>
          <w:p w14:paraId="3336EDCC">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每提供1份与本项目需求相关的高校合作协议得2分，每提供1份与本项目需求相关的行业协会或企事业单位合作协议得1分，本项最高得10分。</w:t>
            </w:r>
          </w:p>
          <w:p w14:paraId="5992F124">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i w:val="0"/>
                <w:iCs w:val="0"/>
                <w:color w:val="auto"/>
                <w:sz w:val="21"/>
                <w:szCs w:val="21"/>
                <w:highlight w:val="none"/>
                <w:lang w:val="en-US" w:eastAsia="zh-CN"/>
              </w:rPr>
            </w:pPr>
            <w:r>
              <w:rPr>
                <w:rFonts w:hint="default" w:ascii="宋体" w:hAnsi="宋体" w:eastAsia="宋体" w:cs="宋体"/>
                <w:b/>
                <w:bCs/>
                <w:i w:val="0"/>
                <w:iCs w:val="0"/>
                <w:color w:val="auto"/>
                <w:sz w:val="21"/>
                <w:szCs w:val="21"/>
                <w:highlight w:val="none"/>
                <w:lang w:val="en-US" w:eastAsia="zh-CN"/>
              </w:rPr>
              <w:t>注：同一所院校或同一地区合作商的合作协议仅计一次得分。</w:t>
            </w:r>
            <w:r>
              <w:rPr>
                <w:rFonts w:hint="eastAsia" w:ascii="宋体" w:hAnsi="宋体" w:eastAsia="宋体" w:cs="宋体"/>
                <w:b/>
                <w:bCs/>
                <w:i w:val="0"/>
                <w:iCs w:val="0"/>
                <w:color w:val="auto"/>
                <w:sz w:val="21"/>
                <w:szCs w:val="21"/>
                <w:highlight w:val="none"/>
                <w:lang w:val="en-US" w:eastAsia="zh-CN"/>
              </w:rPr>
              <w:t>以供应商提供的相关协议扫描件为准。</w:t>
            </w:r>
          </w:p>
        </w:tc>
      </w:tr>
      <w:tr w14:paraId="05A34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05" w:hRule="atLeast"/>
          <w:jc w:val="center"/>
        </w:trPr>
        <w:tc>
          <w:tcPr>
            <w:tcW w:w="415" w:type="pct"/>
            <w:vMerge w:val="continue"/>
            <w:vAlign w:val="center"/>
          </w:tcPr>
          <w:p w14:paraId="3BD7C09E">
            <w:pPr>
              <w:pStyle w:val="47"/>
              <w:jc w:val="center"/>
              <w:rPr>
                <w:rFonts w:hint="eastAsia" w:ascii="宋体" w:hAnsi="宋体" w:eastAsia="宋体" w:cs="宋体"/>
                <w:i w:val="0"/>
                <w:iCs w:val="0"/>
                <w:color w:val="auto"/>
                <w:sz w:val="21"/>
                <w:szCs w:val="21"/>
                <w:highlight w:val="none"/>
              </w:rPr>
            </w:pPr>
          </w:p>
        </w:tc>
        <w:tc>
          <w:tcPr>
            <w:tcW w:w="838" w:type="pct"/>
            <w:tcBorders>
              <w:top w:val="single" w:color="auto" w:sz="4" w:space="0"/>
            </w:tcBorders>
            <w:vAlign w:val="center"/>
          </w:tcPr>
          <w:p w14:paraId="3B395266">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eastAsia" w:ascii="Times New Roman" w:hAnsi="Times New Roman" w:eastAsia="宋体" w:cs="Times New Roman"/>
                <w:sz w:val="21"/>
                <w:szCs w:val="21"/>
                <w:lang w:val="en-US" w:eastAsia="zh-CN"/>
              </w:rPr>
            </w:pPr>
            <w:r>
              <w:rPr>
                <w:rFonts w:hint="default" w:cs="宋体"/>
                <w:sz w:val="21"/>
                <w:szCs w:val="21"/>
                <w:lang w:val="en-US" w:eastAsia="zh-CN"/>
              </w:rPr>
              <w:t>人员配置</w:t>
            </w:r>
          </w:p>
        </w:tc>
        <w:tc>
          <w:tcPr>
            <w:tcW w:w="794" w:type="pct"/>
            <w:vAlign w:val="center"/>
          </w:tcPr>
          <w:p w14:paraId="51654C36">
            <w:pPr>
              <w:pStyle w:val="47"/>
              <w:keepNext w:val="0"/>
              <w:keepLines w:val="0"/>
              <w:pageBreakBefore w:val="0"/>
              <w:kinsoku/>
              <w:wordWrap/>
              <w:overflowPunct/>
              <w:topLinePunct w:val="0"/>
              <w:autoSpaceDE/>
              <w:autoSpaceDN/>
              <w:bidi w:val="0"/>
              <w:adjustRightInd/>
              <w:snapToGrid/>
              <w:spacing w:line="320" w:lineRule="exact"/>
              <w:jc w:val="center"/>
              <w:textAlignment w:val="auto"/>
              <w:rPr>
                <w:rFonts w:hint="default" w:ascii="Times New Roman" w:hAnsi="Times New Roman" w:eastAsia="宋体" w:cs="Times New Roman"/>
                <w:kern w:val="0"/>
                <w:sz w:val="21"/>
                <w:szCs w:val="21"/>
                <w:lang w:val="en-US" w:eastAsia="zh-CN"/>
              </w:rPr>
            </w:pPr>
            <w:r>
              <w:rPr>
                <w:rFonts w:hint="eastAsia" w:cs="宋体"/>
                <w:sz w:val="21"/>
                <w:szCs w:val="21"/>
                <w:lang w:val="en-US" w:eastAsia="zh-CN"/>
              </w:rPr>
              <w:t>10</w:t>
            </w:r>
            <w:r>
              <w:rPr>
                <w:rFonts w:hint="eastAsia" w:ascii="宋体" w:hAnsi="宋体" w:cs="宋体"/>
                <w:sz w:val="21"/>
                <w:szCs w:val="21"/>
              </w:rPr>
              <w:t>分</w:t>
            </w:r>
          </w:p>
        </w:tc>
        <w:tc>
          <w:tcPr>
            <w:tcW w:w="2951" w:type="pct"/>
            <w:vAlign w:val="center"/>
          </w:tcPr>
          <w:p w14:paraId="695C4804">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eastAsia="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①、</w:t>
            </w:r>
            <w:r>
              <w:rPr>
                <w:rFonts w:hint="eastAsia" w:ascii="宋体" w:hAnsi="宋体" w:eastAsia="宋体" w:cs="宋体"/>
                <w:i w:val="0"/>
                <w:iCs w:val="0"/>
                <w:color w:val="auto"/>
                <w:sz w:val="21"/>
                <w:szCs w:val="21"/>
                <w:highlight w:val="none"/>
                <w:lang w:val="en-US" w:eastAsia="zh-CN"/>
              </w:rPr>
              <w:t>项目实施期间驻场1人</w:t>
            </w:r>
            <w:r>
              <w:rPr>
                <w:rFonts w:hint="eastAsia" w:ascii="宋体" w:hAnsi="宋体" w:cs="宋体"/>
                <w:i w:val="0"/>
                <w:iCs w:val="0"/>
                <w:color w:val="auto"/>
                <w:sz w:val="21"/>
                <w:szCs w:val="21"/>
                <w:highlight w:val="none"/>
                <w:lang w:val="en-US" w:eastAsia="zh-CN"/>
              </w:rPr>
              <w:t>，提供相关承诺书，得2分</w:t>
            </w:r>
            <w:r>
              <w:rPr>
                <w:rFonts w:hint="eastAsia" w:ascii="宋体" w:hAnsi="宋体" w:eastAsia="宋体" w:cs="宋体"/>
                <w:i w:val="0"/>
                <w:iCs w:val="0"/>
                <w:color w:val="auto"/>
                <w:sz w:val="21"/>
                <w:szCs w:val="21"/>
                <w:highlight w:val="none"/>
                <w:lang w:val="en-US" w:eastAsia="zh-CN"/>
              </w:rPr>
              <w:t>；</w:t>
            </w:r>
          </w:p>
          <w:p w14:paraId="16762E66">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②、</w:t>
            </w:r>
            <w:r>
              <w:rPr>
                <w:rFonts w:hint="default" w:ascii="宋体" w:hAnsi="宋体" w:eastAsia="宋体" w:cs="宋体"/>
                <w:i w:val="0"/>
                <w:iCs w:val="0"/>
                <w:color w:val="auto"/>
                <w:sz w:val="21"/>
                <w:szCs w:val="21"/>
                <w:highlight w:val="none"/>
                <w:lang w:val="en-US" w:eastAsia="zh-CN"/>
              </w:rPr>
              <w:t>服务团队保障人员8人</w:t>
            </w:r>
            <w:r>
              <w:rPr>
                <w:rFonts w:hint="eastAsia" w:ascii="宋体" w:hAnsi="宋体" w:cs="宋体"/>
                <w:i w:val="0"/>
                <w:iCs w:val="0"/>
                <w:color w:val="auto"/>
                <w:sz w:val="21"/>
                <w:szCs w:val="21"/>
                <w:highlight w:val="none"/>
                <w:lang w:val="en-US" w:eastAsia="zh-CN"/>
              </w:rPr>
              <w:t>及</w:t>
            </w:r>
            <w:r>
              <w:rPr>
                <w:rFonts w:hint="default" w:ascii="宋体" w:hAnsi="宋体" w:eastAsia="宋体" w:cs="宋体"/>
                <w:i w:val="0"/>
                <w:iCs w:val="0"/>
                <w:color w:val="auto"/>
                <w:sz w:val="21"/>
                <w:szCs w:val="21"/>
                <w:highlight w:val="none"/>
                <w:lang w:val="en-US" w:eastAsia="zh-CN"/>
              </w:rPr>
              <w:t>以上，</w:t>
            </w:r>
            <w:r>
              <w:rPr>
                <w:rFonts w:hint="eastAsia" w:ascii="宋体" w:hAnsi="宋体" w:cs="宋体"/>
                <w:i w:val="0"/>
                <w:iCs w:val="0"/>
                <w:color w:val="auto"/>
                <w:sz w:val="21"/>
                <w:szCs w:val="21"/>
                <w:highlight w:val="none"/>
                <w:lang w:val="en-US" w:eastAsia="zh-CN"/>
              </w:rPr>
              <w:t>提供花名册及人员信息，得2分，5-7人得1分，5人以下不得分。</w:t>
            </w:r>
          </w:p>
          <w:p w14:paraId="223982BD">
            <w:pPr>
              <w:pStyle w:val="74"/>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③、团队人员</w:t>
            </w:r>
            <w:r>
              <w:rPr>
                <w:rFonts w:hint="eastAsia" w:ascii="宋体" w:hAnsi="宋体" w:eastAsia="宋体" w:cs="宋体"/>
                <w:i w:val="0"/>
                <w:iCs w:val="0"/>
                <w:color w:val="auto"/>
                <w:sz w:val="21"/>
                <w:szCs w:val="21"/>
                <w:highlight w:val="none"/>
                <w:lang w:val="en-US" w:eastAsia="zh-CN"/>
              </w:rPr>
              <w:t>具有</w:t>
            </w:r>
            <w:r>
              <w:rPr>
                <w:rFonts w:hint="eastAsia" w:ascii="宋体" w:hAnsi="宋体" w:cs="宋体"/>
                <w:i w:val="0"/>
                <w:iCs w:val="0"/>
                <w:color w:val="auto"/>
                <w:sz w:val="21"/>
                <w:szCs w:val="21"/>
                <w:highlight w:val="none"/>
                <w:lang w:val="en-US" w:eastAsia="zh-CN"/>
              </w:rPr>
              <w:t>与本项目需求相关的</w:t>
            </w:r>
            <w:r>
              <w:rPr>
                <w:rFonts w:hint="eastAsia" w:ascii="宋体" w:hAnsi="宋体" w:eastAsia="宋体" w:cs="宋体"/>
                <w:i w:val="0"/>
                <w:iCs w:val="0"/>
                <w:color w:val="auto"/>
                <w:sz w:val="21"/>
                <w:szCs w:val="21"/>
                <w:highlight w:val="none"/>
                <w:lang w:val="en-US" w:eastAsia="zh-CN"/>
              </w:rPr>
              <w:t>业绩或者经验并提供相关佐证材料</w:t>
            </w:r>
            <w:r>
              <w:rPr>
                <w:rFonts w:hint="eastAsia" w:ascii="宋体" w:hAnsi="宋体" w:cs="宋体"/>
                <w:i w:val="0"/>
                <w:iCs w:val="0"/>
                <w:color w:val="auto"/>
                <w:sz w:val="21"/>
                <w:szCs w:val="21"/>
                <w:highlight w:val="none"/>
                <w:lang w:val="en-US" w:eastAsia="zh-CN"/>
              </w:rPr>
              <w:t>，得2分，未提供不得分</w:t>
            </w:r>
            <w:r>
              <w:rPr>
                <w:rFonts w:hint="default" w:ascii="宋体" w:hAnsi="宋体" w:eastAsia="宋体" w:cs="宋体"/>
                <w:i w:val="0"/>
                <w:iCs w:val="0"/>
                <w:color w:val="auto"/>
                <w:sz w:val="21"/>
                <w:szCs w:val="21"/>
                <w:highlight w:val="none"/>
                <w:lang w:val="en-US" w:eastAsia="zh-CN"/>
              </w:rPr>
              <w:t>；</w:t>
            </w:r>
          </w:p>
          <w:p w14:paraId="315BD57A">
            <w:pPr>
              <w:pStyle w:val="74"/>
              <w:keepNext w:val="0"/>
              <w:keepLines w:val="0"/>
              <w:pageBreakBefore w:val="0"/>
              <w:kinsoku/>
              <w:wordWrap/>
              <w:overflowPunct/>
              <w:topLinePunct w:val="0"/>
              <w:autoSpaceDE/>
              <w:autoSpaceDN/>
              <w:bidi w:val="0"/>
              <w:adjustRightInd/>
              <w:snapToGrid/>
              <w:spacing w:line="320" w:lineRule="exact"/>
              <w:textAlignment w:val="auto"/>
              <w:rPr>
                <w:rFonts w:hint="eastAsia" w:ascii="宋体" w:hAnsi="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④、</w:t>
            </w:r>
            <w:r>
              <w:rPr>
                <w:rFonts w:hint="default" w:ascii="宋体" w:hAnsi="宋体" w:eastAsia="宋体" w:cs="宋体"/>
                <w:i w:val="0"/>
                <w:iCs w:val="0"/>
                <w:color w:val="auto"/>
                <w:sz w:val="21"/>
                <w:szCs w:val="21"/>
                <w:highlight w:val="none"/>
                <w:lang w:val="en-US" w:eastAsia="zh-CN"/>
              </w:rPr>
              <w:t>项目负责人获得人力资源管理专业副高级职称及以上</w:t>
            </w:r>
            <w:r>
              <w:rPr>
                <w:rFonts w:hint="eastAsia" w:ascii="宋体" w:hAnsi="宋体" w:eastAsia="宋体" w:cs="宋体"/>
                <w:i w:val="0"/>
                <w:iCs w:val="0"/>
                <w:color w:val="auto"/>
                <w:sz w:val="21"/>
                <w:szCs w:val="21"/>
                <w:highlight w:val="none"/>
                <w:lang w:val="en-US" w:eastAsia="zh-CN"/>
              </w:rPr>
              <w:t>，</w:t>
            </w:r>
            <w:r>
              <w:rPr>
                <w:rFonts w:hint="eastAsia" w:ascii="宋体" w:hAnsi="宋体" w:cs="宋体"/>
                <w:i w:val="0"/>
                <w:iCs w:val="0"/>
                <w:color w:val="auto"/>
                <w:sz w:val="21"/>
                <w:szCs w:val="21"/>
                <w:highlight w:val="none"/>
                <w:lang w:val="en-US" w:eastAsia="zh-CN"/>
              </w:rPr>
              <w:t>得2分；</w:t>
            </w:r>
          </w:p>
          <w:p w14:paraId="4AA7B91D">
            <w:pPr>
              <w:pStyle w:val="74"/>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eastAsia="宋体" w:cs="宋体"/>
                <w:i w:val="0"/>
                <w:iCs w:val="0"/>
                <w:color w:val="auto"/>
                <w:sz w:val="21"/>
                <w:szCs w:val="21"/>
                <w:highlight w:val="none"/>
                <w:lang w:val="en-US" w:eastAsia="zh-CN"/>
              </w:rPr>
            </w:pPr>
            <w:r>
              <w:rPr>
                <w:rFonts w:hint="eastAsia" w:ascii="宋体" w:hAnsi="宋体" w:cs="宋体"/>
                <w:i w:val="0"/>
                <w:iCs w:val="0"/>
                <w:color w:val="auto"/>
                <w:sz w:val="21"/>
                <w:szCs w:val="21"/>
                <w:highlight w:val="none"/>
                <w:lang w:val="en-US" w:eastAsia="zh-CN"/>
              </w:rPr>
              <w:t>⑤、项目负责人</w:t>
            </w:r>
            <w:r>
              <w:rPr>
                <w:rFonts w:hint="eastAsia" w:ascii="宋体" w:hAnsi="宋体" w:eastAsia="宋体" w:cs="宋体"/>
                <w:i w:val="0"/>
                <w:iCs w:val="0"/>
                <w:color w:val="auto"/>
                <w:sz w:val="21"/>
                <w:szCs w:val="21"/>
                <w:highlight w:val="none"/>
                <w:lang w:val="en-US" w:eastAsia="zh-CN"/>
              </w:rPr>
              <w:t>具有</w:t>
            </w:r>
            <w:r>
              <w:rPr>
                <w:rFonts w:hint="eastAsia" w:ascii="宋体" w:hAnsi="宋体" w:cs="宋体"/>
                <w:i w:val="0"/>
                <w:iCs w:val="0"/>
                <w:color w:val="auto"/>
                <w:sz w:val="21"/>
                <w:szCs w:val="21"/>
                <w:highlight w:val="none"/>
                <w:lang w:val="en-US" w:eastAsia="zh-CN"/>
              </w:rPr>
              <w:t>与本项目需求相关的</w:t>
            </w:r>
            <w:r>
              <w:rPr>
                <w:rFonts w:hint="eastAsia" w:ascii="宋体" w:hAnsi="宋体" w:eastAsia="宋体" w:cs="宋体"/>
                <w:i w:val="0"/>
                <w:iCs w:val="0"/>
                <w:color w:val="auto"/>
                <w:sz w:val="21"/>
                <w:szCs w:val="21"/>
                <w:highlight w:val="none"/>
                <w:lang w:val="en-US" w:eastAsia="zh-CN"/>
              </w:rPr>
              <w:t>经验或业绩</w:t>
            </w:r>
            <w:r>
              <w:rPr>
                <w:rFonts w:hint="eastAsia" w:ascii="宋体" w:hAnsi="宋体" w:cs="宋体"/>
                <w:i w:val="0"/>
                <w:iCs w:val="0"/>
                <w:color w:val="auto"/>
                <w:sz w:val="21"/>
                <w:szCs w:val="21"/>
                <w:highlight w:val="none"/>
                <w:lang w:val="en-US" w:eastAsia="zh-CN"/>
              </w:rPr>
              <w:t>，</w:t>
            </w:r>
            <w:r>
              <w:rPr>
                <w:rFonts w:hint="eastAsia" w:ascii="宋体" w:hAnsi="宋体" w:eastAsia="宋体" w:cs="宋体"/>
                <w:i w:val="0"/>
                <w:iCs w:val="0"/>
                <w:color w:val="auto"/>
                <w:sz w:val="21"/>
                <w:szCs w:val="21"/>
                <w:highlight w:val="none"/>
                <w:lang w:val="en-US" w:eastAsia="zh-CN"/>
              </w:rPr>
              <w:t>并提供相关佐证材料</w:t>
            </w:r>
            <w:r>
              <w:rPr>
                <w:rFonts w:hint="eastAsia" w:ascii="宋体" w:hAnsi="宋体" w:cs="宋体"/>
                <w:i w:val="0"/>
                <w:iCs w:val="0"/>
                <w:color w:val="auto"/>
                <w:sz w:val="21"/>
                <w:szCs w:val="21"/>
                <w:highlight w:val="none"/>
                <w:lang w:val="en-US" w:eastAsia="zh-CN"/>
              </w:rPr>
              <w:t>，得2分，未提供不得分。</w:t>
            </w:r>
          </w:p>
          <w:p w14:paraId="1D2EAF45">
            <w:pPr>
              <w:pStyle w:val="74"/>
              <w:keepNext w:val="0"/>
              <w:keepLines w:val="0"/>
              <w:pageBreakBefore w:val="0"/>
              <w:kinsoku/>
              <w:wordWrap/>
              <w:overflowPunct/>
              <w:topLinePunct w:val="0"/>
              <w:autoSpaceDE/>
              <w:autoSpaceDN/>
              <w:bidi w:val="0"/>
              <w:adjustRightInd/>
              <w:snapToGrid/>
              <w:spacing w:line="320" w:lineRule="exact"/>
              <w:textAlignment w:val="auto"/>
              <w:rPr>
                <w:rFonts w:hint="default" w:ascii="宋体" w:hAnsi="宋体" w:cs="宋体"/>
                <w:b/>
                <w:bCs/>
                <w:i w:val="0"/>
                <w:iCs w:val="0"/>
                <w:color w:val="auto"/>
                <w:sz w:val="21"/>
                <w:szCs w:val="21"/>
                <w:highlight w:val="none"/>
                <w:lang w:val="en-US" w:eastAsia="zh-CN"/>
              </w:rPr>
            </w:pPr>
            <w:r>
              <w:rPr>
                <w:rFonts w:hint="default" w:ascii="宋体" w:hAnsi="宋体" w:eastAsia="宋体" w:cs="宋体"/>
                <w:b/>
                <w:bCs/>
                <w:i w:val="0"/>
                <w:iCs w:val="0"/>
                <w:color w:val="auto"/>
                <w:sz w:val="21"/>
                <w:szCs w:val="21"/>
                <w:highlight w:val="none"/>
                <w:lang w:val="en-US" w:eastAsia="zh-CN"/>
              </w:rPr>
              <w:t>注：职业指导团队需提供</w:t>
            </w:r>
            <w:r>
              <w:rPr>
                <w:rFonts w:hint="eastAsia" w:ascii="宋体" w:hAnsi="宋体" w:eastAsia="宋体" w:cs="宋体"/>
                <w:b/>
                <w:bCs/>
                <w:i w:val="0"/>
                <w:iCs w:val="0"/>
                <w:color w:val="auto"/>
                <w:sz w:val="21"/>
                <w:szCs w:val="21"/>
                <w:highlight w:val="none"/>
                <w:lang w:val="en-US" w:eastAsia="zh-CN"/>
              </w:rPr>
              <w:t>聘用</w:t>
            </w:r>
            <w:r>
              <w:rPr>
                <w:rFonts w:hint="default" w:ascii="宋体" w:hAnsi="宋体" w:eastAsia="宋体" w:cs="宋体"/>
                <w:b/>
                <w:bCs/>
                <w:i w:val="0"/>
                <w:iCs w:val="0"/>
                <w:color w:val="auto"/>
                <w:sz w:val="21"/>
                <w:szCs w:val="21"/>
                <w:highlight w:val="none"/>
                <w:lang w:val="en-US" w:eastAsia="zh-CN"/>
              </w:rPr>
              <w:t>协议和相关证书，团队人员</w:t>
            </w:r>
            <w:r>
              <w:rPr>
                <w:rFonts w:hint="eastAsia" w:ascii="宋体" w:hAnsi="宋体" w:eastAsia="宋体" w:cs="宋体"/>
                <w:b/>
                <w:bCs/>
                <w:i w:val="0"/>
                <w:iCs w:val="0"/>
                <w:color w:val="auto"/>
                <w:sz w:val="21"/>
                <w:szCs w:val="21"/>
                <w:highlight w:val="none"/>
                <w:lang w:val="en-US" w:eastAsia="zh-CN"/>
              </w:rPr>
              <w:t>和</w:t>
            </w:r>
            <w:r>
              <w:rPr>
                <w:rFonts w:hint="default" w:ascii="宋体" w:hAnsi="宋体" w:eastAsia="宋体" w:cs="宋体"/>
                <w:b/>
                <w:bCs/>
                <w:i w:val="0"/>
                <w:iCs w:val="0"/>
                <w:color w:val="auto"/>
                <w:sz w:val="21"/>
                <w:szCs w:val="21"/>
                <w:highlight w:val="none"/>
                <w:lang w:val="en-US" w:eastAsia="zh-CN"/>
              </w:rPr>
              <w:t>项目负责人需提供人员身份证、社保缴纳证明、相关</w:t>
            </w:r>
            <w:r>
              <w:rPr>
                <w:rFonts w:hint="eastAsia" w:ascii="宋体" w:hAnsi="宋体" w:eastAsia="宋体" w:cs="宋体"/>
                <w:b/>
                <w:bCs/>
                <w:i w:val="0"/>
                <w:iCs w:val="0"/>
                <w:color w:val="auto"/>
                <w:sz w:val="21"/>
                <w:szCs w:val="21"/>
                <w:highlight w:val="none"/>
                <w:lang w:val="en-US" w:eastAsia="zh-CN"/>
              </w:rPr>
              <w:t>业绩证明</w:t>
            </w:r>
            <w:r>
              <w:rPr>
                <w:rFonts w:hint="default" w:ascii="宋体" w:hAnsi="宋体" w:eastAsia="宋体" w:cs="宋体"/>
                <w:b/>
                <w:bCs/>
                <w:i w:val="0"/>
                <w:iCs w:val="0"/>
                <w:color w:val="auto"/>
                <w:sz w:val="21"/>
                <w:szCs w:val="21"/>
                <w:highlight w:val="none"/>
                <w:lang w:val="en-US" w:eastAsia="zh-CN"/>
              </w:rPr>
              <w:t>。</w:t>
            </w:r>
            <w:r>
              <w:rPr>
                <w:rFonts w:hint="eastAsia" w:ascii="宋体" w:hAnsi="宋体" w:eastAsia="宋体" w:cs="宋体"/>
                <w:b/>
                <w:bCs/>
                <w:i w:val="0"/>
                <w:iCs w:val="0"/>
                <w:color w:val="auto"/>
                <w:sz w:val="21"/>
                <w:szCs w:val="21"/>
                <w:highlight w:val="none"/>
                <w:lang w:val="en-US" w:eastAsia="zh-CN"/>
              </w:rPr>
              <w:t>（1）提供拟派人员有效的身份证、资格证书扫描件/照片。（2）提供拟派人员有效的劳动合同（首页、有效期页、签字盖章页等关键页）；如拟派人员为劳务派遣制员工，应同时提供</w:t>
            </w:r>
            <w:r>
              <w:rPr>
                <w:rFonts w:hint="eastAsia" w:ascii="宋体" w:hAnsi="宋体" w:cs="宋体"/>
                <w:b/>
                <w:bCs/>
                <w:i w:val="0"/>
                <w:iCs w:val="0"/>
                <w:color w:val="auto"/>
                <w:sz w:val="21"/>
                <w:szCs w:val="21"/>
                <w:highlight w:val="none"/>
                <w:lang w:val="en-US" w:eastAsia="zh-CN"/>
              </w:rPr>
              <w:t>供应商</w:t>
            </w:r>
            <w:r>
              <w:rPr>
                <w:rFonts w:hint="eastAsia" w:ascii="宋体" w:hAnsi="宋体" w:eastAsia="宋体" w:cs="宋体"/>
                <w:b/>
                <w:bCs/>
                <w:i w:val="0"/>
                <w:iCs w:val="0"/>
                <w:color w:val="auto"/>
                <w:sz w:val="21"/>
                <w:szCs w:val="21"/>
                <w:highlight w:val="none"/>
                <w:lang w:val="en-US" w:eastAsia="zh-CN"/>
              </w:rPr>
              <w:t>与劳务派遣公司签订的派遣协议以及拟派人员与劳务派遣公司签订的劳动合同（首页、有效期页、签字盖章页等关键页）。提供资质证书及该项目经理在</w:t>
            </w:r>
            <w:r>
              <w:rPr>
                <w:rFonts w:hint="eastAsia" w:ascii="宋体" w:hAnsi="宋体" w:cs="宋体"/>
                <w:b/>
                <w:bCs/>
                <w:i w:val="0"/>
                <w:iCs w:val="0"/>
                <w:color w:val="auto"/>
                <w:sz w:val="21"/>
                <w:szCs w:val="21"/>
                <w:highlight w:val="none"/>
                <w:lang w:val="en-US" w:eastAsia="zh-CN"/>
              </w:rPr>
              <w:t>供应商</w:t>
            </w:r>
            <w:r>
              <w:rPr>
                <w:rFonts w:hint="eastAsia" w:ascii="宋体" w:hAnsi="宋体" w:eastAsia="宋体" w:cs="宋体"/>
                <w:b/>
                <w:bCs/>
                <w:i w:val="0"/>
                <w:iCs w:val="0"/>
                <w:color w:val="auto"/>
                <w:sz w:val="21"/>
                <w:szCs w:val="21"/>
                <w:highlight w:val="none"/>
                <w:lang w:val="en-US" w:eastAsia="zh-CN"/>
              </w:rPr>
              <w:t>服务的外部证明材料扫描件，如报价截止日之前三个月以内的代缴个税税单或参加社会保险的《投保单》 或《社会保险参保人员证明》等。（提供资质证书及该项目经理在</w:t>
            </w:r>
            <w:r>
              <w:rPr>
                <w:rFonts w:hint="eastAsia" w:ascii="宋体" w:hAnsi="宋体" w:cs="宋体"/>
                <w:b/>
                <w:bCs/>
                <w:i w:val="0"/>
                <w:iCs w:val="0"/>
                <w:color w:val="auto"/>
                <w:sz w:val="21"/>
                <w:szCs w:val="21"/>
                <w:highlight w:val="none"/>
                <w:lang w:val="en-US" w:eastAsia="zh-CN"/>
              </w:rPr>
              <w:t>供应商</w:t>
            </w:r>
            <w:r>
              <w:rPr>
                <w:rFonts w:hint="eastAsia" w:ascii="宋体" w:hAnsi="宋体" w:eastAsia="宋体" w:cs="宋体"/>
                <w:b/>
                <w:bCs/>
                <w:i w:val="0"/>
                <w:iCs w:val="0"/>
                <w:color w:val="auto"/>
                <w:sz w:val="21"/>
                <w:szCs w:val="21"/>
                <w:highlight w:val="none"/>
                <w:lang w:val="en-US" w:eastAsia="zh-CN"/>
              </w:rPr>
              <w:t>服务的外部证明材料扫描件，如报价截止日之前三个月以内的代缴个税税单或参加社会保险的《投保单》 或《社会保险参保人员证明》等）。（3）如拟派人员为企业法定代表人，无须提供劳动合同。材料提供不齐全或未提供不得分。（4）</w:t>
            </w:r>
            <w:r>
              <w:rPr>
                <w:rFonts w:hint="default" w:ascii="宋体" w:hAnsi="宋体" w:eastAsia="宋体" w:cs="宋体"/>
                <w:b/>
                <w:bCs/>
                <w:i w:val="0"/>
                <w:iCs w:val="0"/>
                <w:color w:val="auto"/>
                <w:sz w:val="21"/>
                <w:szCs w:val="21"/>
                <w:highlight w:val="none"/>
                <w:lang w:val="en-US" w:eastAsia="zh-CN"/>
              </w:rPr>
              <w:t>相关</w:t>
            </w:r>
            <w:r>
              <w:rPr>
                <w:rFonts w:hint="eastAsia" w:ascii="宋体" w:hAnsi="宋体" w:eastAsia="宋体" w:cs="宋体"/>
                <w:b/>
                <w:bCs/>
                <w:i w:val="0"/>
                <w:iCs w:val="0"/>
                <w:color w:val="auto"/>
                <w:sz w:val="21"/>
                <w:szCs w:val="21"/>
                <w:highlight w:val="none"/>
                <w:lang w:val="en-US" w:eastAsia="zh-CN"/>
              </w:rPr>
              <w:t>业绩证明须提供合同协议书或其他证明业绩或工作经验相关材料。</w:t>
            </w:r>
            <w:r>
              <w:rPr>
                <w:rFonts w:hint="eastAsia" w:ascii="宋体" w:hAnsi="宋体" w:cs="宋体"/>
                <w:b/>
                <w:bCs/>
                <w:i w:val="0"/>
                <w:iCs w:val="0"/>
                <w:color w:val="auto"/>
                <w:sz w:val="21"/>
                <w:szCs w:val="21"/>
                <w:highlight w:val="none"/>
                <w:lang w:val="en-US" w:eastAsia="zh-CN"/>
              </w:rPr>
              <w:t>（5）驻场提供相关承诺书。</w:t>
            </w:r>
          </w:p>
        </w:tc>
      </w:tr>
      <w:tr w14:paraId="105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7" w:hRule="atLeast"/>
          <w:jc w:val="center"/>
        </w:trPr>
        <w:tc>
          <w:tcPr>
            <w:tcW w:w="415" w:type="pct"/>
            <w:vMerge w:val="restart"/>
            <w:vAlign w:val="center"/>
          </w:tcPr>
          <w:p w14:paraId="009533AC">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技术部分</w:t>
            </w:r>
          </w:p>
          <w:p w14:paraId="3C5A6CF4">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w:t>
            </w:r>
            <w:r>
              <w:rPr>
                <w:rFonts w:hint="eastAsia" w:cs="宋体"/>
                <w:i w:val="0"/>
                <w:iCs w:val="0"/>
                <w:color w:val="auto"/>
                <w:sz w:val="21"/>
                <w:szCs w:val="21"/>
                <w:highlight w:val="none"/>
                <w:lang w:val="en-US" w:eastAsia="zh-CN"/>
              </w:rPr>
              <w:t>55</w:t>
            </w:r>
            <w:r>
              <w:rPr>
                <w:rFonts w:hint="eastAsia" w:ascii="宋体" w:hAnsi="宋体" w:eastAsia="宋体" w:cs="宋体"/>
                <w:i w:val="0"/>
                <w:iCs w:val="0"/>
                <w:color w:val="auto"/>
                <w:sz w:val="21"/>
                <w:szCs w:val="21"/>
                <w:highlight w:val="none"/>
              </w:rPr>
              <w:t>分）</w:t>
            </w:r>
          </w:p>
        </w:tc>
        <w:tc>
          <w:tcPr>
            <w:tcW w:w="838" w:type="pct"/>
            <w:tcBorders>
              <w:top w:val="single" w:color="auto" w:sz="4" w:space="0"/>
            </w:tcBorders>
            <w:vAlign w:val="center"/>
          </w:tcPr>
          <w:p w14:paraId="6B519630">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前期服务方案</w:t>
            </w:r>
          </w:p>
        </w:tc>
        <w:tc>
          <w:tcPr>
            <w:tcW w:w="794" w:type="pct"/>
            <w:vAlign w:val="center"/>
          </w:tcPr>
          <w:p w14:paraId="35C961A9">
            <w:pPr>
              <w:pStyle w:val="75"/>
              <w:widowControl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eastAsia="宋体" w:cs="宋体"/>
                <w:sz w:val="21"/>
                <w:szCs w:val="21"/>
                <w:lang w:val="en-US" w:eastAsia="zh-CN"/>
              </w:rPr>
              <w:t>14</w:t>
            </w:r>
            <w:r>
              <w:rPr>
                <w:rFonts w:hint="eastAsia" w:ascii="宋体" w:hAnsi="宋体" w:cs="宋体"/>
                <w:sz w:val="21"/>
                <w:szCs w:val="21"/>
              </w:rPr>
              <w:t>分</w:t>
            </w:r>
          </w:p>
        </w:tc>
        <w:tc>
          <w:tcPr>
            <w:tcW w:w="2951" w:type="pct"/>
            <w:vAlign w:val="center"/>
          </w:tcPr>
          <w:p w14:paraId="7E0BED67">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rPr>
              <w:t>针对以下内容制定</w:t>
            </w:r>
            <w:r>
              <w:rPr>
                <w:rFonts w:hint="eastAsia" w:ascii="宋体" w:hAnsi="宋体" w:eastAsia="宋体" w:cs="宋体"/>
                <w:i w:val="0"/>
                <w:iCs w:val="0"/>
                <w:color w:val="auto"/>
                <w:sz w:val="21"/>
                <w:szCs w:val="21"/>
                <w:highlight w:val="none"/>
                <w:lang w:val="en-US" w:eastAsia="zh-CN"/>
              </w:rPr>
              <w:t>前期服务方案</w:t>
            </w:r>
            <w:r>
              <w:rPr>
                <w:rFonts w:hint="eastAsia" w:ascii="宋体" w:hAnsi="宋体" w:eastAsia="宋体" w:cs="宋体"/>
                <w:color w:val="auto"/>
                <w:sz w:val="21"/>
                <w:szCs w:val="21"/>
              </w:rPr>
              <w:t>，包括</w:t>
            </w:r>
            <w:r>
              <w:rPr>
                <w:rFonts w:hint="eastAsia" w:ascii="宋体" w:hAnsi="宋体" w:cs="宋体"/>
                <w:color w:val="auto"/>
                <w:sz w:val="21"/>
                <w:szCs w:val="21"/>
                <w:lang w:eastAsia="zh-CN"/>
              </w:rPr>
              <w:t>：</w:t>
            </w:r>
          </w:p>
          <w:p w14:paraId="4D68361C">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①走访招聘企业</w:t>
            </w:r>
            <w:r>
              <w:rPr>
                <w:rFonts w:hint="eastAsia" w:ascii="宋体" w:hAnsi="宋体" w:cs="宋体"/>
                <w:color w:val="auto"/>
                <w:sz w:val="21"/>
                <w:szCs w:val="21"/>
                <w:lang w:eastAsia="zh-CN"/>
              </w:rPr>
              <w:t>；</w:t>
            </w:r>
          </w:p>
          <w:p w14:paraId="135CCA44">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②落实以及核实招聘企业岗位</w:t>
            </w:r>
            <w:r>
              <w:rPr>
                <w:rFonts w:hint="eastAsia" w:ascii="宋体" w:hAnsi="宋体" w:cs="宋体"/>
                <w:color w:val="auto"/>
                <w:sz w:val="21"/>
                <w:szCs w:val="21"/>
                <w:lang w:eastAsia="zh-CN"/>
              </w:rPr>
              <w:t>；</w:t>
            </w:r>
          </w:p>
          <w:p w14:paraId="7B72080C">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③</w:t>
            </w:r>
            <w:r>
              <w:rPr>
                <w:rFonts w:hint="default" w:ascii="宋体" w:hAnsi="宋体" w:eastAsia="宋体" w:cs="宋体"/>
                <w:color w:val="auto"/>
                <w:sz w:val="21"/>
                <w:szCs w:val="21"/>
                <w:lang w:val="en-US" w:eastAsia="zh-CN"/>
              </w:rPr>
              <w:t>统计招聘企业信息</w:t>
            </w:r>
            <w:r>
              <w:rPr>
                <w:rFonts w:hint="eastAsia" w:ascii="宋体" w:hAnsi="宋体" w:cs="宋体"/>
                <w:color w:val="auto"/>
                <w:sz w:val="21"/>
                <w:szCs w:val="21"/>
                <w:lang w:eastAsia="zh-CN"/>
              </w:rPr>
              <w:t>；</w:t>
            </w:r>
          </w:p>
          <w:p w14:paraId="22859BB6">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④</w:t>
            </w:r>
            <w:r>
              <w:rPr>
                <w:rFonts w:hint="default" w:ascii="宋体" w:hAnsi="宋体" w:eastAsia="宋体" w:cs="宋体"/>
                <w:color w:val="auto"/>
                <w:sz w:val="21"/>
                <w:szCs w:val="21"/>
                <w:lang w:val="en-US" w:eastAsia="zh-CN"/>
              </w:rPr>
              <w:t>整理分析就业岗位及薪资</w:t>
            </w:r>
            <w:r>
              <w:rPr>
                <w:rFonts w:hint="eastAsia" w:ascii="宋体" w:hAnsi="宋体" w:cs="宋体"/>
                <w:color w:val="auto"/>
                <w:sz w:val="21"/>
                <w:szCs w:val="21"/>
                <w:lang w:eastAsia="zh-CN"/>
              </w:rPr>
              <w:t>；</w:t>
            </w:r>
          </w:p>
          <w:p w14:paraId="7F8F4322">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⑤</w:t>
            </w:r>
            <w:r>
              <w:rPr>
                <w:rFonts w:hint="default" w:ascii="宋体" w:hAnsi="宋体" w:eastAsia="宋体" w:cs="宋体"/>
                <w:color w:val="auto"/>
                <w:sz w:val="21"/>
                <w:szCs w:val="21"/>
                <w:lang w:val="en-US" w:eastAsia="zh-CN"/>
              </w:rPr>
              <w:t>发布招聘信息渠道</w:t>
            </w:r>
            <w:r>
              <w:rPr>
                <w:rFonts w:hint="eastAsia" w:ascii="宋体" w:hAnsi="宋体" w:cs="宋体"/>
                <w:color w:val="auto"/>
                <w:sz w:val="21"/>
                <w:szCs w:val="21"/>
                <w:lang w:eastAsia="zh-CN"/>
              </w:rPr>
              <w:t>；</w:t>
            </w:r>
          </w:p>
          <w:p w14:paraId="6BFCDC2F">
            <w:pPr>
              <w:pStyle w:val="74"/>
              <w:spacing w:line="300" w:lineRule="exact"/>
              <w:rPr>
                <w:rFonts w:hint="eastAsia" w:ascii="宋体" w:hAnsi="宋体" w:cs="宋体"/>
                <w:color w:val="auto"/>
                <w:sz w:val="21"/>
                <w:szCs w:val="21"/>
                <w:lang w:eastAsia="zh-CN"/>
              </w:rPr>
            </w:pPr>
            <w:r>
              <w:rPr>
                <w:rFonts w:hint="eastAsia" w:ascii="宋体" w:hAnsi="宋体" w:eastAsia="宋体" w:cs="宋体"/>
                <w:color w:val="auto"/>
                <w:sz w:val="21"/>
                <w:szCs w:val="21"/>
                <w:lang w:val="en-US" w:eastAsia="zh-CN"/>
              </w:rPr>
              <w:t>⑥</w:t>
            </w:r>
            <w:r>
              <w:rPr>
                <w:rFonts w:hint="default" w:ascii="宋体" w:hAnsi="宋体" w:eastAsia="宋体" w:cs="宋体"/>
                <w:color w:val="auto"/>
                <w:sz w:val="21"/>
                <w:szCs w:val="21"/>
                <w:lang w:val="en-US" w:eastAsia="zh-CN"/>
              </w:rPr>
              <w:t>制作招聘会宣传</w:t>
            </w:r>
            <w:r>
              <w:rPr>
                <w:rFonts w:hint="eastAsia" w:ascii="宋体" w:hAnsi="宋体" w:eastAsia="宋体" w:cs="宋体"/>
                <w:color w:val="auto"/>
                <w:sz w:val="21"/>
                <w:szCs w:val="21"/>
                <w:lang w:val="en-US" w:eastAsia="zh-CN"/>
              </w:rPr>
              <w:t>资料</w:t>
            </w:r>
            <w:r>
              <w:rPr>
                <w:rFonts w:hint="eastAsia" w:ascii="宋体" w:hAnsi="宋体" w:cs="宋体"/>
                <w:color w:val="auto"/>
                <w:sz w:val="21"/>
                <w:szCs w:val="21"/>
                <w:lang w:eastAsia="zh-CN"/>
              </w:rPr>
              <w:t>；</w:t>
            </w:r>
          </w:p>
          <w:p w14:paraId="567B2EBC">
            <w:pPr>
              <w:pStyle w:val="74"/>
              <w:spacing w:line="300" w:lineRule="exact"/>
              <w:rPr>
                <w:rFonts w:hint="eastAsia" w:ascii="宋体" w:hAnsi="宋体" w:eastAsia="宋体" w:cs="宋体"/>
                <w:color w:val="auto"/>
                <w:sz w:val="21"/>
                <w:szCs w:val="21"/>
              </w:rPr>
            </w:pPr>
            <w:r>
              <w:rPr>
                <w:rFonts w:hint="eastAsia" w:ascii="宋体" w:hAnsi="宋体" w:eastAsia="宋体" w:cs="宋体"/>
                <w:color w:val="auto"/>
                <w:sz w:val="21"/>
                <w:szCs w:val="21"/>
                <w:lang w:val="en-US" w:eastAsia="zh-CN"/>
              </w:rPr>
              <w:t>⑦</w:t>
            </w:r>
            <w:r>
              <w:rPr>
                <w:rFonts w:hint="default" w:ascii="宋体" w:hAnsi="宋体" w:eastAsia="宋体" w:cs="宋体"/>
                <w:color w:val="auto"/>
                <w:sz w:val="21"/>
                <w:szCs w:val="21"/>
                <w:lang w:val="en-US" w:eastAsia="zh-CN"/>
              </w:rPr>
              <w:t>整体方案设计、会场设计和氛围营造</w:t>
            </w:r>
            <w:r>
              <w:rPr>
                <w:rFonts w:hint="eastAsia" w:ascii="宋体" w:hAnsi="宋体" w:eastAsia="宋体" w:cs="宋体"/>
                <w:color w:val="auto"/>
                <w:sz w:val="21"/>
                <w:szCs w:val="21"/>
              </w:rPr>
              <w:t>等。</w:t>
            </w:r>
          </w:p>
          <w:p w14:paraId="27EAF83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w:t>
            </w:r>
            <w:r>
              <w:rPr>
                <w:rFonts w:hint="eastAsia" w:ascii="宋体" w:hAnsi="宋体" w:cs="宋体"/>
                <w:b/>
                <w:bCs/>
                <w:sz w:val="21"/>
                <w:szCs w:val="21"/>
              </w:rPr>
              <w:t>内容</w:t>
            </w:r>
            <w:r>
              <w:rPr>
                <w:rFonts w:hint="eastAsia" w:ascii="宋体" w:hAnsi="宋体" w:eastAsia="宋体" w:cs="宋体"/>
                <w:b/>
                <w:bCs/>
                <w:sz w:val="21"/>
                <w:szCs w:val="21"/>
                <w:lang w:val="en-US" w:eastAsia="zh-CN"/>
              </w:rPr>
              <w:t>无缺项且满足实际情况无缺陷的得</w:t>
            </w:r>
            <w:r>
              <w:rPr>
                <w:rFonts w:hint="eastAsia" w:cs="宋体"/>
                <w:b/>
                <w:bCs/>
                <w:sz w:val="21"/>
                <w:szCs w:val="21"/>
                <w:lang w:val="en-US" w:eastAsia="zh-CN"/>
              </w:rPr>
              <w:t>14</w:t>
            </w:r>
            <w:r>
              <w:rPr>
                <w:rFonts w:hint="default" w:ascii="宋体" w:hAnsi="宋体" w:eastAsia="宋体" w:cs="宋体"/>
                <w:b/>
                <w:bCs/>
                <w:sz w:val="21"/>
                <w:szCs w:val="21"/>
                <w:lang w:val="en-US" w:eastAsia="zh-CN"/>
              </w:rPr>
              <w:t>分，每有一项缺项或漏项扣</w:t>
            </w:r>
            <w:r>
              <w:rPr>
                <w:rFonts w:hint="eastAsia" w:ascii="宋体" w:hAnsi="宋体" w:eastAsia="宋体" w:cs="宋体"/>
                <w:b/>
                <w:bCs/>
                <w:sz w:val="21"/>
                <w:szCs w:val="21"/>
                <w:lang w:val="en-US" w:eastAsia="zh-CN"/>
              </w:rPr>
              <w:t>2</w:t>
            </w:r>
            <w:r>
              <w:rPr>
                <w:rFonts w:hint="default" w:ascii="宋体" w:hAnsi="宋体" w:eastAsia="宋体" w:cs="宋体"/>
                <w:b/>
                <w:bCs/>
                <w:sz w:val="21"/>
                <w:szCs w:val="21"/>
                <w:lang w:val="en-US" w:eastAsia="zh-CN"/>
              </w:rPr>
              <w:t>分，每有一处缺陷扣1分，扣完为止。</w:t>
            </w:r>
          </w:p>
          <w:p w14:paraId="30AF3DDF">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02DBE4BD">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1811E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7" w:hRule="atLeast"/>
          <w:jc w:val="center"/>
        </w:trPr>
        <w:tc>
          <w:tcPr>
            <w:tcW w:w="415" w:type="pct"/>
            <w:vMerge w:val="continue"/>
            <w:vAlign w:val="center"/>
          </w:tcPr>
          <w:p w14:paraId="24E10105">
            <w:pPr>
              <w:pStyle w:val="47"/>
              <w:jc w:val="center"/>
              <w:rPr>
                <w:rFonts w:hint="eastAsia" w:ascii="宋体" w:hAnsi="宋体" w:eastAsia="宋体" w:cs="宋体"/>
                <w:i w:val="0"/>
                <w:iCs w:val="0"/>
                <w:color w:val="auto"/>
                <w:sz w:val="21"/>
                <w:szCs w:val="21"/>
                <w:highlight w:val="none"/>
              </w:rPr>
            </w:pPr>
          </w:p>
        </w:tc>
        <w:tc>
          <w:tcPr>
            <w:tcW w:w="838" w:type="pct"/>
            <w:vAlign w:val="center"/>
          </w:tcPr>
          <w:p w14:paraId="69144E03">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现场实施方案</w:t>
            </w:r>
          </w:p>
        </w:tc>
        <w:tc>
          <w:tcPr>
            <w:tcW w:w="794" w:type="pct"/>
            <w:vAlign w:val="center"/>
          </w:tcPr>
          <w:p w14:paraId="7922AA03">
            <w:pPr>
              <w:pStyle w:val="75"/>
              <w:widowControl w:val="0"/>
              <w:spacing w:line="360" w:lineRule="auto"/>
              <w:jc w:val="center"/>
              <w:rPr>
                <w:rFonts w:hint="eastAsia" w:ascii="宋体" w:hAnsi="宋体" w:eastAsia="宋体" w:cs="宋体"/>
                <w:i w:val="0"/>
                <w:iCs w:val="0"/>
                <w:color w:val="auto"/>
                <w:sz w:val="21"/>
                <w:szCs w:val="21"/>
                <w:highlight w:val="none"/>
              </w:rPr>
            </w:pPr>
            <w:r>
              <w:rPr>
                <w:rFonts w:hint="eastAsia" w:ascii="宋体" w:hAnsi="宋体" w:cs="宋体"/>
                <w:color w:val="auto"/>
                <w:sz w:val="21"/>
                <w:szCs w:val="21"/>
              </w:rPr>
              <w:t>1</w:t>
            </w:r>
            <w:r>
              <w:rPr>
                <w:rFonts w:hint="eastAsia" w:ascii="宋体" w:hAnsi="宋体" w:cs="宋体"/>
                <w:color w:val="auto"/>
                <w:sz w:val="21"/>
                <w:szCs w:val="21"/>
                <w:lang w:val="en-US" w:eastAsia="zh-CN"/>
              </w:rPr>
              <w:t>8</w:t>
            </w:r>
            <w:r>
              <w:rPr>
                <w:rFonts w:hint="eastAsia" w:ascii="宋体" w:hAnsi="宋体" w:cs="宋体"/>
                <w:color w:val="auto"/>
                <w:sz w:val="21"/>
                <w:szCs w:val="21"/>
              </w:rPr>
              <w:t>分</w:t>
            </w:r>
          </w:p>
        </w:tc>
        <w:tc>
          <w:tcPr>
            <w:tcW w:w="2951" w:type="pct"/>
            <w:vAlign w:val="center"/>
          </w:tcPr>
          <w:p w14:paraId="251A5FC8">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针对以下内容制定现场实施方案，包括</w:t>
            </w:r>
            <w:r>
              <w:rPr>
                <w:rFonts w:hint="eastAsia" w:ascii="宋体" w:hAnsi="宋体" w:cs="宋体"/>
                <w:color w:val="auto"/>
                <w:sz w:val="21"/>
                <w:szCs w:val="21"/>
                <w:lang w:val="en-US" w:eastAsia="zh-CN"/>
              </w:rPr>
              <w:t>：</w:t>
            </w:r>
          </w:p>
          <w:p w14:paraId="2E2396B0">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①场地安排</w:t>
            </w:r>
            <w:r>
              <w:rPr>
                <w:rFonts w:hint="eastAsia" w:ascii="宋体" w:hAnsi="宋体" w:cs="宋体"/>
                <w:color w:val="auto"/>
                <w:sz w:val="21"/>
                <w:szCs w:val="21"/>
                <w:lang w:val="en-US" w:eastAsia="zh-CN"/>
              </w:rPr>
              <w:t>；</w:t>
            </w:r>
          </w:p>
          <w:p w14:paraId="0CF052D4">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②</w:t>
            </w:r>
            <w:r>
              <w:rPr>
                <w:rFonts w:hint="default" w:ascii="宋体" w:hAnsi="宋体" w:eastAsia="宋体" w:cs="宋体"/>
                <w:color w:val="auto"/>
                <w:sz w:val="21"/>
                <w:szCs w:val="21"/>
                <w:lang w:val="en-US" w:eastAsia="zh-CN"/>
              </w:rPr>
              <w:t>现场相关设备</w:t>
            </w:r>
            <w:r>
              <w:rPr>
                <w:rFonts w:hint="eastAsia" w:ascii="宋体" w:hAnsi="宋体" w:cs="宋体"/>
                <w:color w:val="auto"/>
                <w:sz w:val="21"/>
                <w:szCs w:val="21"/>
                <w:lang w:val="en-US" w:eastAsia="zh-CN"/>
              </w:rPr>
              <w:t>；</w:t>
            </w:r>
          </w:p>
          <w:p w14:paraId="7776821D">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③</w:t>
            </w:r>
            <w:r>
              <w:rPr>
                <w:rFonts w:hint="default" w:ascii="宋体" w:hAnsi="宋体" w:eastAsia="宋体" w:cs="宋体"/>
                <w:color w:val="auto"/>
                <w:sz w:val="21"/>
                <w:szCs w:val="21"/>
                <w:lang w:val="en-US" w:eastAsia="zh-CN"/>
              </w:rPr>
              <w:t>现场把控与秩序</w:t>
            </w:r>
            <w:r>
              <w:rPr>
                <w:rFonts w:hint="eastAsia" w:ascii="宋体" w:hAnsi="宋体" w:cs="宋体"/>
                <w:color w:val="auto"/>
                <w:sz w:val="21"/>
                <w:szCs w:val="21"/>
                <w:lang w:val="en-US" w:eastAsia="zh-CN"/>
              </w:rPr>
              <w:t>；</w:t>
            </w:r>
          </w:p>
          <w:p w14:paraId="7645B635">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④</w:t>
            </w:r>
            <w:r>
              <w:rPr>
                <w:rFonts w:hint="default" w:ascii="宋体" w:hAnsi="宋体" w:eastAsia="宋体" w:cs="宋体"/>
                <w:color w:val="auto"/>
                <w:sz w:val="21"/>
                <w:szCs w:val="21"/>
                <w:lang w:val="en-US" w:eastAsia="zh-CN"/>
              </w:rPr>
              <w:t>求职者的简历及面试技巧</w:t>
            </w:r>
            <w:r>
              <w:rPr>
                <w:rFonts w:hint="eastAsia" w:ascii="宋体" w:hAnsi="宋体" w:cs="宋体"/>
                <w:color w:val="auto"/>
                <w:sz w:val="21"/>
                <w:szCs w:val="21"/>
                <w:lang w:val="en-US" w:eastAsia="zh-CN"/>
              </w:rPr>
              <w:t>；</w:t>
            </w:r>
          </w:p>
          <w:p w14:paraId="00FBF07E">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⑤</w:t>
            </w:r>
            <w:r>
              <w:rPr>
                <w:rFonts w:hint="default" w:ascii="宋体" w:hAnsi="宋体" w:eastAsia="宋体" w:cs="宋体"/>
                <w:color w:val="auto"/>
                <w:sz w:val="21"/>
                <w:szCs w:val="21"/>
                <w:lang w:val="en-US" w:eastAsia="zh-CN"/>
              </w:rPr>
              <w:t>求职者与企业的直接对话</w:t>
            </w:r>
            <w:r>
              <w:rPr>
                <w:rFonts w:hint="eastAsia" w:ascii="宋体" w:hAnsi="宋体" w:cs="宋体"/>
                <w:color w:val="auto"/>
                <w:sz w:val="21"/>
                <w:szCs w:val="21"/>
                <w:lang w:val="en-US" w:eastAsia="zh-CN"/>
              </w:rPr>
              <w:t>；</w:t>
            </w:r>
          </w:p>
          <w:p w14:paraId="6D9435A5">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⑥</w:t>
            </w:r>
            <w:r>
              <w:rPr>
                <w:rFonts w:hint="default" w:ascii="宋体" w:hAnsi="宋体" w:eastAsia="宋体" w:cs="宋体"/>
                <w:color w:val="auto"/>
                <w:sz w:val="21"/>
                <w:szCs w:val="21"/>
                <w:lang w:val="en-US" w:eastAsia="zh-CN"/>
              </w:rPr>
              <w:t>就业服务的相关专家库以及讲座</w:t>
            </w:r>
            <w:r>
              <w:rPr>
                <w:rFonts w:hint="eastAsia" w:ascii="宋体" w:hAnsi="宋体" w:cs="宋体"/>
                <w:color w:val="auto"/>
                <w:sz w:val="21"/>
                <w:szCs w:val="21"/>
                <w:lang w:val="en-US" w:eastAsia="zh-CN"/>
              </w:rPr>
              <w:t>；</w:t>
            </w:r>
          </w:p>
          <w:p w14:paraId="2029B3BE">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⑦</w:t>
            </w:r>
            <w:r>
              <w:rPr>
                <w:rFonts w:hint="default" w:ascii="宋体" w:hAnsi="宋体" w:eastAsia="宋体" w:cs="宋体"/>
                <w:color w:val="auto"/>
                <w:sz w:val="21"/>
                <w:szCs w:val="21"/>
                <w:lang w:val="en-US" w:eastAsia="zh-CN"/>
              </w:rPr>
              <w:t>政策的咨询与宣传</w:t>
            </w:r>
            <w:r>
              <w:rPr>
                <w:rFonts w:hint="eastAsia" w:ascii="宋体" w:hAnsi="宋体" w:cs="宋体"/>
                <w:color w:val="auto"/>
                <w:sz w:val="21"/>
                <w:szCs w:val="21"/>
                <w:lang w:val="en-US" w:eastAsia="zh-CN"/>
              </w:rPr>
              <w:t>；</w:t>
            </w:r>
          </w:p>
          <w:p w14:paraId="627C099C">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⑧</w:t>
            </w:r>
            <w:r>
              <w:rPr>
                <w:rFonts w:hint="default" w:ascii="宋体" w:hAnsi="宋体" w:eastAsia="宋体" w:cs="宋体"/>
                <w:color w:val="auto"/>
                <w:sz w:val="21"/>
                <w:szCs w:val="21"/>
                <w:lang w:val="en-US" w:eastAsia="zh-CN"/>
              </w:rPr>
              <w:t>现场招聘成果分析</w:t>
            </w:r>
            <w:r>
              <w:rPr>
                <w:rFonts w:hint="eastAsia" w:ascii="宋体" w:hAnsi="宋体" w:cs="宋体"/>
                <w:color w:val="auto"/>
                <w:sz w:val="21"/>
                <w:szCs w:val="21"/>
                <w:lang w:val="en-US" w:eastAsia="zh-CN"/>
              </w:rPr>
              <w:t>；</w:t>
            </w:r>
          </w:p>
          <w:p w14:paraId="7E4524F7">
            <w:pPr>
              <w:pStyle w:val="74"/>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⑨</w:t>
            </w:r>
            <w:r>
              <w:rPr>
                <w:rFonts w:hint="default" w:ascii="宋体" w:hAnsi="宋体" w:eastAsia="宋体" w:cs="宋体"/>
                <w:color w:val="auto"/>
                <w:sz w:val="21"/>
                <w:szCs w:val="21"/>
                <w:lang w:val="en-US" w:eastAsia="zh-CN"/>
              </w:rPr>
              <w:t>现场执行方案和应急预案</w:t>
            </w:r>
            <w:r>
              <w:rPr>
                <w:rFonts w:hint="eastAsia" w:ascii="宋体" w:hAnsi="宋体" w:eastAsia="宋体" w:cs="宋体"/>
                <w:color w:val="auto"/>
                <w:sz w:val="21"/>
                <w:szCs w:val="21"/>
                <w:lang w:val="en-US" w:eastAsia="zh-CN"/>
              </w:rPr>
              <w:t>等。</w:t>
            </w:r>
          </w:p>
          <w:p w14:paraId="7EADE4DB">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其方案内容无缺项且满足实际情况无缺陷的得1</w:t>
            </w:r>
            <w:r>
              <w:rPr>
                <w:rFonts w:hint="eastAsia" w:cs="宋体"/>
                <w:b/>
                <w:bCs/>
                <w:sz w:val="21"/>
                <w:szCs w:val="21"/>
                <w:lang w:val="en-US" w:eastAsia="zh-CN"/>
              </w:rPr>
              <w:t>8</w:t>
            </w:r>
            <w:r>
              <w:rPr>
                <w:rFonts w:hint="default" w:ascii="宋体" w:hAnsi="宋体" w:eastAsia="宋体" w:cs="宋体"/>
                <w:b/>
                <w:bCs/>
                <w:sz w:val="21"/>
                <w:szCs w:val="21"/>
                <w:lang w:val="en-US" w:eastAsia="zh-CN"/>
              </w:rPr>
              <w:t>分，每有一项缺项或漏项扣</w:t>
            </w:r>
            <w:r>
              <w:rPr>
                <w:rFonts w:hint="eastAsia" w:ascii="宋体" w:hAnsi="宋体" w:eastAsia="宋体" w:cs="宋体"/>
                <w:b/>
                <w:bCs/>
                <w:sz w:val="21"/>
                <w:szCs w:val="21"/>
                <w:lang w:val="en-US" w:eastAsia="zh-CN"/>
              </w:rPr>
              <w:t>2</w:t>
            </w:r>
            <w:r>
              <w:rPr>
                <w:rFonts w:hint="default" w:ascii="宋体" w:hAnsi="宋体" w:eastAsia="宋体" w:cs="宋体"/>
                <w:b/>
                <w:bCs/>
                <w:sz w:val="21"/>
                <w:szCs w:val="21"/>
                <w:lang w:val="en-US" w:eastAsia="zh-CN"/>
              </w:rPr>
              <w:t>分，每有一处缺陷扣1分，扣完为止。</w:t>
            </w:r>
          </w:p>
          <w:p w14:paraId="07746BA5">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2988E5BF">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58C0B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9" w:hRule="atLeast"/>
          <w:jc w:val="center"/>
        </w:trPr>
        <w:tc>
          <w:tcPr>
            <w:tcW w:w="415" w:type="pct"/>
            <w:vMerge w:val="continue"/>
            <w:vAlign w:val="center"/>
          </w:tcPr>
          <w:p w14:paraId="6BC81CA5">
            <w:pPr>
              <w:pStyle w:val="47"/>
              <w:jc w:val="center"/>
              <w:rPr>
                <w:rFonts w:hint="eastAsia" w:ascii="宋体" w:hAnsi="宋体" w:eastAsia="宋体" w:cs="宋体"/>
                <w:i w:val="0"/>
                <w:iCs w:val="0"/>
                <w:color w:val="auto"/>
                <w:sz w:val="21"/>
                <w:szCs w:val="21"/>
                <w:highlight w:val="none"/>
              </w:rPr>
            </w:pPr>
          </w:p>
        </w:tc>
        <w:tc>
          <w:tcPr>
            <w:tcW w:w="838" w:type="pct"/>
            <w:vAlign w:val="center"/>
          </w:tcPr>
          <w:p w14:paraId="4FF5A0D7">
            <w:pPr>
              <w:pStyle w:val="74"/>
              <w:spacing w:line="300" w:lineRule="exac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lang w:val="en-US" w:eastAsia="zh-CN"/>
              </w:rPr>
              <w:t>后期服务方案</w:t>
            </w:r>
          </w:p>
        </w:tc>
        <w:tc>
          <w:tcPr>
            <w:tcW w:w="794" w:type="pct"/>
            <w:vAlign w:val="center"/>
          </w:tcPr>
          <w:p w14:paraId="124035BA">
            <w:pPr>
              <w:widowControl/>
              <w:jc w:val="center"/>
              <w:rPr>
                <w:rFonts w:hint="eastAsia" w:ascii="宋体" w:hAnsi="宋体" w:eastAsia="宋体" w:cs="宋体"/>
                <w:i w:val="0"/>
                <w:iCs w:val="0"/>
                <w:color w:val="auto"/>
                <w:sz w:val="21"/>
                <w:szCs w:val="21"/>
                <w:highlight w:val="none"/>
                <w:lang w:val="en-US" w:eastAsia="zh-CN"/>
              </w:rPr>
            </w:pPr>
            <w:r>
              <w:rPr>
                <w:rFonts w:hint="eastAsia" w:ascii="Times New Roman" w:hAnsi="Times New Roman" w:cs="Times New Roman"/>
                <w:kern w:val="0"/>
                <w:sz w:val="21"/>
                <w:szCs w:val="21"/>
                <w:lang w:val="en-US" w:eastAsia="zh-CN"/>
              </w:rPr>
              <w:t>9</w:t>
            </w:r>
            <w:r>
              <w:rPr>
                <w:rFonts w:ascii="Times New Roman" w:hAnsi="Times New Roman" w:cs="Times New Roman"/>
                <w:kern w:val="0"/>
                <w:sz w:val="21"/>
                <w:szCs w:val="21"/>
              </w:rPr>
              <w:t>分</w:t>
            </w:r>
          </w:p>
        </w:tc>
        <w:tc>
          <w:tcPr>
            <w:tcW w:w="2951" w:type="pct"/>
            <w:vAlign w:val="center"/>
          </w:tcPr>
          <w:p w14:paraId="7CA9E1E0">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针对以下内容制定</w:t>
            </w:r>
            <w:r>
              <w:rPr>
                <w:rFonts w:hint="eastAsia" w:ascii="宋体" w:hAnsi="宋体" w:eastAsia="宋体" w:cs="宋体"/>
                <w:i w:val="0"/>
                <w:iCs w:val="0"/>
                <w:color w:val="auto"/>
                <w:sz w:val="21"/>
                <w:szCs w:val="21"/>
                <w:highlight w:val="none"/>
                <w:lang w:val="en-US" w:eastAsia="zh-CN"/>
              </w:rPr>
              <w:t>后期服务方案</w:t>
            </w:r>
            <w:r>
              <w:rPr>
                <w:rFonts w:hint="eastAsia" w:ascii="宋体" w:hAnsi="宋体" w:eastAsia="宋体" w:cs="宋体"/>
                <w:color w:val="auto"/>
                <w:sz w:val="21"/>
                <w:szCs w:val="21"/>
                <w:lang w:val="en-US" w:eastAsia="zh-CN"/>
              </w:rPr>
              <w:t>，包括</w:t>
            </w:r>
            <w:r>
              <w:rPr>
                <w:rFonts w:hint="eastAsia" w:ascii="宋体" w:hAnsi="宋体" w:cs="宋体"/>
                <w:color w:val="auto"/>
                <w:sz w:val="21"/>
                <w:szCs w:val="21"/>
                <w:lang w:val="en-US" w:eastAsia="zh-CN"/>
              </w:rPr>
              <w:t>：</w:t>
            </w:r>
          </w:p>
          <w:p w14:paraId="732FB362">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①</w:t>
            </w:r>
            <w:r>
              <w:rPr>
                <w:rFonts w:hint="default" w:ascii="宋体" w:hAnsi="宋体" w:eastAsia="宋体" w:cs="宋体"/>
                <w:color w:val="auto"/>
                <w:sz w:val="21"/>
                <w:szCs w:val="21"/>
                <w:lang w:val="en-US" w:eastAsia="zh-CN"/>
              </w:rPr>
              <w:t>收集整理招聘会的成果资料</w:t>
            </w:r>
            <w:r>
              <w:rPr>
                <w:rFonts w:hint="eastAsia" w:ascii="宋体" w:hAnsi="宋体" w:cs="宋体"/>
                <w:color w:val="auto"/>
                <w:sz w:val="21"/>
                <w:szCs w:val="21"/>
                <w:lang w:val="en-US" w:eastAsia="zh-CN"/>
              </w:rPr>
              <w:t>；</w:t>
            </w:r>
          </w:p>
          <w:p w14:paraId="1AF0E7E5">
            <w:pPr>
              <w:pStyle w:val="74"/>
              <w:spacing w:line="300" w:lineRule="exact"/>
              <w:rPr>
                <w:rFonts w:hint="eastAsia" w:ascii="宋体" w:hAnsi="宋体" w:cs="宋体"/>
                <w:color w:val="auto"/>
                <w:sz w:val="21"/>
                <w:szCs w:val="21"/>
                <w:lang w:val="en-US" w:eastAsia="zh-CN"/>
              </w:rPr>
            </w:pPr>
            <w:r>
              <w:rPr>
                <w:rFonts w:hint="eastAsia" w:ascii="宋体" w:hAnsi="宋体" w:eastAsia="宋体" w:cs="宋体"/>
                <w:color w:val="auto"/>
                <w:sz w:val="21"/>
                <w:szCs w:val="21"/>
                <w:lang w:val="en-US" w:eastAsia="zh-CN"/>
              </w:rPr>
              <w:t>②制作招聘会影像资料</w:t>
            </w:r>
            <w:r>
              <w:rPr>
                <w:rFonts w:hint="eastAsia" w:ascii="宋体" w:hAnsi="宋体" w:cs="宋体"/>
                <w:color w:val="auto"/>
                <w:sz w:val="21"/>
                <w:szCs w:val="21"/>
                <w:lang w:val="en-US" w:eastAsia="zh-CN"/>
              </w:rPr>
              <w:t>；</w:t>
            </w:r>
          </w:p>
          <w:p w14:paraId="2ABA2FF8">
            <w:pPr>
              <w:pStyle w:val="74"/>
              <w:spacing w:line="300" w:lineRule="exact"/>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③</w:t>
            </w:r>
            <w:r>
              <w:rPr>
                <w:rFonts w:hint="default" w:ascii="宋体" w:hAnsi="宋体" w:eastAsia="宋体" w:cs="宋体"/>
                <w:color w:val="auto"/>
                <w:sz w:val="21"/>
                <w:szCs w:val="21"/>
                <w:lang w:val="en-US" w:eastAsia="zh-CN"/>
              </w:rPr>
              <w:t>回访企业的招聘情况以及求职者的求职情况</w:t>
            </w:r>
            <w:r>
              <w:rPr>
                <w:rFonts w:hint="eastAsia" w:ascii="宋体" w:hAnsi="宋体" w:eastAsia="宋体" w:cs="宋体"/>
                <w:color w:val="auto"/>
                <w:sz w:val="21"/>
                <w:szCs w:val="21"/>
                <w:lang w:val="en-US" w:eastAsia="zh-CN"/>
              </w:rPr>
              <w:t>等。</w:t>
            </w:r>
          </w:p>
          <w:p w14:paraId="69807D48">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w:t>
            </w:r>
            <w:r>
              <w:rPr>
                <w:rFonts w:hint="eastAsia" w:cs="宋体"/>
                <w:b/>
                <w:bCs/>
                <w:sz w:val="21"/>
                <w:szCs w:val="21"/>
                <w:lang w:val="en-US" w:eastAsia="zh-CN"/>
              </w:rPr>
              <w:t>9</w:t>
            </w:r>
            <w:r>
              <w:rPr>
                <w:rFonts w:hint="default" w:ascii="宋体" w:hAnsi="宋体" w:eastAsia="宋体" w:cs="宋体"/>
                <w:b/>
                <w:bCs/>
                <w:sz w:val="21"/>
                <w:szCs w:val="21"/>
                <w:lang w:val="en-US" w:eastAsia="zh-CN"/>
              </w:rPr>
              <w:t>分，每有一项缺项或漏项扣</w:t>
            </w:r>
            <w:r>
              <w:rPr>
                <w:rFonts w:hint="eastAsia" w:ascii="宋体" w:hAnsi="宋体" w:eastAsia="宋体" w:cs="宋体"/>
                <w:b/>
                <w:bCs/>
                <w:sz w:val="21"/>
                <w:szCs w:val="21"/>
                <w:lang w:val="en-US" w:eastAsia="zh-CN"/>
              </w:rPr>
              <w:t>3</w:t>
            </w:r>
            <w:r>
              <w:rPr>
                <w:rFonts w:hint="default" w:ascii="宋体" w:hAnsi="宋体" w:eastAsia="宋体" w:cs="宋体"/>
                <w:b/>
                <w:bCs/>
                <w:sz w:val="21"/>
                <w:szCs w:val="21"/>
                <w:lang w:val="en-US" w:eastAsia="zh-CN"/>
              </w:rPr>
              <w:t>分，每有一处缺陷扣1分，扣完为止。</w:t>
            </w:r>
          </w:p>
          <w:p w14:paraId="21B0E1F0">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703726D4">
            <w:pPr>
              <w:pStyle w:val="74"/>
              <w:spacing w:line="300" w:lineRule="exac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349B4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20" w:hRule="atLeast"/>
          <w:jc w:val="center"/>
        </w:trPr>
        <w:tc>
          <w:tcPr>
            <w:tcW w:w="415" w:type="pct"/>
            <w:vMerge w:val="continue"/>
            <w:vAlign w:val="center"/>
          </w:tcPr>
          <w:p w14:paraId="0520050F">
            <w:pPr>
              <w:pStyle w:val="47"/>
              <w:jc w:val="center"/>
              <w:rPr>
                <w:rFonts w:hint="eastAsia" w:ascii="宋体" w:hAnsi="宋体" w:eastAsia="宋体" w:cs="宋体"/>
                <w:i w:val="0"/>
                <w:iCs w:val="0"/>
                <w:color w:val="auto"/>
                <w:sz w:val="21"/>
                <w:szCs w:val="21"/>
                <w:highlight w:val="none"/>
              </w:rPr>
            </w:pPr>
          </w:p>
        </w:tc>
        <w:tc>
          <w:tcPr>
            <w:tcW w:w="838" w:type="pct"/>
            <w:vAlign w:val="center"/>
          </w:tcPr>
          <w:p w14:paraId="4009041A">
            <w:pPr>
              <w:pStyle w:val="74"/>
              <w:spacing w:line="300" w:lineRule="exact"/>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售后服务的承诺</w:t>
            </w:r>
          </w:p>
        </w:tc>
        <w:tc>
          <w:tcPr>
            <w:tcW w:w="794" w:type="pct"/>
            <w:vAlign w:val="center"/>
          </w:tcPr>
          <w:p w14:paraId="56908100">
            <w:pPr>
              <w:pStyle w:val="74"/>
              <w:spacing w:line="300" w:lineRule="exact"/>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6分</w:t>
            </w:r>
          </w:p>
        </w:tc>
        <w:tc>
          <w:tcPr>
            <w:tcW w:w="2951" w:type="pct"/>
            <w:vAlign w:val="center"/>
          </w:tcPr>
          <w:p w14:paraId="10BB1E6C">
            <w:pPr>
              <w:pStyle w:val="74"/>
              <w:spacing w:line="30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供应商提供针对本项目的服务承诺:</w:t>
            </w:r>
          </w:p>
          <w:p w14:paraId="718CE2D4">
            <w:pPr>
              <w:pStyle w:val="74"/>
              <w:spacing w:line="30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①确保该项目数据的真实性；</w:t>
            </w:r>
          </w:p>
          <w:p w14:paraId="78FBB8F7">
            <w:pPr>
              <w:pStyle w:val="74"/>
              <w:spacing w:line="30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②提供每场招聘会的成果资料时间的承诺。</w:t>
            </w:r>
          </w:p>
          <w:p w14:paraId="317EC0B4">
            <w:pPr>
              <w:pStyle w:val="74"/>
              <w:spacing w:line="300" w:lineRule="exact"/>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color w:val="auto"/>
                <w:kern w:val="0"/>
                <w:sz w:val="21"/>
                <w:szCs w:val="21"/>
                <w:lang w:val="en-US" w:eastAsia="zh-CN" w:bidi="ar-SA"/>
              </w:rPr>
              <w:t>服务承诺需完整且对于本项目具有针对性，每提供一项得3分，满分得6分</w:t>
            </w:r>
            <w:r>
              <w:rPr>
                <w:rFonts w:hint="eastAsia" w:ascii="宋体" w:hAnsi="宋体" w:cs="宋体"/>
                <w:color w:val="auto"/>
                <w:kern w:val="0"/>
                <w:sz w:val="21"/>
                <w:szCs w:val="21"/>
                <w:lang w:val="en-US" w:eastAsia="zh-CN" w:bidi="ar-SA"/>
              </w:rPr>
              <w:t>。</w:t>
            </w:r>
          </w:p>
        </w:tc>
      </w:tr>
      <w:tr w14:paraId="5D570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9" w:hRule="atLeast"/>
          <w:jc w:val="center"/>
        </w:trPr>
        <w:tc>
          <w:tcPr>
            <w:tcW w:w="415" w:type="pct"/>
            <w:vMerge w:val="continue"/>
            <w:vAlign w:val="center"/>
          </w:tcPr>
          <w:p w14:paraId="18581F40">
            <w:pPr>
              <w:pStyle w:val="47"/>
              <w:jc w:val="center"/>
              <w:rPr>
                <w:rFonts w:hint="eastAsia" w:ascii="宋体" w:hAnsi="宋体" w:eastAsia="宋体" w:cs="宋体"/>
                <w:i w:val="0"/>
                <w:iCs w:val="0"/>
                <w:color w:val="auto"/>
                <w:sz w:val="21"/>
                <w:szCs w:val="21"/>
                <w:highlight w:val="none"/>
              </w:rPr>
            </w:pPr>
          </w:p>
        </w:tc>
        <w:tc>
          <w:tcPr>
            <w:tcW w:w="838" w:type="pct"/>
            <w:vAlign w:val="center"/>
          </w:tcPr>
          <w:p w14:paraId="150BD649">
            <w:pPr>
              <w:pStyle w:val="74"/>
              <w:spacing w:line="300" w:lineRule="exact"/>
              <w:jc w:val="center"/>
              <w:rPr>
                <w:rFonts w:hint="default"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安全保证措施及应急预案</w:t>
            </w:r>
          </w:p>
        </w:tc>
        <w:tc>
          <w:tcPr>
            <w:tcW w:w="794" w:type="pct"/>
            <w:vAlign w:val="center"/>
          </w:tcPr>
          <w:p w14:paraId="08DF4D17">
            <w:pPr>
              <w:pStyle w:val="74"/>
              <w:spacing w:line="300" w:lineRule="exact"/>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8分</w:t>
            </w:r>
          </w:p>
        </w:tc>
        <w:tc>
          <w:tcPr>
            <w:tcW w:w="2951" w:type="pct"/>
            <w:vAlign w:val="center"/>
          </w:tcPr>
          <w:p w14:paraId="5B629F11">
            <w:pPr>
              <w:pStyle w:val="74"/>
              <w:spacing w:line="30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供应商针对本项目提供的安全保证措施及应急预案，内容包含但不限于：</w:t>
            </w:r>
          </w:p>
          <w:p w14:paraId="6006CC0F">
            <w:pPr>
              <w:pStyle w:val="74"/>
              <w:spacing w:line="300" w:lineRule="exact"/>
              <w:rPr>
                <w:rFonts w:hint="eastAsia" w:ascii="宋体" w:hAnsi="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①保密管理制度</w:t>
            </w:r>
            <w:r>
              <w:rPr>
                <w:rFonts w:hint="eastAsia" w:ascii="宋体" w:hAnsi="宋体" w:cs="宋体"/>
                <w:color w:val="auto"/>
                <w:kern w:val="0"/>
                <w:sz w:val="21"/>
                <w:szCs w:val="21"/>
                <w:lang w:val="en-US" w:eastAsia="zh-CN" w:bidi="ar-SA"/>
              </w:rPr>
              <w:t>；</w:t>
            </w:r>
          </w:p>
          <w:p w14:paraId="16508628">
            <w:pPr>
              <w:pStyle w:val="74"/>
              <w:spacing w:line="300" w:lineRule="exact"/>
              <w:rPr>
                <w:rFonts w:hint="eastAsia" w:ascii="宋体" w:hAnsi="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②突发公共安全事件应急预案</w:t>
            </w:r>
            <w:r>
              <w:rPr>
                <w:rFonts w:hint="eastAsia" w:ascii="宋体" w:hAnsi="宋体" w:cs="宋体"/>
                <w:color w:val="auto"/>
                <w:kern w:val="0"/>
                <w:sz w:val="21"/>
                <w:szCs w:val="21"/>
                <w:lang w:val="en-US" w:eastAsia="zh-CN" w:bidi="ar-SA"/>
              </w:rPr>
              <w:t>；</w:t>
            </w:r>
          </w:p>
          <w:p w14:paraId="47016F69">
            <w:pPr>
              <w:pStyle w:val="74"/>
              <w:spacing w:line="300" w:lineRule="exact"/>
              <w:rPr>
                <w:rFonts w:hint="eastAsia" w:ascii="宋体" w:hAnsi="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③突发公共卫生事件应急预案</w:t>
            </w:r>
            <w:r>
              <w:rPr>
                <w:rFonts w:hint="eastAsia" w:ascii="宋体" w:hAnsi="宋体" w:cs="宋体"/>
                <w:color w:val="auto"/>
                <w:kern w:val="0"/>
                <w:sz w:val="21"/>
                <w:szCs w:val="21"/>
                <w:lang w:val="en-US" w:eastAsia="zh-CN" w:bidi="ar-SA"/>
              </w:rPr>
              <w:t>；</w:t>
            </w:r>
          </w:p>
          <w:p w14:paraId="73EFD073">
            <w:pPr>
              <w:pStyle w:val="74"/>
              <w:spacing w:line="300" w:lineRule="exact"/>
              <w:rPr>
                <w:rFonts w:hint="eastAsia" w:ascii="宋体" w:hAnsi="宋体" w:eastAsia="宋体" w:cs="宋体"/>
                <w:color w:val="auto"/>
                <w:kern w:val="0"/>
                <w:sz w:val="21"/>
                <w:szCs w:val="21"/>
                <w:lang w:val="en-US" w:eastAsia="zh-CN" w:bidi="ar-SA"/>
              </w:rPr>
            </w:pPr>
            <w:r>
              <w:rPr>
                <w:rFonts w:hint="eastAsia" w:ascii="宋体" w:hAnsi="宋体" w:eastAsia="宋体" w:cs="宋体"/>
                <w:color w:val="auto"/>
                <w:kern w:val="0"/>
                <w:sz w:val="21"/>
                <w:szCs w:val="21"/>
                <w:lang w:val="en-US" w:eastAsia="zh-CN" w:bidi="ar-SA"/>
              </w:rPr>
              <w:t>④突发公共言论事件等。</w:t>
            </w:r>
          </w:p>
          <w:p w14:paraId="0E5BFBC7">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其方案内容无缺项且满足实际情况无缺陷的得</w:t>
            </w:r>
            <w:r>
              <w:rPr>
                <w:rFonts w:hint="eastAsia" w:cs="宋体"/>
                <w:b/>
                <w:bCs/>
                <w:sz w:val="21"/>
                <w:szCs w:val="21"/>
                <w:lang w:val="en-US" w:eastAsia="zh-CN"/>
              </w:rPr>
              <w:t>8</w:t>
            </w:r>
            <w:r>
              <w:rPr>
                <w:rFonts w:hint="default" w:ascii="宋体" w:hAnsi="宋体" w:eastAsia="宋体" w:cs="宋体"/>
                <w:b/>
                <w:bCs/>
                <w:sz w:val="21"/>
                <w:szCs w:val="21"/>
                <w:lang w:val="en-US" w:eastAsia="zh-CN"/>
              </w:rPr>
              <w:t>分，每有一项缺项或漏项扣</w:t>
            </w:r>
            <w:r>
              <w:rPr>
                <w:rFonts w:hint="eastAsia" w:cs="宋体"/>
                <w:b/>
                <w:bCs/>
                <w:sz w:val="21"/>
                <w:szCs w:val="21"/>
                <w:lang w:val="en-US" w:eastAsia="zh-CN"/>
              </w:rPr>
              <w:t>2</w:t>
            </w:r>
            <w:r>
              <w:rPr>
                <w:rFonts w:hint="default" w:ascii="宋体" w:hAnsi="宋体" w:eastAsia="宋体" w:cs="宋体"/>
                <w:b/>
                <w:bCs/>
                <w:sz w:val="21"/>
                <w:szCs w:val="21"/>
                <w:lang w:val="en-US" w:eastAsia="zh-CN"/>
              </w:rPr>
              <w:t>分，每有一处缺陷扣</w:t>
            </w:r>
            <w:r>
              <w:rPr>
                <w:rFonts w:hint="eastAsia" w:cs="宋体"/>
                <w:b/>
                <w:bCs/>
                <w:sz w:val="21"/>
                <w:szCs w:val="21"/>
                <w:lang w:val="en-US" w:eastAsia="zh-CN"/>
              </w:rPr>
              <w:t>1</w:t>
            </w:r>
            <w:r>
              <w:rPr>
                <w:rFonts w:hint="default" w:ascii="宋体" w:hAnsi="宋体" w:eastAsia="宋体" w:cs="宋体"/>
                <w:b/>
                <w:bCs/>
                <w:sz w:val="21"/>
                <w:szCs w:val="21"/>
                <w:lang w:val="en-US" w:eastAsia="zh-CN"/>
              </w:rPr>
              <w:t>分，扣完为止。</w:t>
            </w:r>
          </w:p>
          <w:p w14:paraId="52544AE1">
            <w:pPr>
              <w:keepNext w:val="0"/>
              <w:keepLines w:val="0"/>
              <w:pageBreakBefore w:val="0"/>
              <w:suppressLineNumbers w:val="0"/>
              <w:kinsoku/>
              <w:wordWrap/>
              <w:overflowPunct/>
              <w:topLinePunct w:val="0"/>
              <w:bidi w:val="0"/>
              <w:spacing w:before="0" w:beforeAutospacing="0" w:after="0" w:afterAutospacing="0" w:line="240" w:lineRule="auto"/>
              <w:ind w:left="0" w:leftChars="0" w:right="0" w:right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 xml:space="preserve">说明：（1）“不满足实际情况”是指：存在内容脱离实际情况不可能实施或套用其他项目方案或引用科学原理错误或项目名称、实施地点、涉及的规范、技术服务标准要求与本项目不一致的任一情形； </w:t>
            </w:r>
          </w:p>
          <w:p w14:paraId="51D5815B">
            <w:pPr>
              <w:pStyle w:val="74"/>
              <w:spacing w:line="300" w:lineRule="exact"/>
              <w:rPr>
                <w:rFonts w:ascii="Times New Roman" w:hAnsi="Times New Roman" w:cs="Times New Roman"/>
                <w:sz w:val="21"/>
                <w:szCs w:val="21"/>
              </w:rPr>
            </w:pPr>
            <w:r>
              <w:rPr>
                <w:rFonts w:hint="eastAsia" w:ascii="宋体" w:hAnsi="宋体" w:eastAsia="宋体" w:cs="宋体"/>
                <w:b/>
                <w:bCs/>
                <w:sz w:val="21"/>
                <w:szCs w:val="21"/>
                <w:lang w:val="en-US" w:eastAsia="zh-CN"/>
              </w:rPr>
              <w:t>（2）“缺陷”是指：</w:t>
            </w:r>
            <w:r>
              <w:rPr>
                <w:rFonts w:hint="default" w:ascii="宋体" w:hAnsi="宋体" w:eastAsia="宋体" w:cs="宋体"/>
                <w:b/>
                <w:bCs/>
                <w:sz w:val="21"/>
                <w:szCs w:val="21"/>
                <w:lang w:val="en-US" w:eastAsia="zh-CN"/>
              </w:rPr>
              <w:t>前后内容不一致、存在凭空编造、前后逻辑错误、 涉及的规范及标准错误、项目名称或实施地点区域错误、内容简略或与本项目无关等任意一种情形等</w:t>
            </w:r>
            <w:r>
              <w:rPr>
                <w:rFonts w:hint="eastAsia" w:ascii="宋体" w:hAnsi="宋体" w:eastAsia="宋体" w:cs="宋体"/>
                <w:b/>
                <w:bCs/>
                <w:sz w:val="21"/>
                <w:szCs w:val="21"/>
                <w:lang w:val="en-US" w:eastAsia="zh-CN"/>
              </w:rPr>
              <w:t>。</w:t>
            </w:r>
          </w:p>
        </w:tc>
      </w:tr>
      <w:tr w14:paraId="10782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5" w:hRule="atLeast"/>
          <w:jc w:val="center"/>
        </w:trPr>
        <w:tc>
          <w:tcPr>
            <w:tcW w:w="1253" w:type="pct"/>
            <w:gridSpan w:val="2"/>
            <w:vAlign w:val="center"/>
          </w:tcPr>
          <w:p w14:paraId="1F1436FF">
            <w:pPr>
              <w:pStyle w:val="47"/>
              <w:jc w:val="center"/>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sz w:val="21"/>
                <w:szCs w:val="21"/>
                <w:highlight w:val="none"/>
              </w:rPr>
              <w:t>合计</w:t>
            </w:r>
          </w:p>
        </w:tc>
        <w:tc>
          <w:tcPr>
            <w:tcW w:w="794" w:type="pct"/>
            <w:tcBorders>
              <w:bottom w:val="single" w:color="auto" w:sz="4" w:space="0"/>
            </w:tcBorders>
            <w:vAlign w:val="center"/>
          </w:tcPr>
          <w:p w14:paraId="2C7F1184">
            <w:pPr>
              <w:pStyle w:val="47"/>
              <w:jc w:val="center"/>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rPr>
              <w:fldChar w:fldCharType="begin"/>
            </w:r>
            <w:r>
              <w:rPr>
                <w:rFonts w:hint="eastAsia" w:ascii="宋体" w:hAnsi="宋体" w:eastAsia="宋体" w:cs="宋体"/>
                <w:i w:val="0"/>
                <w:iCs w:val="0"/>
                <w:color w:val="auto"/>
                <w:sz w:val="21"/>
                <w:szCs w:val="21"/>
                <w:highlight w:val="none"/>
              </w:rPr>
              <w:instrText xml:space="preserve"> =SUM(ABOVE) </w:instrText>
            </w:r>
            <w:r>
              <w:rPr>
                <w:rFonts w:hint="eastAsia" w:ascii="宋体" w:hAnsi="宋体" w:eastAsia="宋体" w:cs="宋体"/>
                <w:i w:val="0"/>
                <w:iCs w:val="0"/>
                <w:color w:val="auto"/>
                <w:sz w:val="21"/>
                <w:szCs w:val="21"/>
                <w:highlight w:val="none"/>
              </w:rPr>
              <w:fldChar w:fldCharType="separate"/>
            </w:r>
            <w:r>
              <w:rPr>
                <w:rFonts w:hint="eastAsia" w:ascii="宋体" w:hAnsi="宋体" w:eastAsia="宋体" w:cs="宋体"/>
                <w:i w:val="0"/>
                <w:iCs w:val="0"/>
                <w:color w:val="auto"/>
                <w:sz w:val="21"/>
                <w:szCs w:val="21"/>
                <w:highlight w:val="none"/>
              </w:rPr>
              <w:t>100</w:t>
            </w:r>
            <w:r>
              <w:rPr>
                <w:rFonts w:hint="eastAsia" w:ascii="宋体" w:hAnsi="宋体" w:eastAsia="宋体" w:cs="宋体"/>
                <w:i w:val="0"/>
                <w:iCs w:val="0"/>
                <w:color w:val="auto"/>
                <w:sz w:val="21"/>
                <w:szCs w:val="21"/>
                <w:highlight w:val="none"/>
              </w:rPr>
              <w:fldChar w:fldCharType="end"/>
            </w:r>
            <w:r>
              <w:rPr>
                <w:rFonts w:hint="eastAsia" w:ascii="宋体" w:hAnsi="宋体" w:eastAsia="宋体" w:cs="宋体"/>
                <w:i w:val="0"/>
                <w:iCs w:val="0"/>
                <w:color w:val="auto"/>
                <w:sz w:val="21"/>
                <w:szCs w:val="21"/>
                <w:highlight w:val="none"/>
                <w:lang w:val="en-US" w:eastAsia="zh-CN"/>
              </w:rPr>
              <w:t>分</w:t>
            </w:r>
          </w:p>
        </w:tc>
        <w:tc>
          <w:tcPr>
            <w:tcW w:w="2951" w:type="pct"/>
            <w:tcBorders>
              <w:bottom w:val="single" w:color="auto" w:sz="4" w:space="0"/>
            </w:tcBorders>
            <w:vAlign w:val="center"/>
          </w:tcPr>
          <w:p w14:paraId="7EBD69F8">
            <w:pPr>
              <w:pStyle w:val="47"/>
              <w:rPr>
                <w:rFonts w:hint="eastAsia" w:ascii="宋体" w:hAnsi="宋体" w:eastAsia="宋体" w:cs="宋体"/>
                <w:i w:val="0"/>
                <w:iCs w:val="0"/>
                <w:color w:val="auto"/>
                <w:sz w:val="21"/>
                <w:szCs w:val="21"/>
                <w:highlight w:val="none"/>
              </w:rPr>
            </w:pPr>
          </w:p>
        </w:tc>
      </w:tr>
    </w:tbl>
    <w:p w14:paraId="1E94AF06">
      <w:pPr>
        <w:pStyle w:val="29"/>
        <w:spacing w:after="0" w:line="360" w:lineRule="auto"/>
        <w:ind w:firstLine="550" w:firstLineChars="250"/>
        <w:rPr>
          <w:rFonts w:hint="eastAsia" w:ascii="宋体" w:hAnsi="宋体" w:eastAsia="宋体" w:cs="宋体"/>
          <w:color w:val="auto"/>
          <w:sz w:val="22"/>
          <w:szCs w:val="22"/>
          <w:highlight w:val="none"/>
          <w:lang w:val="en-US" w:eastAsia="zh-CN"/>
        </w:rPr>
      </w:pPr>
      <w:bookmarkStart w:id="460" w:name="_Toc383"/>
      <w:r>
        <w:rPr>
          <w:rFonts w:hint="eastAsia" w:ascii="宋体" w:hAnsi="宋体" w:eastAsia="宋体" w:cs="宋体"/>
          <w:color w:val="auto"/>
          <w:sz w:val="22"/>
          <w:szCs w:val="22"/>
          <w:highlight w:val="none"/>
          <w:lang w:val="en-US" w:eastAsia="zh-CN"/>
        </w:rPr>
        <w:t>注：</w:t>
      </w:r>
    </w:p>
    <w:p w14:paraId="19C47BA7">
      <w:pPr>
        <w:pStyle w:val="29"/>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lang w:val="en-US" w:eastAsia="zh-CN"/>
        </w:rPr>
        <w:t>1.</w:t>
      </w:r>
      <w:r>
        <w:rPr>
          <w:rFonts w:hint="eastAsia" w:ascii="宋体" w:hAnsi="宋体" w:eastAsia="宋体" w:cs="宋体"/>
          <w:color w:val="auto"/>
          <w:sz w:val="22"/>
          <w:szCs w:val="22"/>
          <w:highlight w:val="none"/>
        </w:rPr>
        <w:t>算数性修正</w:t>
      </w:r>
    </w:p>
    <w:p w14:paraId="29E9B732">
      <w:pPr>
        <w:pStyle w:val="29"/>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最后报价有算术错误及其他错误的，磋商小组会按以下原则要求供应商对磋商报价进行修正，并要求供应商书面澄清确认。供应商拒不澄清确认的，视为未实质响应磋商文件要求，其响应文件做无效处理：</w:t>
      </w:r>
    </w:p>
    <w:p w14:paraId="027CC3A3">
      <w:pPr>
        <w:pStyle w:val="29"/>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（1）响应文件中的大写金额与小写金额不一致的，以大写金额为准；</w:t>
      </w:r>
    </w:p>
    <w:p w14:paraId="4D4B778D">
      <w:pPr>
        <w:pStyle w:val="29"/>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（2）项目综合单价合计金额与单价金额不一致的，以单价金额为准，但单价金额小数点有明显错误的除外；</w:t>
      </w:r>
    </w:p>
    <w:p w14:paraId="5919BA82">
      <w:pPr>
        <w:pStyle w:val="29"/>
        <w:spacing w:after="0" w:line="360" w:lineRule="auto"/>
        <w:ind w:firstLine="550" w:firstLineChars="250"/>
        <w:rPr>
          <w:rFonts w:ascii="宋体" w:hAnsi="宋体" w:eastAsia="宋体" w:cs="宋体"/>
          <w:color w:val="auto"/>
          <w:sz w:val="22"/>
          <w:szCs w:val="22"/>
          <w:highlight w:val="none"/>
        </w:rPr>
      </w:pPr>
      <w:r>
        <w:rPr>
          <w:rFonts w:hint="eastAsia" w:ascii="宋体" w:hAnsi="宋体" w:eastAsia="宋体" w:cs="宋体"/>
          <w:color w:val="auto"/>
          <w:sz w:val="22"/>
          <w:szCs w:val="22"/>
          <w:highlight w:val="none"/>
        </w:rPr>
        <w:t>（3）如果分项报价中存在缺漏项，则视为缺漏项价格已包含在其他分项报价。</w:t>
      </w:r>
    </w:p>
    <w:p w14:paraId="2C678F6B">
      <w:pPr>
        <w:shd w:val="clear" w:color="auto" w:fill="FFFFFF"/>
        <w:adjustRightInd w:val="0"/>
        <w:snapToGrid w:val="0"/>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lang w:val="en-US" w:eastAsia="zh-CN"/>
        </w:rPr>
        <w:t>2.</w:t>
      </w:r>
      <w:r>
        <w:rPr>
          <w:rFonts w:hint="eastAsia" w:ascii="宋体" w:hAnsi="宋体" w:eastAsia="宋体" w:cs="宋体"/>
          <w:color w:val="auto"/>
          <w:kern w:val="0"/>
          <w:sz w:val="22"/>
          <w:szCs w:val="22"/>
          <w:highlight w:val="none"/>
        </w:rPr>
        <w:t>同时出现两种以上不一致的，按照前款规定的顺序修正。</w:t>
      </w:r>
    </w:p>
    <w:p w14:paraId="0339FE3D">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修正后的报价遵照如下规定处理：磋商小组在政采云系统中发出澄清、答疑，供应商在规定时间（20分钟）内系统内回复，修正后的报价经供应商确认后产生约束力，供应商不确认的，其响应文件无效。</w:t>
      </w:r>
    </w:p>
    <w:p w14:paraId="67C44C47">
      <w:pPr>
        <w:shd w:val="clear" w:color="auto" w:fill="FFFFFF"/>
        <w:spacing w:line="360" w:lineRule="auto"/>
        <w:ind w:firstLine="442" w:firstLineChars="200"/>
        <w:rPr>
          <w:rFonts w:ascii="宋体" w:hAnsi="宋体" w:eastAsia="宋体" w:cs="宋体"/>
          <w:b/>
          <w:bCs/>
          <w:color w:val="auto"/>
          <w:kern w:val="0"/>
          <w:sz w:val="22"/>
          <w:szCs w:val="22"/>
          <w:highlight w:val="none"/>
        </w:rPr>
      </w:pPr>
      <w:r>
        <w:rPr>
          <w:rFonts w:hint="eastAsia" w:ascii="宋体" w:hAnsi="宋体" w:eastAsia="宋体" w:cs="宋体"/>
          <w:b/>
          <w:bCs/>
          <w:color w:val="auto"/>
          <w:kern w:val="0"/>
          <w:sz w:val="22"/>
          <w:szCs w:val="22"/>
          <w:highlight w:val="none"/>
        </w:rPr>
        <w:t>3.磋商小组的权利</w:t>
      </w:r>
    </w:p>
    <w:p w14:paraId="757DFFDF">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3.1 磋商小组认为供应商的报价明显低于其他通过符合性审查供应商的报价，有可能影响产品质量或者不能诚信履约的，应当要求其在评审现场合理的时间内提供书面说明，必要时提交相关证明材料；供应商不能证明其报价合理性的，磋商小组应当将其作为无效响应处理。</w:t>
      </w:r>
    </w:p>
    <w:p w14:paraId="771FB712">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3.2磋商小组发现竞争性磋商文件存在歧义、重大缺陷导致评审工作无法进行，或者竞争性磋商文件内容违反国家有关强制性规定的，应当停止评审工作，与采购人或者采购代理机构沟通并作书面记录。采购人或者采购代理机构确认后，应当修改竞争性磋商文件，重新组织采购活动。</w:t>
      </w:r>
    </w:p>
    <w:p w14:paraId="58AEEE5E">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评审报告由磋商小组全体成员签字。磋商小组成员对需要共同认定的事项存在争议的，应当按照少数服从多数的原则作出结论。持不同意见的磋商小组成员应当在评审报告上签署不同意见及理由，否则视为同意评审报告。</w:t>
      </w:r>
    </w:p>
    <w:p w14:paraId="726017D3">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3.3.1评审结果汇总完成后，除下列情形外，任何人不得修改评审结果：</w:t>
      </w:r>
    </w:p>
    <w:p w14:paraId="29E4D57D">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3.3.1.1分值汇总计算错误的；</w:t>
      </w:r>
    </w:p>
    <w:p w14:paraId="0E0CFB5F">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3.3.1.2分项评分超出评分标准范围的；</w:t>
      </w:r>
    </w:p>
    <w:p w14:paraId="585653CB">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3.3.1.3磋商小组成员对客观评审因素评分不一致的；</w:t>
      </w:r>
    </w:p>
    <w:p w14:paraId="32E45413">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3.3.1.4经磋商小组认定评分畸高、畸低的。</w:t>
      </w:r>
    </w:p>
    <w:p w14:paraId="43FCF3E1">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评审报告签署前，经复核发现存在以上情形之一的，磋商小组应当当场修改评审结果，并在评审报告中记载；评审报告签署后，采购人或者采购代理机构发现存在以上情形之一的，应当组织原磋商小组进行重新评审，重新评审改变评审结果的，书面报告本级财政部门。</w:t>
      </w:r>
    </w:p>
    <w:p w14:paraId="5484CB7A">
      <w:pPr>
        <w:shd w:val="clear" w:color="auto" w:fill="FFFFFF"/>
        <w:spacing w:line="360" w:lineRule="auto"/>
        <w:ind w:firstLine="440" w:firstLineChars="200"/>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3.4磋商小组依据供应商须知前附表规定的评审方法，对供应商的响应文件进行评审和比较，供应商最终得分等于商务部分、技术部分、报价部分得分之和。磋商小组确定供应商最终得分和排名向采购人提出书面报告，并推荐合格的成交候选人。</w:t>
      </w:r>
    </w:p>
    <w:p w14:paraId="36017151">
      <w:pPr>
        <w:shd w:val="clear" w:color="auto" w:fill="FFFFFF"/>
        <w:spacing w:line="360" w:lineRule="auto"/>
        <w:ind w:firstLine="442" w:firstLineChars="200"/>
        <w:rPr>
          <w:rFonts w:ascii="宋体" w:hAnsi="宋体" w:eastAsia="宋体" w:cs="宋体"/>
          <w:b/>
          <w:bCs/>
          <w:color w:val="auto"/>
          <w:kern w:val="0"/>
          <w:sz w:val="22"/>
          <w:szCs w:val="22"/>
          <w:highlight w:val="none"/>
        </w:rPr>
      </w:pPr>
      <w:bookmarkStart w:id="461" w:name="_Toc37090996"/>
      <w:bookmarkStart w:id="462" w:name="_Toc31479"/>
      <w:bookmarkStart w:id="463" w:name="_Toc37090660"/>
      <w:bookmarkStart w:id="464" w:name="_Toc37090995"/>
      <w:bookmarkStart w:id="465" w:name="_Toc37090659"/>
      <w:r>
        <w:rPr>
          <w:rFonts w:hint="eastAsia" w:ascii="宋体" w:hAnsi="宋体" w:eastAsia="宋体" w:cs="宋体"/>
          <w:b/>
          <w:bCs/>
          <w:color w:val="auto"/>
          <w:kern w:val="0"/>
          <w:sz w:val="22"/>
          <w:szCs w:val="22"/>
          <w:highlight w:val="none"/>
        </w:rPr>
        <w:t>4. 评审过程的保密</w:t>
      </w:r>
      <w:bookmarkEnd w:id="461"/>
      <w:bookmarkEnd w:id="462"/>
      <w:bookmarkEnd w:id="463"/>
    </w:p>
    <w:p w14:paraId="61B8BF1B">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4.1凡属于对响应文件的审查、澄清、评价和比较有关的资料、成交候选人的推荐情况以及与评审有关的其他任何情况，磋商小组成员和与评审活动有关的工作人员不得对任何单位和个人透露。</w:t>
      </w:r>
    </w:p>
    <w:p w14:paraId="52381FDB">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4.2 在响应文件的评审和比较、成交候选人推荐以及授予合同的过程中，供应商向采购人或者磋商小组施加影响的任何行为，都将会导致其响应文件被拒绝。</w:t>
      </w:r>
    </w:p>
    <w:p w14:paraId="4AD9CF1D">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4.3成交供应商确定后，采购人不对未成交供应商就评审过程以及未能成交原因做出任何解释。未成交供应商不得向磋商小组组成人员或者其他有关人员索问评审过程的情况和材料。</w:t>
      </w:r>
    </w:p>
    <w:p w14:paraId="2082C875">
      <w:pPr>
        <w:shd w:val="clear" w:color="auto" w:fill="FFFFFF"/>
        <w:spacing w:line="360" w:lineRule="auto"/>
        <w:ind w:firstLine="442" w:firstLineChars="200"/>
        <w:rPr>
          <w:rFonts w:ascii="宋体" w:hAnsi="宋体" w:eastAsia="宋体" w:cs="宋体"/>
          <w:b/>
          <w:bCs/>
          <w:color w:val="auto"/>
          <w:kern w:val="0"/>
          <w:sz w:val="22"/>
          <w:szCs w:val="22"/>
          <w:highlight w:val="none"/>
        </w:rPr>
      </w:pPr>
      <w:bookmarkStart w:id="466" w:name="_Toc24415"/>
      <w:r>
        <w:rPr>
          <w:rFonts w:hint="eastAsia" w:ascii="宋体" w:hAnsi="宋体" w:eastAsia="宋体" w:cs="宋体"/>
          <w:b/>
          <w:bCs/>
          <w:color w:val="auto"/>
          <w:kern w:val="0"/>
          <w:sz w:val="22"/>
          <w:szCs w:val="22"/>
          <w:highlight w:val="none"/>
        </w:rPr>
        <w:t>4. 定标原则</w:t>
      </w:r>
      <w:bookmarkEnd w:id="464"/>
      <w:bookmarkEnd w:id="465"/>
      <w:bookmarkEnd w:id="466"/>
    </w:p>
    <w:p w14:paraId="54C54491">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4.1 磋商小组依据供应商须知前附表规定的评审方法和标准，按照得分由高到低的顺序进行排序，最终将前三名作为成交候选人推荐给采购人。</w:t>
      </w:r>
    </w:p>
    <w:p w14:paraId="6C8D953E">
      <w:pPr>
        <w:shd w:val="clear" w:color="auto" w:fill="FFFFFF"/>
        <w:spacing w:line="360" w:lineRule="auto"/>
        <w:ind w:firstLine="444" w:firstLineChars="202"/>
        <w:rPr>
          <w:rFonts w:ascii="宋体" w:hAnsi="宋体" w:eastAsia="宋体" w:cs="宋体"/>
          <w:color w:val="auto"/>
          <w:kern w:val="0"/>
          <w:sz w:val="22"/>
          <w:szCs w:val="22"/>
          <w:highlight w:val="none"/>
        </w:rPr>
      </w:pPr>
      <w:r>
        <w:rPr>
          <w:rFonts w:hint="eastAsia" w:ascii="宋体" w:hAnsi="宋体" w:eastAsia="宋体" w:cs="宋体"/>
          <w:color w:val="auto"/>
          <w:kern w:val="0"/>
          <w:sz w:val="22"/>
          <w:szCs w:val="22"/>
          <w:highlight w:val="none"/>
        </w:rPr>
        <w:t>4.2 采购代理机构应当在评审结束后2个工作日内将评审报告送采购人。采购人应当自收到评审报告之日起５个工作日内，在评审报告确定的成交候选人名单中按顺序确定成交供应商。</w:t>
      </w:r>
    </w:p>
    <w:p w14:paraId="76D8DE17">
      <w:pPr>
        <w:pStyle w:val="29"/>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4.3成交供应商拒绝与采购人签订合同的，采购人可以按照评审报告推荐的成交供应商名单排序，确定下一候选人为成交供应商，也可以重新开展政府采购活动。</w:t>
      </w:r>
    </w:p>
    <w:p w14:paraId="71965BB4">
      <w:pPr>
        <w:pStyle w:val="29"/>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 出现下列情形之一的，本项目予以废标，重新开展采购活动。</w:t>
      </w:r>
    </w:p>
    <w:p w14:paraId="0F804F13">
      <w:pPr>
        <w:pStyle w:val="29"/>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4.4.1 符合专业条件的供应商或者对竞争性磋商文件作实质响应的供应商</w:t>
      </w:r>
      <w:r>
        <w:rPr>
          <w:rFonts w:hint="eastAsia" w:ascii="宋体" w:hAnsi="宋体" w:eastAsia="宋体" w:cs="宋体"/>
          <w:b/>
          <w:bCs/>
          <w:color w:val="auto"/>
          <w:sz w:val="22"/>
          <w:szCs w:val="22"/>
          <w:highlight w:val="none"/>
          <w:lang w:val="en-US" w:eastAsia="zh-CN"/>
        </w:rPr>
        <w:t>数量不符合相关规定的</w:t>
      </w:r>
      <w:r>
        <w:rPr>
          <w:rFonts w:hint="eastAsia" w:ascii="宋体" w:hAnsi="宋体" w:eastAsia="宋体" w:cs="宋体"/>
          <w:b/>
          <w:bCs/>
          <w:color w:val="auto"/>
          <w:sz w:val="22"/>
          <w:szCs w:val="22"/>
          <w:highlight w:val="none"/>
        </w:rPr>
        <w:t>；</w:t>
      </w:r>
    </w:p>
    <w:p w14:paraId="67D9C8D5">
      <w:pPr>
        <w:pStyle w:val="29"/>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4.4.2出现影响采购公正的违法、违规行为的；</w:t>
      </w:r>
    </w:p>
    <w:p w14:paraId="70EE122A">
      <w:pPr>
        <w:pStyle w:val="29"/>
        <w:snapToGrid w:val="0"/>
        <w:spacing w:after="0" w:line="360" w:lineRule="auto"/>
        <w:ind w:firstLine="482"/>
        <w:rPr>
          <w:rFonts w:ascii="宋体" w:hAnsi="宋体" w:eastAsia="宋体" w:cs="宋体"/>
          <w:color w:val="auto"/>
          <w:sz w:val="18"/>
          <w:szCs w:val="18"/>
          <w:highlight w:val="none"/>
        </w:rPr>
      </w:pPr>
      <w:r>
        <w:rPr>
          <w:rFonts w:hint="eastAsia" w:ascii="宋体" w:hAnsi="宋体" w:eastAsia="宋体" w:cs="宋体"/>
          <w:b/>
          <w:bCs/>
          <w:color w:val="auto"/>
          <w:sz w:val="22"/>
          <w:szCs w:val="22"/>
          <w:highlight w:val="none"/>
        </w:rPr>
        <w:t>4.4.3 因重大变故，采购任务取消的。</w:t>
      </w:r>
    </w:p>
    <w:p w14:paraId="013BDCB2">
      <w:pPr>
        <w:rPr>
          <w:rFonts w:hint="eastAsia" w:ascii="宋体" w:hAnsi="宋体" w:eastAsia="宋体" w:cs="宋体"/>
          <w:b/>
          <w:bCs/>
          <w:i w:val="0"/>
          <w:iCs w:val="0"/>
          <w:color w:val="auto"/>
          <w:kern w:val="44"/>
          <w:sz w:val="36"/>
          <w:szCs w:val="36"/>
          <w:highlight w:val="none"/>
          <w:lang w:val="en-US" w:eastAsia="zh-CN" w:bidi="ar-SA"/>
        </w:rPr>
      </w:pPr>
      <w:r>
        <w:rPr>
          <w:rFonts w:hint="eastAsia" w:ascii="宋体" w:hAnsi="宋体" w:eastAsia="宋体" w:cs="宋体"/>
          <w:b/>
          <w:bCs/>
          <w:i w:val="0"/>
          <w:iCs w:val="0"/>
          <w:color w:val="auto"/>
          <w:kern w:val="44"/>
          <w:sz w:val="36"/>
          <w:szCs w:val="36"/>
          <w:highlight w:val="none"/>
          <w:lang w:val="en-US" w:eastAsia="zh-CN" w:bidi="ar-SA"/>
        </w:rPr>
        <w:br w:type="page"/>
      </w:r>
    </w:p>
    <w:p w14:paraId="4965E3D0">
      <w:pPr>
        <w:pStyle w:val="5"/>
        <w:keepNext/>
        <w:keepLines/>
        <w:pageBreakBefore w:val="0"/>
        <w:widowControl w:val="0"/>
        <w:numPr>
          <w:ilvl w:val="0"/>
          <w:numId w:val="0"/>
        </w:numPr>
        <w:kinsoku/>
        <w:wordWrap/>
        <w:overflowPunct/>
        <w:topLinePunct w:val="0"/>
        <w:autoSpaceDE/>
        <w:autoSpaceDN/>
        <w:bidi w:val="0"/>
        <w:adjustRightInd/>
        <w:snapToGrid/>
        <w:spacing w:before="220" w:after="220" w:line="480" w:lineRule="auto"/>
        <w:ind w:left="420" w:leftChars="0" w:hanging="420" w:firstLineChars="0"/>
        <w:textAlignment w:val="auto"/>
        <w:rPr>
          <w:rFonts w:hint="eastAsia" w:ascii="宋体" w:hAnsi="宋体" w:eastAsia="宋体" w:cs="宋体"/>
          <w:b/>
          <w:bCs/>
          <w:i w:val="0"/>
          <w:iCs w:val="0"/>
          <w:color w:val="auto"/>
          <w:kern w:val="44"/>
          <w:sz w:val="36"/>
          <w:szCs w:val="36"/>
          <w:highlight w:val="none"/>
          <w:lang w:val="zh-CN" w:eastAsia="zh-CN" w:bidi="ar-SA"/>
        </w:rPr>
      </w:pPr>
      <w:r>
        <w:rPr>
          <w:rFonts w:hint="eastAsia" w:ascii="宋体" w:hAnsi="宋体" w:eastAsia="宋体" w:cs="宋体"/>
          <w:b/>
          <w:bCs/>
          <w:i w:val="0"/>
          <w:iCs w:val="0"/>
          <w:color w:val="auto"/>
          <w:kern w:val="44"/>
          <w:sz w:val="36"/>
          <w:szCs w:val="36"/>
          <w:highlight w:val="none"/>
          <w:lang w:val="en-US" w:eastAsia="zh-CN" w:bidi="ar-SA"/>
        </w:rPr>
        <w:t xml:space="preserve">第五章 </w:t>
      </w:r>
      <w:r>
        <w:rPr>
          <w:rFonts w:hint="eastAsia" w:ascii="宋体" w:hAnsi="宋体" w:eastAsia="宋体" w:cs="宋体"/>
          <w:b/>
          <w:bCs/>
          <w:i w:val="0"/>
          <w:iCs w:val="0"/>
          <w:color w:val="auto"/>
          <w:kern w:val="44"/>
          <w:sz w:val="36"/>
          <w:szCs w:val="36"/>
          <w:highlight w:val="none"/>
          <w:lang w:val="zh-CN" w:eastAsia="zh-CN" w:bidi="ar-SA"/>
        </w:rPr>
        <w:t>合同草案</w:t>
      </w:r>
      <w:bookmarkEnd w:id="460"/>
    </w:p>
    <w:p w14:paraId="71DE93B7">
      <w:pPr>
        <w:wordWrap w:val="0"/>
        <w:jc w:val="center"/>
        <w:rPr>
          <w:rFonts w:hint="eastAsia" w:eastAsia="宋体"/>
          <w:bCs/>
          <w:i w:val="0"/>
          <w:iCs w:val="0"/>
          <w:color w:val="auto"/>
          <w:sz w:val="24"/>
          <w:szCs w:val="24"/>
          <w:highlight w:val="none"/>
          <w:lang w:eastAsia="zh-CN"/>
        </w:rPr>
      </w:pPr>
      <w:r>
        <w:rPr>
          <w:rFonts w:hint="eastAsia"/>
          <w:i w:val="0"/>
          <w:iCs w:val="0"/>
          <w:color w:val="auto"/>
          <w:sz w:val="24"/>
          <w:szCs w:val="24"/>
          <w:highlight w:val="none"/>
          <w:lang w:eastAsia="zh-CN"/>
        </w:rPr>
        <w:t>【</w:t>
      </w:r>
      <w:r>
        <w:rPr>
          <w:rFonts w:hint="eastAsia"/>
          <w:i w:val="0"/>
          <w:iCs w:val="0"/>
          <w:color w:val="auto"/>
          <w:sz w:val="24"/>
          <w:szCs w:val="24"/>
          <w:highlight w:val="none"/>
        </w:rPr>
        <w:t>此合同书仅作为签订正式合同时的参考，正式合同书应包括本参考格式的内容</w:t>
      </w:r>
      <w:r>
        <w:rPr>
          <w:rFonts w:hint="eastAsia"/>
          <w:i w:val="0"/>
          <w:iCs w:val="0"/>
          <w:color w:val="auto"/>
          <w:sz w:val="24"/>
          <w:szCs w:val="24"/>
          <w:highlight w:val="none"/>
          <w:lang w:eastAsia="zh-CN"/>
        </w:rPr>
        <w:t>】</w:t>
      </w:r>
    </w:p>
    <w:p w14:paraId="1FE909E4">
      <w:pPr>
        <w:wordWrap w:val="0"/>
        <w:rPr>
          <w:bCs/>
          <w:i w:val="0"/>
          <w:iCs w:val="0"/>
          <w:color w:val="auto"/>
          <w:sz w:val="28"/>
          <w:szCs w:val="28"/>
          <w:highlight w:val="none"/>
        </w:rPr>
      </w:pPr>
      <w:r>
        <w:rPr>
          <w:rFonts w:hint="eastAsia" w:cs="Helvetica"/>
          <w:bCs/>
          <w:i w:val="0"/>
          <w:iCs w:val="0"/>
          <w:color w:val="auto"/>
          <w:sz w:val="24"/>
          <w:szCs w:val="24"/>
          <w:highlight w:val="none"/>
          <w:lang w:val="zh-CN"/>
        </w:rPr>
        <w:t>合同编号：</w:t>
      </w:r>
      <w:r>
        <w:rPr>
          <w:rFonts w:hint="eastAsia" w:cs="Helvetica"/>
          <w:bCs/>
          <w:i w:val="0"/>
          <w:iCs w:val="0"/>
          <w:color w:val="auto"/>
          <w:sz w:val="24"/>
          <w:szCs w:val="24"/>
          <w:highlight w:val="none"/>
          <w:u w:val="single"/>
        </w:rPr>
        <w:t xml:space="preserve">              </w:t>
      </w:r>
    </w:p>
    <w:p w14:paraId="453FD5DE">
      <w:pPr>
        <w:pStyle w:val="15"/>
        <w:spacing w:after="0"/>
        <w:jc w:val="center"/>
        <w:rPr>
          <w:rFonts w:ascii="宋体" w:hAnsi="宋体" w:cs="宋体"/>
          <w:b/>
          <w:bCs/>
          <w:i w:val="0"/>
          <w:iCs w:val="0"/>
          <w:color w:val="auto"/>
          <w:spacing w:val="-20"/>
          <w:kern w:val="44"/>
          <w:sz w:val="48"/>
          <w:szCs w:val="48"/>
          <w:highlight w:val="none"/>
        </w:rPr>
      </w:pPr>
      <w:bookmarkStart w:id="467" w:name="_Toc3995"/>
    </w:p>
    <w:p w14:paraId="6FBA184A">
      <w:pPr>
        <w:pStyle w:val="15"/>
        <w:spacing w:after="0"/>
        <w:jc w:val="center"/>
        <w:rPr>
          <w:rFonts w:ascii="宋体" w:hAnsi="宋体" w:cs="宋体"/>
          <w:b/>
          <w:bCs/>
          <w:i w:val="0"/>
          <w:iCs w:val="0"/>
          <w:color w:val="auto"/>
          <w:spacing w:val="-20"/>
          <w:kern w:val="44"/>
          <w:sz w:val="48"/>
          <w:szCs w:val="48"/>
          <w:highlight w:val="none"/>
        </w:rPr>
      </w:pPr>
    </w:p>
    <w:p w14:paraId="1EAD278A">
      <w:pPr>
        <w:spacing w:line="480" w:lineRule="auto"/>
        <w:jc w:val="center"/>
        <w:outlineLvl w:val="1"/>
        <w:rPr>
          <w:rFonts w:hint="eastAsia" w:ascii="宋体" w:hAnsi="宋体" w:eastAsia="宋体" w:cs="宋体"/>
          <w:b/>
          <w:bCs/>
          <w:i w:val="0"/>
          <w:iCs w:val="0"/>
          <w:color w:val="auto"/>
          <w:spacing w:val="-20"/>
          <w:kern w:val="44"/>
          <w:sz w:val="44"/>
          <w:szCs w:val="44"/>
          <w:highlight w:val="none"/>
          <w:lang w:val="en-US" w:eastAsia="zh-CN" w:bidi="ar-SA"/>
        </w:rPr>
      </w:pPr>
      <w:bookmarkStart w:id="468" w:name="_Toc3714"/>
      <w:bookmarkStart w:id="469" w:name="_Toc10084"/>
      <w:bookmarkStart w:id="470" w:name="_Toc31237"/>
      <w:r>
        <w:rPr>
          <w:rFonts w:hint="eastAsia" w:ascii="宋体" w:hAnsi="宋体" w:eastAsia="宋体" w:cs="宋体"/>
          <w:b/>
          <w:bCs/>
          <w:i w:val="0"/>
          <w:iCs w:val="0"/>
          <w:color w:val="auto"/>
          <w:spacing w:val="-20"/>
          <w:kern w:val="44"/>
          <w:sz w:val="44"/>
          <w:szCs w:val="44"/>
          <w:highlight w:val="none"/>
          <w:lang w:val="en-US" w:eastAsia="zh-CN" w:bidi="ar-SA"/>
        </w:rPr>
        <w:t>政府采购合同参考范本</w:t>
      </w:r>
      <w:bookmarkEnd w:id="468"/>
      <w:bookmarkEnd w:id="469"/>
      <w:bookmarkEnd w:id="470"/>
    </w:p>
    <w:p w14:paraId="4571CDB1">
      <w:pPr>
        <w:spacing w:line="480" w:lineRule="auto"/>
        <w:jc w:val="center"/>
        <w:outlineLvl w:val="1"/>
        <w:rPr>
          <w:rFonts w:hint="eastAsia" w:ascii="宋体" w:hAnsi="宋体" w:eastAsia="宋体" w:cs="宋体"/>
          <w:b/>
          <w:i w:val="0"/>
          <w:iCs w:val="0"/>
          <w:color w:val="auto"/>
          <w:sz w:val="28"/>
          <w:szCs w:val="28"/>
          <w:highlight w:val="none"/>
        </w:rPr>
      </w:pPr>
      <w:bookmarkStart w:id="471" w:name="_Toc1613"/>
      <w:bookmarkStart w:id="472" w:name="_Toc19383"/>
      <w:bookmarkStart w:id="473" w:name="_Toc8560"/>
      <w:r>
        <w:rPr>
          <w:rFonts w:hint="eastAsia" w:ascii="宋体" w:hAnsi="宋体" w:eastAsia="宋体" w:cs="宋体"/>
          <w:b/>
          <w:bCs/>
          <w:i w:val="0"/>
          <w:iCs w:val="0"/>
          <w:color w:val="auto"/>
          <w:spacing w:val="-20"/>
          <w:kern w:val="44"/>
          <w:sz w:val="44"/>
          <w:szCs w:val="44"/>
          <w:highlight w:val="none"/>
          <w:lang w:val="en-US" w:eastAsia="zh-CN" w:bidi="ar-SA"/>
        </w:rPr>
        <w:t>（服务类）</w:t>
      </w:r>
      <w:bookmarkEnd w:id="471"/>
      <w:bookmarkEnd w:id="472"/>
      <w:bookmarkEnd w:id="473"/>
    </w:p>
    <w:p w14:paraId="78DDAE5C">
      <w:pPr>
        <w:spacing w:line="480" w:lineRule="auto"/>
        <w:jc w:val="center"/>
        <w:rPr>
          <w:rFonts w:hint="eastAsia" w:ascii="宋体" w:hAnsi="宋体" w:eastAsia="宋体" w:cs="宋体"/>
          <w:b/>
          <w:i w:val="0"/>
          <w:iCs w:val="0"/>
          <w:color w:val="auto"/>
          <w:sz w:val="24"/>
          <w:szCs w:val="24"/>
          <w:highlight w:val="none"/>
        </w:rPr>
      </w:pPr>
    </w:p>
    <w:p w14:paraId="55C3B597">
      <w:pPr>
        <w:pStyle w:val="6"/>
        <w:bidi w:val="0"/>
        <w:jc w:val="center"/>
        <w:rPr>
          <w:rFonts w:hint="eastAsia"/>
          <w:color w:val="auto"/>
          <w:sz w:val="36"/>
          <w:szCs w:val="36"/>
          <w:highlight w:val="none"/>
        </w:rPr>
      </w:pPr>
      <w:bookmarkStart w:id="474" w:name="_Toc2449"/>
      <w:bookmarkStart w:id="475" w:name="_Toc9879"/>
      <w:bookmarkStart w:id="476" w:name="_Toc6128"/>
      <w:r>
        <w:rPr>
          <w:rFonts w:hint="eastAsia"/>
          <w:color w:val="auto"/>
          <w:sz w:val="36"/>
          <w:szCs w:val="36"/>
          <w:highlight w:val="none"/>
        </w:rPr>
        <w:t>第一部分 合同书</w:t>
      </w:r>
      <w:bookmarkEnd w:id="474"/>
      <w:bookmarkEnd w:id="475"/>
      <w:bookmarkEnd w:id="476"/>
    </w:p>
    <w:p w14:paraId="4BA01776">
      <w:pPr>
        <w:spacing w:line="480" w:lineRule="auto"/>
        <w:jc w:val="center"/>
        <w:rPr>
          <w:rFonts w:hint="eastAsia" w:ascii="宋体" w:hAnsi="宋体" w:eastAsia="宋体" w:cs="宋体"/>
          <w:b/>
          <w:i w:val="0"/>
          <w:iCs w:val="0"/>
          <w:color w:val="auto"/>
          <w:sz w:val="24"/>
          <w:szCs w:val="24"/>
          <w:highlight w:val="none"/>
        </w:rPr>
      </w:pPr>
    </w:p>
    <w:p w14:paraId="5F204112">
      <w:pPr>
        <w:pStyle w:val="15"/>
        <w:rPr>
          <w:rFonts w:hint="eastAsia" w:ascii="宋体" w:hAnsi="宋体" w:eastAsia="宋体" w:cs="宋体"/>
          <w:i w:val="0"/>
          <w:iCs w:val="0"/>
          <w:color w:val="auto"/>
          <w:highlight w:val="none"/>
        </w:rPr>
      </w:pPr>
    </w:p>
    <w:p w14:paraId="69570DA0">
      <w:pPr>
        <w:pStyle w:val="15"/>
        <w:rPr>
          <w:rFonts w:hint="eastAsia" w:ascii="宋体" w:hAnsi="宋体" w:eastAsia="宋体" w:cs="宋体"/>
          <w:i w:val="0"/>
          <w:iCs w:val="0"/>
          <w:color w:val="auto"/>
          <w:highlight w:val="none"/>
        </w:rPr>
      </w:pPr>
    </w:p>
    <w:p w14:paraId="77910ED1">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（分包项目须填写完整的分包号及分包名称）</w:t>
      </w:r>
    </w:p>
    <w:p w14:paraId="730F4465">
      <w:pPr>
        <w:spacing w:before="120" w:line="480" w:lineRule="auto"/>
        <w:ind w:left="96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r>
        <w:rPr>
          <w:rFonts w:hint="eastAsia" w:ascii="宋体" w:hAnsi="宋体" w:eastAsia="宋体" w:cs="宋体"/>
          <w:i w:val="0"/>
          <w:iCs w:val="0"/>
          <w:color w:val="auto"/>
          <w:sz w:val="24"/>
          <w:szCs w:val="24"/>
          <w:highlight w:val="none"/>
          <w:u w:val="single"/>
        </w:rPr>
        <w:t xml:space="preserve">        </w:t>
      </w:r>
    </w:p>
    <w:p w14:paraId="66872538">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甲方（采购人）：</w:t>
      </w:r>
      <w:r>
        <w:rPr>
          <w:rFonts w:hint="eastAsia" w:ascii="宋体" w:hAnsi="宋体" w:eastAsia="宋体" w:cs="宋体"/>
          <w:i w:val="0"/>
          <w:iCs w:val="0"/>
          <w:color w:val="auto"/>
          <w:sz w:val="24"/>
          <w:szCs w:val="24"/>
          <w:highlight w:val="none"/>
          <w:u w:val="single"/>
        </w:rPr>
        <w:t xml:space="preserve">                              </w:t>
      </w:r>
    </w:p>
    <w:p w14:paraId="557645D2">
      <w:pPr>
        <w:spacing w:before="120" w:line="480" w:lineRule="auto"/>
        <w:ind w:left="96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乙方（</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rPr>
        <w:t>人）：</w:t>
      </w:r>
      <w:r>
        <w:rPr>
          <w:rFonts w:hint="eastAsia" w:ascii="宋体" w:hAnsi="宋体" w:eastAsia="宋体" w:cs="宋体"/>
          <w:i w:val="0"/>
          <w:iCs w:val="0"/>
          <w:color w:val="auto"/>
          <w:sz w:val="24"/>
          <w:szCs w:val="24"/>
          <w:highlight w:val="none"/>
          <w:u w:val="single"/>
        </w:rPr>
        <w:t xml:space="preserve">                              </w:t>
      </w:r>
    </w:p>
    <w:p w14:paraId="263D5C0B">
      <w:pPr>
        <w:spacing w:before="120" w:line="480" w:lineRule="auto"/>
        <w:ind w:firstLine="960" w:firstLineChars="400"/>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签订地：</w:t>
      </w:r>
      <w:r>
        <w:rPr>
          <w:rFonts w:hint="eastAsia" w:ascii="宋体" w:hAnsi="宋体" w:eastAsia="宋体" w:cs="宋体"/>
          <w:i w:val="0"/>
          <w:iCs w:val="0"/>
          <w:color w:val="auto"/>
          <w:sz w:val="24"/>
          <w:szCs w:val="24"/>
          <w:highlight w:val="none"/>
          <w:u w:val="single"/>
        </w:rPr>
        <w:t xml:space="preserve">                                     </w:t>
      </w:r>
    </w:p>
    <w:p w14:paraId="28A94FB3">
      <w:pPr>
        <w:spacing w:before="120" w:line="480" w:lineRule="auto"/>
        <w:ind w:firstLine="960" w:firstLineChars="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签订日期：</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年</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月</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日</w:t>
      </w:r>
    </w:p>
    <w:p w14:paraId="34F4996A">
      <w:pPr>
        <w:widowControl/>
        <w:jc w:val="left"/>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br w:type="page"/>
      </w:r>
    </w:p>
    <w:p w14:paraId="5343AEB4">
      <w:pPr>
        <w:spacing w:line="360" w:lineRule="auto"/>
        <w:ind w:firstLine="435"/>
        <w:rPr>
          <w:rFonts w:hint="eastAsia" w:ascii="宋体" w:hAnsi="宋体" w:eastAsia="宋体" w:cs="宋体"/>
          <w:i w:val="0"/>
          <w:iCs w:val="0"/>
          <w:color w:val="auto"/>
          <w:sz w:val="24"/>
          <w:highlight w:val="none"/>
        </w:rPr>
      </w:pP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以下简称：甲方</w:t>
      </w:r>
      <w:r>
        <w:rPr>
          <w:rFonts w:hint="eastAsia" w:ascii="宋体" w:hAnsi="宋体" w:eastAsia="宋体" w:cs="宋体"/>
          <w:i w:val="0"/>
          <w:iCs w:val="0"/>
          <w:color w:val="auto"/>
          <w:sz w:val="24"/>
          <w:highlight w:val="none"/>
        </w:rPr>
        <w:t>）通过</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组织的</w:t>
      </w:r>
      <w:r>
        <w:rPr>
          <w:rFonts w:hint="eastAsia" w:cs="宋体"/>
          <w:i w:val="0"/>
          <w:iCs w:val="0"/>
          <w:color w:val="auto"/>
          <w:sz w:val="24"/>
          <w:highlight w:val="none"/>
          <w:u w:val="single"/>
          <w:lang w:val="en-US" w:eastAsia="zh-CN"/>
        </w:rPr>
        <w:t>竞争性磋商</w:t>
      </w:r>
      <w:r>
        <w:rPr>
          <w:rFonts w:hint="eastAsia" w:ascii="宋体" w:hAnsi="宋体" w:eastAsia="宋体" w:cs="宋体"/>
          <w:i w:val="0"/>
          <w:iCs w:val="0"/>
          <w:color w:val="auto"/>
          <w:sz w:val="24"/>
          <w:highlight w:val="none"/>
        </w:rPr>
        <w:t>方式采购活动，经</w:t>
      </w:r>
      <w:r>
        <w:rPr>
          <w:rFonts w:hint="eastAsia"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u w:val="single"/>
        </w:rPr>
        <w:t>评</w:t>
      </w:r>
      <w:r>
        <w:rPr>
          <w:rFonts w:hint="eastAsia" w:cs="宋体"/>
          <w:i w:val="0"/>
          <w:iCs w:val="0"/>
          <w:color w:val="auto"/>
          <w:sz w:val="24"/>
          <w:highlight w:val="none"/>
          <w:u w:val="single"/>
          <w:lang w:val="en-US" w:eastAsia="zh-CN"/>
        </w:rPr>
        <w:t xml:space="preserve">审小组  </w:t>
      </w:r>
      <w:r>
        <w:rPr>
          <w:rFonts w:hint="eastAsia" w:ascii="宋体" w:hAnsi="宋体" w:eastAsia="宋体" w:cs="宋体"/>
          <w:i w:val="0"/>
          <w:iCs w:val="0"/>
          <w:color w:val="auto"/>
          <w:sz w:val="24"/>
          <w:highlight w:val="none"/>
        </w:rPr>
        <w:t>评定，</w:t>
      </w:r>
      <w:r>
        <w:rPr>
          <w:rFonts w:hint="eastAsia" w:ascii="宋体" w:hAnsi="宋体" w:eastAsia="宋体" w:cs="宋体"/>
          <w:i w:val="0"/>
          <w:iCs w:val="0"/>
          <w:color w:val="auto"/>
          <w:sz w:val="24"/>
          <w:highlight w:val="none"/>
          <w:u w:val="single"/>
          <w:lang w:val="en-US" w:eastAsia="zh-CN"/>
        </w:rPr>
        <w:t xml:space="preserve">          </w:t>
      </w:r>
      <w:r>
        <w:rPr>
          <w:rFonts w:hint="eastAsia" w:ascii="宋体" w:hAnsi="宋体" w:eastAsia="宋体" w:cs="宋体"/>
          <w:i w:val="0"/>
          <w:iCs w:val="0"/>
          <w:color w:val="auto"/>
          <w:sz w:val="24"/>
          <w:highlight w:val="none"/>
        </w:rPr>
        <w:t>（</w:t>
      </w:r>
      <w:r>
        <w:rPr>
          <w:rFonts w:hint="eastAsia" w:ascii="宋体" w:hAnsi="宋体" w:eastAsia="宋体" w:cs="宋体"/>
          <w:i w:val="0"/>
          <w:iCs w:val="0"/>
          <w:color w:val="auto"/>
          <w:sz w:val="24"/>
          <w:szCs w:val="24"/>
          <w:highlight w:val="none"/>
          <w:lang w:val="zh-CN"/>
        </w:rPr>
        <w:t>以下简称：乙方</w:t>
      </w:r>
      <w:r>
        <w:rPr>
          <w:rFonts w:hint="eastAsia" w:ascii="宋体" w:hAnsi="宋体" w:eastAsia="宋体" w:cs="宋体"/>
          <w:i w:val="0"/>
          <w:iCs w:val="0"/>
          <w:color w:val="auto"/>
          <w:sz w:val="24"/>
          <w:highlight w:val="none"/>
        </w:rPr>
        <w:t>）为本项目</w:t>
      </w:r>
      <w:r>
        <w:rPr>
          <w:rFonts w:hint="eastAsia" w:cs="宋体"/>
          <w:i w:val="0"/>
          <w:iCs w:val="0"/>
          <w:color w:val="auto"/>
          <w:sz w:val="24"/>
          <w:highlight w:val="none"/>
          <w:lang w:val="en-US" w:eastAsia="zh-CN"/>
        </w:rPr>
        <w:t>成交</w:t>
      </w:r>
      <w:r>
        <w:rPr>
          <w:rFonts w:hint="eastAsia" w:ascii="宋体" w:hAnsi="宋体" w:eastAsia="宋体" w:cs="宋体"/>
          <w:i w:val="0"/>
          <w:iCs w:val="0"/>
          <w:color w:val="auto"/>
          <w:sz w:val="24"/>
          <w:highlight w:val="none"/>
        </w:rPr>
        <w:t>人，现</w:t>
      </w:r>
      <w:r>
        <w:rPr>
          <w:rFonts w:hint="eastAsia" w:ascii="宋体" w:hAnsi="宋体" w:eastAsia="宋体" w:cs="宋体"/>
          <w:i w:val="0"/>
          <w:iCs w:val="0"/>
          <w:color w:val="auto"/>
          <w:sz w:val="24"/>
          <w:szCs w:val="24"/>
          <w:highlight w:val="none"/>
        </w:rPr>
        <w:t>按照采购文件确定的事项签订本合同。</w:t>
      </w:r>
    </w:p>
    <w:p w14:paraId="1A7D6614">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highlight w:val="none"/>
        </w:rPr>
        <w:t>根据《中华人民共和国民法典》、《中华人民共和国政府采购法》等相关法律法规之规定，按照平等、自愿、公平和诚实信用的原则，经甲方和乙方协商一致，约定以下合同条款，以兹共同遵守、全面履行。</w:t>
      </w:r>
    </w:p>
    <w:p w14:paraId="081298E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77" w:name="_Toc3029"/>
      <w:bookmarkStart w:id="478" w:name="_Toc2232"/>
      <w:bookmarkStart w:id="479" w:name="_Toc24059"/>
      <w:r>
        <w:rPr>
          <w:rFonts w:hint="eastAsia" w:ascii="宋体" w:hAnsi="宋体" w:eastAsia="宋体" w:cs="宋体"/>
          <w:b/>
          <w:bCs/>
          <w:i w:val="0"/>
          <w:iCs w:val="0"/>
          <w:color w:val="auto"/>
          <w:sz w:val="24"/>
          <w:szCs w:val="24"/>
          <w:highlight w:val="none"/>
          <w:lang w:val="zh-CN"/>
        </w:rPr>
        <w:t>1.1 合同组成部分</w:t>
      </w:r>
      <w:bookmarkEnd w:id="477"/>
      <w:bookmarkEnd w:id="478"/>
      <w:bookmarkEnd w:id="479"/>
    </w:p>
    <w:p w14:paraId="024A42B6">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下列文件为本合同的组成部分，并构成一个整体，需综合解释、相互补充。如果下列文件内容出现不一致的情形，那么在保证按照采购文件确定的事项前提下，组成本合同的多个文件的优先适用顺序如下：</w:t>
      </w:r>
    </w:p>
    <w:p w14:paraId="62BC58A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1.1.1本合同及其补充合同、变更协议；</w:t>
      </w:r>
    </w:p>
    <w:p w14:paraId="037DCF58">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1.1.2</w:t>
      </w:r>
      <w:r>
        <w:rPr>
          <w:rFonts w:hint="eastAsia" w:cs="宋体"/>
          <w:i w:val="0"/>
          <w:iCs w:val="0"/>
          <w:color w:val="auto"/>
          <w:sz w:val="24"/>
          <w:szCs w:val="24"/>
          <w:highlight w:val="none"/>
          <w:lang w:val="en-US" w:eastAsia="zh-CN"/>
        </w:rPr>
        <w:t>成交</w:t>
      </w:r>
      <w:r>
        <w:rPr>
          <w:rFonts w:hint="eastAsia" w:ascii="宋体" w:hAnsi="宋体" w:eastAsia="宋体" w:cs="宋体"/>
          <w:i w:val="0"/>
          <w:iCs w:val="0"/>
          <w:color w:val="auto"/>
          <w:sz w:val="24"/>
          <w:szCs w:val="24"/>
          <w:highlight w:val="none"/>
          <w:lang w:val="zh-CN"/>
        </w:rPr>
        <w:t>通知书；</w:t>
      </w:r>
    </w:p>
    <w:p w14:paraId="20FA8DCC">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1.1.3</w:t>
      </w:r>
      <w:r>
        <w:rPr>
          <w:rFonts w:hint="eastAsia" w:cs="宋体"/>
          <w:i w:val="0"/>
          <w:iCs w:val="0"/>
          <w:color w:val="auto"/>
          <w:sz w:val="24"/>
          <w:szCs w:val="24"/>
          <w:highlight w:val="none"/>
          <w:lang w:val="en-US" w:eastAsia="zh-CN"/>
        </w:rPr>
        <w:t>响应</w:t>
      </w:r>
      <w:r>
        <w:rPr>
          <w:rFonts w:hint="eastAsia" w:ascii="宋体" w:hAnsi="宋体" w:eastAsia="宋体" w:cs="宋体"/>
          <w:i w:val="0"/>
          <w:iCs w:val="0"/>
          <w:color w:val="auto"/>
          <w:sz w:val="24"/>
          <w:szCs w:val="24"/>
          <w:highlight w:val="none"/>
          <w:lang w:val="zh-CN"/>
        </w:rPr>
        <w:t>文件（含澄清或者说明文件）；</w:t>
      </w:r>
    </w:p>
    <w:p w14:paraId="01E3C1E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1.1.4</w:t>
      </w:r>
      <w:r>
        <w:rPr>
          <w:rFonts w:hint="eastAsia" w:cs="宋体"/>
          <w:i w:val="0"/>
          <w:iCs w:val="0"/>
          <w:color w:val="auto"/>
          <w:sz w:val="24"/>
          <w:szCs w:val="24"/>
          <w:highlight w:val="none"/>
          <w:lang w:val="en-US" w:eastAsia="zh-CN"/>
        </w:rPr>
        <w:t>竞争性磋商</w:t>
      </w:r>
      <w:r>
        <w:rPr>
          <w:rFonts w:hint="eastAsia" w:ascii="宋体" w:hAnsi="宋体" w:eastAsia="宋体" w:cs="宋体"/>
          <w:i w:val="0"/>
          <w:iCs w:val="0"/>
          <w:color w:val="auto"/>
          <w:sz w:val="24"/>
          <w:szCs w:val="24"/>
          <w:highlight w:val="none"/>
          <w:lang w:val="zh-CN"/>
        </w:rPr>
        <w:t>文件（含澄清或者修改文件）；</w:t>
      </w:r>
    </w:p>
    <w:p w14:paraId="7BCC15DE">
      <w:pPr>
        <w:spacing w:line="360" w:lineRule="auto"/>
        <w:ind w:firstLine="435"/>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1.1.5其他相关采购文件。</w:t>
      </w:r>
    </w:p>
    <w:p w14:paraId="283E7943">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80" w:name="_Toc6773"/>
      <w:bookmarkStart w:id="481" w:name="_Toc2918"/>
      <w:bookmarkStart w:id="482" w:name="_Toc6311"/>
      <w:bookmarkStart w:id="483" w:name="_Toc22185"/>
      <w:bookmarkStart w:id="484" w:name="_Toc18585"/>
      <w:r>
        <w:rPr>
          <w:rFonts w:hint="eastAsia" w:ascii="宋体" w:hAnsi="宋体" w:eastAsia="宋体" w:cs="宋体"/>
          <w:b/>
          <w:bCs/>
          <w:i w:val="0"/>
          <w:iCs w:val="0"/>
          <w:color w:val="auto"/>
          <w:sz w:val="24"/>
          <w:szCs w:val="24"/>
          <w:highlight w:val="none"/>
          <w:lang w:val="zh-CN"/>
        </w:rPr>
        <w:t xml:space="preserve">1.2 </w:t>
      </w:r>
      <w:bookmarkEnd w:id="480"/>
      <w:bookmarkEnd w:id="481"/>
      <w:bookmarkEnd w:id="482"/>
      <w:bookmarkEnd w:id="483"/>
      <w:bookmarkEnd w:id="484"/>
      <w:r>
        <w:rPr>
          <w:rFonts w:hint="eastAsia" w:ascii="宋体" w:hAnsi="宋体" w:eastAsia="宋体" w:cs="宋体"/>
          <w:b/>
          <w:bCs/>
          <w:i w:val="0"/>
          <w:iCs w:val="0"/>
          <w:color w:val="auto"/>
          <w:sz w:val="24"/>
          <w:szCs w:val="24"/>
          <w:highlight w:val="none"/>
          <w:lang w:val="zh-CN"/>
        </w:rPr>
        <w:t>服务</w:t>
      </w:r>
    </w:p>
    <w:p w14:paraId="2A8C808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1.2.1服务名称：</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D507EFA">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1.2.2服务内容：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47170C5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1.2.3服务质量：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294900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85" w:name="_Toc21551"/>
      <w:bookmarkStart w:id="486" w:name="_Toc21631"/>
      <w:bookmarkStart w:id="487" w:name="_Toc23292"/>
      <w:r>
        <w:rPr>
          <w:rFonts w:hint="eastAsia" w:ascii="宋体" w:hAnsi="宋体" w:eastAsia="宋体" w:cs="宋体"/>
          <w:b/>
          <w:bCs/>
          <w:i w:val="0"/>
          <w:iCs w:val="0"/>
          <w:color w:val="auto"/>
          <w:sz w:val="24"/>
          <w:szCs w:val="24"/>
          <w:highlight w:val="none"/>
          <w:lang w:val="zh-CN"/>
        </w:rPr>
        <w:t>1.3 价款</w:t>
      </w:r>
      <w:bookmarkEnd w:id="485"/>
      <w:bookmarkEnd w:id="486"/>
      <w:bookmarkEnd w:id="487"/>
    </w:p>
    <w:p w14:paraId="0E6E2DB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本合同总价为：￥</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元（大写：人民币</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元）。</w:t>
      </w:r>
    </w:p>
    <w:p w14:paraId="585CBE51">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分项价格：</w:t>
      </w:r>
    </w:p>
    <w:tbl>
      <w:tblPr>
        <w:tblStyle w:val="30"/>
        <w:tblW w:w="82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7"/>
        <w:gridCol w:w="4316"/>
        <w:gridCol w:w="3000"/>
      </w:tblGrid>
      <w:tr w14:paraId="7AF9B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vAlign w:val="center"/>
          </w:tcPr>
          <w:p w14:paraId="0CD18D7F">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序号</w:t>
            </w:r>
          </w:p>
        </w:tc>
        <w:tc>
          <w:tcPr>
            <w:tcW w:w="4316" w:type="dxa"/>
            <w:vAlign w:val="center"/>
          </w:tcPr>
          <w:p w14:paraId="4F68A816">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分项名称</w:t>
            </w:r>
          </w:p>
        </w:tc>
        <w:tc>
          <w:tcPr>
            <w:tcW w:w="3000" w:type="dxa"/>
            <w:vAlign w:val="center"/>
          </w:tcPr>
          <w:p w14:paraId="4C7FFB26">
            <w:pPr>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分项价格</w:t>
            </w:r>
          </w:p>
        </w:tc>
      </w:tr>
      <w:tr w14:paraId="6B92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0F360428">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1</w:t>
            </w:r>
          </w:p>
        </w:tc>
        <w:tc>
          <w:tcPr>
            <w:tcW w:w="4316" w:type="dxa"/>
            <w:vAlign w:val="center"/>
          </w:tcPr>
          <w:p w14:paraId="2461E5E0">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0E415F66">
            <w:pPr>
              <w:ind w:firstLine="200"/>
              <w:jc w:val="center"/>
              <w:rPr>
                <w:rFonts w:hint="eastAsia" w:ascii="宋体" w:hAnsi="宋体" w:eastAsia="宋体" w:cs="宋体"/>
                <w:i w:val="0"/>
                <w:iCs w:val="0"/>
                <w:color w:val="auto"/>
                <w:sz w:val="24"/>
                <w:szCs w:val="24"/>
                <w:highlight w:val="none"/>
              </w:rPr>
            </w:pPr>
          </w:p>
        </w:tc>
      </w:tr>
      <w:tr w14:paraId="0D8613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424CE31A">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2</w:t>
            </w:r>
          </w:p>
        </w:tc>
        <w:tc>
          <w:tcPr>
            <w:tcW w:w="4316" w:type="dxa"/>
            <w:vAlign w:val="center"/>
          </w:tcPr>
          <w:p w14:paraId="345F5B41">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3722A032">
            <w:pPr>
              <w:ind w:firstLine="200"/>
              <w:jc w:val="center"/>
              <w:rPr>
                <w:rFonts w:hint="eastAsia" w:ascii="宋体" w:hAnsi="宋体" w:eastAsia="宋体" w:cs="宋体"/>
                <w:i w:val="0"/>
                <w:iCs w:val="0"/>
                <w:color w:val="auto"/>
                <w:sz w:val="24"/>
                <w:szCs w:val="24"/>
                <w:highlight w:val="none"/>
              </w:rPr>
            </w:pPr>
          </w:p>
        </w:tc>
      </w:tr>
      <w:tr w14:paraId="6F079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512C37D0">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3</w:t>
            </w:r>
          </w:p>
        </w:tc>
        <w:tc>
          <w:tcPr>
            <w:tcW w:w="4316" w:type="dxa"/>
            <w:vAlign w:val="center"/>
          </w:tcPr>
          <w:p w14:paraId="498FC842">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4CAABBD7">
            <w:pPr>
              <w:ind w:firstLine="200"/>
              <w:jc w:val="center"/>
              <w:rPr>
                <w:rFonts w:hint="eastAsia" w:ascii="宋体" w:hAnsi="宋体" w:eastAsia="宋体" w:cs="宋体"/>
                <w:i w:val="0"/>
                <w:iCs w:val="0"/>
                <w:color w:val="auto"/>
                <w:sz w:val="24"/>
                <w:szCs w:val="24"/>
                <w:highlight w:val="none"/>
              </w:rPr>
            </w:pPr>
          </w:p>
        </w:tc>
      </w:tr>
      <w:tr w14:paraId="7BB672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7" w:type="dxa"/>
          </w:tcPr>
          <w:p w14:paraId="1019B673">
            <w:pPr>
              <w:jc w:val="center"/>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w:t>
            </w:r>
          </w:p>
        </w:tc>
        <w:tc>
          <w:tcPr>
            <w:tcW w:w="4316" w:type="dxa"/>
            <w:vAlign w:val="center"/>
          </w:tcPr>
          <w:p w14:paraId="1668CCE7">
            <w:pPr>
              <w:ind w:firstLine="200"/>
              <w:jc w:val="center"/>
              <w:rPr>
                <w:rFonts w:hint="eastAsia" w:ascii="宋体" w:hAnsi="宋体" w:eastAsia="宋体" w:cs="宋体"/>
                <w:i w:val="0"/>
                <w:iCs w:val="0"/>
                <w:color w:val="auto"/>
                <w:sz w:val="24"/>
                <w:szCs w:val="24"/>
                <w:highlight w:val="none"/>
              </w:rPr>
            </w:pPr>
          </w:p>
        </w:tc>
        <w:tc>
          <w:tcPr>
            <w:tcW w:w="3000" w:type="dxa"/>
            <w:vAlign w:val="center"/>
          </w:tcPr>
          <w:p w14:paraId="14647217">
            <w:pPr>
              <w:ind w:firstLine="200"/>
              <w:jc w:val="center"/>
              <w:rPr>
                <w:rFonts w:hint="eastAsia" w:ascii="宋体" w:hAnsi="宋体" w:eastAsia="宋体" w:cs="宋体"/>
                <w:i w:val="0"/>
                <w:iCs w:val="0"/>
                <w:color w:val="auto"/>
                <w:sz w:val="24"/>
                <w:szCs w:val="24"/>
                <w:highlight w:val="none"/>
              </w:rPr>
            </w:pPr>
          </w:p>
        </w:tc>
      </w:tr>
      <w:tr w14:paraId="7B385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273" w:type="dxa"/>
            <w:gridSpan w:val="2"/>
            <w:vAlign w:val="center"/>
          </w:tcPr>
          <w:p w14:paraId="445538F7">
            <w:pPr>
              <w:ind w:firstLine="200"/>
              <w:jc w:val="center"/>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总价</w:t>
            </w:r>
          </w:p>
        </w:tc>
        <w:tc>
          <w:tcPr>
            <w:tcW w:w="3000" w:type="dxa"/>
            <w:vAlign w:val="center"/>
          </w:tcPr>
          <w:p w14:paraId="155BB530">
            <w:pPr>
              <w:ind w:firstLine="200"/>
              <w:jc w:val="center"/>
              <w:rPr>
                <w:rFonts w:hint="eastAsia" w:ascii="宋体" w:hAnsi="宋体" w:eastAsia="宋体" w:cs="宋体"/>
                <w:i w:val="0"/>
                <w:iCs w:val="0"/>
                <w:color w:val="auto"/>
                <w:sz w:val="24"/>
                <w:szCs w:val="24"/>
                <w:highlight w:val="none"/>
              </w:rPr>
            </w:pPr>
          </w:p>
        </w:tc>
      </w:tr>
    </w:tbl>
    <w:p w14:paraId="17E2FC9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88" w:name="_Toc1814"/>
      <w:bookmarkStart w:id="489" w:name="_Toc22618"/>
      <w:bookmarkStart w:id="490" w:name="_Toc10340"/>
      <w:r>
        <w:rPr>
          <w:rFonts w:hint="eastAsia" w:ascii="宋体" w:hAnsi="宋体" w:eastAsia="宋体" w:cs="宋体"/>
          <w:b/>
          <w:bCs/>
          <w:i w:val="0"/>
          <w:iCs w:val="0"/>
          <w:color w:val="auto"/>
          <w:sz w:val="24"/>
          <w:szCs w:val="24"/>
          <w:highlight w:val="none"/>
          <w:lang w:val="zh-CN"/>
        </w:rPr>
        <w:t>1.4 付款方式和发票开具方式</w:t>
      </w:r>
      <w:bookmarkEnd w:id="488"/>
      <w:bookmarkEnd w:id="489"/>
      <w:bookmarkEnd w:id="490"/>
    </w:p>
    <w:p w14:paraId="0D15CC0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1.4.1付款方式：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2591FB6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1.4.2发票开具方式：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0203521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1" w:name="_Toc19304"/>
      <w:bookmarkStart w:id="492" w:name="_Toc2846"/>
      <w:bookmarkStart w:id="493" w:name="_Toc32071"/>
      <w:r>
        <w:rPr>
          <w:rFonts w:hint="eastAsia" w:ascii="宋体" w:hAnsi="宋体" w:eastAsia="宋体" w:cs="宋体"/>
          <w:b/>
          <w:bCs/>
          <w:i w:val="0"/>
          <w:iCs w:val="0"/>
          <w:color w:val="auto"/>
          <w:sz w:val="24"/>
          <w:szCs w:val="24"/>
          <w:highlight w:val="none"/>
          <w:lang w:val="zh-CN"/>
        </w:rPr>
        <w:t>1.5 服务期限、地点和方式</w:t>
      </w:r>
      <w:bookmarkEnd w:id="491"/>
      <w:bookmarkEnd w:id="492"/>
      <w:bookmarkEnd w:id="493"/>
    </w:p>
    <w:p w14:paraId="5A2C5E65">
      <w:pPr>
        <w:spacing w:line="360" w:lineRule="auto"/>
        <w:ind w:firstLine="435"/>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1.5.1服务期限：</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3FF652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1.5.2服务地点：</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7CE4FC7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1.5.3服务方式：</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w:t>
      </w:r>
    </w:p>
    <w:p w14:paraId="3B2ED679">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4" w:name="_Toc19554"/>
      <w:bookmarkStart w:id="495" w:name="_Toc21423"/>
      <w:bookmarkStart w:id="496" w:name="_Toc27250"/>
      <w:r>
        <w:rPr>
          <w:rFonts w:hint="eastAsia" w:ascii="宋体" w:hAnsi="宋体" w:eastAsia="宋体" w:cs="宋体"/>
          <w:b/>
          <w:bCs/>
          <w:i w:val="0"/>
          <w:iCs w:val="0"/>
          <w:color w:val="auto"/>
          <w:sz w:val="24"/>
          <w:szCs w:val="24"/>
          <w:highlight w:val="none"/>
          <w:lang w:val="zh-CN"/>
        </w:rPr>
        <w:t>1.6 违约责任</w:t>
      </w:r>
      <w:bookmarkEnd w:id="494"/>
      <w:bookmarkEnd w:id="495"/>
      <w:bookmarkEnd w:id="496"/>
    </w:p>
    <w:p w14:paraId="5DD1292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1.6.1除不可抗力外，如果乙方没有按照本合同约定的期限、地点和方式履行，那么甲方可要求乙方支付违约金，违约金按每迟延履行一日的应提供而未提供服务价格的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%；迟延履行的违约金计算数额达到前述最高限额之日起，甲方有权在要求乙方支付违约金的同时，书面通知乙方解除本合同；</w:t>
      </w:r>
    </w:p>
    <w:p w14:paraId="7B8B7DE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1.6.2除不可抗力外，如果甲方没有按照本合同约定的付款方式付款，那么乙方可要求甲方支付违约金，违约金按每迟延付款一日的应付而未付款的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%计算，最高限额为本合同总价的</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%；迟延付款的违约金计算数额达到前述最高限额之日起，乙方有权在要求甲方支付违约金的同时，书面通知甲方解除本合同；</w:t>
      </w:r>
    </w:p>
    <w:p w14:paraId="1A4EF16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1.6.3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4911211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1.6.4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9201045">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1.6.5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2F44C03A">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1.6.6如果出现政府采购监督管理部门在处理投诉事项期间，书面通知甲方暂停采购活动的情形，或者询问或质疑事项可能影响中标结果的，导致甲方中止履行合同的情形，均不视为甲方违约。</w:t>
      </w:r>
    </w:p>
    <w:p w14:paraId="6DDBD423">
      <w:pPr>
        <w:keepNext w:val="0"/>
        <w:keepLines w:val="0"/>
        <w:pageBreakBefore w:val="0"/>
        <w:widowControl w:val="0"/>
        <w:kinsoku/>
        <w:wordWrap/>
        <w:overflowPunct/>
        <w:topLinePunct w:val="0"/>
        <w:autoSpaceDE/>
        <w:autoSpaceDN/>
        <w:bidi w:val="0"/>
        <w:adjustRightInd/>
        <w:snapToGrid/>
        <w:spacing w:line="360" w:lineRule="auto"/>
        <w:ind w:firstLine="437"/>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1.6.7因甲方未按合同约定支付价款、未按合同约定受领标的物、擅自解除合同</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rPr>
        <w:t>逾期退还履约保证金导致乙方遭受的直接损失，乙方可向甲方申请赔偿，赔偿金额由双方协商一致；针对因政策变化等原因不能签订合同或解除合同时，造成乙方合法利益受损的情形，可以给予乙方合理补偿，补偿金额不得超过乙方的直接损失。</w:t>
      </w:r>
    </w:p>
    <w:p w14:paraId="1D4B476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497" w:name="_Toc16021"/>
      <w:bookmarkStart w:id="498" w:name="_Toc15583"/>
      <w:bookmarkStart w:id="499" w:name="_Toc28375"/>
      <w:r>
        <w:rPr>
          <w:rFonts w:hint="eastAsia" w:ascii="宋体" w:hAnsi="宋体" w:eastAsia="宋体" w:cs="宋体"/>
          <w:b/>
          <w:bCs/>
          <w:i w:val="0"/>
          <w:iCs w:val="0"/>
          <w:color w:val="auto"/>
          <w:sz w:val="24"/>
          <w:szCs w:val="24"/>
          <w:highlight w:val="none"/>
          <w:lang w:val="zh-CN"/>
        </w:rPr>
        <w:t>1.7 合同争议的解决</w:t>
      </w:r>
      <w:bookmarkEnd w:id="497"/>
      <w:bookmarkEnd w:id="498"/>
      <w:bookmarkEnd w:id="499"/>
    </w:p>
    <w:p w14:paraId="7C025F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本合同履行过程中发生的任何争议，双方当事人均可通过和解或者调解解决；不愿和解、调解或者和解、调解不成的，可以选择下列第</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种方式解决：</w:t>
      </w:r>
    </w:p>
    <w:p w14:paraId="7856D44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1.7.1将争议提交</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仲裁委员会依申请仲裁时其现行有效的仲裁规则裁决；</w:t>
      </w:r>
    </w:p>
    <w:p w14:paraId="525321B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1.7.2向</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人民法院起诉。</w:t>
      </w:r>
    </w:p>
    <w:p w14:paraId="21D8E3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00" w:name="_Toc7245"/>
      <w:bookmarkStart w:id="501" w:name="_Toc11173"/>
      <w:bookmarkStart w:id="502" w:name="_Toc15322"/>
      <w:r>
        <w:rPr>
          <w:rFonts w:hint="eastAsia" w:ascii="宋体" w:hAnsi="宋体" w:eastAsia="宋体" w:cs="宋体"/>
          <w:b/>
          <w:bCs/>
          <w:i w:val="0"/>
          <w:iCs w:val="0"/>
          <w:color w:val="auto"/>
          <w:sz w:val="24"/>
          <w:szCs w:val="24"/>
          <w:highlight w:val="none"/>
          <w:lang w:val="zh-CN"/>
        </w:rPr>
        <w:t>1.8 合同生效</w:t>
      </w:r>
      <w:bookmarkEnd w:id="500"/>
      <w:bookmarkEnd w:id="501"/>
      <w:bookmarkEnd w:id="502"/>
    </w:p>
    <w:p w14:paraId="5961B88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本合同自双方当事人盖章时生效。</w:t>
      </w:r>
    </w:p>
    <w:p w14:paraId="2F65E252">
      <w:pPr>
        <w:autoSpaceDE w:val="0"/>
        <w:autoSpaceDN w:val="0"/>
        <w:adjustRightInd w:val="0"/>
        <w:spacing w:line="560" w:lineRule="exact"/>
        <w:rPr>
          <w:rFonts w:hint="eastAsia" w:ascii="宋体" w:hAnsi="宋体" w:eastAsia="宋体" w:cs="宋体"/>
          <w:i w:val="0"/>
          <w:iCs w:val="0"/>
          <w:color w:val="auto"/>
          <w:sz w:val="24"/>
          <w:szCs w:val="24"/>
          <w:highlight w:val="none"/>
          <w:lang w:val="zh-CN"/>
        </w:rPr>
      </w:pPr>
    </w:p>
    <w:p w14:paraId="6DB0DE5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bCs/>
          <w:i w:val="0"/>
          <w:iCs w:val="0"/>
          <w:color w:val="auto"/>
          <w:sz w:val="24"/>
          <w:szCs w:val="24"/>
          <w:highlight w:val="none"/>
          <w:lang w:val="zh-CN"/>
        </w:rPr>
      </w:pPr>
      <w:r>
        <w:rPr>
          <w:rFonts w:hint="eastAsia" w:ascii="宋体" w:hAnsi="宋体" w:eastAsia="宋体" w:cs="宋体"/>
          <w:bCs/>
          <w:i w:val="0"/>
          <w:iCs w:val="0"/>
          <w:color w:val="auto"/>
          <w:sz w:val="24"/>
          <w:szCs w:val="24"/>
          <w:highlight w:val="none"/>
          <w:lang w:val="zh-CN"/>
        </w:rPr>
        <w:t>甲    方：</w:t>
      </w:r>
      <w:r>
        <w:rPr>
          <w:rFonts w:hint="eastAsia" w:ascii="宋体" w:hAnsi="宋体" w:eastAsia="宋体" w:cs="宋体"/>
          <w:bCs/>
          <w:i w:val="0"/>
          <w:iCs w:val="0"/>
          <w:color w:val="auto"/>
          <w:sz w:val="24"/>
          <w:szCs w:val="24"/>
          <w:highlight w:val="none"/>
          <w:u w:val="single"/>
          <w:lang w:val="zh-CN"/>
        </w:rPr>
        <w:t xml:space="preserve">    （单位盖章）     </w:t>
      </w:r>
      <w:r>
        <w:rPr>
          <w:rFonts w:hint="eastAsia" w:ascii="宋体" w:hAnsi="宋体" w:eastAsia="宋体" w:cs="宋体"/>
          <w:bCs/>
          <w:i w:val="0"/>
          <w:iCs w:val="0"/>
          <w:color w:val="auto"/>
          <w:sz w:val="24"/>
          <w:szCs w:val="24"/>
          <w:highlight w:val="none"/>
          <w:lang w:val="zh-CN"/>
        </w:rPr>
        <w:t xml:space="preserve">          乙方：</w:t>
      </w:r>
      <w:r>
        <w:rPr>
          <w:rFonts w:hint="eastAsia" w:ascii="宋体" w:hAnsi="宋体" w:eastAsia="宋体" w:cs="宋体"/>
          <w:bCs/>
          <w:i w:val="0"/>
          <w:iCs w:val="0"/>
          <w:color w:val="auto"/>
          <w:sz w:val="24"/>
          <w:szCs w:val="24"/>
          <w:highlight w:val="none"/>
          <w:u w:val="single"/>
          <w:lang w:val="zh-CN"/>
        </w:rPr>
        <w:t xml:space="preserve">    （单位盖章）     </w:t>
      </w:r>
    </w:p>
    <w:p w14:paraId="1B900B99">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法定代表人                               法定代表人</w:t>
      </w:r>
    </w:p>
    <w:p w14:paraId="009FFBBE">
      <w:pPr>
        <w:keepNext w:val="0"/>
        <w:keepLines w:val="0"/>
        <w:pageBreakBefore w:val="0"/>
        <w:kinsoku/>
        <w:wordWrap/>
        <w:overflowPunct/>
        <w:topLinePunct w:val="0"/>
        <w:autoSpaceDE w:val="0"/>
        <w:autoSpaceDN w:val="0"/>
        <w:bidi w:val="0"/>
        <w:adjustRightInd w:val="0"/>
        <w:snapToGrid/>
        <w:spacing w:line="500" w:lineRule="exact"/>
        <w:textAlignment w:val="auto"/>
        <w:rPr>
          <w:rFonts w:hint="eastAsia" w:ascii="宋体" w:hAnsi="宋体" w:eastAsia="宋体" w:cs="宋体"/>
          <w:i w:val="0"/>
          <w:iCs w:val="0"/>
          <w:color w:val="auto"/>
          <w:sz w:val="24"/>
          <w:szCs w:val="24"/>
          <w:highlight w:val="none"/>
          <w:lang w:val="zh-CN"/>
        </w:rPr>
      </w:pPr>
      <w:r>
        <w:rPr>
          <w:rFonts w:hint="eastAsia" w:ascii="宋体" w:hAnsi="宋体" w:eastAsia="宋体" w:cs="宋体"/>
          <w:i w:val="0"/>
          <w:iCs w:val="0"/>
          <w:color w:val="auto"/>
          <w:sz w:val="24"/>
          <w:szCs w:val="24"/>
          <w:highlight w:val="none"/>
          <w:lang w:val="zh-CN"/>
        </w:rPr>
        <w:t>或授权代表（签字）：                      或授权代表（签字）：</w:t>
      </w:r>
    </w:p>
    <w:p w14:paraId="5226F044">
      <w:pPr>
        <w:keepNext w:val="0"/>
        <w:keepLines w:val="0"/>
        <w:pageBreakBefore w:val="0"/>
        <w:widowControl/>
        <w:kinsoku/>
        <w:wordWrap/>
        <w:overflowPunct/>
        <w:topLinePunct w:val="0"/>
        <w:bidi w:val="0"/>
        <w:snapToGrid/>
        <w:spacing w:line="500" w:lineRule="exact"/>
        <w:jc w:val="left"/>
        <w:textAlignment w:val="auto"/>
        <w:rPr>
          <w:rFonts w:hint="eastAsia" w:ascii="宋体" w:hAnsi="宋体" w:eastAsia="宋体" w:cs="宋体"/>
          <w:bCs/>
          <w:i w:val="0"/>
          <w:iCs w:val="0"/>
          <w:color w:val="auto"/>
          <w:sz w:val="24"/>
          <w:szCs w:val="24"/>
          <w:highlight w:val="none"/>
        </w:rPr>
      </w:pPr>
      <w:bookmarkStart w:id="503" w:name="_Toc331685783"/>
      <w:r>
        <w:rPr>
          <w:rFonts w:hint="eastAsia" w:ascii="宋体" w:hAnsi="宋体" w:eastAsia="宋体" w:cs="宋体"/>
          <w:bCs/>
          <w:i w:val="0"/>
          <w:iCs w:val="0"/>
          <w:color w:val="auto"/>
          <w:sz w:val="24"/>
          <w:szCs w:val="24"/>
          <w:highlight w:val="none"/>
        </w:rPr>
        <w:t>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               时间：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年</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月</w:t>
      </w:r>
      <w:r>
        <w:rPr>
          <w:rFonts w:hint="eastAsia" w:ascii="宋体" w:hAnsi="宋体" w:eastAsia="宋体" w:cs="宋体"/>
          <w:bCs/>
          <w:i w:val="0"/>
          <w:iCs w:val="0"/>
          <w:color w:val="auto"/>
          <w:sz w:val="24"/>
          <w:szCs w:val="24"/>
          <w:highlight w:val="none"/>
          <w:u w:val="single"/>
        </w:rPr>
        <w:t xml:space="preserve">    </w:t>
      </w:r>
      <w:r>
        <w:rPr>
          <w:rFonts w:hint="eastAsia" w:ascii="宋体" w:hAnsi="宋体" w:eastAsia="宋体" w:cs="宋体"/>
          <w:bCs/>
          <w:i w:val="0"/>
          <w:iCs w:val="0"/>
          <w:color w:val="auto"/>
          <w:sz w:val="24"/>
          <w:szCs w:val="24"/>
          <w:highlight w:val="none"/>
        </w:rPr>
        <w:t>日</w:t>
      </w:r>
    </w:p>
    <w:p w14:paraId="0FB8187C">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w:t>
      </w:r>
      <w:bookmarkStart w:id="504" w:name="_Hlk110099149"/>
      <w:r>
        <w:rPr>
          <w:rFonts w:hint="eastAsia" w:ascii="宋体" w:hAnsi="宋体" w:eastAsia="宋体" w:cs="宋体"/>
          <w:i w:val="0"/>
          <w:iCs w:val="0"/>
          <w:color w:val="auto"/>
          <w:sz w:val="24"/>
          <w:szCs w:val="24"/>
          <w:highlight w:val="none"/>
        </w:rPr>
        <w:t>乙方账户信息</w:t>
      </w:r>
    </w:p>
    <w:p w14:paraId="58A2B11B">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户名：</w:t>
      </w:r>
      <w:r>
        <w:rPr>
          <w:rFonts w:hint="eastAsia" w:ascii="宋体" w:hAnsi="宋体" w:eastAsia="宋体" w:cs="宋体"/>
          <w:i w:val="0"/>
          <w:iCs w:val="0"/>
          <w:color w:val="auto"/>
          <w:sz w:val="24"/>
          <w:szCs w:val="24"/>
          <w:highlight w:val="none"/>
          <w:u w:val="single"/>
        </w:rPr>
        <w:t xml:space="preserve">            </w:t>
      </w:r>
    </w:p>
    <w:p w14:paraId="0D697104">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账号：</w:t>
      </w:r>
      <w:r>
        <w:rPr>
          <w:rFonts w:hint="eastAsia" w:ascii="宋体" w:hAnsi="宋体" w:eastAsia="宋体" w:cs="宋体"/>
          <w:i w:val="0"/>
          <w:iCs w:val="0"/>
          <w:color w:val="auto"/>
          <w:sz w:val="24"/>
          <w:szCs w:val="24"/>
          <w:highlight w:val="none"/>
          <w:u w:val="single"/>
        </w:rPr>
        <w:t xml:space="preserve">            </w:t>
      </w:r>
    </w:p>
    <w:p w14:paraId="7309CDF0">
      <w:pPr>
        <w:keepNext w:val="0"/>
        <w:keepLines w:val="0"/>
        <w:pageBreakBefore w:val="0"/>
        <w:kinsoku/>
        <w:wordWrap/>
        <w:overflowPunct/>
        <w:topLinePunct w:val="0"/>
        <w:bidi w:val="0"/>
        <w:snapToGrid/>
        <w:spacing w:line="500" w:lineRule="exact"/>
        <w:textAlignment w:val="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                                         开户银行：</w:t>
      </w:r>
      <w:r>
        <w:rPr>
          <w:rFonts w:hint="eastAsia" w:ascii="宋体" w:hAnsi="宋体" w:eastAsia="宋体" w:cs="宋体"/>
          <w:i w:val="0"/>
          <w:iCs w:val="0"/>
          <w:color w:val="auto"/>
          <w:sz w:val="24"/>
          <w:szCs w:val="24"/>
          <w:highlight w:val="none"/>
          <w:u w:val="single"/>
        </w:rPr>
        <w:t xml:space="preserve">        </w:t>
      </w:r>
    </w:p>
    <w:bookmarkEnd w:id="504"/>
    <w:p w14:paraId="4D631BBC">
      <w:pPr>
        <w:widowControl/>
        <w:jc w:val="left"/>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br w:type="page"/>
      </w:r>
    </w:p>
    <w:p w14:paraId="37D2F896">
      <w:pPr>
        <w:pStyle w:val="6"/>
        <w:bidi w:val="0"/>
        <w:jc w:val="center"/>
        <w:rPr>
          <w:rFonts w:hint="eastAsia"/>
          <w:color w:val="auto"/>
          <w:sz w:val="36"/>
          <w:szCs w:val="36"/>
          <w:highlight w:val="none"/>
        </w:rPr>
      </w:pPr>
      <w:bookmarkStart w:id="505" w:name="_Toc415"/>
      <w:bookmarkStart w:id="506" w:name="_Toc11038"/>
      <w:bookmarkStart w:id="507" w:name="_Toc16962"/>
      <w:r>
        <w:rPr>
          <w:rFonts w:hint="eastAsia"/>
          <w:color w:val="auto"/>
          <w:sz w:val="36"/>
          <w:szCs w:val="36"/>
          <w:highlight w:val="none"/>
        </w:rPr>
        <w:t>第二部分 合同一般条款</w:t>
      </w:r>
      <w:bookmarkEnd w:id="503"/>
      <w:bookmarkEnd w:id="505"/>
      <w:bookmarkEnd w:id="506"/>
      <w:bookmarkEnd w:id="507"/>
    </w:p>
    <w:p w14:paraId="232A2B3D">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08" w:name="_Ref467379094"/>
      <w:bookmarkStart w:id="509" w:name="_Ref467378404"/>
      <w:bookmarkStart w:id="510" w:name="_Toc487900349"/>
      <w:bookmarkStart w:id="511" w:name="_Ref467379205"/>
      <w:bookmarkStart w:id="512" w:name="_Ref467379214"/>
      <w:bookmarkStart w:id="513" w:name="_Ref467379109"/>
      <w:bookmarkStart w:id="514" w:name="_Ref467378463"/>
      <w:bookmarkStart w:id="515" w:name="_Ref467379225"/>
      <w:bookmarkStart w:id="516" w:name="_Ref467379195"/>
      <w:bookmarkStart w:id="517" w:name="_Ref467379101"/>
      <w:bookmarkStart w:id="518" w:name="_Toc259093669"/>
      <w:bookmarkStart w:id="519" w:name="_Toc19614"/>
      <w:bookmarkStart w:id="520" w:name="_Ref467378499"/>
      <w:bookmarkStart w:id="521" w:name="_Toc28763"/>
      <w:bookmarkStart w:id="522" w:name="_Toc16917"/>
      <w:bookmarkStart w:id="523" w:name="_Toc279701240"/>
      <w:r>
        <w:rPr>
          <w:rFonts w:hint="eastAsia" w:ascii="宋体" w:hAnsi="宋体" w:eastAsia="宋体" w:cs="宋体"/>
          <w:b/>
          <w:bCs/>
          <w:i w:val="0"/>
          <w:iCs w:val="0"/>
          <w:color w:val="auto"/>
          <w:sz w:val="24"/>
          <w:szCs w:val="24"/>
          <w:highlight w:val="none"/>
          <w:lang w:val="zh-CN"/>
        </w:rPr>
        <w:t>2.1 定义</w:t>
      </w:r>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p>
    <w:p w14:paraId="3DABC3C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本合同中的下列词语应按以下内容进行解释：</w:t>
      </w:r>
    </w:p>
    <w:p w14:paraId="029314F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2.1.1“合同”系指采购人和中标人签订的载明双方当事人所达成的协议，并包括所有的附件、附录和构成合同的其他文件。</w:t>
      </w:r>
    </w:p>
    <w:p w14:paraId="2F4EDFD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2.1.2“合同价”系指根据合同约定，中标人在完全履行合同义务后，采购人应支付给中标人的价格。</w:t>
      </w:r>
    </w:p>
    <w:p w14:paraId="5824C10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2.1.3“服务”系指中标人根据合同约定应向采购人履行的除货物和工程以外的其他政府采购对象，包括采购人自身需要的服务和向社会公众提供的公共服务。</w:t>
      </w:r>
    </w:p>
    <w:p w14:paraId="1802AAD8">
      <w:pPr>
        <w:spacing w:line="360" w:lineRule="auto"/>
        <w:ind w:firstLine="435"/>
        <w:rPr>
          <w:rFonts w:hint="eastAsia" w:ascii="宋体" w:hAnsi="宋体" w:eastAsia="宋体" w:cs="宋体"/>
          <w:i w:val="0"/>
          <w:iCs w:val="0"/>
          <w:color w:val="auto"/>
          <w:sz w:val="24"/>
          <w:szCs w:val="24"/>
          <w:highlight w:val="none"/>
        </w:rPr>
      </w:pPr>
      <w:bookmarkStart w:id="524" w:name="_Ref467378840"/>
      <w:r>
        <w:rPr>
          <w:rFonts w:hint="eastAsia" w:ascii="宋体" w:hAnsi="宋体" w:eastAsia="宋体" w:cs="宋体"/>
          <w:i w:val="0"/>
          <w:iCs w:val="0"/>
          <w:color w:val="auto"/>
          <w:sz w:val="24"/>
          <w:szCs w:val="24"/>
          <w:highlight w:val="none"/>
        </w:rPr>
        <w:t>2.1.4“甲方”系指与中标人签署合同的采购人</w:t>
      </w:r>
      <w:bookmarkEnd w:id="524"/>
      <w:r>
        <w:rPr>
          <w:rFonts w:hint="eastAsia" w:ascii="宋体" w:hAnsi="宋体" w:eastAsia="宋体" w:cs="宋体"/>
          <w:i w:val="0"/>
          <w:iCs w:val="0"/>
          <w:color w:val="auto"/>
          <w:sz w:val="24"/>
          <w:szCs w:val="24"/>
          <w:highlight w:val="none"/>
        </w:rPr>
        <w:t>；采购人委托采购代理机构代表其与乙方签订合同的，采购人的授权委托书作为合同附件。</w:t>
      </w:r>
    </w:p>
    <w:p w14:paraId="1106E655">
      <w:pPr>
        <w:spacing w:line="360" w:lineRule="auto"/>
        <w:ind w:firstLine="435"/>
        <w:rPr>
          <w:rFonts w:hint="eastAsia" w:ascii="宋体" w:hAnsi="宋体" w:eastAsia="宋体" w:cs="宋体"/>
          <w:i w:val="0"/>
          <w:iCs w:val="0"/>
          <w:color w:val="auto"/>
          <w:sz w:val="24"/>
          <w:szCs w:val="24"/>
          <w:highlight w:val="none"/>
        </w:rPr>
      </w:pPr>
      <w:bookmarkStart w:id="525" w:name="_Ref467379400"/>
      <w:r>
        <w:rPr>
          <w:rFonts w:hint="eastAsia" w:ascii="宋体" w:hAnsi="宋体" w:eastAsia="宋体" w:cs="宋体"/>
          <w:i w:val="0"/>
          <w:iCs w:val="0"/>
          <w:color w:val="auto"/>
          <w:sz w:val="24"/>
          <w:szCs w:val="24"/>
          <w:highlight w:val="none"/>
        </w:rPr>
        <w:t>2.1.5“乙方”系指根据合同约定提供服务的中标人</w:t>
      </w:r>
      <w:bookmarkEnd w:id="525"/>
      <w:r>
        <w:rPr>
          <w:rFonts w:hint="eastAsia" w:ascii="宋体" w:hAnsi="宋体" w:eastAsia="宋体" w:cs="宋体"/>
          <w:i w:val="0"/>
          <w:iCs w:val="0"/>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368FF11B">
      <w:pPr>
        <w:spacing w:line="360" w:lineRule="auto"/>
        <w:ind w:firstLine="435"/>
        <w:rPr>
          <w:rFonts w:hint="eastAsia" w:ascii="宋体" w:hAnsi="宋体" w:eastAsia="宋体" w:cs="宋体"/>
          <w:i w:val="0"/>
          <w:iCs w:val="0"/>
          <w:color w:val="auto"/>
          <w:sz w:val="24"/>
          <w:szCs w:val="24"/>
          <w:highlight w:val="none"/>
        </w:rPr>
      </w:pPr>
      <w:bookmarkStart w:id="526" w:name="_Ref467379436"/>
      <w:r>
        <w:rPr>
          <w:rFonts w:hint="eastAsia" w:ascii="宋体" w:hAnsi="宋体" w:eastAsia="宋体" w:cs="宋体"/>
          <w:i w:val="0"/>
          <w:iCs w:val="0"/>
          <w:color w:val="auto"/>
          <w:sz w:val="24"/>
          <w:szCs w:val="24"/>
          <w:highlight w:val="none"/>
        </w:rPr>
        <w:t>2.1.6“现场”系指合同约定提供服务的地点。</w:t>
      </w:r>
      <w:bookmarkEnd w:id="526"/>
    </w:p>
    <w:p w14:paraId="6E2582CC">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27" w:name="_Toc279701241"/>
      <w:bookmarkStart w:id="528" w:name="_Toc487900350"/>
      <w:bookmarkStart w:id="529" w:name="_Toc32504"/>
      <w:bookmarkStart w:id="530" w:name="_Toc13336"/>
      <w:bookmarkStart w:id="531" w:name="_Toc27635"/>
      <w:bookmarkStart w:id="532" w:name="_Toc259093670"/>
      <w:r>
        <w:rPr>
          <w:rFonts w:hint="eastAsia" w:ascii="宋体" w:hAnsi="宋体" w:eastAsia="宋体" w:cs="宋体"/>
          <w:b/>
          <w:bCs/>
          <w:i w:val="0"/>
          <w:iCs w:val="0"/>
          <w:color w:val="auto"/>
          <w:sz w:val="24"/>
          <w:szCs w:val="24"/>
          <w:highlight w:val="none"/>
          <w:lang w:val="zh-CN"/>
        </w:rPr>
        <w:t>2.2 技术规范</w:t>
      </w:r>
      <w:bookmarkEnd w:id="527"/>
      <w:bookmarkEnd w:id="528"/>
      <w:bookmarkEnd w:id="529"/>
      <w:bookmarkEnd w:id="530"/>
      <w:bookmarkEnd w:id="531"/>
      <w:bookmarkEnd w:id="532"/>
    </w:p>
    <w:p w14:paraId="69A21D8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货物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9340A7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33" w:name="_Toc487900351"/>
      <w:bookmarkStart w:id="534" w:name="_Toc27853"/>
      <w:bookmarkStart w:id="535" w:name="_Toc279701242"/>
      <w:bookmarkStart w:id="536" w:name="_Toc259093671"/>
      <w:bookmarkStart w:id="537" w:name="_Toc9829"/>
      <w:bookmarkStart w:id="538" w:name="_Toc31634"/>
      <w:r>
        <w:rPr>
          <w:rFonts w:hint="eastAsia" w:ascii="宋体" w:hAnsi="宋体" w:eastAsia="宋体" w:cs="宋体"/>
          <w:b/>
          <w:bCs/>
          <w:i w:val="0"/>
          <w:iCs w:val="0"/>
          <w:color w:val="auto"/>
          <w:sz w:val="24"/>
          <w:szCs w:val="24"/>
          <w:highlight w:val="none"/>
          <w:lang w:val="zh-CN"/>
        </w:rPr>
        <w:t>2.3 知识产权</w:t>
      </w:r>
      <w:bookmarkEnd w:id="533"/>
      <w:bookmarkEnd w:id="534"/>
      <w:bookmarkEnd w:id="535"/>
      <w:bookmarkEnd w:id="536"/>
      <w:bookmarkEnd w:id="537"/>
      <w:bookmarkEnd w:id="538"/>
    </w:p>
    <w:p w14:paraId="0051651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2.3.1乙方应保证其提供的服务不受任何第三方提出的侵犯其著作权、商标权、专利权等知识产权方面的起诉；如果任何第三方提出侵权指控，那么乙方须与该第三方交涉并承担由此发生的一切责任、费用和赔偿；</w:t>
      </w:r>
    </w:p>
    <w:p w14:paraId="1B5AB00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2.3.2具有知识产权的计算机软件等货物的知识产权归属，详见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7FDDB45A">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39" w:name="_Toc259093674"/>
      <w:bookmarkStart w:id="540" w:name="_Ref467379536"/>
      <w:bookmarkStart w:id="541" w:name="_Ref467378541"/>
      <w:bookmarkStart w:id="542" w:name="_Toc279701245"/>
      <w:bookmarkStart w:id="543" w:name="_Ref467379527"/>
      <w:bookmarkStart w:id="544" w:name="_Ref467378591"/>
      <w:bookmarkStart w:id="545" w:name="_Toc487900354"/>
      <w:bookmarkStart w:id="546" w:name="_Ref467379542"/>
      <w:bookmarkStart w:id="547" w:name="_Toc19074"/>
      <w:bookmarkStart w:id="548" w:name="_Toc30272"/>
      <w:bookmarkStart w:id="549" w:name="_Toc26182"/>
      <w:r>
        <w:rPr>
          <w:rFonts w:hint="eastAsia" w:ascii="宋体" w:hAnsi="宋体" w:eastAsia="宋体" w:cs="宋体"/>
          <w:b/>
          <w:bCs/>
          <w:i w:val="0"/>
          <w:iCs w:val="0"/>
          <w:color w:val="auto"/>
          <w:sz w:val="24"/>
          <w:szCs w:val="24"/>
          <w:highlight w:val="none"/>
          <w:lang w:val="zh-CN"/>
        </w:rPr>
        <w:t>2.</w:t>
      </w:r>
      <w:bookmarkEnd w:id="539"/>
      <w:bookmarkEnd w:id="540"/>
      <w:bookmarkEnd w:id="541"/>
      <w:bookmarkEnd w:id="542"/>
      <w:bookmarkEnd w:id="543"/>
      <w:bookmarkEnd w:id="544"/>
      <w:bookmarkEnd w:id="545"/>
      <w:bookmarkEnd w:id="546"/>
      <w:r>
        <w:rPr>
          <w:rFonts w:hint="eastAsia" w:ascii="宋体" w:hAnsi="宋体" w:eastAsia="宋体" w:cs="宋体"/>
          <w:b/>
          <w:bCs/>
          <w:i w:val="0"/>
          <w:iCs w:val="0"/>
          <w:color w:val="auto"/>
          <w:sz w:val="24"/>
          <w:szCs w:val="24"/>
          <w:highlight w:val="none"/>
          <w:lang w:val="zh-CN"/>
        </w:rPr>
        <w:t>4 履约检查和问题反馈</w:t>
      </w:r>
      <w:bookmarkEnd w:id="547"/>
      <w:bookmarkEnd w:id="548"/>
      <w:bookmarkEnd w:id="549"/>
    </w:p>
    <w:p w14:paraId="1F572855">
      <w:pPr>
        <w:spacing w:line="360" w:lineRule="auto"/>
        <w:ind w:firstLine="435"/>
        <w:rPr>
          <w:rFonts w:hint="eastAsia" w:ascii="宋体" w:hAnsi="宋体" w:eastAsia="宋体" w:cs="宋体"/>
          <w:i w:val="0"/>
          <w:iCs w:val="0"/>
          <w:color w:val="auto"/>
          <w:sz w:val="24"/>
          <w:szCs w:val="24"/>
          <w:highlight w:val="none"/>
        </w:rPr>
      </w:pPr>
      <w:bookmarkStart w:id="550" w:name="_Toc186431854"/>
      <w:bookmarkStart w:id="551" w:name="_Toc487900357"/>
      <w:bookmarkStart w:id="552" w:name="_Ref467379807"/>
      <w:bookmarkStart w:id="553" w:name="_Ref467379793"/>
      <w:bookmarkStart w:id="554" w:name="_Toc279701247"/>
      <w:bookmarkStart w:id="555" w:name="_Toc259093676"/>
      <w:r>
        <w:rPr>
          <w:rFonts w:hint="eastAsia" w:ascii="宋体" w:hAnsi="宋体" w:eastAsia="宋体" w:cs="宋体"/>
          <w:i w:val="0"/>
          <w:iCs w:val="0"/>
          <w:color w:val="auto"/>
          <w:sz w:val="24"/>
          <w:szCs w:val="24"/>
          <w:highlight w:val="none"/>
        </w:rPr>
        <w:t>2.4.1甲方有权在其认为必要时，对乙方是否能够按照合同约定提供服务进行履约检查，以确保乙方所提供的服务能够依约满足甲方项目需求，但不得因履约检查妨碍乙方的正常工作，乙方应予积极配合；</w:t>
      </w:r>
    </w:p>
    <w:p w14:paraId="46A90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2.4.2合同履行期间，甲方有权将履行过程中出现的问题反馈给乙方，双方当事人应以书面形式约定需要完善和改进的内容</w:t>
      </w:r>
      <w:bookmarkEnd w:id="550"/>
      <w:bookmarkStart w:id="556" w:name="_Toc186431855"/>
      <w:r>
        <w:rPr>
          <w:rFonts w:hint="eastAsia" w:ascii="宋体" w:hAnsi="宋体" w:eastAsia="宋体" w:cs="宋体"/>
          <w:i w:val="0"/>
          <w:iCs w:val="0"/>
          <w:color w:val="auto"/>
          <w:sz w:val="24"/>
          <w:szCs w:val="24"/>
          <w:highlight w:val="none"/>
        </w:rPr>
        <w:t>。</w:t>
      </w:r>
    </w:p>
    <w:bookmarkEnd w:id="556"/>
    <w:p w14:paraId="37DDF5E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57" w:name="_Toc28451"/>
      <w:bookmarkStart w:id="558" w:name="_Toc19219"/>
      <w:bookmarkStart w:id="559" w:name="_Toc7836"/>
      <w:r>
        <w:rPr>
          <w:rFonts w:hint="eastAsia" w:ascii="宋体" w:hAnsi="宋体" w:eastAsia="宋体" w:cs="宋体"/>
          <w:b/>
          <w:bCs/>
          <w:i w:val="0"/>
          <w:iCs w:val="0"/>
          <w:color w:val="auto"/>
          <w:sz w:val="24"/>
          <w:szCs w:val="24"/>
          <w:highlight w:val="none"/>
          <w:lang w:val="zh-CN"/>
        </w:rPr>
        <w:t>2.5 结算方式和付款条件</w:t>
      </w:r>
      <w:bookmarkEnd w:id="551"/>
      <w:bookmarkEnd w:id="552"/>
      <w:bookmarkEnd w:id="553"/>
      <w:bookmarkEnd w:id="554"/>
      <w:bookmarkEnd w:id="555"/>
      <w:bookmarkEnd w:id="557"/>
      <w:bookmarkEnd w:id="558"/>
      <w:bookmarkEnd w:id="559"/>
    </w:p>
    <w:p w14:paraId="350F9F1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p w14:paraId="0E66E798">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60" w:name="_Ref467379923"/>
      <w:bookmarkStart w:id="561" w:name="_Toc259093677"/>
      <w:bookmarkStart w:id="562" w:name="_Toc487900358"/>
      <w:bookmarkStart w:id="563" w:name="_Ref467379863"/>
      <w:bookmarkStart w:id="564" w:name="_Ref467379852"/>
      <w:bookmarkStart w:id="565" w:name="_Toc279701248"/>
      <w:bookmarkStart w:id="566" w:name="_Toc3225"/>
      <w:bookmarkStart w:id="567" w:name="_Toc16110"/>
      <w:bookmarkStart w:id="568" w:name="_Toc774"/>
      <w:r>
        <w:rPr>
          <w:rFonts w:hint="eastAsia" w:ascii="宋体" w:hAnsi="宋体" w:eastAsia="宋体" w:cs="宋体"/>
          <w:b/>
          <w:bCs/>
          <w:i w:val="0"/>
          <w:iCs w:val="0"/>
          <w:color w:val="auto"/>
          <w:sz w:val="24"/>
          <w:szCs w:val="24"/>
          <w:highlight w:val="none"/>
          <w:lang w:val="zh-CN"/>
        </w:rPr>
        <w:t>2.6 技术资料</w:t>
      </w:r>
      <w:bookmarkEnd w:id="560"/>
      <w:bookmarkEnd w:id="561"/>
      <w:bookmarkEnd w:id="562"/>
      <w:bookmarkEnd w:id="563"/>
      <w:bookmarkEnd w:id="564"/>
      <w:bookmarkEnd w:id="565"/>
      <w:r>
        <w:rPr>
          <w:rFonts w:hint="eastAsia" w:ascii="宋体" w:hAnsi="宋体" w:eastAsia="宋体" w:cs="宋体"/>
          <w:b/>
          <w:bCs/>
          <w:i w:val="0"/>
          <w:iCs w:val="0"/>
          <w:color w:val="auto"/>
          <w:sz w:val="24"/>
          <w:szCs w:val="24"/>
          <w:highlight w:val="none"/>
          <w:lang w:val="zh-CN"/>
        </w:rPr>
        <w:t>和保密义务</w:t>
      </w:r>
      <w:bookmarkEnd w:id="566"/>
      <w:bookmarkEnd w:id="567"/>
      <w:bookmarkEnd w:id="568"/>
    </w:p>
    <w:p w14:paraId="043E0FD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2.6.1乙方有权依据合同约定和项目需要，向甲方了解有关情况，调阅有关资料等，甲方应予积极配合；</w:t>
      </w:r>
    </w:p>
    <w:p w14:paraId="12D7ADE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2.6.2乙方有义务妥善保管和保护由甲方提供的前款信息和资料等；</w:t>
      </w:r>
    </w:p>
    <w:p w14:paraId="1BFAE2B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2.6.3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3D716C7F">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69" w:name="_Toc7860"/>
      <w:r>
        <w:rPr>
          <w:rFonts w:hint="eastAsia" w:ascii="宋体" w:hAnsi="宋体" w:eastAsia="宋体" w:cs="宋体"/>
          <w:b/>
          <w:bCs/>
          <w:i w:val="0"/>
          <w:iCs w:val="0"/>
          <w:color w:val="auto"/>
          <w:sz w:val="24"/>
          <w:szCs w:val="24"/>
          <w:highlight w:val="none"/>
          <w:lang w:val="zh-CN"/>
        </w:rPr>
        <w:t>2.7 质量保证</w:t>
      </w:r>
      <w:bookmarkEnd w:id="569"/>
    </w:p>
    <w:p w14:paraId="06F68E3D">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2.7.1乙方应建立和完善履行合同的内部质量保证体系，并提供相关内部规章制度给甲方，以便甲方进行监督检查；</w:t>
      </w:r>
    </w:p>
    <w:p w14:paraId="37CEC89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2.7.2乙方应保证履行合同的人员数量和素质、软件和硬件设备的配置、场地、环境和设施等满足全面履行合同的要求，并应接受甲方的监督检查。</w:t>
      </w:r>
    </w:p>
    <w:p w14:paraId="6EE54FD6">
      <w:pPr>
        <w:spacing w:line="360" w:lineRule="auto"/>
        <w:ind w:firstLine="437"/>
        <w:outlineLvl w:val="2"/>
        <w:rPr>
          <w:rFonts w:hint="eastAsia" w:ascii="宋体" w:hAnsi="宋体" w:eastAsia="宋体" w:cs="宋体"/>
          <w:b/>
          <w:i w:val="0"/>
          <w:iCs w:val="0"/>
          <w:color w:val="auto"/>
          <w:sz w:val="24"/>
          <w:szCs w:val="24"/>
          <w:highlight w:val="none"/>
        </w:rPr>
      </w:pPr>
      <w:bookmarkStart w:id="570" w:name="_Toc22267"/>
      <w:r>
        <w:rPr>
          <w:rFonts w:hint="eastAsia" w:ascii="宋体" w:hAnsi="宋体" w:eastAsia="宋体" w:cs="宋体"/>
          <w:b/>
          <w:i w:val="0"/>
          <w:iCs w:val="0"/>
          <w:color w:val="auto"/>
          <w:sz w:val="24"/>
          <w:szCs w:val="24"/>
          <w:highlight w:val="none"/>
        </w:rPr>
        <w:t>2.8 延迟履行</w:t>
      </w:r>
      <w:bookmarkEnd w:id="570"/>
    </w:p>
    <w:p w14:paraId="39241BB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546551B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71" w:name="_Toc7502"/>
      <w:bookmarkStart w:id="572" w:name="_Toc259093683"/>
      <w:bookmarkStart w:id="573" w:name="_Toc487900364"/>
      <w:bookmarkStart w:id="574" w:name="_Ref467378121"/>
      <w:bookmarkStart w:id="575" w:name="_Toc279701254"/>
      <w:r>
        <w:rPr>
          <w:rFonts w:hint="eastAsia" w:ascii="宋体" w:hAnsi="宋体" w:eastAsia="宋体" w:cs="宋体"/>
          <w:b/>
          <w:bCs/>
          <w:i w:val="0"/>
          <w:iCs w:val="0"/>
          <w:color w:val="auto"/>
          <w:sz w:val="24"/>
          <w:szCs w:val="24"/>
          <w:highlight w:val="none"/>
          <w:lang w:val="zh-CN"/>
        </w:rPr>
        <w:t>2.9 合同变更</w:t>
      </w:r>
      <w:bookmarkEnd w:id="571"/>
    </w:p>
    <w:p w14:paraId="60F58CC5">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2.9.1双方当事人协商一致，可以签订书面补充合同的形式变更合同，但不得违背采购文件确定的事项；</w:t>
      </w:r>
    </w:p>
    <w:p w14:paraId="42F7E75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2.9.2合同继续履行将损害国家利益和社会公共利益的，双方当事人应当以书面形式变更合同。有过错的一方应当承担赔偿责任，双方当事人都有过错的，各自承担相应的责任。</w:t>
      </w:r>
      <w:bookmarkStart w:id="576" w:name="_Toc487900369"/>
      <w:bookmarkStart w:id="577" w:name="_Toc259093688"/>
      <w:bookmarkStart w:id="578" w:name="_Toc279701259"/>
    </w:p>
    <w:p w14:paraId="742F9E7E">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79" w:name="_Toc15237"/>
      <w:bookmarkStart w:id="580" w:name="_Toc22955"/>
      <w:bookmarkStart w:id="581" w:name="_Toc10366"/>
      <w:r>
        <w:rPr>
          <w:rFonts w:hint="eastAsia" w:ascii="宋体" w:hAnsi="宋体" w:eastAsia="宋体" w:cs="宋体"/>
          <w:b/>
          <w:bCs/>
          <w:i w:val="0"/>
          <w:iCs w:val="0"/>
          <w:color w:val="auto"/>
          <w:sz w:val="24"/>
          <w:szCs w:val="24"/>
          <w:highlight w:val="none"/>
          <w:lang w:val="zh-CN"/>
        </w:rPr>
        <w:t>2.10 合同转让</w:t>
      </w:r>
      <w:bookmarkEnd w:id="576"/>
      <w:bookmarkEnd w:id="577"/>
      <w:bookmarkEnd w:id="578"/>
      <w:r>
        <w:rPr>
          <w:rFonts w:hint="eastAsia" w:ascii="宋体" w:hAnsi="宋体" w:eastAsia="宋体" w:cs="宋体"/>
          <w:b/>
          <w:bCs/>
          <w:i w:val="0"/>
          <w:iCs w:val="0"/>
          <w:color w:val="auto"/>
          <w:sz w:val="24"/>
          <w:szCs w:val="24"/>
          <w:highlight w:val="none"/>
          <w:lang w:val="zh-CN"/>
        </w:rPr>
        <w:t>和分包</w:t>
      </w:r>
      <w:bookmarkEnd w:id="579"/>
      <w:bookmarkEnd w:id="580"/>
      <w:bookmarkEnd w:id="581"/>
    </w:p>
    <w:p w14:paraId="26ADD7C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4061B35">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82" w:name="_Toc13566"/>
      <w:bookmarkStart w:id="583" w:name="_Toc14066"/>
      <w:bookmarkStart w:id="584" w:name="_Toc16508"/>
      <w:r>
        <w:rPr>
          <w:rFonts w:hint="eastAsia" w:ascii="宋体" w:hAnsi="宋体" w:eastAsia="宋体" w:cs="宋体"/>
          <w:b/>
          <w:bCs/>
          <w:i w:val="0"/>
          <w:iCs w:val="0"/>
          <w:color w:val="auto"/>
          <w:sz w:val="24"/>
          <w:szCs w:val="24"/>
          <w:highlight w:val="none"/>
          <w:lang w:val="zh-CN"/>
        </w:rPr>
        <w:t>2.11 不可抗力</w:t>
      </w:r>
      <w:bookmarkEnd w:id="582"/>
      <w:bookmarkEnd w:id="583"/>
      <w:bookmarkEnd w:id="584"/>
    </w:p>
    <w:p w14:paraId="2E7E6126">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2.11.1如果任何一方遭遇法律规定的不可抗力，致使合同履行受阻时，履行合同的期限应予延长，延长的期限应相当于不可抗力所影响的时间；</w:t>
      </w:r>
    </w:p>
    <w:p w14:paraId="584AA5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2.11.2因不可抗力致使不能实现合同目的的，当事人可以解除合同；</w:t>
      </w:r>
    </w:p>
    <w:p w14:paraId="7EC56964">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2.11.3因不可抗力致使合同有变更必要的，双方当事人应在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约定时间内以书面形式变更合同；</w:t>
      </w:r>
    </w:p>
    <w:p w14:paraId="64C45C6C">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2.11.4受不可抗力影响的一方在不可抗力发生后，应在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约定时间内以书面形式通知对方当事人，并在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约定时间内，将有关部门出具的证明文件送达对方当事人。</w:t>
      </w:r>
    </w:p>
    <w:p w14:paraId="0737946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85" w:name="_Toc487900365"/>
      <w:bookmarkStart w:id="586" w:name="_Toc6969"/>
      <w:bookmarkStart w:id="587" w:name="_Toc689"/>
      <w:bookmarkStart w:id="588" w:name="_Toc259093684"/>
      <w:bookmarkStart w:id="589" w:name="_Toc279701255"/>
      <w:bookmarkStart w:id="590" w:name="_Toc30676"/>
      <w:r>
        <w:rPr>
          <w:rFonts w:hint="eastAsia" w:ascii="宋体" w:hAnsi="宋体" w:eastAsia="宋体" w:cs="宋体"/>
          <w:b/>
          <w:bCs/>
          <w:i w:val="0"/>
          <w:iCs w:val="0"/>
          <w:color w:val="auto"/>
          <w:sz w:val="24"/>
          <w:szCs w:val="24"/>
          <w:highlight w:val="none"/>
          <w:lang w:val="zh-CN"/>
        </w:rPr>
        <w:t>2.12 税费</w:t>
      </w:r>
      <w:bookmarkEnd w:id="585"/>
      <w:bookmarkEnd w:id="586"/>
      <w:bookmarkEnd w:id="587"/>
      <w:bookmarkEnd w:id="588"/>
      <w:bookmarkEnd w:id="589"/>
      <w:bookmarkEnd w:id="590"/>
    </w:p>
    <w:p w14:paraId="7FDC3728">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与合同有关的一切税费，均按照中华人民共和国法律的相关规定缴纳。</w:t>
      </w:r>
    </w:p>
    <w:p w14:paraId="485EEA44">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591" w:name="_Toc16959"/>
      <w:bookmarkStart w:id="592" w:name="_Toc259093687"/>
      <w:bookmarkStart w:id="593" w:name="_Toc279701258"/>
      <w:bookmarkStart w:id="594" w:name="_Toc487900368"/>
      <w:bookmarkStart w:id="595" w:name="_Toc8298"/>
      <w:bookmarkStart w:id="596" w:name="_Toc7102"/>
      <w:r>
        <w:rPr>
          <w:rFonts w:hint="eastAsia" w:ascii="宋体" w:hAnsi="宋体" w:eastAsia="宋体" w:cs="宋体"/>
          <w:b/>
          <w:bCs/>
          <w:i w:val="0"/>
          <w:iCs w:val="0"/>
          <w:color w:val="auto"/>
          <w:sz w:val="24"/>
          <w:szCs w:val="24"/>
          <w:highlight w:val="none"/>
          <w:lang w:val="zh-CN"/>
        </w:rPr>
        <w:t>2.13 乙方破产</w:t>
      </w:r>
      <w:bookmarkEnd w:id="591"/>
      <w:bookmarkEnd w:id="592"/>
      <w:bookmarkEnd w:id="593"/>
      <w:bookmarkEnd w:id="594"/>
      <w:bookmarkEnd w:id="595"/>
      <w:bookmarkEnd w:id="596"/>
    </w:p>
    <w:p w14:paraId="4706273A">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E79A5F8">
      <w:pPr>
        <w:spacing w:line="360" w:lineRule="auto"/>
        <w:ind w:firstLine="437"/>
        <w:outlineLvl w:val="2"/>
        <w:rPr>
          <w:rFonts w:hint="eastAsia" w:ascii="宋体" w:hAnsi="宋体" w:eastAsia="宋体" w:cs="宋体"/>
          <w:b/>
          <w:i w:val="0"/>
          <w:iCs w:val="0"/>
          <w:color w:val="auto"/>
          <w:sz w:val="24"/>
          <w:szCs w:val="24"/>
          <w:highlight w:val="none"/>
        </w:rPr>
      </w:pPr>
      <w:bookmarkStart w:id="597" w:name="_Toc15387"/>
      <w:bookmarkStart w:id="598" w:name="_Toc29333"/>
      <w:bookmarkStart w:id="599" w:name="_Toc6134"/>
      <w:r>
        <w:rPr>
          <w:rFonts w:hint="eastAsia" w:ascii="宋体" w:hAnsi="宋体" w:eastAsia="宋体" w:cs="宋体"/>
          <w:b/>
          <w:bCs/>
          <w:i w:val="0"/>
          <w:iCs w:val="0"/>
          <w:color w:val="auto"/>
          <w:sz w:val="24"/>
          <w:szCs w:val="24"/>
          <w:highlight w:val="none"/>
          <w:lang w:val="zh-CN"/>
        </w:rPr>
        <w:t>2.14 合同中止、终止</w:t>
      </w:r>
      <w:bookmarkEnd w:id="597"/>
      <w:bookmarkEnd w:id="598"/>
      <w:bookmarkEnd w:id="599"/>
    </w:p>
    <w:p w14:paraId="6151CDA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2.14.1双方当事人不得擅自中止或者终止合同；</w:t>
      </w:r>
    </w:p>
    <w:p w14:paraId="0A33DBB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2.14.2合同继续履行将损害国家利益和社会公共利益的，双方当事人应当中止或者终止合同。有过错的一方应当承担赔偿责任，双方当事人都有过错的，各自承担相应的责任。</w:t>
      </w:r>
    </w:p>
    <w:p w14:paraId="51ADDB27">
      <w:pPr>
        <w:spacing w:line="360" w:lineRule="auto"/>
        <w:ind w:firstLine="437"/>
        <w:outlineLvl w:val="2"/>
        <w:rPr>
          <w:rFonts w:hint="eastAsia" w:ascii="宋体" w:hAnsi="宋体" w:eastAsia="宋体" w:cs="宋体"/>
          <w:b/>
          <w:bCs/>
          <w:i w:val="0"/>
          <w:iCs w:val="0"/>
          <w:color w:val="auto"/>
          <w:sz w:val="24"/>
          <w:szCs w:val="24"/>
          <w:highlight w:val="none"/>
          <w:lang w:val="zh-CN"/>
        </w:rPr>
      </w:pPr>
      <w:bookmarkStart w:id="600" w:name="_Toc1125"/>
      <w:bookmarkStart w:id="601" w:name="_Toc14563"/>
      <w:bookmarkStart w:id="602" w:name="_Toc6596"/>
      <w:r>
        <w:rPr>
          <w:rFonts w:hint="eastAsia" w:ascii="宋体" w:hAnsi="宋体" w:eastAsia="宋体" w:cs="宋体"/>
          <w:b/>
          <w:bCs/>
          <w:i w:val="0"/>
          <w:iCs w:val="0"/>
          <w:color w:val="auto"/>
          <w:sz w:val="24"/>
          <w:szCs w:val="24"/>
          <w:highlight w:val="none"/>
          <w:lang w:val="zh-CN"/>
        </w:rPr>
        <w:t>2.15 检验和验收</w:t>
      </w:r>
      <w:bookmarkEnd w:id="600"/>
      <w:bookmarkEnd w:id="601"/>
      <w:bookmarkEnd w:id="602"/>
    </w:p>
    <w:p w14:paraId="4B523E11">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2.15.1乙方按照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的约定，定期提交服务报告，甲方按照</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的约定进行定期验收；</w:t>
      </w:r>
    </w:p>
    <w:p w14:paraId="2691C969">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2.15.2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35630CD7">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2.15.3检验和验收标准、程序等具体内容以及前述验收书的效力详见</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w:t>
      </w:r>
    </w:p>
    <w:bookmarkEnd w:id="572"/>
    <w:bookmarkEnd w:id="573"/>
    <w:bookmarkEnd w:id="574"/>
    <w:bookmarkEnd w:id="575"/>
    <w:p w14:paraId="73AF77C8">
      <w:pPr>
        <w:spacing w:line="360" w:lineRule="auto"/>
        <w:ind w:firstLine="437"/>
        <w:outlineLvl w:val="2"/>
        <w:rPr>
          <w:rFonts w:hint="eastAsia" w:ascii="宋体" w:hAnsi="宋体" w:eastAsia="宋体" w:cs="宋体"/>
          <w:b/>
          <w:bCs/>
          <w:i w:val="0"/>
          <w:iCs w:val="0"/>
          <w:color w:val="auto"/>
          <w:sz w:val="24"/>
          <w:szCs w:val="24"/>
          <w:highlight w:val="none"/>
        </w:rPr>
      </w:pPr>
      <w:bookmarkStart w:id="603" w:name="_Toc487900373"/>
      <w:bookmarkStart w:id="604" w:name="_Toc279701263"/>
      <w:bookmarkStart w:id="605" w:name="_Toc18567"/>
      <w:bookmarkStart w:id="606" w:name="_Toc259093692"/>
      <w:bookmarkStart w:id="607" w:name="_Toc12773"/>
      <w:bookmarkStart w:id="608" w:name="_Toc10330"/>
      <w:r>
        <w:rPr>
          <w:rFonts w:hint="eastAsia" w:ascii="宋体" w:hAnsi="宋体" w:eastAsia="宋体" w:cs="宋体"/>
          <w:b/>
          <w:bCs/>
          <w:i w:val="0"/>
          <w:iCs w:val="0"/>
          <w:color w:val="auto"/>
          <w:sz w:val="24"/>
          <w:szCs w:val="24"/>
          <w:highlight w:val="none"/>
        </w:rPr>
        <w:t xml:space="preserve">2.16 </w:t>
      </w:r>
      <w:r>
        <w:rPr>
          <w:rFonts w:hint="eastAsia" w:ascii="宋体" w:hAnsi="宋体" w:eastAsia="宋体" w:cs="宋体"/>
          <w:b/>
          <w:bCs/>
          <w:i w:val="0"/>
          <w:iCs w:val="0"/>
          <w:color w:val="auto"/>
          <w:sz w:val="24"/>
          <w:szCs w:val="24"/>
          <w:highlight w:val="none"/>
          <w:lang w:val="zh-CN"/>
        </w:rPr>
        <w:t>合同使用的文字和适用的法律</w:t>
      </w:r>
      <w:bookmarkEnd w:id="603"/>
      <w:bookmarkEnd w:id="604"/>
      <w:bookmarkEnd w:id="605"/>
      <w:bookmarkEnd w:id="606"/>
      <w:bookmarkEnd w:id="607"/>
      <w:bookmarkEnd w:id="608"/>
    </w:p>
    <w:p w14:paraId="584303E2">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2.16.1合同使用汉语书就、变更和解释；</w:t>
      </w:r>
    </w:p>
    <w:p w14:paraId="6120D4C0">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2.16.2合同适用中华人民共和国法律。</w:t>
      </w:r>
    </w:p>
    <w:p w14:paraId="6DD35A5C">
      <w:pPr>
        <w:spacing w:line="360" w:lineRule="auto"/>
        <w:ind w:firstLine="437"/>
        <w:outlineLvl w:val="2"/>
        <w:rPr>
          <w:rFonts w:hint="eastAsia" w:ascii="宋体" w:hAnsi="宋体" w:eastAsia="宋体" w:cs="宋体"/>
          <w:b/>
          <w:i w:val="0"/>
          <w:iCs w:val="0"/>
          <w:color w:val="auto"/>
          <w:sz w:val="24"/>
          <w:szCs w:val="24"/>
          <w:highlight w:val="none"/>
        </w:rPr>
      </w:pPr>
      <w:bookmarkStart w:id="609" w:name="_Toc259093693"/>
      <w:bookmarkStart w:id="610" w:name="_Toc16673"/>
      <w:bookmarkStart w:id="611" w:name="_Toc12004"/>
      <w:bookmarkStart w:id="612" w:name="_Toc279701264"/>
      <w:bookmarkStart w:id="613" w:name="_Toc3148"/>
      <w:bookmarkStart w:id="614" w:name="_Toc487900374"/>
      <w:r>
        <w:rPr>
          <w:rFonts w:hint="eastAsia" w:ascii="宋体" w:hAnsi="宋体" w:eastAsia="宋体" w:cs="宋体"/>
          <w:b/>
          <w:bCs/>
          <w:i w:val="0"/>
          <w:iCs w:val="0"/>
          <w:color w:val="auto"/>
          <w:sz w:val="24"/>
          <w:szCs w:val="24"/>
          <w:highlight w:val="none"/>
          <w:lang w:val="zh-CN"/>
        </w:rPr>
        <w:t>2.17 履约保证金</w:t>
      </w:r>
      <w:bookmarkEnd w:id="609"/>
      <w:bookmarkEnd w:id="610"/>
      <w:bookmarkEnd w:id="611"/>
      <w:bookmarkEnd w:id="612"/>
      <w:bookmarkEnd w:id="613"/>
    </w:p>
    <w:p w14:paraId="1C42A5B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2.17.1采购文件要求乙方提交履约保证金的，乙方应按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约定的方式，以支票、汇票、本票或者金融机构、担保机构出具的保函等非现金形式提交；</w:t>
      </w:r>
    </w:p>
    <w:p w14:paraId="4D9AC60E">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2.17.2履约保证金在</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约定期间内不予退还或者应完全有效，前述约定期间届满之日起</w:t>
      </w:r>
      <w:r>
        <w:rPr>
          <w:rFonts w:hint="eastAsia" w:ascii="宋体" w:hAnsi="宋体" w:eastAsia="宋体" w:cs="宋体"/>
          <w:i w:val="0"/>
          <w:iCs w:val="0"/>
          <w:color w:val="auto"/>
          <w:sz w:val="24"/>
          <w:szCs w:val="24"/>
          <w:highlight w:val="none"/>
          <w:u w:val="single"/>
        </w:rPr>
        <w:t xml:space="preserve">   </w:t>
      </w:r>
      <w:r>
        <w:rPr>
          <w:rFonts w:hint="eastAsia" w:ascii="宋体" w:hAnsi="宋体" w:eastAsia="宋体" w:cs="宋体"/>
          <w:i w:val="0"/>
          <w:iCs w:val="0"/>
          <w:color w:val="auto"/>
          <w:sz w:val="24"/>
          <w:szCs w:val="24"/>
          <w:highlight w:val="none"/>
        </w:rPr>
        <w:t>个工作日内，甲方应将履约保证金退还乙方</w:t>
      </w:r>
      <w:r>
        <w:rPr>
          <w:rFonts w:hint="eastAsia" w:ascii="宋体" w:hAnsi="宋体" w:eastAsia="宋体" w:cs="宋体"/>
          <w:i w:val="0"/>
          <w:iCs w:val="0"/>
          <w:color w:val="auto"/>
          <w:sz w:val="24"/>
          <w:szCs w:val="24"/>
          <w:highlight w:val="none"/>
          <w:lang w:eastAsia="zh-CN"/>
        </w:rPr>
        <w:t>，</w:t>
      </w:r>
      <w:r>
        <w:rPr>
          <w:rFonts w:hint="eastAsia" w:ascii="宋体" w:hAnsi="宋体" w:eastAsia="宋体" w:cs="宋体"/>
          <w:i w:val="0"/>
          <w:iCs w:val="0"/>
          <w:color w:val="auto"/>
          <w:sz w:val="24"/>
          <w:szCs w:val="24"/>
          <w:highlight w:val="none"/>
          <w:lang w:val="en-US" w:eastAsia="zh-CN"/>
        </w:rPr>
        <w:t>甲方</w:t>
      </w:r>
      <w:r>
        <w:rPr>
          <w:rFonts w:hint="eastAsia" w:ascii="宋体" w:hAnsi="宋体" w:eastAsia="宋体" w:cs="宋体"/>
          <w:i w:val="0"/>
          <w:iCs w:val="0"/>
          <w:color w:val="auto"/>
          <w:sz w:val="24"/>
          <w:szCs w:val="24"/>
          <w:highlight w:val="none"/>
        </w:rPr>
        <w:t>逾期退还履约保证金</w:t>
      </w:r>
      <w:r>
        <w:rPr>
          <w:rFonts w:hint="eastAsia" w:ascii="宋体" w:hAnsi="宋体" w:eastAsia="宋体" w:cs="宋体"/>
          <w:i w:val="0"/>
          <w:iCs w:val="0"/>
          <w:color w:val="auto"/>
          <w:sz w:val="24"/>
          <w:szCs w:val="24"/>
          <w:highlight w:val="none"/>
          <w:lang w:val="en-US" w:eastAsia="zh-CN"/>
        </w:rPr>
        <w:t>应承担违约责任。</w:t>
      </w:r>
    </w:p>
    <w:p w14:paraId="5DC1A76F">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bookmarkEnd w:id="614"/>
    <w:p w14:paraId="1186696B">
      <w:pPr>
        <w:spacing w:line="360" w:lineRule="auto"/>
        <w:ind w:firstLine="437"/>
        <w:outlineLvl w:val="2"/>
        <w:rPr>
          <w:rFonts w:hint="eastAsia" w:ascii="宋体" w:hAnsi="宋体" w:eastAsia="宋体" w:cs="宋体"/>
          <w:b/>
          <w:i w:val="0"/>
          <w:iCs w:val="0"/>
          <w:color w:val="auto"/>
          <w:sz w:val="24"/>
          <w:szCs w:val="24"/>
          <w:highlight w:val="none"/>
        </w:rPr>
      </w:pPr>
      <w:bookmarkStart w:id="615" w:name="_Toc19890"/>
      <w:bookmarkStart w:id="616" w:name="_Toc6885"/>
      <w:bookmarkStart w:id="617" w:name="_Toc14001"/>
      <w:r>
        <w:rPr>
          <w:rFonts w:hint="eastAsia" w:ascii="宋体" w:hAnsi="宋体" w:eastAsia="宋体" w:cs="宋体"/>
          <w:b/>
          <w:bCs/>
          <w:i w:val="0"/>
          <w:iCs w:val="0"/>
          <w:color w:val="auto"/>
          <w:sz w:val="24"/>
          <w:szCs w:val="24"/>
          <w:highlight w:val="none"/>
          <w:lang w:val="zh-CN"/>
        </w:rPr>
        <w:t>2.18 合同份数</w:t>
      </w:r>
      <w:bookmarkEnd w:id="615"/>
      <w:bookmarkEnd w:id="616"/>
      <w:bookmarkEnd w:id="617"/>
    </w:p>
    <w:p w14:paraId="1E34590B">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合同份数按</w:t>
      </w:r>
      <w:r>
        <w:rPr>
          <w:rFonts w:hint="eastAsia" w:ascii="宋体" w:hAnsi="宋体" w:eastAsia="宋体" w:cs="宋体"/>
          <w:b/>
          <w:i w:val="0"/>
          <w:iCs w:val="0"/>
          <w:color w:val="auto"/>
          <w:sz w:val="24"/>
          <w:szCs w:val="24"/>
          <w:highlight w:val="none"/>
          <w:u w:val="single"/>
        </w:rPr>
        <w:t>合同专用条款</w:t>
      </w:r>
      <w:r>
        <w:rPr>
          <w:rFonts w:hint="eastAsia" w:ascii="宋体" w:hAnsi="宋体" w:eastAsia="宋体" w:cs="宋体"/>
          <w:i w:val="0"/>
          <w:iCs w:val="0"/>
          <w:color w:val="auto"/>
          <w:sz w:val="24"/>
          <w:szCs w:val="24"/>
          <w:highlight w:val="none"/>
        </w:rPr>
        <w:t>规定，每份均具有同等法律效力。</w:t>
      </w:r>
    </w:p>
    <w:p w14:paraId="53F3690C">
      <w:pPr>
        <w:pStyle w:val="6"/>
        <w:bidi w:val="0"/>
        <w:jc w:val="center"/>
        <w:rPr>
          <w:rFonts w:hint="eastAsia" w:ascii="宋体" w:hAnsi="宋体" w:eastAsia="宋体" w:cs="宋体"/>
          <w:b/>
          <w:i w:val="0"/>
          <w:iCs w:val="0"/>
          <w:color w:val="auto"/>
          <w:sz w:val="36"/>
          <w:szCs w:val="36"/>
          <w:highlight w:val="none"/>
        </w:rPr>
      </w:pPr>
      <w:r>
        <w:rPr>
          <w:rFonts w:hint="eastAsia" w:ascii="宋体" w:hAnsi="宋体" w:eastAsia="宋体" w:cs="宋体"/>
          <w:i w:val="0"/>
          <w:iCs w:val="0"/>
          <w:color w:val="auto"/>
          <w:sz w:val="24"/>
          <w:szCs w:val="24"/>
          <w:highlight w:val="none"/>
        </w:rPr>
        <w:br w:type="page"/>
      </w:r>
      <w:bookmarkStart w:id="618" w:name="_Toc21974"/>
      <w:bookmarkStart w:id="619" w:name="_Toc24501"/>
      <w:bookmarkStart w:id="620" w:name="_Toc3736"/>
      <w:r>
        <w:rPr>
          <w:rFonts w:hint="eastAsia"/>
          <w:color w:val="auto"/>
          <w:sz w:val="36"/>
          <w:szCs w:val="36"/>
          <w:highlight w:val="none"/>
        </w:rPr>
        <w:t>第三部分 合同专用条款</w:t>
      </w:r>
      <w:bookmarkEnd w:id="618"/>
      <w:bookmarkEnd w:id="619"/>
      <w:bookmarkEnd w:id="620"/>
    </w:p>
    <w:p w14:paraId="3D7C59F3">
      <w:pPr>
        <w:spacing w:line="360" w:lineRule="auto"/>
        <w:ind w:firstLine="435"/>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30"/>
        <w:tblW w:w="836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94"/>
        <w:gridCol w:w="7568"/>
      </w:tblGrid>
      <w:tr w14:paraId="024E018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jc w:val="center"/>
        </w:trPr>
        <w:tc>
          <w:tcPr>
            <w:tcW w:w="794" w:type="dxa"/>
            <w:tcBorders>
              <w:left w:val="single" w:color="auto" w:sz="4" w:space="0"/>
            </w:tcBorders>
            <w:vAlign w:val="center"/>
          </w:tcPr>
          <w:p w14:paraId="30CAE034">
            <w:pPr>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条款号</w:t>
            </w:r>
          </w:p>
        </w:tc>
        <w:tc>
          <w:tcPr>
            <w:tcW w:w="7568" w:type="dxa"/>
            <w:vAlign w:val="center"/>
          </w:tcPr>
          <w:p w14:paraId="5E297E2A">
            <w:pPr>
              <w:jc w:val="center"/>
              <w:rPr>
                <w:rFonts w:hint="eastAsia" w:ascii="宋体" w:hAnsi="宋体" w:eastAsia="宋体" w:cs="宋体"/>
                <w:b/>
                <w:i w:val="0"/>
                <w:iCs w:val="0"/>
                <w:color w:val="auto"/>
                <w:sz w:val="24"/>
                <w:szCs w:val="24"/>
                <w:highlight w:val="none"/>
              </w:rPr>
            </w:pPr>
            <w:r>
              <w:rPr>
                <w:rFonts w:hint="eastAsia" w:ascii="宋体" w:hAnsi="宋体" w:eastAsia="宋体" w:cs="宋体"/>
                <w:b/>
                <w:i w:val="0"/>
                <w:iCs w:val="0"/>
                <w:color w:val="auto"/>
                <w:sz w:val="24"/>
                <w:szCs w:val="24"/>
                <w:highlight w:val="none"/>
              </w:rPr>
              <w:t>约定内容</w:t>
            </w:r>
          </w:p>
        </w:tc>
      </w:tr>
      <w:tr w14:paraId="47A1DC8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jc w:val="center"/>
        </w:trPr>
        <w:tc>
          <w:tcPr>
            <w:tcW w:w="794" w:type="dxa"/>
            <w:tcBorders>
              <w:left w:val="single" w:color="auto" w:sz="4" w:space="0"/>
            </w:tcBorders>
            <w:vAlign w:val="center"/>
          </w:tcPr>
          <w:p w14:paraId="3B4B21CE">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0655C46">
            <w:pPr>
              <w:spacing w:line="560" w:lineRule="exact"/>
              <w:rPr>
                <w:rFonts w:hint="eastAsia" w:ascii="宋体" w:hAnsi="宋体" w:eastAsia="宋体" w:cs="宋体"/>
                <w:i w:val="0"/>
                <w:iCs w:val="0"/>
                <w:color w:val="auto"/>
                <w:sz w:val="24"/>
                <w:szCs w:val="24"/>
                <w:highlight w:val="none"/>
              </w:rPr>
            </w:pPr>
          </w:p>
        </w:tc>
      </w:tr>
      <w:tr w14:paraId="0B040D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F3CD612">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32E7ECB0">
            <w:pPr>
              <w:spacing w:line="560" w:lineRule="exact"/>
              <w:rPr>
                <w:rFonts w:hint="eastAsia" w:ascii="宋体" w:hAnsi="宋体" w:eastAsia="宋体" w:cs="宋体"/>
                <w:i w:val="0"/>
                <w:iCs w:val="0"/>
                <w:color w:val="auto"/>
                <w:sz w:val="24"/>
                <w:szCs w:val="24"/>
                <w:highlight w:val="none"/>
              </w:rPr>
            </w:pPr>
          </w:p>
        </w:tc>
      </w:tr>
      <w:tr w14:paraId="1FC9138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79AF35CA">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611385EA">
            <w:pPr>
              <w:spacing w:line="560" w:lineRule="exact"/>
              <w:rPr>
                <w:rFonts w:hint="eastAsia" w:ascii="宋体" w:hAnsi="宋体" w:eastAsia="宋体" w:cs="宋体"/>
                <w:i w:val="0"/>
                <w:iCs w:val="0"/>
                <w:color w:val="auto"/>
                <w:sz w:val="24"/>
                <w:szCs w:val="24"/>
                <w:highlight w:val="none"/>
              </w:rPr>
            </w:pPr>
          </w:p>
        </w:tc>
      </w:tr>
      <w:tr w14:paraId="4AA115C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08C18170">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728B2346">
            <w:pPr>
              <w:spacing w:line="560" w:lineRule="exact"/>
              <w:rPr>
                <w:rFonts w:hint="eastAsia" w:ascii="宋体" w:hAnsi="宋体" w:eastAsia="宋体" w:cs="宋体"/>
                <w:i w:val="0"/>
                <w:iCs w:val="0"/>
                <w:color w:val="auto"/>
                <w:sz w:val="24"/>
                <w:szCs w:val="24"/>
                <w:highlight w:val="none"/>
              </w:rPr>
            </w:pPr>
          </w:p>
        </w:tc>
      </w:tr>
      <w:tr w14:paraId="2F6F838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64A51C9F">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1CA5680">
            <w:pPr>
              <w:spacing w:line="560" w:lineRule="exact"/>
              <w:rPr>
                <w:rFonts w:hint="eastAsia" w:ascii="宋体" w:hAnsi="宋体" w:eastAsia="宋体" w:cs="宋体"/>
                <w:i w:val="0"/>
                <w:iCs w:val="0"/>
                <w:color w:val="auto"/>
                <w:sz w:val="24"/>
                <w:szCs w:val="24"/>
                <w:highlight w:val="none"/>
                <w:u w:val="single"/>
              </w:rPr>
            </w:pPr>
          </w:p>
        </w:tc>
      </w:tr>
      <w:tr w14:paraId="3E013D8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09316856">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5CD2BDDA">
            <w:pPr>
              <w:spacing w:line="560" w:lineRule="exact"/>
              <w:rPr>
                <w:rFonts w:hint="eastAsia" w:ascii="宋体" w:hAnsi="宋体" w:eastAsia="宋体" w:cs="宋体"/>
                <w:i w:val="0"/>
                <w:iCs w:val="0"/>
                <w:color w:val="auto"/>
                <w:sz w:val="24"/>
                <w:szCs w:val="24"/>
                <w:highlight w:val="none"/>
              </w:rPr>
            </w:pPr>
          </w:p>
        </w:tc>
      </w:tr>
      <w:tr w14:paraId="3FED07D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jc w:val="center"/>
        </w:trPr>
        <w:tc>
          <w:tcPr>
            <w:tcW w:w="794" w:type="dxa"/>
            <w:tcBorders>
              <w:left w:val="single" w:color="auto" w:sz="4" w:space="0"/>
            </w:tcBorders>
            <w:vAlign w:val="center"/>
          </w:tcPr>
          <w:p w14:paraId="345B688D">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7E92421C">
            <w:pPr>
              <w:spacing w:line="560" w:lineRule="exact"/>
              <w:rPr>
                <w:rFonts w:hint="eastAsia" w:ascii="宋体" w:hAnsi="宋体" w:eastAsia="宋体" w:cs="宋体"/>
                <w:i w:val="0"/>
                <w:iCs w:val="0"/>
                <w:color w:val="auto"/>
                <w:sz w:val="24"/>
                <w:szCs w:val="24"/>
                <w:highlight w:val="none"/>
                <w:u w:val="single"/>
              </w:rPr>
            </w:pPr>
          </w:p>
        </w:tc>
      </w:tr>
      <w:tr w14:paraId="7AA8F8C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65" w:hRule="atLeast"/>
          <w:jc w:val="center"/>
        </w:trPr>
        <w:tc>
          <w:tcPr>
            <w:tcW w:w="794" w:type="dxa"/>
            <w:tcBorders>
              <w:left w:val="single" w:color="auto" w:sz="4" w:space="0"/>
            </w:tcBorders>
            <w:vAlign w:val="center"/>
          </w:tcPr>
          <w:p w14:paraId="43B5D46E">
            <w:pPr>
              <w:spacing w:line="560" w:lineRule="exact"/>
              <w:rPr>
                <w:rFonts w:hint="eastAsia" w:ascii="宋体" w:hAnsi="宋体" w:eastAsia="宋体" w:cs="宋体"/>
                <w:i w:val="0"/>
                <w:iCs w:val="0"/>
                <w:color w:val="auto"/>
                <w:sz w:val="24"/>
                <w:szCs w:val="24"/>
                <w:highlight w:val="none"/>
              </w:rPr>
            </w:pPr>
          </w:p>
        </w:tc>
        <w:tc>
          <w:tcPr>
            <w:tcW w:w="7568" w:type="dxa"/>
            <w:vAlign w:val="center"/>
          </w:tcPr>
          <w:p w14:paraId="4A52371D">
            <w:pPr>
              <w:spacing w:line="560" w:lineRule="exact"/>
              <w:rPr>
                <w:rFonts w:hint="eastAsia" w:ascii="宋体" w:hAnsi="宋体" w:eastAsia="宋体" w:cs="宋体"/>
                <w:i w:val="0"/>
                <w:iCs w:val="0"/>
                <w:color w:val="auto"/>
                <w:sz w:val="24"/>
                <w:szCs w:val="24"/>
                <w:highlight w:val="none"/>
              </w:rPr>
            </w:pPr>
          </w:p>
        </w:tc>
      </w:tr>
    </w:tbl>
    <w:p w14:paraId="29D61249">
      <w:pPr>
        <w:rPr>
          <w:i w:val="0"/>
          <w:iCs w:val="0"/>
          <w:color w:val="auto"/>
          <w:highlight w:val="none"/>
        </w:rPr>
        <w:sectPr>
          <w:headerReference r:id="rId9" w:type="default"/>
          <w:footerReference r:id="rId10" w:type="default"/>
          <w:pgSz w:w="11906" w:h="16838"/>
          <w:pgMar w:top="1440" w:right="1800" w:bottom="1440" w:left="1800" w:header="851" w:footer="992" w:gutter="0"/>
          <w:pgNumType w:fmt="numberInDash"/>
          <w:cols w:space="425" w:num="1"/>
          <w:docGrid w:type="lines" w:linePitch="312" w:charSpace="0"/>
        </w:sectPr>
      </w:pPr>
      <w:r>
        <w:rPr>
          <w:rFonts w:hint="eastAsia" w:cs="宋体"/>
          <w:color w:val="000000"/>
          <w:sz w:val="24"/>
          <w:szCs w:val="24"/>
          <w:highlight w:val="none"/>
          <w:lang w:val="en-US" w:eastAsia="zh-CN"/>
        </w:rPr>
        <w:t>注：具体以实际签订为准。</w:t>
      </w:r>
    </w:p>
    <w:bookmarkEnd w:id="467"/>
    <w:p w14:paraId="35A4DE00">
      <w:pPr>
        <w:pStyle w:val="5"/>
        <w:numPr>
          <w:ilvl w:val="0"/>
          <w:numId w:val="0"/>
        </w:numPr>
        <w:ind w:left="420" w:leftChars="0" w:hanging="420" w:firstLineChars="0"/>
        <w:rPr>
          <w:rFonts w:hint="eastAsia" w:ascii="宋体" w:hAnsi="宋体" w:eastAsia="黑体" w:cs="宋体"/>
          <w:b/>
          <w:bCs/>
          <w:i w:val="0"/>
          <w:iCs w:val="0"/>
          <w:color w:val="auto"/>
          <w:kern w:val="44"/>
          <w:sz w:val="44"/>
          <w:szCs w:val="44"/>
          <w:highlight w:val="none"/>
          <w:lang w:val="en-US" w:eastAsia="zh-CN" w:bidi="ar-SA"/>
        </w:rPr>
      </w:pPr>
      <w:bookmarkStart w:id="621" w:name="_Toc163493642"/>
    </w:p>
    <w:p w14:paraId="303727D2">
      <w:pPr>
        <w:pStyle w:val="5"/>
        <w:numPr>
          <w:ilvl w:val="0"/>
          <w:numId w:val="0"/>
        </w:numPr>
        <w:ind w:left="420" w:leftChars="0" w:hanging="420" w:firstLineChars="0"/>
        <w:rPr>
          <w:i w:val="0"/>
          <w:iCs w:val="0"/>
          <w:color w:val="auto"/>
          <w:highlight w:val="none"/>
        </w:rPr>
      </w:pPr>
      <w:bookmarkStart w:id="622" w:name="_Toc4816"/>
      <w:r>
        <w:rPr>
          <w:rFonts w:hint="eastAsia" w:ascii="宋体" w:hAnsi="宋体" w:eastAsia="宋体" w:cs="宋体"/>
          <w:b/>
          <w:bCs/>
          <w:i w:val="0"/>
          <w:iCs w:val="0"/>
          <w:color w:val="auto"/>
          <w:kern w:val="44"/>
          <w:sz w:val="36"/>
          <w:szCs w:val="36"/>
          <w:highlight w:val="none"/>
          <w:lang w:val="en-US" w:eastAsia="zh-CN" w:bidi="ar-SA"/>
        </w:rPr>
        <w:t xml:space="preserve">第六章 </w:t>
      </w:r>
      <w:r>
        <w:rPr>
          <w:rFonts w:hint="eastAsia" w:ascii="宋体" w:hAnsi="宋体" w:eastAsia="宋体" w:cs="宋体"/>
          <w:i w:val="0"/>
          <w:iCs w:val="0"/>
          <w:color w:val="auto"/>
          <w:sz w:val="36"/>
          <w:szCs w:val="36"/>
          <w:highlight w:val="none"/>
        </w:rPr>
        <w:t>响应文件的格式</w:t>
      </w:r>
      <w:bookmarkEnd w:id="621"/>
      <w:bookmarkEnd w:id="622"/>
    </w:p>
    <w:p w14:paraId="6EC4C082">
      <w:pPr>
        <w:ind w:firstLine="480" w:firstLineChars="200"/>
        <w:rPr>
          <w:rFonts w:hint="eastAsia" w:cs="仿宋_GB2312"/>
          <w:i w:val="0"/>
          <w:iCs w:val="0"/>
          <w:color w:val="auto"/>
          <w:highlight w:val="none"/>
          <w:lang w:val="zh-CN"/>
        </w:rPr>
      </w:pPr>
    </w:p>
    <w:p w14:paraId="66F9DB6D">
      <w:pPr>
        <w:ind w:firstLine="480" w:firstLineChars="200"/>
        <w:rPr>
          <w:rFonts w:hint="eastAsia" w:cs="仿宋_GB2312"/>
          <w:i w:val="0"/>
          <w:iCs w:val="0"/>
          <w:color w:val="auto"/>
          <w:highlight w:val="none"/>
          <w:lang w:val="zh-CN"/>
        </w:rPr>
      </w:pPr>
    </w:p>
    <w:p w14:paraId="0F1E5057">
      <w:pPr>
        <w:ind w:firstLine="480" w:firstLineChars="200"/>
        <w:rPr>
          <w:rFonts w:hint="eastAsia" w:cs="仿宋_GB2312"/>
          <w:i w:val="0"/>
          <w:iCs w:val="0"/>
          <w:color w:val="auto"/>
          <w:highlight w:val="none"/>
          <w:lang w:val="zh-CN"/>
        </w:rPr>
      </w:pPr>
    </w:p>
    <w:p w14:paraId="02C1CDE2">
      <w:pPr>
        <w:ind w:firstLine="480" w:firstLineChars="200"/>
        <w:rPr>
          <w:rFonts w:hint="eastAsia" w:cs="仿宋_GB2312"/>
          <w:i w:val="0"/>
          <w:iCs w:val="0"/>
          <w:color w:val="auto"/>
          <w:highlight w:val="none"/>
          <w:lang w:val="zh-CN"/>
        </w:rPr>
      </w:pPr>
    </w:p>
    <w:p w14:paraId="5FD4F8BE">
      <w:pPr>
        <w:ind w:firstLine="480" w:firstLineChars="200"/>
        <w:rPr>
          <w:rFonts w:hint="eastAsia" w:cs="仿宋_GB2312"/>
          <w:i w:val="0"/>
          <w:iCs w:val="0"/>
          <w:color w:val="auto"/>
          <w:highlight w:val="none"/>
          <w:lang w:val="zh-CN"/>
        </w:rPr>
      </w:pPr>
    </w:p>
    <w:p w14:paraId="40FD170D">
      <w:pPr>
        <w:ind w:firstLine="480" w:firstLineChars="200"/>
        <w:rPr>
          <w:rFonts w:hint="eastAsia" w:cs="仿宋_GB2312"/>
          <w:i w:val="0"/>
          <w:iCs w:val="0"/>
          <w:color w:val="auto"/>
          <w:highlight w:val="none"/>
          <w:lang w:val="zh-CN"/>
        </w:rPr>
      </w:pPr>
    </w:p>
    <w:p w14:paraId="333C12D2">
      <w:pPr>
        <w:ind w:firstLine="480" w:firstLineChars="200"/>
        <w:rPr>
          <w:rFonts w:hint="eastAsia" w:cs="仿宋_GB2312"/>
          <w:i w:val="0"/>
          <w:iCs w:val="0"/>
          <w:color w:val="auto"/>
          <w:highlight w:val="none"/>
          <w:lang w:val="zh-CN"/>
        </w:rPr>
      </w:pPr>
    </w:p>
    <w:p w14:paraId="0DC5F5FB">
      <w:pPr>
        <w:ind w:firstLine="480" w:firstLineChars="200"/>
        <w:rPr>
          <w:rFonts w:hint="eastAsia" w:cs="仿宋_GB2312"/>
          <w:i w:val="0"/>
          <w:iCs w:val="0"/>
          <w:color w:val="auto"/>
          <w:highlight w:val="none"/>
          <w:lang w:val="zh-CN"/>
        </w:rPr>
      </w:pPr>
    </w:p>
    <w:p w14:paraId="7D5CE0DF">
      <w:pPr>
        <w:ind w:firstLine="480" w:firstLineChars="200"/>
        <w:rPr>
          <w:rFonts w:hint="eastAsia" w:cs="仿宋_GB2312"/>
          <w:i w:val="0"/>
          <w:iCs w:val="0"/>
          <w:color w:val="auto"/>
          <w:highlight w:val="none"/>
          <w:lang w:val="zh-CN"/>
        </w:rPr>
      </w:pPr>
    </w:p>
    <w:p w14:paraId="226FEC9F">
      <w:pPr>
        <w:ind w:firstLine="480" w:firstLineChars="200"/>
        <w:rPr>
          <w:rFonts w:hint="eastAsia" w:cs="仿宋_GB2312"/>
          <w:i w:val="0"/>
          <w:iCs w:val="0"/>
          <w:color w:val="auto"/>
          <w:highlight w:val="none"/>
          <w:lang w:val="zh-CN"/>
        </w:rPr>
      </w:pPr>
    </w:p>
    <w:p w14:paraId="3B193948">
      <w:pPr>
        <w:ind w:firstLine="480" w:firstLineChars="200"/>
        <w:rPr>
          <w:rFonts w:hint="eastAsia" w:cs="仿宋_GB2312"/>
          <w:i w:val="0"/>
          <w:iCs w:val="0"/>
          <w:color w:val="auto"/>
          <w:highlight w:val="none"/>
          <w:lang w:val="zh-CN"/>
        </w:rPr>
      </w:pPr>
    </w:p>
    <w:p w14:paraId="25528327">
      <w:pPr>
        <w:ind w:firstLine="480" w:firstLineChars="200"/>
        <w:rPr>
          <w:rFonts w:hint="eastAsia" w:cs="仿宋_GB2312"/>
          <w:i w:val="0"/>
          <w:iCs w:val="0"/>
          <w:color w:val="auto"/>
          <w:highlight w:val="none"/>
          <w:lang w:val="zh-CN"/>
        </w:rPr>
      </w:pPr>
    </w:p>
    <w:p w14:paraId="6F2846A3">
      <w:pPr>
        <w:ind w:firstLine="480" w:firstLineChars="200"/>
        <w:rPr>
          <w:rFonts w:hint="eastAsia" w:cs="仿宋_GB2312"/>
          <w:i w:val="0"/>
          <w:iCs w:val="0"/>
          <w:color w:val="auto"/>
          <w:highlight w:val="none"/>
          <w:lang w:val="zh-CN"/>
        </w:rPr>
      </w:pPr>
    </w:p>
    <w:p w14:paraId="6D7EA01B">
      <w:pPr>
        <w:ind w:firstLine="480" w:firstLineChars="200"/>
        <w:rPr>
          <w:rFonts w:hint="eastAsia" w:cs="仿宋_GB2312"/>
          <w:i w:val="0"/>
          <w:iCs w:val="0"/>
          <w:color w:val="auto"/>
          <w:highlight w:val="none"/>
          <w:lang w:val="zh-CN"/>
        </w:rPr>
      </w:pPr>
    </w:p>
    <w:p w14:paraId="1FA1C6E4">
      <w:pPr>
        <w:ind w:firstLine="480" w:firstLineChars="200"/>
        <w:rPr>
          <w:rFonts w:hint="eastAsia" w:cs="仿宋_GB2312"/>
          <w:i w:val="0"/>
          <w:iCs w:val="0"/>
          <w:color w:val="auto"/>
          <w:highlight w:val="none"/>
          <w:lang w:val="zh-CN"/>
        </w:rPr>
      </w:pPr>
    </w:p>
    <w:p w14:paraId="7080018F">
      <w:pPr>
        <w:ind w:firstLine="480" w:firstLineChars="200"/>
        <w:rPr>
          <w:rFonts w:hint="eastAsia" w:cs="仿宋_GB2312"/>
          <w:i w:val="0"/>
          <w:iCs w:val="0"/>
          <w:color w:val="auto"/>
          <w:highlight w:val="none"/>
          <w:lang w:val="zh-CN"/>
        </w:rPr>
      </w:pPr>
    </w:p>
    <w:p w14:paraId="4B79049E">
      <w:pPr>
        <w:ind w:firstLine="480" w:firstLineChars="200"/>
        <w:rPr>
          <w:rFonts w:hint="eastAsia" w:cs="仿宋_GB2312"/>
          <w:i w:val="0"/>
          <w:iCs w:val="0"/>
          <w:color w:val="auto"/>
          <w:highlight w:val="none"/>
          <w:lang w:val="zh-CN"/>
        </w:rPr>
      </w:pPr>
    </w:p>
    <w:p w14:paraId="690F05F4">
      <w:pPr>
        <w:ind w:firstLine="480" w:firstLineChars="200"/>
        <w:rPr>
          <w:rFonts w:hint="eastAsia" w:cs="仿宋_GB2312"/>
          <w:i w:val="0"/>
          <w:iCs w:val="0"/>
          <w:color w:val="auto"/>
          <w:highlight w:val="none"/>
          <w:lang w:val="zh-CN"/>
        </w:rPr>
      </w:pPr>
    </w:p>
    <w:p w14:paraId="6ED94B89">
      <w:pPr>
        <w:ind w:firstLine="480" w:firstLineChars="200"/>
        <w:rPr>
          <w:rFonts w:hint="eastAsia" w:cs="仿宋_GB2312"/>
          <w:i w:val="0"/>
          <w:iCs w:val="0"/>
          <w:color w:val="auto"/>
          <w:highlight w:val="none"/>
          <w:lang w:val="zh-CN"/>
        </w:rPr>
      </w:pPr>
    </w:p>
    <w:p w14:paraId="7DE59651">
      <w:pPr>
        <w:ind w:firstLine="480" w:firstLineChars="200"/>
        <w:rPr>
          <w:rFonts w:hint="eastAsia" w:cs="仿宋_GB2312"/>
          <w:i w:val="0"/>
          <w:iCs w:val="0"/>
          <w:color w:val="auto"/>
          <w:highlight w:val="none"/>
          <w:lang w:val="zh-CN"/>
        </w:rPr>
      </w:pPr>
    </w:p>
    <w:p w14:paraId="0D899E1D">
      <w:pPr>
        <w:ind w:firstLine="480" w:firstLineChars="200"/>
        <w:rPr>
          <w:rFonts w:hint="eastAsia" w:cs="仿宋_GB2312"/>
          <w:i w:val="0"/>
          <w:iCs w:val="0"/>
          <w:color w:val="auto"/>
          <w:highlight w:val="none"/>
          <w:lang w:val="zh-CN"/>
        </w:rPr>
      </w:pPr>
    </w:p>
    <w:p w14:paraId="6EA0DF60">
      <w:pPr>
        <w:ind w:firstLine="480" w:firstLineChars="200"/>
        <w:rPr>
          <w:rFonts w:hint="eastAsia" w:cs="仿宋_GB2312"/>
          <w:i w:val="0"/>
          <w:iCs w:val="0"/>
          <w:color w:val="auto"/>
          <w:highlight w:val="none"/>
          <w:lang w:val="zh-CN"/>
        </w:rPr>
      </w:pPr>
    </w:p>
    <w:p w14:paraId="3D40132F">
      <w:pPr>
        <w:ind w:firstLine="480" w:firstLineChars="200"/>
        <w:rPr>
          <w:rFonts w:hint="eastAsia" w:cs="仿宋_GB2312"/>
          <w:i w:val="0"/>
          <w:iCs w:val="0"/>
          <w:color w:val="auto"/>
          <w:szCs w:val="24"/>
          <w:highlight w:val="none"/>
          <w:lang w:val="zh-CN"/>
        </w:rPr>
      </w:pPr>
    </w:p>
    <w:p w14:paraId="6DC90E3C">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202803F7">
      <w:pPr>
        <w:autoSpaceDE w:val="0"/>
        <w:autoSpaceDN w:val="0"/>
        <w:adjustRightInd w:val="0"/>
        <w:rPr>
          <w:i w:val="0"/>
          <w:iCs w:val="0"/>
          <w:color w:val="auto"/>
          <w:sz w:val="21"/>
          <w:szCs w:val="24"/>
          <w:highlight w:val="none"/>
        </w:rPr>
      </w:pPr>
    </w:p>
    <w:p w14:paraId="73B11C8A">
      <w:pPr>
        <w:autoSpaceDE w:val="0"/>
        <w:autoSpaceDN w:val="0"/>
        <w:adjustRightInd w:val="0"/>
        <w:rPr>
          <w:i w:val="0"/>
          <w:iCs w:val="0"/>
          <w:color w:val="auto"/>
          <w:sz w:val="21"/>
          <w:szCs w:val="24"/>
          <w:highlight w:val="none"/>
        </w:rPr>
      </w:pPr>
    </w:p>
    <w:p w14:paraId="36DF3F4E">
      <w:pPr>
        <w:autoSpaceDE w:val="0"/>
        <w:autoSpaceDN w:val="0"/>
        <w:adjustRightInd w:val="0"/>
        <w:jc w:val="center"/>
        <w:rPr>
          <w:i w:val="0"/>
          <w:iCs w:val="0"/>
          <w:color w:val="auto"/>
          <w:sz w:val="21"/>
          <w:szCs w:val="24"/>
          <w:highlight w:val="none"/>
        </w:rPr>
      </w:pPr>
    </w:p>
    <w:p w14:paraId="336E03FA">
      <w:pPr>
        <w:pStyle w:val="5"/>
        <w:bidi w:val="0"/>
        <w:spacing w:line="360" w:lineRule="auto"/>
        <w:rPr>
          <w:rFonts w:hint="eastAsia"/>
          <w:color w:val="auto"/>
          <w:sz w:val="48"/>
          <w:szCs w:val="48"/>
          <w:highlight w:val="none"/>
        </w:rPr>
      </w:pPr>
      <w:bookmarkStart w:id="623" w:name="_Toc12918"/>
      <w:r>
        <w:rPr>
          <w:rFonts w:hint="eastAsia"/>
          <w:color w:val="auto"/>
          <w:sz w:val="48"/>
          <w:szCs w:val="48"/>
          <w:highlight w:val="none"/>
          <w:lang w:val="en-US" w:eastAsia="zh-CN"/>
        </w:rPr>
        <w:t>响</w:t>
      </w:r>
      <w:r>
        <w:rPr>
          <w:rFonts w:hint="eastAsia"/>
          <w:color w:val="auto"/>
          <w:sz w:val="48"/>
          <w:szCs w:val="48"/>
          <w:highlight w:val="none"/>
        </w:rPr>
        <w:t xml:space="preserve"> </w:t>
      </w:r>
      <w:r>
        <w:rPr>
          <w:rFonts w:hint="eastAsia"/>
          <w:color w:val="auto"/>
          <w:sz w:val="48"/>
          <w:szCs w:val="48"/>
          <w:highlight w:val="none"/>
          <w:lang w:val="en-US" w:eastAsia="zh-CN"/>
        </w:rPr>
        <w:t>应</w:t>
      </w:r>
      <w:r>
        <w:rPr>
          <w:rFonts w:hint="eastAsia"/>
          <w:color w:val="auto"/>
          <w:sz w:val="48"/>
          <w:szCs w:val="48"/>
          <w:highlight w:val="none"/>
        </w:rPr>
        <w:t xml:space="preserve"> 文 件</w:t>
      </w:r>
      <w:bookmarkEnd w:id="623"/>
    </w:p>
    <w:p w14:paraId="7053976A">
      <w:pPr>
        <w:pStyle w:val="5"/>
        <w:bidi w:val="0"/>
        <w:spacing w:line="360" w:lineRule="auto"/>
        <w:rPr>
          <w:rFonts w:hint="eastAsia"/>
          <w:color w:val="auto"/>
          <w:sz w:val="48"/>
          <w:szCs w:val="48"/>
          <w:highlight w:val="none"/>
        </w:rPr>
      </w:pPr>
      <w:bookmarkStart w:id="624" w:name="_Toc22197"/>
      <w:r>
        <w:rPr>
          <w:rFonts w:hint="eastAsia"/>
          <w:color w:val="auto"/>
          <w:sz w:val="48"/>
          <w:szCs w:val="48"/>
          <w:highlight w:val="none"/>
        </w:rPr>
        <w:t>资格证明文件</w:t>
      </w:r>
      <w:bookmarkEnd w:id="624"/>
    </w:p>
    <w:p w14:paraId="11B2218D">
      <w:pPr>
        <w:autoSpaceDE w:val="0"/>
        <w:autoSpaceDN w:val="0"/>
        <w:adjustRightInd w:val="0"/>
        <w:rPr>
          <w:b/>
          <w:bCs/>
          <w:i w:val="0"/>
          <w:iCs w:val="0"/>
          <w:color w:val="auto"/>
          <w:sz w:val="22"/>
          <w:highlight w:val="none"/>
        </w:rPr>
      </w:pPr>
    </w:p>
    <w:p w14:paraId="06BBF80E">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7EDE7CD9">
      <w:pPr>
        <w:autoSpaceDE w:val="0"/>
        <w:autoSpaceDN w:val="0"/>
        <w:adjustRightInd w:val="0"/>
        <w:rPr>
          <w:i w:val="0"/>
          <w:iCs w:val="0"/>
          <w:color w:val="auto"/>
          <w:sz w:val="21"/>
          <w:szCs w:val="21"/>
          <w:highlight w:val="none"/>
        </w:rPr>
      </w:pPr>
    </w:p>
    <w:p w14:paraId="42DB1859">
      <w:pPr>
        <w:pStyle w:val="6"/>
        <w:rPr>
          <w:i w:val="0"/>
          <w:iCs w:val="0"/>
          <w:color w:val="auto"/>
          <w:highlight w:val="none"/>
        </w:rPr>
      </w:pPr>
    </w:p>
    <w:p w14:paraId="30EB22E6">
      <w:pPr>
        <w:autoSpaceDE w:val="0"/>
        <w:autoSpaceDN w:val="0"/>
        <w:adjustRightInd w:val="0"/>
        <w:rPr>
          <w:i w:val="0"/>
          <w:iCs w:val="0"/>
          <w:color w:val="auto"/>
          <w:sz w:val="21"/>
          <w:szCs w:val="21"/>
          <w:highlight w:val="none"/>
        </w:rPr>
      </w:pPr>
    </w:p>
    <w:p w14:paraId="0D158554">
      <w:pPr>
        <w:autoSpaceDE w:val="0"/>
        <w:autoSpaceDN w:val="0"/>
        <w:adjustRightInd w:val="0"/>
        <w:rPr>
          <w:i w:val="0"/>
          <w:iCs w:val="0"/>
          <w:color w:val="auto"/>
          <w:sz w:val="21"/>
          <w:szCs w:val="21"/>
          <w:highlight w:val="none"/>
        </w:rPr>
      </w:pPr>
    </w:p>
    <w:p w14:paraId="01B855BF">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7E0530D8">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4281C2EA">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67DB2DE4">
      <w:pPr>
        <w:ind w:left="840" w:firstLine="420"/>
        <w:rPr>
          <w:b/>
          <w:bCs/>
          <w:i w:val="0"/>
          <w:iCs w:val="0"/>
          <w:color w:val="auto"/>
          <w:sz w:val="28"/>
          <w:szCs w:val="28"/>
          <w:highlight w:val="none"/>
        </w:rPr>
      </w:pPr>
    </w:p>
    <w:p w14:paraId="1D6D546F">
      <w:pPr>
        <w:ind w:left="840" w:firstLine="420"/>
        <w:rPr>
          <w:b/>
          <w:bCs/>
          <w:i w:val="0"/>
          <w:iCs w:val="0"/>
          <w:color w:val="auto"/>
          <w:sz w:val="28"/>
          <w:szCs w:val="28"/>
          <w:highlight w:val="none"/>
        </w:rPr>
      </w:pPr>
    </w:p>
    <w:p w14:paraId="167EF277">
      <w:pPr>
        <w:ind w:left="840" w:firstLine="420"/>
        <w:rPr>
          <w:b/>
          <w:bCs/>
          <w:i w:val="0"/>
          <w:iCs w:val="0"/>
          <w:color w:val="auto"/>
          <w:sz w:val="28"/>
          <w:szCs w:val="28"/>
          <w:highlight w:val="none"/>
        </w:rPr>
      </w:pPr>
    </w:p>
    <w:p w14:paraId="74C476B2">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39BD53E8">
      <w:pPr>
        <w:jc w:val="center"/>
        <w:rPr>
          <w:b/>
          <w:bCs/>
          <w:i w:val="0"/>
          <w:iCs w:val="0"/>
          <w:color w:val="auto"/>
          <w:sz w:val="28"/>
          <w:szCs w:val="28"/>
          <w:highlight w:val="none"/>
        </w:rPr>
      </w:pPr>
      <w:r>
        <w:rPr>
          <w:b/>
          <w:bCs/>
          <w:i w:val="0"/>
          <w:iCs w:val="0"/>
          <w:color w:val="auto"/>
          <w:sz w:val="28"/>
          <w:szCs w:val="28"/>
          <w:highlight w:val="none"/>
        </w:rPr>
        <w:br w:type="page"/>
      </w:r>
    </w:p>
    <w:p w14:paraId="6DBE2CDA">
      <w:pPr>
        <w:rPr>
          <w:i w:val="0"/>
          <w:iCs w:val="0"/>
          <w:color w:val="auto"/>
          <w:highlight w:val="none"/>
          <w:lang w:val="zh-CN"/>
        </w:rPr>
      </w:pPr>
      <w:bookmarkStart w:id="625" w:name="_Toc163492922"/>
      <w:bookmarkStart w:id="626" w:name="_Toc155185928"/>
      <w:bookmarkStart w:id="627" w:name="_Toc163493643"/>
    </w:p>
    <w:p w14:paraId="1582779F">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628" w:name="_Toc2966"/>
      <w:bookmarkStart w:id="629" w:name="_Toc155185927"/>
      <w:bookmarkStart w:id="630" w:name="_Toc163492921"/>
      <w:r>
        <w:rPr>
          <w:rFonts w:hint="eastAsia" w:ascii="等线 Light" w:hAnsi="等线 Light" w:eastAsia="宋体" w:cs="宋体"/>
          <w:b/>
          <w:bCs/>
          <w:i w:val="0"/>
          <w:iCs w:val="0"/>
          <w:color w:val="auto"/>
          <w:kern w:val="2"/>
          <w:sz w:val="28"/>
          <w:szCs w:val="28"/>
          <w:highlight w:val="none"/>
          <w:lang w:val="en-US" w:eastAsia="zh-CN" w:bidi="ar-SA"/>
        </w:rPr>
        <w:t>一、满足《中华人民共和国政府采购法》第二十二条规定</w:t>
      </w:r>
      <w:bookmarkEnd w:id="628"/>
    </w:p>
    <w:bookmarkEnd w:id="629"/>
    <w:bookmarkEnd w:id="630"/>
    <w:p w14:paraId="6B7B06FF">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（一）法人、其他组织或者自然人的证明文件</w:t>
      </w:r>
    </w:p>
    <w:p w14:paraId="18B0578F">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1、供应商</w:t>
      </w:r>
      <w:r>
        <w:rPr>
          <w:rFonts w:hint="eastAsia" w:ascii="宋体" w:hAnsi="宋体" w:eastAsia="宋体" w:cs="宋体"/>
          <w:b w:val="0"/>
          <w:bCs w:val="0"/>
          <w:i w:val="0"/>
          <w:iCs w:val="0"/>
          <w:color w:val="auto"/>
          <w:kern w:val="0"/>
          <w:sz w:val="24"/>
          <w:szCs w:val="24"/>
          <w:highlight w:val="none"/>
          <w:lang w:val="en-US" w:eastAsia="zh-CN"/>
        </w:rPr>
        <w:t>为企业（包括合伙企业）的，应提供有效的“营业执照”；</w:t>
      </w:r>
    </w:p>
    <w:p w14:paraId="1D91F81E">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2、供应商</w:t>
      </w:r>
      <w:r>
        <w:rPr>
          <w:rFonts w:hint="eastAsia" w:ascii="宋体" w:hAnsi="宋体" w:eastAsia="宋体" w:cs="宋体"/>
          <w:b w:val="0"/>
          <w:bCs w:val="0"/>
          <w:i w:val="0"/>
          <w:iCs w:val="0"/>
          <w:color w:val="auto"/>
          <w:kern w:val="0"/>
          <w:sz w:val="24"/>
          <w:szCs w:val="24"/>
          <w:highlight w:val="none"/>
          <w:lang w:val="en-US" w:eastAsia="zh-CN"/>
        </w:rPr>
        <w:t>为事业单位的，应提供有效的“事业单位法人证书”；</w:t>
      </w:r>
    </w:p>
    <w:p w14:paraId="11EBB2B4">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3、供应商</w:t>
      </w:r>
      <w:r>
        <w:rPr>
          <w:rFonts w:hint="eastAsia" w:ascii="宋体" w:hAnsi="宋体" w:eastAsia="宋体" w:cs="宋体"/>
          <w:b w:val="0"/>
          <w:bCs w:val="0"/>
          <w:i w:val="0"/>
          <w:iCs w:val="0"/>
          <w:color w:val="auto"/>
          <w:kern w:val="0"/>
          <w:sz w:val="24"/>
          <w:szCs w:val="24"/>
          <w:highlight w:val="none"/>
          <w:lang w:val="en-US" w:eastAsia="zh-CN"/>
        </w:rPr>
        <w:t>为非企业机构的，应提供有效的“执业许可证”、“登记证书”等证明文件；</w:t>
      </w:r>
    </w:p>
    <w:p w14:paraId="783D0953">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4、供应商</w:t>
      </w:r>
      <w:r>
        <w:rPr>
          <w:rFonts w:hint="eastAsia" w:ascii="宋体" w:hAnsi="宋体" w:eastAsia="宋体" w:cs="宋体"/>
          <w:b w:val="0"/>
          <w:bCs w:val="0"/>
          <w:i w:val="0"/>
          <w:iCs w:val="0"/>
          <w:color w:val="auto"/>
          <w:kern w:val="0"/>
          <w:sz w:val="24"/>
          <w:szCs w:val="24"/>
          <w:highlight w:val="none"/>
          <w:lang w:val="en-US" w:eastAsia="zh-CN"/>
        </w:rPr>
        <w:t>是个体工商户的，应提供有效的“个体工商户营业执照”；</w:t>
      </w:r>
    </w:p>
    <w:p w14:paraId="0D5FBDB9">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b w:val="0"/>
          <w:bCs w:val="0"/>
          <w:i w:val="0"/>
          <w:iCs w:val="0"/>
          <w:color w:val="auto"/>
          <w:kern w:val="0"/>
          <w:sz w:val="24"/>
          <w:szCs w:val="24"/>
          <w:highlight w:val="none"/>
          <w:lang w:val="en-US" w:eastAsia="zh-CN"/>
        </w:rPr>
      </w:pPr>
      <w:r>
        <w:rPr>
          <w:rFonts w:hint="eastAsia" w:cs="宋体"/>
          <w:b w:val="0"/>
          <w:bCs w:val="0"/>
          <w:i w:val="0"/>
          <w:iCs w:val="0"/>
          <w:color w:val="auto"/>
          <w:kern w:val="0"/>
          <w:sz w:val="24"/>
          <w:szCs w:val="24"/>
          <w:highlight w:val="none"/>
          <w:lang w:val="en-US" w:eastAsia="zh-CN"/>
        </w:rPr>
        <w:t>5、供应商</w:t>
      </w:r>
      <w:r>
        <w:rPr>
          <w:rFonts w:hint="eastAsia" w:ascii="宋体" w:hAnsi="宋体" w:eastAsia="宋体" w:cs="宋体"/>
          <w:b w:val="0"/>
          <w:bCs w:val="0"/>
          <w:i w:val="0"/>
          <w:iCs w:val="0"/>
          <w:color w:val="auto"/>
          <w:kern w:val="0"/>
          <w:sz w:val="24"/>
          <w:szCs w:val="24"/>
          <w:highlight w:val="none"/>
          <w:lang w:val="en-US" w:eastAsia="zh-CN"/>
        </w:rPr>
        <w:t>是自然人的，应提供有效的自然人身份证明。</w:t>
      </w:r>
    </w:p>
    <w:p w14:paraId="128F3677">
      <w:pPr>
        <w:rPr>
          <w:rFonts w:hint="eastAsia" w:ascii="宋体" w:hAnsi="宋体" w:eastAsia="宋体" w:cs="宋体"/>
          <w:i w:val="0"/>
          <w:iCs w:val="0"/>
          <w:color w:val="auto"/>
          <w:kern w:val="0"/>
          <w:sz w:val="24"/>
          <w:szCs w:val="24"/>
          <w:highlight w:val="none"/>
          <w:lang w:val="en-US" w:eastAsia="zh-CN"/>
        </w:rPr>
      </w:pPr>
      <w:r>
        <w:rPr>
          <w:rFonts w:hint="eastAsia" w:ascii="宋体" w:hAnsi="宋体" w:eastAsia="宋体" w:cs="宋体"/>
          <w:i w:val="0"/>
          <w:iCs w:val="0"/>
          <w:color w:val="auto"/>
          <w:kern w:val="0"/>
          <w:sz w:val="24"/>
          <w:szCs w:val="24"/>
          <w:highlight w:val="none"/>
          <w:lang w:val="en-US" w:eastAsia="zh-CN"/>
        </w:rPr>
        <w:br w:type="page"/>
      </w:r>
    </w:p>
    <w:bookmarkEnd w:id="625"/>
    <w:bookmarkEnd w:id="626"/>
    <w:p w14:paraId="3EF65836">
      <w:pPr>
        <w:rPr>
          <w:rFonts w:hint="eastAsia" w:cs="宋体"/>
          <w:b/>
          <w:bCs/>
          <w:szCs w:val="24"/>
        </w:rPr>
      </w:pPr>
      <w:bookmarkStart w:id="631" w:name="_Toc13703"/>
      <w:bookmarkStart w:id="632" w:name="_Toc14712"/>
      <w:r>
        <w:rPr>
          <w:rFonts w:hint="eastAsia" w:ascii="宋体" w:hAnsi="宋体" w:eastAsia="宋体" w:cs="宋体"/>
          <w:b/>
          <w:bCs/>
          <w:i w:val="0"/>
          <w:iCs w:val="0"/>
          <w:color w:val="auto"/>
          <w:kern w:val="2"/>
          <w:sz w:val="24"/>
          <w:szCs w:val="24"/>
          <w:highlight w:val="none"/>
          <w:lang w:val="en-US" w:eastAsia="zh-CN" w:bidi="ar-SA"/>
        </w:rPr>
        <w:t>（二）</w:t>
      </w:r>
      <w:bookmarkEnd w:id="631"/>
      <w:bookmarkEnd w:id="632"/>
      <w:r>
        <w:rPr>
          <w:rFonts w:hint="eastAsia" w:cs="宋体"/>
          <w:b/>
          <w:bCs/>
          <w:szCs w:val="24"/>
        </w:rPr>
        <w:t>具有良好的商业信誉和健全的财务会计制度；</w:t>
      </w:r>
    </w:p>
    <w:p w14:paraId="6A11B101">
      <w:pPr>
        <w:pStyle w:val="2"/>
        <w:rPr>
          <w:rFonts w:hint="eastAsia" w:ascii="宋体" w:hAnsi="宋体" w:eastAsia="宋体" w:cs="宋体"/>
          <w:color w:val="auto"/>
          <w:kern w:val="2"/>
          <w:sz w:val="24"/>
          <w:szCs w:val="24"/>
          <w:lang w:val="en-US" w:eastAsia="zh-CN" w:bidi="ar-SA"/>
        </w:rPr>
      </w:pPr>
      <w:r>
        <w:rPr>
          <w:rFonts w:hint="eastAsia" w:cs="宋体"/>
          <w:szCs w:val="24"/>
          <w:lang w:val="en-US" w:eastAsia="zh-CN"/>
        </w:rPr>
        <w:t>提供2023-2025年度经审计的财务报表或审计报告；若供应商成立不足一年，提供成立以来完整财务报表。</w:t>
      </w:r>
    </w:p>
    <w:p w14:paraId="26514FAF">
      <w:pPr>
        <w:rPr>
          <w:rFonts w:hint="eastAsia" w:cs="宋体"/>
          <w:szCs w:val="24"/>
        </w:rPr>
      </w:pPr>
      <w:r>
        <w:rPr>
          <w:rFonts w:hint="eastAsia" w:cs="宋体"/>
          <w:szCs w:val="24"/>
        </w:rPr>
        <w:br w:type="page"/>
      </w:r>
    </w:p>
    <w:p w14:paraId="7F3B9DF2">
      <w:pPr>
        <w:rPr>
          <w:rFonts w:hint="eastAsia" w:cs="宋体"/>
          <w:b/>
          <w:bCs/>
          <w:szCs w:val="24"/>
        </w:rPr>
      </w:pPr>
      <w:r>
        <w:rPr>
          <w:rFonts w:hint="eastAsia" w:cs="宋体"/>
          <w:b/>
          <w:bCs/>
          <w:szCs w:val="24"/>
        </w:rPr>
        <w:t>（三）有依法缴纳税收和社会保障资金的良好记录</w:t>
      </w:r>
    </w:p>
    <w:p w14:paraId="6156AA2F">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依法缴纳</w:t>
      </w:r>
      <w:r>
        <w:rPr>
          <w:rFonts w:hint="eastAsia" w:ascii="宋体" w:hAnsi="宋体" w:cs="宋体"/>
          <w:b/>
          <w:szCs w:val="21"/>
        </w:rPr>
        <w:t>税收</w:t>
      </w:r>
      <w:r>
        <w:rPr>
          <w:rFonts w:hint="eastAsia" w:ascii="宋体" w:hAnsi="宋体" w:cs="宋体"/>
          <w:bCs/>
          <w:szCs w:val="21"/>
        </w:rPr>
        <w:t>的证明材料：本项目投标截止时间前6个月内（</w:t>
      </w:r>
      <w:r>
        <w:rPr>
          <w:rFonts w:hint="eastAsia" w:ascii="宋体" w:hAnsi="宋体" w:cs="宋体"/>
          <w:bCs/>
          <w:szCs w:val="21"/>
          <w:lang w:val="en-US" w:eastAsia="zh-CN"/>
        </w:rPr>
        <w:t>连续3个月</w:t>
      </w:r>
      <w:r>
        <w:rPr>
          <w:rFonts w:hint="eastAsia" w:ascii="宋体" w:hAnsi="宋体" w:cs="宋体"/>
          <w:bCs/>
          <w:szCs w:val="21"/>
        </w:rPr>
        <w:t>）缴纳税收的凭据（完税证、缴款书、印花税票、银行代扣（代缴）转账凭证等均可）；</w:t>
      </w:r>
    </w:p>
    <w:p w14:paraId="6CF919FA">
      <w:pPr>
        <w:pStyle w:val="76"/>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rPr>
        <w:t>依法免税的</w:t>
      </w:r>
      <w:r>
        <w:rPr>
          <w:rFonts w:hint="eastAsia" w:cs="宋体"/>
          <w:szCs w:val="24"/>
          <w:lang w:val="en-US" w:eastAsia="zh-CN"/>
        </w:rPr>
        <w:t>供应商</w:t>
      </w:r>
      <w:r>
        <w:rPr>
          <w:rFonts w:hint="eastAsia" w:ascii="宋体" w:hAnsi="宋体" w:cs="宋体"/>
          <w:bCs/>
          <w:szCs w:val="21"/>
        </w:rPr>
        <w:t>，须提供相应文件证明其依法免税。</w:t>
      </w:r>
    </w:p>
    <w:p w14:paraId="4232FF1D">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依法缴纳</w:t>
      </w:r>
      <w:r>
        <w:rPr>
          <w:rFonts w:hint="eastAsia" w:ascii="宋体" w:hAnsi="宋体" w:cs="宋体"/>
          <w:b/>
          <w:szCs w:val="21"/>
        </w:rPr>
        <w:t>社会保障</w:t>
      </w:r>
      <w:r>
        <w:rPr>
          <w:rFonts w:hint="eastAsia" w:ascii="宋体" w:hAnsi="宋体" w:cs="宋体"/>
          <w:bCs/>
          <w:szCs w:val="21"/>
        </w:rPr>
        <w:t>资金的证明材料：本项目</w:t>
      </w:r>
      <w:r>
        <w:rPr>
          <w:rFonts w:hint="eastAsia" w:ascii="宋体" w:hAnsi="宋体" w:cs="宋体"/>
          <w:bCs/>
          <w:szCs w:val="21"/>
          <w:lang w:val="en-US" w:eastAsia="zh-CN"/>
        </w:rPr>
        <w:t>磋商</w:t>
      </w:r>
      <w:r>
        <w:rPr>
          <w:rFonts w:hint="eastAsia" w:ascii="宋体" w:hAnsi="宋体" w:cs="宋体"/>
          <w:bCs/>
          <w:szCs w:val="21"/>
        </w:rPr>
        <w:t>截止时间时间前6个月内（</w:t>
      </w:r>
      <w:r>
        <w:rPr>
          <w:rFonts w:hint="eastAsia" w:ascii="宋体" w:hAnsi="宋体" w:cs="宋体"/>
          <w:bCs/>
          <w:szCs w:val="21"/>
          <w:lang w:val="en-US" w:eastAsia="zh-CN"/>
        </w:rPr>
        <w:t>连续3个月</w:t>
      </w:r>
      <w:r>
        <w:rPr>
          <w:rFonts w:hint="eastAsia" w:ascii="宋体" w:hAnsi="宋体" w:cs="宋体"/>
          <w:bCs/>
          <w:szCs w:val="21"/>
        </w:rPr>
        <w:t>）缴纳社会保险的凭据（专用收据或社会保险交纳清单）；</w:t>
      </w:r>
    </w:p>
    <w:p w14:paraId="75D7197A">
      <w:pPr>
        <w:pStyle w:val="76"/>
        <w:adjustRightInd w:val="0"/>
        <w:snapToGrid w:val="0"/>
        <w:spacing w:line="360" w:lineRule="auto"/>
        <w:ind w:firstLine="420" w:firstLineChars="200"/>
        <w:jc w:val="left"/>
        <w:rPr>
          <w:rFonts w:hint="eastAsia" w:ascii="宋体" w:hAnsi="宋体" w:cs="宋体"/>
          <w:bCs/>
          <w:szCs w:val="21"/>
        </w:rPr>
      </w:pPr>
      <w:r>
        <w:rPr>
          <w:rFonts w:hint="eastAsia" w:ascii="宋体" w:hAnsi="宋体" w:cs="宋体"/>
          <w:bCs/>
          <w:szCs w:val="21"/>
          <w:lang w:val="en-US" w:eastAsia="zh-CN"/>
        </w:rPr>
        <w:t>提供连续3个月全员社保缴纳清单。</w:t>
      </w:r>
    </w:p>
    <w:p w14:paraId="0534B785">
      <w:pPr>
        <w:pStyle w:val="76"/>
        <w:adjustRightInd w:val="0"/>
        <w:snapToGrid w:val="0"/>
        <w:spacing w:line="360" w:lineRule="auto"/>
        <w:ind w:firstLine="420" w:firstLineChars="200"/>
        <w:jc w:val="left"/>
        <w:rPr>
          <w:rFonts w:hint="eastAsia" w:ascii="宋体" w:hAnsi="宋体" w:cs="宋体"/>
          <w:bCs/>
          <w:szCs w:val="21"/>
        </w:rPr>
      </w:pPr>
      <w:r>
        <w:rPr>
          <w:rFonts w:hint="eastAsia" w:cs="宋体"/>
          <w:szCs w:val="24"/>
          <w:lang w:val="en-US" w:eastAsia="zh-CN"/>
        </w:rPr>
        <w:t>供应商</w:t>
      </w:r>
      <w:r>
        <w:rPr>
          <w:rFonts w:hint="eastAsia" w:ascii="宋体" w:hAnsi="宋体" w:cs="宋体"/>
          <w:bCs/>
          <w:szCs w:val="21"/>
        </w:rPr>
        <w:t>为其他组织或自然人的，也需要按此项规定提供缴纳税收的凭据和交纳社会保险的凭据。</w:t>
      </w:r>
    </w:p>
    <w:p w14:paraId="478B032E">
      <w:pPr>
        <w:pStyle w:val="76"/>
        <w:adjustRightInd w:val="0"/>
        <w:snapToGrid w:val="0"/>
        <w:spacing w:line="360" w:lineRule="auto"/>
        <w:ind w:firstLine="420" w:firstLineChars="200"/>
        <w:jc w:val="left"/>
        <w:rPr>
          <w:rFonts w:hint="eastAsia" w:ascii="宋体" w:hAnsi="宋体" w:cs="宋体"/>
          <w:bCs/>
          <w:szCs w:val="21"/>
        </w:rPr>
        <w:sectPr>
          <w:headerReference r:id="rId11" w:type="default"/>
          <w:footerReference r:id="rId12" w:type="default"/>
          <w:pgSz w:w="11906" w:h="16838"/>
          <w:pgMar w:top="1440" w:right="1797" w:bottom="1440" w:left="1797" w:header="851" w:footer="992" w:gutter="0"/>
          <w:cols w:space="720" w:num="1"/>
        </w:sectPr>
      </w:pPr>
      <w:r>
        <w:rPr>
          <w:rFonts w:hint="eastAsia" w:ascii="宋体" w:hAnsi="宋体" w:cs="宋体"/>
          <w:bCs/>
          <w:szCs w:val="21"/>
        </w:rPr>
        <w:t>依法不需要缴纳社会保障资金的</w:t>
      </w:r>
      <w:r>
        <w:rPr>
          <w:rFonts w:hint="eastAsia" w:cs="宋体"/>
          <w:szCs w:val="24"/>
          <w:lang w:val="en-US" w:eastAsia="zh-CN"/>
        </w:rPr>
        <w:t>供应商</w:t>
      </w:r>
      <w:r>
        <w:rPr>
          <w:rFonts w:hint="eastAsia" w:ascii="宋体" w:hAnsi="宋体" w:cs="宋体"/>
          <w:bCs/>
          <w:szCs w:val="21"/>
        </w:rPr>
        <w:t>，须提供相应文件证明其依法不需要缴纳社会保障资金。</w:t>
      </w:r>
    </w:p>
    <w:p w14:paraId="1D352AEF">
      <w:pPr>
        <w:rPr>
          <w:rFonts w:hint="eastAsia" w:cs="宋体"/>
          <w:b/>
          <w:bCs/>
          <w:szCs w:val="24"/>
        </w:rPr>
      </w:pPr>
      <w:bookmarkStart w:id="633" w:name="_Toc7342"/>
      <w:bookmarkStart w:id="634" w:name="_Toc19442"/>
      <w:r>
        <w:rPr>
          <w:rFonts w:hint="eastAsia" w:cs="宋体"/>
          <w:b/>
          <w:bCs/>
          <w:szCs w:val="24"/>
        </w:rPr>
        <w:t>（四）</w:t>
      </w:r>
      <w:r>
        <w:rPr>
          <w:rFonts w:hint="eastAsia" w:cs="宋体"/>
          <w:b/>
          <w:bCs/>
          <w:szCs w:val="24"/>
          <w:lang w:val="en-US" w:eastAsia="zh-CN"/>
        </w:rPr>
        <w:t>供应商</w:t>
      </w:r>
      <w:r>
        <w:rPr>
          <w:rFonts w:hint="eastAsia" w:cs="宋体"/>
          <w:b/>
          <w:bCs/>
          <w:szCs w:val="24"/>
        </w:rPr>
        <w:t>须具有履行合同所必需的设备和专业技术能力，须附相关证明材料或声明：</w:t>
      </w:r>
      <w:bookmarkEnd w:id="633"/>
      <w:bookmarkEnd w:id="634"/>
    </w:p>
    <w:p w14:paraId="1ED83618">
      <w:pPr>
        <w:pStyle w:val="76"/>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格式：</w:t>
      </w:r>
    </w:p>
    <w:p w14:paraId="14C0107A">
      <w:pPr>
        <w:pStyle w:val="76"/>
        <w:autoSpaceDE w:val="0"/>
        <w:autoSpaceDN w:val="0"/>
        <w:adjustRightInd w:val="0"/>
        <w:spacing w:line="440" w:lineRule="exact"/>
        <w:ind w:firstLine="120" w:firstLineChars="50"/>
        <w:jc w:val="center"/>
        <w:rPr>
          <w:rFonts w:hint="eastAsia" w:ascii="宋体" w:hAnsi="宋体" w:cs="宋体"/>
          <w:kern w:val="0"/>
          <w:sz w:val="24"/>
          <w:szCs w:val="24"/>
        </w:rPr>
      </w:pPr>
      <w:r>
        <w:rPr>
          <w:rFonts w:hint="eastAsia" w:ascii="宋体" w:hAnsi="宋体" w:cs="宋体"/>
          <w:kern w:val="0"/>
          <w:sz w:val="24"/>
          <w:szCs w:val="24"/>
        </w:rPr>
        <w:t>本供应商郑重声明：</w:t>
      </w:r>
    </w:p>
    <w:p w14:paraId="6873DF9E">
      <w:pPr>
        <w:pStyle w:val="76"/>
        <w:autoSpaceDE w:val="0"/>
        <w:autoSpaceDN w:val="0"/>
        <w:adjustRightInd w:val="0"/>
        <w:spacing w:line="440" w:lineRule="exact"/>
        <w:jc w:val="left"/>
        <w:rPr>
          <w:rFonts w:hint="eastAsia" w:ascii="宋体" w:hAnsi="宋体" w:cs="宋体"/>
          <w:kern w:val="0"/>
          <w:sz w:val="24"/>
          <w:szCs w:val="24"/>
        </w:rPr>
      </w:pPr>
      <w:r>
        <w:rPr>
          <w:rFonts w:hint="eastAsia" w:ascii="宋体" w:hAnsi="宋体" w:cs="宋体"/>
          <w:kern w:val="0"/>
          <w:sz w:val="24"/>
          <w:szCs w:val="24"/>
        </w:rPr>
        <w:t xml:space="preserve">本公司（或单位）具备本项目履行合同所必需的设备和专业技术能力，特此承诺。 </w:t>
      </w:r>
    </w:p>
    <w:p w14:paraId="5A5A3C14">
      <w:pPr>
        <w:pStyle w:val="77"/>
        <w:adjustRightInd w:val="0"/>
        <w:snapToGrid w:val="0"/>
        <w:spacing w:line="500" w:lineRule="exact"/>
        <w:rPr>
          <w:rFonts w:hint="eastAsia" w:ascii="宋体" w:hAnsi="宋体" w:cs="宋体"/>
          <w:sz w:val="24"/>
          <w:szCs w:val="24"/>
        </w:rPr>
      </w:pPr>
    </w:p>
    <w:p w14:paraId="3022F5D6">
      <w:pPr>
        <w:pStyle w:val="77"/>
        <w:adjustRightInd w:val="0"/>
        <w:snapToGrid w:val="0"/>
        <w:spacing w:line="500" w:lineRule="exact"/>
        <w:rPr>
          <w:rFonts w:hint="eastAsia" w:ascii="宋体" w:hAnsi="宋体" w:cs="宋体"/>
          <w:sz w:val="24"/>
          <w:szCs w:val="24"/>
        </w:rPr>
      </w:pPr>
    </w:p>
    <w:p w14:paraId="77997C61">
      <w:pPr>
        <w:pStyle w:val="77"/>
        <w:adjustRightInd w:val="0"/>
        <w:snapToGrid w:val="0"/>
        <w:spacing w:line="500" w:lineRule="exact"/>
        <w:rPr>
          <w:rFonts w:hint="eastAsia" w:ascii="宋体" w:hAnsi="宋体" w:cs="宋体"/>
          <w:sz w:val="24"/>
          <w:szCs w:val="24"/>
        </w:rPr>
      </w:pPr>
    </w:p>
    <w:p w14:paraId="477ECF5A">
      <w:pPr>
        <w:pStyle w:val="77"/>
        <w:adjustRightInd w:val="0"/>
        <w:snapToGrid w:val="0"/>
        <w:spacing w:line="500" w:lineRule="exact"/>
        <w:rPr>
          <w:rFonts w:hint="eastAsia" w:ascii="宋体" w:hAnsi="宋体" w:cs="宋体"/>
          <w:sz w:val="24"/>
          <w:szCs w:val="24"/>
        </w:rPr>
      </w:pPr>
    </w:p>
    <w:p w14:paraId="25FC6931">
      <w:pPr>
        <w:pStyle w:val="77"/>
        <w:adjustRightInd w:val="0"/>
        <w:snapToGrid w:val="0"/>
        <w:spacing w:line="500" w:lineRule="exact"/>
        <w:rPr>
          <w:rFonts w:hint="eastAsia" w:ascii="宋体" w:hAnsi="宋体" w:cs="宋体"/>
          <w:sz w:val="24"/>
          <w:szCs w:val="24"/>
        </w:rPr>
      </w:pPr>
    </w:p>
    <w:p w14:paraId="1165F168">
      <w:pPr>
        <w:pStyle w:val="77"/>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CAC9E2F">
      <w:pPr>
        <w:pStyle w:val="77"/>
        <w:adjustRightInd w:val="0"/>
        <w:snapToGrid w:val="0"/>
        <w:spacing w:line="500" w:lineRule="exact"/>
        <w:rPr>
          <w:rFonts w:hint="eastAsia" w:ascii="宋体" w:hAnsi="宋体" w:cs="宋体"/>
          <w:sz w:val="24"/>
          <w:szCs w:val="24"/>
          <w:u w:val="single"/>
        </w:rPr>
      </w:pPr>
      <w:r>
        <w:rPr>
          <w:rFonts w:hint="eastAsia" w:ascii="宋体" w:hAnsi="宋体" w:cs="宋体"/>
          <w:sz w:val="24"/>
          <w:szCs w:val="24"/>
        </w:rPr>
        <w:t>供应商名称（签章）：</w:t>
      </w:r>
      <w:r>
        <w:rPr>
          <w:rFonts w:hint="eastAsia" w:ascii="宋体" w:hAnsi="宋体" w:cs="宋体"/>
          <w:sz w:val="24"/>
          <w:szCs w:val="24"/>
          <w:u w:val="single"/>
        </w:rPr>
        <w:t xml:space="preserve">                       </w:t>
      </w:r>
    </w:p>
    <w:p w14:paraId="480795F7">
      <w:pPr>
        <w:pStyle w:val="77"/>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640FD7AF">
      <w:pPr>
        <w:pStyle w:val="76"/>
        <w:adjustRightInd w:val="0"/>
        <w:snapToGrid w:val="0"/>
        <w:spacing w:line="360" w:lineRule="auto"/>
        <w:jc w:val="left"/>
        <w:rPr>
          <w:rFonts w:hint="eastAsia" w:ascii="宋体" w:hAnsi="宋体" w:cs="宋体"/>
          <w:b/>
          <w:sz w:val="24"/>
          <w:szCs w:val="24"/>
        </w:rPr>
      </w:pPr>
    </w:p>
    <w:p w14:paraId="367BF0DE">
      <w:pPr>
        <w:pStyle w:val="78"/>
        <w:outlineLvl w:val="2"/>
        <w:rPr>
          <w:rFonts w:hint="eastAsia" w:ascii="宋体" w:hAnsi="宋体" w:eastAsia="宋体" w:cs="宋体"/>
        </w:rPr>
        <w:sectPr>
          <w:pgSz w:w="11906" w:h="16838"/>
          <w:pgMar w:top="1440" w:right="1797" w:bottom="1440" w:left="1797" w:header="851" w:footer="992" w:gutter="0"/>
          <w:cols w:space="720" w:num="1"/>
        </w:sectPr>
      </w:pPr>
    </w:p>
    <w:p w14:paraId="42BCA85D">
      <w:pPr>
        <w:rPr>
          <w:rFonts w:hint="eastAsia" w:cs="宋体"/>
          <w:b/>
          <w:bCs/>
          <w:szCs w:val="24"/>
        </w:rPr>
      </w:pPr>
      <w:bookmarkStart w:id="635" w:name="_Toc21544"/>
      <w:bookmarkStart w:id="636" w:name="_Toc16347"/>
      <w:r>
        <w:rPr>
          <w:rFonts w:hint="eastAsia" w:cs="宋体"/>
          <w:b/>
          <w:bCs/>
          <w:szCs w:val="24"/>
        </w:rPr>
        <w:t>（五）参加政府采购活动前三年内，在经营活动中没有重大违法记录的书面声明：</w:t>
      </w:r>
      <w:bookmarkEnd w:id="635"/>
      <w:bookmarkEnd w:id="636"/>
    </w:p>
    <w:p w14:paraId="67A5D33C">
      <w:pPr>
        <w:pStyle w:val="76"/>
        <w:adjustRightInd w:val="0"/>
        <w:snapToGrid w:val="0"/>
        <w:spacing w:line="360" w:lineRule="auto"/>
        <w:rPr>
          <w:rFonts w:hint="eastAsia" w:ascii="宋体" w:hAnsi="宋体" w:cs="宋体"/>
          <w:sz w:val="24"/>
          <w:szCs w:val="24"/>
        </w:rPr>
      </w:pPr>
    </w:p>
    <w:p w14:paraId="3A12BA50">
      <w:pPr>
        <w:pStyle w:val="76"/>
        <w:adjustRightInd w:val="0"/>
        <w:snapToGrid w:val="0"/>
        <w:spacing w:line="360" w:lineRule="auto"/>
        <w:rPr>
          <w:rFonts w:hint="eastAsia" w:ascii="宋体" w:hAnsi="宋体" w:cs="宋体"/>
          <w:sz w:val="24"/>
          <w:szCs w:val="24"/>
        </w:rPr>
      </w:pPr>
    </w:p>
    <w:p w14:paraId="370D2693">
      <w:pPr>
        <w:pStyle w:val="76"/>
        <w:adjustRightInd w:val="0"/>
        <w:snapToGrid w:val="0"/>
        <w:spacing w:line="360" w:lineRule="auto"/>
        <w:rPr>
          <w:rFonts w:hint="eastAsia" w:ascii="宋体" w:hAnsi="宋体" w:cs="宋体"/>
          <w:sz w:val="24"/>
          <w:szCs w:val="24"/>
        </w:rPr>
      </w:pPr>
      <w:r>
        <w:rPr>
          <w:rFonts w:hint="eastAsia" w:ascii="宋体" w:hAnsi="宋体" w:cs="宋体"/>
          <w:sz w:val="24"/>
          <w:szCs w:val="24"/>
        </w:rPr>
        <w:t>格式：</w:t>
      </w:r>
    </w:p>
    <w:p w14:paraId="59167FB6">
      <w:pPr>
        <w:pStyle w:val="79"/>
        <w:adjustRightInd w:val="0"/>
        <w:snapToGrid w:val="0"/>
        <w:spacing w:line="360" w:lineRule="auto"/>
        <w:ind w:firstLine="480" w:firstLineChars="200"/>
        <w:jc w:val="center"/>
        <w:rPr>
          <w:rFonts w:hint="eastAsia" w:ascii="宋体" w:hAnsi="宋体" w:cs="宋体"/>
          <w:sz w:val="24"/>
        </w:rPr>
      </w:pPr>
      <w:r>
        <w:rPr>
          <w:rFonts w:hint="eastAsia" w:ascii="宋体" w:hAnsi="宋体" w:cs="宋体"/>
          <w:sz w:val="24"/>
        </w:rPr>
        <w:t>无重大违法记录声明书</w:t>
      </w:r>
    </w:p>
    <w:p w14:paraId="60DF3BA1">
      <w:pPr>
        <w:pStyle w:val="76"/>
        <w:adjustRightInd w:val="0"/>
        <w:snapToGrid w:val="0"/>
        <w:spacing w:line="360" w:lineRule="auto"/>
        <w:rPr>
          <w:rFonts w:hint="eastAsia" w:ascii="宋体" w:hAnsi="宋体" w:cs="宋体"/>
          <w:sz w:val="24"/>
          <w:szCs w:val="24"/>
        </w:rPr>
      </w:pPr>
    </w:p>
    <w:p w14:paraId="4D9C24BE">
      <w:pPr>
        <w:pStyle w:val="76"/>
        <w:adjustRightInd w:val="0"/>
        <w:snapToGrid w:val="0"/>
        <w:spacing w:line="360" w:lineRule="auto"/>
        <w:rPr>
          <w:rFonts w:hint="eastAsia" w:ascii="宋体" w:hAnsi="宋体" w:cs="宋体"/>
          <w:sz w:val="24"/>
          <w:szCs w:val="24"/>
        </w:rPr>
      </w:pPr>
      <w:r>
        <w:rPr>
          <w:rFonts w:hint="eastAsia" w:ascii="宋体" w:hAnsi="宋体" w:cs="宋体"/>
          <w:sz w:val="24"/>
          <w:szCs w:val="24"/>
          <w:u w:val="single"/>
        </w:rPr>
        <w:t xml:space="preserve">（采购人）         </w:t>
      </w:r>
      <w:r>
        <w:rPr>
          <w:rFonts w:hint="eastAsia" w:ascii="宋体" w:hAnsi="宋体" w:cs="宋体"/>
          <w:sz w:val="24"/>
          <w:szCs w:val="24"/>
        </w:rPr>
        <w:t>：</w:t>
      </w:r>
    </w:p>
    <w:p w14:paraId="1E14178F">
      <w:pPr>
        <w:pStyle w:val="76"/>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我公司参与</w:t>
      </w:r>
      <w:r>
        <w:rPr>
          <w:rFonts w:hint="eastAsia" w:ascii="宋体" w:hAnsi="宋体" w:cs="宋体"/>
          <w:sz w:val="24"/>
          <w:szCs w:val="24"/>
          <w:u w:val="single"/>
        </w:rPr>
        <w:t xml:space="preserve">                          （</w:t>
      </w:r>
      <w:r>
        <w:rPr>
          <w:rFonts w:hint="eastAsia" w:ascii="宋体" w:hAnsi="宋体" w:cs="宋体"/>
          <w:sz w:val="24"/>
          <w:szCs w:val="24"/>
        </w:rPr>
        <w:t>项目名称、编号）</w:t>
      </w:r>
      <w:r>
        <w:rPr>
          <w:rFonts w:hint="eastAsia" w:ascii="宋体" w:hAnsi="宋体" w:cs="宋体"/>
          <w:sz w:val="24"/>
          <w:szCs w:val="24"/>
          <w:lang w:val="en-US" w:eastAsia="zh-CN"/>
        </w:rPr>
        <w:t>磋商</w:t>
      </w:r>
      <w:r>
        <w:rPr>
          <w:rFonts w:hint="eastAsia" w:ascii="宋体" w:hAnsi="宋体" w:cs="宋体"/>
          <w:sz w:val="24"/>
          <w:szCs w:val="24"/>
        </w:rPr>
        <w:t>，本公司郑重声明，我方参加本项目政府采购活动前三年内无重大违法记录，符合《政府采购法》规定的供应商条件。若贵方在本项目采购过程中发现我方政府采购活动前三年内有重大违法记录，我公司将无条件退出本项目的</w:t>
      </w:r>
      <w:r>
        <w:rPr>
          <w:rFonts w:hint="eastAsia" w:ascii="宋体" w:hAnsi="宋体" w:cs="宋体"/>
          <w:sz w:val="24"/>
          <w:szCs w:val="24"/>
          <w:lang w:val="en-US" w:eastAsia="zh-CN"/>
        </w:rPr>
        <w:t>磋商</w:t>
      </w:r>
      <w:r>
        <w:rPr>
          <w:rFonts w:hint="eastAsia" w:ascii="宋体" w:hAnsi="宋体" w:cs="宋体"/>
          <w:sz w:val="24"/>
          <w:szCs w:val="24"/>
        </w:rPr>
        <w:t>，并承担因此引起的一切后果。我方对此声明负全部法律责任。</w:t>
      </w:r>
    </w:p>
    <w:p w14:paraId="6097E75C">
      <w:pPr>
        <w:pStyle w:val="76"/>
        <w:adjustRightInd w:val="0"/>
        <w:snapToGrid w:val="0"/>
        <w:spacing w:line="360" w:lineRule="auto"/>
        <w:ind w:firstLine="480" w:firstLineChars="200"/>
        <w:rPr>
          <w:rFonts w:hint="eastAsia" w:ascii="宋体" w:hAnsi="宋体" w:cs="宋体"/>
          <w:sz w:val="24"/>
          <w:szCs w:val="24"/>
        </w:rPr>
      </w:pPr>
      <w:r>
        <w:rPr>
          <w:rFonts w:hint="eastAsia" w:ascii="宋体" w:hAnsi="宋体" w:cs="宋体"/>
          <w:sz w:val="24"/>
          <w:szCs w:val="24"/>
        </w:rPr>
        <w:t xml:space="preserve">特此声明  </w:t>
      </w:r>
    </w:p>
    <w:p w14:paraId="5509F4BD">
      <w:pPr>
        <w:pStyle w:val="77"/>
        <w:adjustRightInd w:val="0"/>
        <w:snapToGrid w:val="0"/>
        <w:spacing w:line="500" w:lineRule="exact"/>
        <w:rPr>
          <w:rFonts w:hint="eastAsia" w:ascii="宋体" w:hAnsi="宋体" w:cs="宋体"/>
          <w:sz w:val="24"/>
          <w:szCs w:val="24"/>
        </w:rPr>
      </w:pPr>
      <w:r>
        <w:rPr>
          <w:rFonts w:hint="eastAsia" w:ascii="宋体" w:hAnsi="宋体" w:cs="宋体"/>
          <w:sz w:val="24"/>
          <w:szCs w:val="24"/>
        </w:rPr>
        <w:t>法定代表人（单位负责人）或其委托代理人（签字或电子签章）：</w:t>
      </w:r>
      <w:r>
        <w:rPr>
          <w:rFonts w:hint="eastAsia" w:ascii="宋体" w:hAnsi="宋体" w:cs="宋体"/>
          <w:sz w:val="24"/>
          <w:szCs w:val="24"/>
          <w:u w:val="single"/>
        </w:rPr>
        <w:t xml:space="preserve">                  </w:t>
      </w:r>
    </w:p>
    <w:p w14:paraId="6176B43C">
      <w:pPr>
        <w:pStyle w:val="77"/>
        <w:adjustRightInd w:val="0"/>
        <w:snapToGrid w:val="0"/>
        <w:spacing w:line="500" w:lineRule="exact"/>
        <w:rPr>
          <w:rFonts w:hint="eastAsia" w:ascii="宋体" w:hAnsi="宋体" w:cs="宋体"/>
          <w:sz w:val="24"/>
          <w:szCs w:val="24"/>
          <w:u w:val="single"/>
        </w:rPr>
      </w:pPr>
      <w:r>
        <w:rPr>
          <w:rFonts w:hint="eastAsia" w:ascii="宋体" w:hAnsi="宋体" w:cs="宋体"/>
          <w:sz w:val="24"/>
          <w:szCs w:val="24"/>
          <w:lang w:val="en-US" w:eastAsia="zh-CN"/>
        </w:rPr>
        <w:t>供应商</w:t>
      </w:r>
      <w:r>
        <w:rPr>
          <w:rFonts w:hint="eastAsia" w:ascii="宋体" w:hAnsi="宋体" w:cs="宋体"/>
          <w:sz w:val="24"/>
          <w:szCs w:val="24"/>
        </w:rPr>
        <w:t>名称（签章）：</w:t>
      </w:r>
      <w:r>
        <w:rPr>
          <w:rFonts w:hint="eastAsia" w:ascii="宋体" w:hAnsi="宋体" w:cs="宋体"/>
          <w:sz w:val="24"/>
          <w:szCs w:val="24"/>
          <w:u w:val="single"/>
        </w:rPr>
        <w:t xml:space="preserve">                       </w:t>
      </w:r>
    </w:p>
    <w:p w14:paraId="6A189740">
      <w:pPr>
        <w:pStyle w:val="77"/>
        <w:spacing w:line="500" w:lineRule="exact"/>
        <w:rPr>
          <w:rFonts w:hint="eastAsia" w:ascii="宋体" w:hAnsi="宋体" w:cs="宋体"/>
        </w:rPr>
      </w:pPr>
      <w:r>
        <w:rPr>
          <w:rFonts w:hint="eastAsia" w:ascii="宋体" w:hAnsi="宋体" w:cs="宋体"/>
          <w:sz w:val="24"/>
          <w:szCs w:val="24"/>
        </w:rPr>
        <w:t>日期：</w:t>
      </w:r>
      <w:r>
        <w:rPr>
          <w:rFonts w:hint="eastAsia" w:ascii="宋体" w:hAnsi="宋体" w:cs="宋体"/>
          <w:sz w:val="24"/>
          <w:szCs w:val="24"/>
          <w:u w:val="single"/>
        </w:rPr>
        <w:t xml:space="preserve">          </w:t>
      </w:r>
      <w:r>
        <w:rPr>
          <w:rFonts w:hint="eastAsia" w:ascii="宋体" w:hAnsi="宋体" w:cs="宋体"/>
          <w:sz w:val="24"/>
          <w:szCs w:val="24"/>
        </w:rPr>
        <w:t>年</w:t>
      </w:r>
      <w:r>
        <w:rPr>
          <w:rFonts w:hint="eastAsia" w:ascii="宋体" w:hAnsi="宋体" w:cs="宋体"/>
          <w:sz w:val="24"/>
          <w:szCs w:val="24"/>
          <w:u w:val="single"/>
        </w:rPr>
        <w:t xml:space="preserve">     </w:t>
      </w:r>
      <w:r>
        <w:rPr>
          <w:rFonts w:hint="eastAsia" w:ascii="宋体" w:hAnsi="宋体" w:cs="宋体"/>
          <w:sz w:val="24"/>
          <w:szCs w:val="24"/>
        </w:rPr>
        <w:t xml:space="preserve"> 月</w:t>
      </w:r>
      <w:r>
        <w:rPr>
          <w:rFonts w:hint="eastAsia" w:ascii="宋体" w:hAnsi="宋体" w:cs="宋体"/>
          <w:sz w:val="24"/>
          <w:szCs w:val="24"/>
          <w:u w:val="single"/>
        </w:rPr>
        <w:t xml:space="preserve">    </w:t>
      </w:r>
      <w:r>
        <w:rPr>
          <w:rFonts w:hint="eastAsia" w:ascii="宋体" w:hAnsi="宋体" w:cs="宋体"/>
          <w:sz w:val="24"/>
          <w:szCs w:val="24"/>
        </w:rPr>
        <w:t xml:space="preserve"> 日</w:t>
      </w:r>
    </w:p>
    <w:p w14:paraId="2DD86222">
      <w:pPr>
        <w:pStyle w:val="76"/>
        <w:adjustRightInd w:val="0"/>
        <w:snapToGrid w:val="0"/>
        <w:spacing w:line="360" w:lineRule="auto"/>
        <w:jc w:val="left"/>
        <w:rPr>
          <w:rFonts w:hint="eastAsia" w:ascii="宋体" w:hAnsi="宋体" w:cs="宋体"/>
          <w:sz w:val="24"/>
          <w:szCs w:val="24"/>
        </w:rPr>
      </w:pPr>
    </w:p>
    <w:p w14:paraId="42399B1A">
      <w:pPr>
        <w:pStyle w:val="76"/>
        <w:adjustRightInd w:val="0"/>
        <w:snapToGrid w:val="0"/>
        <w:spacing w:line="360" w:lineRule="auto"/>
        <w:jc w:val="left"/>
        <w:rPr>
          <w:rFonts w:hint="eastAsia" w:ascii="宋体" w:hAnsi="宋体" w:cs="宋体"/>
          <w:b/>
          <w:kern w:val="0"/>
          <w:sz w:val="32"/>
          <w:szCs w:val="24"/>
        </w:rPr>
        <w:sectPr>
          <w:pgSz w:w="11906" w:h="16838"/>
          <w:pgMar w:top="1440" w:right="1797" w:bottom="1440" w:left="1797" w:header="851" w:footer="992" w:gutter="0"/>
          <w:cols w:space="720" w:num="1"/>
        </w:sectPr>
      </w:pPr>
    </w:p>
    <w:p w14:paraId="096FBAC4">
      <w:pPr>
        <w:rPr>
          <w:rFonts w:hint="eastAsia" w:cs="宋体"/>
          <w:b/>
          <w:bCs/>
          <w:szCs w:val="24"/>
        </w:rPr>
      </w:pPr>
      <w:bookmarkStart w:id="637" w:name="_Toc32053"/>
      <w:bookmarkStart w:id="638" w:name="_Toc31574"/>
      <w:r>
        <w:rPr>
          <w:rFonts w:hint="eastAsia" w:cs="宋体"/>
          <w:b/>
          <w:bCs/>
          <w:szCs w:val="24"/>
        </w:rPr>
        <w:t>（六）</w:t>
      </w:r>
      <w:r>
        <w:rPr>
          <w:rFonts w:hint="eastAsia" w:cs="宋体"/>
          <w:b/>
          <w:bCs/>
          <w:szCs w:val="24"/>
          <w:lang w:val="en-US" w:eastAsia="zh-CN"/>
        </w:rPr>
        <w:t>供应商</w:t>
      </w:r>
      <w:r>
        <w:rPr>
          <w:rFonts w:hint="eastAsia" w:cs="宋体"/>
          <w:b/>
          <w:bCs/>
          <w:szCs w:val="24"/>
        </w:rPr>
        <w:t>未列入失信被执行人、重大税收违法案件当事人名单、政府采购严重违法失信行为记录名单</w:t>
      </w:r>
      <w:bookmarkEnd w:id="637"/>
      <w:bookmarkEnd w:id="638"/>
    </w:p>
    <w:p w14:paraId="2535292E">
      <w:pPr>
        <w:pStyle w:val="80"/>
        <w:spacing w:line="360" w:lineRule="auto"/>
        <w:ind w:firstLine="504" w:firstLineChars="200"/>
        <w:jc w:val="left"/>
        <w:rPr>
          <w:rFonts w:hint="eastAsia" w:ascii="宋体" w:hAnsi="宋体" w:cs="宋体"/>
          <w:spacing w:val="6"/>
          <w:kern w:val="0"/>
          <w:sz w:val="24"/>
          <w:szCs w:val="24"/>
        </w:rPr>
      </w:pPr>
    </w:p>
    <w:p w14:paraId="15338909">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“信用中国”网站查询信息：</w:t>
      </w:r>
    </w:p>
    <w:p w14:paraId="5DE01180">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①未被列入失信被执行人； </w:t>
      </w:r>
    </w:p>
    <w:p w14:paraId="4E92C292">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②不是重大税收违法案件当事人名单的</w:t>
      </w:r>
      <w:r>
        <w:rPr>
          <w:rFonts w:hint="eastAsia" w:ascii="宋体" w:hAnsi="宋体" w:cs="宋体"/>
          <w:spacing w:val="6"/>
          <w:kern w:val="0"/>
          <w:sz w:val="24"/>
          <w:szCs w:val="24"/>
          <w:lang w:val="en-US" w:eastAsia="zh-CN"/>
        </w:rPr>
        <w:t>供应商</w:t>
      </w:r>
      <w:r>
        <w:rPr>
          <w:rFonts w:hint="eastAsia" w:ascii="宋体" w:hAnsi="宋体" w:cs="宋体"/>
          <w:spacing w:val="6"/>
          <w:kern w:val="0"/>
          <w:sz w:val="24"/>
          <w:szCs w:val="24"/>
        </w:rPr>
        <w:t xml:space="preserve">； </w:t>
      </w:r>
    </w:p>
    <w:p w14:paraId="5A9F5C34">
      <w:pPr>
        <w:pStyle w:val="80"/>
        <w:spacing w:line="360" w:lineRule="auto"/>
        <w:ind w:firstLine="504" w:firstLineChars="200"/>
        <w:jc w:val="left"/>
        <w:rPr>
          <w:rFonts w:hint="eastAsia" w:ascii="宋体" w:hAnsi="宋体" w:cs="宋体"/>
          <w:spacing w:val="6"/>
          <w:kern w:val="0"/>
          <w:sz w:val="24"/>
          <w:szCs w:val="24"/>
        </w:rPr>
      </w:pPr>
    </w:p>
    <w:p w14:paraId="7FC59CF7">
      <w:pPr>
        <w:pStyle w:val="80"/>
        <w:spacing w:line="360" w:lineRule="auto"/>
        <w:ind w:firstLine="504" w:firstLineChars="200"/>
        <w:jc w:val="left"/>
        <w:rPr>
          <w:rFonts w:hint="eastAsia" w:ascii="宋体" w:hAnsi="宋体" w:cs="宋体"/>
          <w:spacing w:val="6"/>
          <w:kern w:val="0"/>
          <w:sz w:val="24"/>
          <w:szCs w:val="24"/>
        </w:rPr>
      </w:pPr>
    </w:p>
    <w:p w14:paraId="4DC393EA">
      <w:pPr>
        <w:pStyle w:val="80"/>
        <w:spacing w:line="360" w:lineRule="auto"/>
        <w:ind w:firstLine="504" w:firstLineChars="200"/>
        <w:jc w:val="left"/>
        <w:rPr>
          <w:rFonts w:hint="eastAsia" w:ascii="宋体" w:hAnsi="宋体" w:cs="宋体"/>
          <w:spacing w:val="6"/>
          <w:kern w:val="0"/>
          <w:sz w:val="24"/>
          <w:szCs w:val="24"/>
        </w:rPr>
      </w:pPr>
    </w:p>
    <w:p w14:paraId="47CF1805">
      <w:pPr>
        <w:pStyle w:val="80"/>
        <w:spacing w:line="360" w:lineRule="auto"/>
        <w:ind w:firstLine="504" w:firstLineChars="200"/>
        <w:jc w:val="left"/>
        <w:rPr>
          <w:rFonts w:hint="eastAsia" w:ascii="宋体" w:hAnsi="宋体" w:cs="宋体"/>
          <w:spacing w:val="6"/>
          <w:kern w:val="0"/>
          <w:sz w:val="24"/>
          <w:szCs w:val="24"/>
        </w:rPr>
      </w:pPr>
      <w:r>
        <w:rPr>
          <w:rFonts w:hint="eastAsia" w:ascii="宋体" w:hAnsi="宋体" w:cs="宋体"/>
          <w:spacing w:val="6"/>
          <w:kern w:val="0"/>
          <w:sz w:val="24"/>
          <w:szCs w:val="24"/>
        </w:rPr>
        <w:t xml:space="preserve"> </w:t>
      </w:r>
    </w:p>
    <w:p w14:paraId="6D91B7BE">
      <w:pPr>
        <w:pStyle w:val="80"/>
        <w:spacing w:line="360" w:lineRule="auto"/>
        <w:ind w:firstLine="756" w:firstLineChars="300"/>
        <w:jc w:val="left"/>
        <w:rPr>
          <w:rFonts w:hint="eastAsia" w:ascii="宋体" w:hAnsi="宋体" w:cs="宋体"/>
          <w:spacing w:val="6"/>
          <w:kern w:val="0"/>
          <w:sz w:val="24"/>
          <w:szCs w:val="24"/>
        </w:rPr>
      </w:pPr>
      <w:r>
        <w:rPr>
          <w:rFonts w:hint="eastAsia" w:ascii="宋体" w:hAnsi="宋体" w:cs="宋体"/>
          <w:spacing w:val="6"/>
          <w:kern w:val="0"/>
          <w:sz w:val="24"/>
          <w:szCs w:val="24"/>
        </w:rPr>
        <w:t>“中国政府采购网”查询信息：</w:t>
      </w:r>
    </w:p>
    <w:p w14:paraId="35AA5BD4">
      <w:pPr>
        <w:rPr>
          <w:rFonts w:hint="eastAsia" w:cs="宋体"/>
          <w:szCs w:val="24"/>
        </w:rPr>
      </w:pPr>
      <w:r>
        <w:rPr>
          <w:rFonts w:hint="eastAsia" w:cs="宋体"/>
          <w:szCs w:val="24"/>
        </w:rPr>
        <w:t>①政府采购严重违法失信行为信息记录：</w:t>
      </w:r>
    </w:p>
    <w:p w14:paraId="4F37A78A">
      <w:pPr>
        <w:rPr>
          <w:rFonts w:hint="eastAsia" w:cs="宋体"/>
          <w:szCs w:val="24"/>
        </w:rPr>
      </w:pPr>
      <w:r>
        <w:rPr>
          <w:rFonts w:hint="eastAsia" w:cs="宋体"/>
          <w:szCs w:val="24"/>
        </w:rPr>
        <w:br w:type="page"/>
      </w:r>
    </w:p>
    <w:p w14:paraId="3465B751">
      <w:pPr>
        <w:ind w:left="420"/>
        <w:rPr>
          <w:rFonts w:hint="eastAsia" w:cs="宋体"/>
          <w:b/>
          <w:bCs/>
          <w:szCs w:val="24"/>
        </w:rPr>
      </w:pPr>
      <w:r>
        <w:rPr>
          <w:rFonts w:hint="eastAsia" w:cs="宋体"/>
          <w:b/>
          <w:bCs/>
          <w:szCs w:val="24"/>
        </w:rPr>
        <w:t>（七）法律、行政法规规定的其他条件</w:t>
      </w:r>
    </w:p>
    <w:p w14:paraId="1CEDBF02">
      <w:pPr>
        <w:rPr>
          <w:rFonts w:ascii="Arial" w:hAnsi="Arial" w:cs="Arial"/>
          <w:szCs w:val="21"/>
        </w:rPr>
      </w:pPr>
    </w:p>
    <w:p w14:paraId="4B6BC774">
      <w:pPr>
        <w:jc w:val="center"/>
        <w:rPr>
          <w:rFonts w:ascii="Arial" w:hAnsi="Arial" w:cs="Arial"/>
          <w:szCs w:val="21"/>
        </w:rPr>
      </w:pPr>
      <w:r>
        <w:rPr>
          <w:rFonts w:hint="eastAsia" w:ascii="Arial" w:hAnsi="Arial" w:cs="Arial"/>
          <w:szCs w:val="21"/>
        </w:rPr>
        <w:t>供应商可自行做出承诺，格式自拟。</w:t>
      </w:r>
    </w:p>
    <w:p w14:paraId="4F95BC7B">
      <w:pPr>
        <w:rPr>
          <w:rFonts w:ascii="Arial" w:hAnsi="Arial" w:cs="Arial"/>
          <w:i w:val="0"/>
          <w:iCs w:val="0"/>
          <w:color w:val="auto"/>
          <w:szCs w:val="21"/>
          <w:highlight w:val="none"/>
        </w:rPr>
      </w:pPr>
      <w:bookmarkStart w:id="639" w:name="_Toc1571"/>
      <w:r>
        <w:rPr>
          <w:rFonts w:hint="eastAsia"/>
        </w:rPr>
        <w:br w:type="page"/>
      </w:r>
      <w:bookmarkEnd w:id="639"/>
    </w:p>
    <w:p w14:paraId="33E55E65">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zh-CN" w:eastAsia="zh-CN" w:bidi="ar-SA"/>
        </w:rPr>
      </w:pPr>
      <w:bookmarkStart w:id="640" w:name="_Toc155185930"/>
      <w:bookmarkStart w:id="641" w:name="_Toc109899498"/>
      <w:bookmarkStart w:id="642" w:name="_Toc140132840"/>
      <w:bookmarkStart w:id="643" w:name="_Toc109900336"/>
      <w:bookmarkStart w:id="644" w:name="_Toc163492923"/>
      <w:bookmarkStart w:id="645" w:name="_Toc109899917"/>
      <w:bookmarkStart w:id="646" w:name="_Toc18060"/>
      <w:r>
        <w:rPr>
          <w:rFonts w:hint="eastAsia" w:cs="宋体"/>
          <w:b/>
          <w:bCs/>
          <w:i w:val="0"/>
          <w:iCs w:val="0"/>
          <w:color w:val="auto"/>
          <w:kern w:val="2"/>
          <w:sz w:val="28"/>
          <w:szCs w:val="28"/>
          <w:highlight w:val="none"/>
          <w:lang w:val="en-US" w:eastAsia="zh-CN" w:bidi="ar-SA"/>
        </w:rPr>
        <w:t>二</w:t>
      </w:r>
      <w:r>
        <w:rPr>
          <w:rFonts w:hint="eastAsia" w:ascii="等线 Light" w:hAnsi="等线 Light" w:eastAsia="宋体" w:cs="宋体"/>
          <w:b/>
          <w:bCs/>
          <w:i w:val="0"/>
          <w:iCs w:val="0"/>
          <w:color w:val="auto"/>
          <w:kern w:val="2"/>
          <w:sz w:val="28"/>
          <w:szCs w:val="28"/>
          <w:highlight w:val="none"/>
          <w:lang w:val="en-US" w:eastAsia="zh-CN" w:bidi="ar-SA"/>
        </w:rPr>
        <w:t>、</w:t>
      </w:r>
      <w:bookmarkEnd w:id="640"/>
      <w:bookmarkEnd w:id="641"/>
      <w:bookmarkEnd w:id="642"/>
      <w:bookmarkEnd w:id="643"/>
      <w:bookmarkEnd w:id="644"/>
      <w:bookmarkEnd w:id="645"/>
      <w:bookmarkStart w:id="647" w:name="_Toc155185931"/>
      <w:bookmarkStart w:id="648" w:name="_Toc163492924"/>
      <w:r>
        <w:rPr>
          <w:rFonts w:hint="eastAsia" w:ascii="等线 Light" w:hAnsi="等线 Light" w:eastAsia="宋体" w:cs="宋体"/>
          <w:b/>
          <w:bCs/>
          <w:i w:val="0"/>
          <w:iCs w:val="0"/>
          <w:color w:val="auto"/>
          <w:kern w:val="2"/>
          <w:sz w:val="28"/>
          <w:szCs w:val="28"/>
          <w:highlight w:val="none"/>
          <w:lang w:val="zh-CN" w:eastAsia="zh-CN" w:bidi="ar-SA"/>
        </w:rPr>
        <w:t>联合体协议书</w:t>
      </w:r>
      <w:bookmarkEnd w:id="647"/>
      <w:r>
        <w:rPr>
          <w:rFonts w:hint="eastAsia" w:ascii="宋体" w:hAnsi="宋体" w:eastAsia="宋体" w:cs="宋体"/>
          <w:b w:val="0"/>
          <w:bCs w:val="0"/>
          <w:i w:val="0"/>
          <w:iCs w:val="0"/>
          <w:color w:val="auto"/>
          <w:kern w:val="2"/>
          <w:sz w:val="28"/>
          <w:szCs w:val="28"/>
          <w:highlight w:val="none"/>
          <w:lang w:val="zh-CN" w:eastAsia="zh-CN" w:bidi="ar-SA"/>
        </w:rPr>
        <w:t>【如适用】</w:t>
      </w:r>
      <w:bookmarkEnd w:id="646"/>
      <w:bookmarkEnd w:id="648"/>
    </w:p>
    <w:p w14:paraId="39563C7F">
      <w:pPr>
        <w:snapToGrid w:val="0"/>
        <w:spacing w:line="360" w:lineRule="auto"/>
        <w:jc w:val="center"/>
        <w:outlineLvl w:val="0"/>
        <w:rPr>
          <w:rFonts w:hint="eastAsia" w:ascii="宋体" w:hAnsi="宋体" w:cs="宋体"/>
          <w:b/>
          <w:i w:val="0"/>
          <w:iCs w:val="0"/>
          <w:color w:val="auto"/>
          <w:kern w:val="0"/>
          <w:sz w:val="32"/>
          <w:szCs w:val="32"/>
          <w:highlight w:val="none"/>
        </w:rPr>
      </w:pPr>
    </w:p>
    <w:p w14:paraId="2AA212CE">
      <w:pPr>
        <w:snapToGrid w:val="0"/>
        <w:spacing w:line="360" w:lineRule="auto"/>
        <w:jc w:val="center"/>
        <w:outlineLvl w:val="0"/>
        <w:rPr>
          <w:rFonts w:hint="eastAsia" w:ascii="宋体" w:hAnsi="宋体" w:cs="宋体"/>
          <w:b/>
          <w:i w:val="0"/>
          <w:iCs w:val="0"/>
          <w:color w:val="auto"/>
          <w:kern w:val="0"/>
          <w:sz w:val="32"/>
          <w:szCs w:val="32"/>
          <w:highlight w:val="none"/>
        </w:rPr>
      </w:pPr>
      <w:bookmarkStart w:id="649" w:name="_Toc3468"/>
      <w:bookmarkStart w:id="650" w:name="_Toc29289"/>
      <w:r>
        <w:rPr>
          <w:rFonts w:hint="eastAsia" w:ascii="宋体" w:hAnsi="宋体" w:cs="宋体"/>
          <w:b/>
          <w:i w:val="0"/>
          <w:iCs w:val="0"/>
          <w:color w:val="auto"/>
          <w:kern w:val="0"/>
          <w:sz w:val="32"/>
          <w:szCs w:val="32"/>
          <w:highlight w:val="none"/>
        </w:rPr>
        <w:t>联合体协议书</w:t>
      </w:r>
      <w:bookmarkEnd w:id="649"/>
      <w:bookmarkEnd w:id="650"/>
    </w:p>
    <w:p w14:paraId="67954623">
      <w:pPr>
        <w:widowControl/>
        <w:spacing w:line="360" w:lineRule="auto"/>
        <w:ind w:firstLine="482" w:firstLineChars="200"/>
        <w:jc w:val="left"/>
        <w:rPr>
          <w:rFonts w:ascii="宋体" w:hAnsi="宋体" w:cs="宋体"/>
          <w:b/>
          <w:i w:val="0"/>
          <w:iCs w:val="0"/>
          <w:color w:val="auto"/>
          <w:sz w:val="24"/>
          <w:highlight w:val="none"/>
        </w:rPr>
      </w:pPr>
      <w:r>
        <w:rPr>
          <w:rFonts w:hint="eastAsia" w:ascii="宋体" w:hAnsi="宋体" w:cs="宋体"/>
          <w:b/>
          <w:i w:val="0"/>
          <w:iCs w:val="0"/>
          <w:color w:val="auto"/>
          <w:sz w:val="24"/>
          <w:highlight w:val="none"/>
        </w:rPr>
        <w:t>（以联合体形式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的，提供联合</w:t>
      </w:r>
      <w:r>
        <w:rPr>
          <w:rFonts w:hint="eastAsia" w:cs="宋体"/>
          <w:b/>
          <w:i w:val="0"/>
          <w:iCs w:val="0"/>
          <w:color w:val="auto"/>
          <w:sz w:val="24"/>
          <w:highlight w:val="none"/>
          <w:lang w:val="en-US" w:eastAsia="zh-CN"/>
        </w:rPr>
        <w:t>体</w:t>
      </w:r>
      <w:r>
        <w:rPr>
          <w:rFonts w:hint="eastAsia" w:ascii="宋体" w:hAnsi="宋体" w:cs="宋体"/>
          <w:b/>
          <w:i w:val="0"/>
          <w:iCs w:val="0"/>
          <w:color w:val="auto"/>
          <w:sz w:val="24"/>
          <w:highlight w:val="none"/>
        </w:rPr>
        <w:t>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；本项目不接受联合体</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或者</w:t>
      </w:r>
      <w:r>
        <w:rPr>
          <w:rFonts w:hint="eastAsia" w:cs="宋体"/>
          <w:b/>
          <w:i w:val="0"/>
          <w:iCs w:val="0"/>
          <w:color w:val="auto"/>
          <w:sz w:val="24"/>
          <w:highlight w:val="none"/>
          <w:lang w:val="en-US" w:eastAsia="zh-CN"/>
        </w:rPr>
        <w:t>供应商</w:t>
      </w:r>
      <w:r>
        <w:rPr>
          <w:rFonts w:hint="eastAsia" w:ascii="宋体" w:hAnsi="宋体" w:cs="宋体"/>
          <w:b/>
          <w:i w:val="0"/>
          <w:iCs w:val="0"/>
          <w:color w:val="auto"/>
          <w:sz w:val="24"/>
          <w:highlight w:val="none"/>
        </w:rPr>
        <w:t>不以联合体形式</w:t>
      </w:r>
      <w:r>
        <w:rPr>
          <w:rFonts w:hint="eastAsia" w:cs="宋体"/>
          <w:b/>
          <w:i w:val="0"/>
          <w:iCs w:val="0"/>
          <w:color w:val="auto"/>
          <w:sz w:val="24"/>
          <w:highlight w:val="none"/>
          <w:lang w:val="en-US" w:eastAsia="zh-CN"/>
        </w:rPr>
        <w:t>磋商响应</w:t>
      </w:r>
      <w:r>
        <w:rPr>
          <w:rFonts w:hint="eastAsia" w:ascii="宋体" w:hAnsi="宋体" w:cs="宋体"/>
          <w:b/>
          <w:i w:val="0"/>
          <w:iCs w:val="0"/>
          <w:color w:val="auto"/>
          <w:sz w:val="24"/>
          <w:highlight w:val="none"/>
        </w:rPr>
        <w:t>的，则不需要提供）</w:t>
      </w:r>
    </w:p>
    <w:p w14:paraId="14187E6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（联合体所有成员名称）</w:t>
      </w:r>
      <w:r>
        <w:rPr>
          <w:rFonts w:hint="eastAsia" w:ascii="宋体" w:hAnsi="宋体" w:cs="宋体"/>
          <w:i w:val="0"/>
          <w:iCs w:val="0"/>
          <w:color w:val="auto"/>
          <w:kern w:val="0"/>
          <w:sz w:val="24"/>
          <w:highlight w:val="none"/>
        </w:rPr>
        <w:t>自愿</w:t>
      </w:r>
      <w:r>
        <w:rPr>
          <w:rFonts w:hint="eastAsia" w:ascii="宋体" w:hAnsi="宋体" w:cs="宋体"/>
          <w:i w:val="0"/>
          <w:iCs w:val="0"/>
          <w:color w:val="auto"/>
          <w:kern w:val="0"/>
          <w:sz w:val="24"/>
          <w:highlight w:val="none"/>
          <w:lang w:val="zh-CN"/>
        </w:rPr>
        <w:t>组成一个联合体，以一个</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的身份</w:t>
      </w:r>
      <w:r>
        <w:rPr>
          <w:rFonts w:hint="eastAsia" w:ascii="宋体" w:hAnsi="宋体" w:cs="宋体"/>
          <w:i w:val="0"/>
          <w:iCs w:val="0"/>
          <w:color w:val="auto"/>
          <w:kern w:val="0"/>
          <w:sz w:val="24"/>
          <w:highlight w:val="none"/>
        </w:rPr>
        <w:t>参加</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 xml:space="preserve">。 </w:t>
      </w:r>
    </w:p>
    <w:p w14:paraId="5649241D">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一、各方一致决定，</w:t>
      </w:r>
      <w:r>
        <w:rPr>
          <w:rFonts w:hint="eastAsia" w:ascii="宋体" w:hAnsi="宋体" w:cs="宋体"/>
          <w:i w:val="0"/>
          <w:iCs w:val="0"/>
          <w:color w:val="auto"/>
          <w:kern w:val="0"/>
          <w:sz w:val="24"/>
          <w:highlight w:val="none"/>
          <w:u w:val="single"/>
        </w:rPr>
        <w:t>（某联合体成员名称）</w:t>
      </w:r>
      <w:r>
        <w:rPr>
          <w:rFonts w:hint="eastAsia" w:ascii="宋体" w:hAnsi="宋体" w:cs="宋体"/>
          <w:i w:val="0"/>
          <w:iCs w:val="0"/>
          <w:color w:val="auto"/>
          <w:kern w:val="0"/>
          <w:sz w:val="24"/>
          <w:highlight w:val="none"/>
        </w:rPr>
        <w:t>为联合体</w:t>
      </w:r>
      <w:r>
        <w:rPr>
          <w:rFonts w:hint="eastAsia" w:ascii="宋体" w:hAnsi="宋体" w:cs="宋体"/>
          <w:i w:val="0"/>
          <w:iCs w:val="0"/>
          <w:color w:val="auto"/>
          <w:kern w:val="0"/>
          <w:sz w:val="24"/>
          <w:highlight w:val="none"/>
          <w:lang w:val="zh-CN"/>
        </w:rPr>
        <w:t>牵头人</w:t>
      </w:r>
      <w:r>
        <w:rPr>
          <w:rFonts w:hint="eastAsia" w:ascii="宋体" w:hAnsi="宋体" w:cs="宋体"/>
          <w:i w:val="0"/>
          <w:iCs w:val="0"/>
          <w:color w:val="auto"/>
          <w:sz w:val="24"/>
          <w:highlight w:val="none"/>
        </w:rPr>
        <w:t>，代表所有联合体</w:t>
      </w:r>
      <w:r>
        <w:rPr>
          <w:rFonts w:hint="eastAsia" w:ascii="宋体" w:hAnsi="宋体" w:eastAsia="宋体" w:cs="宋体"/>
          <w:i w:val="0"/>
          <w:iCs w:val="0"/>
          <w:color w:val="auto"/>
          <w:sz w:val="24"/>
          <w:highlight w:val="none"/>
        </w:rPr>
        <w:t>成员负责</w:t>
      </w:r>
      <w:r>
        <w:rPr>
          <w:rFonts w:hint="eastAsia" w:ascii="宋体" w:hAnsi="宋体" w:eastAsia="宋体" w:cs="宋体"/>
          <w:i w:val="0"/>
          <w:iCs w:val="0"/>
          <w:color w:val="auto"/>
          <w:sz w:val="24"/>
          <w:highlight w:val="none"/>
          <w:lang w:val="en-US" w:eastAsia="zh-CN"/>
        </w:rPr>
        <w:t>磋商响应</w:t>
      </w:r>
      <w:r>
        <w:rPr>
          <w:rFonts w:hint="eastAsia" w:ascii="宋体" w:hAnsi="宋体" w:eastAsia="宋体" w:cs="宋体"/>
          <w:i w:val="0"/>
          <w:iCs w:val="0"/>
          <w:color w:val="auto"/>
          <w:sz w:val="24"/>
          <w:highlight w:val="none"/>
        </w:rPr>
        <w:t>和合同实施阶段的</w:t>
      </w:r>
      <w:r>
        <w:rPr>
          <w:rFonts w:hint="eastAsia" w:ascii="宋体" w:hAnsi="宋体" w:cs="宋体"/>
          <w:i w:val="0"/>
          <w:iCs w:val="0"/>
          <w:color w:val="auto"/>
          <w:sz w:val="24"/>
          <w:highlight w:val="none"/>
        </w:rPr>
        <w:t>主办、协调工作</w:t>
      </w:r>
      <w:r>
        <w:rPr>
          <w:rFonts w:hint="eastAsia" w:ascii="宋体" w:hAnsi="宋体" w:cs="宋体"/>
          <w:i w:val="0"/>
          <w:iCs w:val="0"/>
          <w:color w:val="auto"/>
          <w:kern w:val="0"/>
          <w:sz w:val="24"/>
          <w:highlight w:val="none"/>
          <w:lang w:val="zh-CN"/>
        </w:rPr>
        <w:t>。</w:t>
      </w:r>
    </w:p>
    <w:p w14:paraId="0D56DBD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w:t>
      </w:r>
      <w:r>
        <w:rPr>
          <w:rFonts w:hint="eastAsia" w:ascii="宋体" w:hAnsi="宋体" w:cs="宋体"/>
          <w:i w:val="0"/>
          <w:iCs w:val="0"/>
          <w:color w:val="auto"/>
          <w:sz w:val="24"/>
          <w:highlight w:val="none"/>
        </w:rPr>
        <w:t>所有联合体成员各方签署授权书，授权书载明的</w:t>
      </w:r>
      <w:r>
        <w:rPr>
          <w:rFonts w:hint="eastAsia" w:ascii="宋体" w:hAnsi="宋体" w:cs="宋体"/>
          <w:i w:val="0"/>
          <w:iCs w:val="0"/>
          <w:color w:val="auto"/>
          <w:kern w:val="0"/>
          <w:sz w:val="24"/>
          <w:highlight w:val="none"/>
          <w:lang w:val="zh-CN"/>
        </w:rPr>
        <w:t>授权代表根据</w:t>
      </w:r>
      <w:r>
        <w:rPr>
          <w:rFonts w:hint="eastAsia" w:ascii="宋体" w:hAnsi="宋体" w:cs="宋体"/>
          <w:i w:val="0"/>
          <w:iCs w:val="0"/>
          <w:color w:val="auto"/>
          <w:kern w:val="0"/>
          <w:sz w:val="24"/>
          <w:highlight w:val="none"/>
          <w:lang w:val="zh-CN" w:eastAsia="zh-CN"/>
        </w:rPr>
        <w:t>竞争性磋商</w:t>
      </w:r>
      <w:r>
        <w:rPr>
          <w:rFonts w:hint="eastAsia" w:ascii="宋体" w:hAnsi="宋体" w:cs="宋体"/>
          <w:i w:val="0"/>
          <w:iCs w:val="0"/>
          <w:color w:val="auto"/>
          <w:kern w:val="0"/>
          <w:sz w:val="24"/>
          <w:highlight w:val="none"/>
          <w:lang w:val="zh-CN"/>
        </w:rPr>
        <w:t>文件规定及</w:t>
      </w:r>
      <w:r>
        <w:rPr>
          <w:rFonts w:hint="eastAsia" w:cs="宋体"/>
          <w:i w:val="0"/>
          <w:iCs w:val="0"/>
          <w:color w:val="auto"/>
          <w:kern w:val="0"/>
          <w:sz w:val="24"/>
          <w:highlight w:val="none"/>
          <w:lang w:val="en-US" w:eastAsia="zh-CN"/>
        </w:rPr>
        <w:t>响应</w:t>
      </w:r>
      <w:r>
        <w:rPr>
          <w:rFonts w:hint="eastAsia" w:ascii="宋体" w:hAnsi="宋体" w:cs="宋体"/>
          <w:i w:val="0"/>
          <w:iCs w:val="0"/>
          <w:color w:val="auto"/>
          <w:kern w:val="0"/>
          <w:sz w:val="24"/>
          <w:highlight w:val="none"/>
          <w:lang w:val="zh-CN"/>
        </w:rPr>
        <w:t>内容而对采购人、采购代理机构所作的任何合法承诺，包括书面澄清及相应等均对联合</w:t>
      </w:r>
      <w:r>
        <w:rPr>
          <w:rFonts w:hint="eastAsia" w:cs="宋体"/>
          <w:i w:val="0"/>
          <w:iCs w:val="0"/>
          <w:color w:val="auto"/>
          <w:kern w:val="0"/>
          <w:sz w:val="24"/>
          <w:highlight w:val="none"/>
          <w:lang w:val="en-US" w:eastAsia="zh-CN"/>
        </w:rPr>
        <w:t>磋商</w:t>
      </w:r>
      <w:r>
        <w:rPr>
          <w:rFonts w:hint="eastAsia" w:ascii="宋体" w:hAnsi="宋体" w:cs="宋体"/>
          <w:i w:val="0"/>
          <w:iCs w:val="0"/>
          <w:color w:val="auto"/>
          <w:kern w:val="0"/>
          <w:sz w:val="24"/>
          <w:highlight w:val="none"/>
          <w:lang w:val="zh-CN"/>
        </w:rPr>
        <w:t>各方产生约束力。</w:t>
      </w:r>
    </w:p>
    <w:p w14:paraId="07A293C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中，分工如下：</w:t>
      </w:r>
    </w:p>
    <w:p w14:paraId="1C5D81AB">
      <w:pPr>
        <w:snapToGrid w:val="0"/>
        <w:spacing w:line="360" w:lineRule="auto"/>
        <w:ind w:firstLine="576"/>
        <w:rPr>
          <w:rFonts w:ascii="宋体" w:hAnsi="宋体" w:cs="宋体"/>
          <w:i w:val="0"/>
          <w:iCs w:val="0"/>
          <w:color w:val="auto"/>
          <w:kern w:val="0"/>
          <w:sz w:val="24"/>
          <w:highlight w:val="none"/>
          <w:lang w:val="zh-CN"/>
        </w:rPr>
      </w:pPr>
      <w:bookmarkStart w:id="651" w:name="_Hlk101134295"/>
      <w:r>
        <w:rPr>
          <w:rFonts w:hint="eastAsia" w:ascii="宋体" w:hAnsi="宋体" w:cs="宋体"/>
          <w:i w:val="0"/>
          <w:iCs w:val="0"/>
          <w:color w:val="auto"/>
          <w:kern w:val="0"/>
          <w:sz w:val="24"/>
          <w:highlight w:val="none"/>
          <w:u w:val="single"/>
        </w:rPr>
        <w:t>（联合体成员1）</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3BADC44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2</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lang w:val="zh-CN"/>
        </w:rPr>
        <w:t>承担</w:t>
      </w:r>
      <w:r>
        <w:rPr>
          <w:rFonts w:hint="eastAsia" w:ascii="宋体" w:hAnsi="宋体" w:cs="宋体"/>
          <w:i w:val="0"/>
          <w:iCs w:val="0"/>
          <w:color w:val="auto"/>
          <w:kern w:val="0"/>
          <w:sz w:val="24"/>
          <w:highlight w:val="none"/>
          <w:lang w:val="en-US" w:eastAsia="zh-CN"/>
        </w:rPr>
        <w:t>项目采购合同金额的</w:t>
      </w:r>
      <w:r>
        <w:rPr>
          <w:rFonts w:hint="eastAsia" w:ascii="宋体" w:hAnsi="宋体" w:cs="宋体"/>
          <w:i w:val="0"/>
          <w:iCs w:val="0"/>
          <w:color w:val="auto"/>
          <w:kern w:val="0"/>
          <w:sz w:val="24"/>
          <w:highlight w:val="none"/>
          <w:u w:val="single"/>
          <w:lang w:val="en-US" w:eastAsia="zh-CN"/>
        </w:rPr>
        <w:t xml:space="preserve">      %</w:t>
      </w:r>
      <w:r>
        <w:rPr>
          <w:rFonts w:hint="eastAsia" w:ascii="宋体" w:hAnsi="宋体" w:cs="宋体"/>
          <w:i w:val="0"/>
          <w:iCs w:val="0"/>
          <w:color w:val="auto"/>
          <w:kern w:val="0"/>
          <w:sz w:val="24"/>
          <w:highlight w:val="none"/>
          <w:u w:val="none"/>
          <w:lang w:val="en-US" w:eastAsia="zh-CN"/>
        </w:rPr>
        <w:t>，负责</w:t>
      </w:r>
      <w:r>
        <w:rPr>
          <w:rFonts w:hint="eastAsia" w:ascii="宋体" w:hAnsi="宋体" w:cs="宋体"/>
          <w:i w:val="0"/>
          <w:iCs w:val="0"/>
          <w:color w:val="auto"/>
          <w:kern w:val="0"/>
          <w:sz w:val="24"/>
          <w:highlight w:val="none"/>
          <w:lang w:val="zh-CN"/>
        </w:rPr>
        <w:t>的工作和义务为：</w:t>
      </w:r>
      <w:r>
        <w:rPr>
          <w:rFonts w:hint="eastAsia" w:ascii="宋体" w:hAnsi="宋体" w:cs="宋体"/>
          <w:i w:val="0"/>
          <w:iCs w:val="0"/>
          <w:color w:val="auto"/>
          <w:highlight w:val="none"/>
          <w:u w:val="single"/>
        </w:rPr>
        <w:t xml:space="preserve">             </w:t>
      </w:r>
      <w:r>
        <w:rPr>
          <w:rFonts w:hint="eastAsia" w:ascii="宋体" w:hAnsi="宋体" w:cs="宋体"/>
          <w:i w:val="0"/>
          <w:iCs w:val="0"/>
          <w:color w:val="auto"/>
          <w:kern w:val="0"/>
          <w:sz w:val="24"/>
          <w:highlight w:val="none"/>
          <w:lang w:val="zh-CN"/>
        </w:rPr>
        <w:t>；</w:t>
      </w:r>
    </w:p>
    <w:p w14:paraId="67CB0AD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w:t>
      </w:r>
    </w:p>
    <w:bookmarkEnd w:id="651"/>
    <w:p w14:paraId="15AF1CA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四、联合体成员中小企业合同份额。</w:t>
      </w:r>
    </w:p>
    <w:p w14:paraId="3CA3168E">
      <w:pPr>
        <w:snapToGrid w:val="0"/>
        <w:spacing w:line="360" w:lineRule="auto"/>
        <w:ind w:firstLine="576"/>
        <w:rPr>
          <w:rFonts w:ascii="宋体" w:hAnsi="宋体" w:cs="宋体"/>
          <w:b/>
          <w:i w:val="0"/>
          <w:iCs w:val="0"/>
          <w:color w:val="auto"/>
          <w:kern w:val="0"/>
          <w:sz w:val="24"/>
          <w:highlight w:val="none"/>
          <w:lang w:val="zh-CN"/>
        </w:rPr>
      </w:pPr>
      <w:r>
        <w:rPr>
          <w:rFonts w:hint="eastAsia" w:ascii="宋体" w:hAnsi="宋体" w:cs="宋体"/>
          <w:i w:val="0"/>
          <w:iCs w:val="0"/>
          <w:color w:val="auto"/>
          <w:kern w:val="0"/>
          <w:sz w:val="24"/>
          <w:highlight w:val="none"/>
          <w:lang w:val="zh-CN"/>
        </w:rPr>
        <w:t>1、</w:t>
      </w:r>
      <w:r>
        <w:rPr>
          <w:rFonts w:hint="eastAsia" w:ascii="宋体" w:hAnsi="宋体" w:cs="宋体"/>
          <w:i w:val="0"/>
          <w:iCs w:val="0"/>
          <w:color w:val="auto"/>
          <w:kern w:val="0"/>
          <w:sz w:val="24"/>
          <w:highlight w:val="none"/>
          <w:u w:val="single"/>
        </w:rPr>
        <w:t>（联合体成员</w:t>
      </w:r>
      <w:r>
        <w:rPr>
          <w:rFonts w:ascii="宋体" w:hAnsi="宋体" w:cs="宋体"/>
          <w:i w:val="0"/>
          <w:iCs w:val="0"/>
          <w:color w:val="auto"/>
          <w:kern w:val="0"/>
          <w:sz w:val="24"/>
          <w:highlight w:val="none"/>
          <w:u w:val="single"/>
        </w:rPr>
        <w:t>X,</w:t>
      </w:r>
      <w:r>
        <w:rPr>
          <w:rFonts w:hint="eastAsia"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rPr>
        <w:t>提供的全部</w:t>
      </w:r>
      <w:r>
        <w:rPr>
          <w:rFonts w:hint="eastAsia" w:cs="宋体"/>
          <w:i w:val="0"/>
          <w:iCs w:val="0"/>
          <w:color w:val="auto"/>
          <w:kern w:val="0"/>
          <w:sz w:val="24"/>
          <w:highlight w:val="none"/>
          <w:lang w:val="en-US" w:eastAsia="zh-CN"/>
        </w:rPr>
        <w:t>服务及包含的</w:t>
      </w:r>
      <w:r>
        <w:rPr>
          <w:rFonts w:hint="eastAsia" w:ascii="宋体" w:hAnsi="宋体" w:cs="宋体"/>
          <w:i w:val="0"/>
          <w:iCs w:val="0"/>
          <w:color w:val="auto"/>
          <w:kern w:val="0"/>
          <w:sz w:val="24"/>
          <w:highlight w:val="none"/>
        </w:rPr>
        <w:t>货物由小微企业制造，其合同份额占到合同总金额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kern w:val="0"/>
          <w:sz w:val="24"/>
          <w:highlight w:val="none"/>
          <w:lang w:val="zh-CN"/>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（未预留份额专门面向中小企业采购的采购项目，以及预留份额中的非预留部分采购包，接受联合体</w:t>
      </w:r>
      <w:r>
        <w:rPr>
          <w:rFonts w:hint="eastAsia" w:cs="宋体"/>
          <w:b/>
          <w:i w:val="0"/>
          <w:iCs w:val="0"/>
          <w:color w:val="auto"/>
          <w:kern w:val="0"/>
          <w:sz w:val="24"/>
          <w:highlight w:val="none"/>
          <w:lang w:val="en-US" w:eastAsia="zh-CN"/>
        </w:rPr>
        <w:t>磋商</w:t>
      </w:r>
      <w:r>
        <w:rPr>
          <w:rFonts w:hint="eastAsia" w:ascii="宋体" w:hAnsi="宋体" w:cs="宋体"/>
          <w:b/>
          <w:i w:val="0"/>
          <w:iCs w:val="0"/>
          <w:color w:val="auto"/>
          <w:kern w:val="0"/>
          <w:sz w:val="24"/>
          <w:highlight w:val="none"/>
          <w:lang w:val="zh-CN"/>
        </w:rPr>
        <w:t>的，联合</w:t>
      </w:r>
      <w:r>
        <w:rPr>
          <w:rFonts w:hint="eastAsia" w:cs="宋体"/>
          <w:b/>
          <w:i w:val="0"/>
          <w:iCs w:val="0"/>
          <w:color w:val="auto"/>
          <w:kern w:val="0"/>
          <w:sz w:val="24"/>
          <w:highlight w:val="none"/>
          <w:lang w:val="en-US" w:eastAsia="zh-CN"/>
        </w:rPr>
        <w:t>体</w:t>
      </w:r>
      <w:r>
        <w:rPr>
          <w:rFonts w:hint="eastAsia" w:ascii="宋体" w:hAnsi="宋体" w:cs="宋体"/>
          <w:b/>
          <w:i w:val="0"/>
          <w:iCs w:val="0"/>
          <w:color w:val="auto"/>
          <w:kern w:val="0"/>
          <w:sz w:val="24"/>
          <w:highlight w:val="none"/>
          <w:lang w:val="zh-CN"/>
        </w:rPr>
        <w:t>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约定小微企业的合同份额占到合同总金额30%以上的，对联合体报价按评</w:t>
      </w:r>
      <w:r>
        <w:rPr>
          <w:rFonts w:hint="eastAsia" w:cs="宋体"/>
          <w:b/>
          <w:i w:val="0"/>
          <w:iCs w:val="0"/>
          <w:color w:val="auto"/>
          <w:kern w:val="0"/>
          <w:sz w:val="24"/>
          <w:highlight w:val="none"/>
          <w:lang w:val="en-US" w:eastAsia="zh-CN"/>
        </w:rPr>
        <w:t>审</w:t>
      </w:r>
      <w:r>
        <w:rPr>
          <w:rFonts w:hint="eastAsia" w:ascii="宋体" w:hAnsi="宋体" w:cs="宋体"/>
          <w:b/>
          <w:i w:val="0"/>
          <w:iCs w:val="0"/>
          <w:color w:val="auto"/>
          <w:kern w:val="0"/>
          <w:sz w:val="24"/>
          <w:highlight w:val="none"/>
          <w:lang w:val="zh-CN"/>
        </w:rPr>
        <w:t>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47752F4F">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sz w:val="24"/>
          <w:highlight w:val="none"/>
        </w:rPr>
        <w:t>2、中小企业合同金额达到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要求以联合体形式参加的项目或采购包，供应商按</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文件第一部分</w:t>
      </w:r>
      <w:r>
        <w:rPr>
          <w:rFonts w:hint="eastAsia" w:cs="宋体"/>
          <w:b/>
          <w:bCs/>
          <w:i w:val="0"/>
          <w:iCs w:val="0"/>
          <w:color w:val="auto"/>
          <w:sz w:val="24"/>
          <w:highlight w:val="none"/>
          <w:lang w:val="en-US" w:eastAsia="zh-CN"/>
        </w:rPr>
        <w:t>竞争性磋商</w:t>
      </w:r>
      <w:r>
        <w:rPr>
          <w:rFonts w:hint="eastAsia" w:ascii="宋体" w:hAnsi="宋体" w:cs="宋体"/>
          <w:b/>
          <w:bCs/>
          <w:i w:val="0"/>
          <w:iCs w:val="0"/>
          <w:color w:val="auto"/>
          <w:sz w:val="24"/>
          <w:highlight w:val="none"/>
        </w:rPr>
        <w:t>公告申请人的资格要求中规定的联合</w:t>
      </w:r>
      <w:r>
        <w:rPr>
          <w:rFonts w:hint="eastAsia" w:cs="宋体"/>
          <w:b/>
          <w:bCs/>
          <w:i w:val="0"/>
          <w:iCs w:val="0"/>
          <w:color w:val="auto"/>
          <w:sz w:val="24"/>
          <w:highlight w:val="none"/>
          <w:lang w:val="en-US" w:eastAsia="zh-CN"/>
        </w:rPr>
        <w:t>体</w:t>
      </w:r>
      <w:r>
        <w:rPr>
          <w:rFonts w:hint="eastAsia" w:ascii="宋体" w:hAnsi="宋体" w:cs="宋体"/>
          <w:b/>
          <w:bCs/>
          <w:i w:val="0"/>
          <w:iCs w:val="0"/>
          <w:color w:val="auto"/>
          <w:sz w:val="24"/>
          <w:highlight w:val="none"/>
        </w:rPr>
        <w:t>协议</w:t>
      </w:r>
      <w:r>
        <w:rPr>
          <w:rFonts w:hint="eastAsia" w:cs="宋体"/>
          <w:b/>
          <w:bCs/>
          <w:i w:val="0"/>
          <w:iCs w:val="0"/>
          <w:color w:val="auto"/>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p>
    <w:p w14:paraId="371898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五、如果</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sz w:val="24"/>
          <w:highlight w:val="none"/>
        </w:rPr>
        <w:t>联合体各成员方共同与采购人签订</w:t>
      </w:r>
      <w:r>
        <w:rPr>
          <w:rFonts w:hint="eastAsia" w:ascii="宋体" w:hAnsi="宋体" w:cs="宋体"/>
          <w:i w:val="0"/>
          <w:iCs w:val="0"/>
          <w:color w:val="auto"/>
          <w:sz w:val="24"/>
          <w:highlight w:val="none"/>
          <w:lang w:val="en-US" w:eastAsia="zh-CN"/>
        </w:rPr>
        <w:t>采购</w:t>
      </w:r>
      <w:r>
        <w:rPr>
          <w:rFonts w:hint="eastAsia" w:ascii="宋体" w:hAnsi="宋体" w:cs="宋体"/>
          <w:i w:val="0"/>
          <w:iCs w:val="0"/>
          <w:color w:val="auto"/>
          <w:sz w:val="24"/>
          <w:highlight w:val="none"/>
        </w:rPr>
        <w:t>合同，并就采购合同约定的事项对采购人承担连带责任。</w:t>
      </w:r>
    </w:p>
    <w:p w14:paraId="4189AEE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六、有关本次联合</w:t>
      </w:r>
      <w:r>
        <w:rPr>
          <w:rFonts w:hint="eastAsia" w:cs="宋体"/>
          <w:i w:val="0"/>
          <w:iCs w:val="0"/>
          <w:color w:val="auto"/>
          <w:kern w:val="0"/>
          <w:sz w:val="24"/>
          <w:highlight w:val="none"/>
          <w:lang w:val="en-US" w:eastAsia="zh-CN"/>
        </w:rPr>
        <w:t>磋商响应</w:t>
      </w:r>
      <w:r>
        <w:rPr>
          <w:rFonts w:hint="eastAsia" w:ascii="宋体" w:hAnsi="宋体" w:cs="宋体"/>
          <w:i w:val="0"/>
          <w:iCs w:val="0"/>
          <w:color w:val="auto"/>
          <w:kern w:val="0"/>
          <w:sz w:val="24"/>
          <w:highlight w:val="none"/>
          <w:lang w:val="zh-CN"/>
        </w:rPr>
        <w:t>的其他事宜：</w:t>
      </w:r>
    </w:p>
    <w:p w14:paraId="0314761C">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1、联合体各方不再单独参加或者与其他供应商另外组成联合体参加同一合同项下的政府采购活动。</w:t>
      </w:r>
    </w:p>
    <w:p w14:paraId="7802B51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2、联合体中有同类资质的各方按照联合体分工承担相同工作的，按照资质等级较低的供应商确定资质等级。</w:t>
      </w:r>
    </w:p>
    <w:p w14:paraId="288D0668">
      <w:pPr>
        <w:snapToGrid w:val="0"/>
        <w:spacing w:line="360" w:lineRule="auto"/>
        <w:ind w:firstLine="576"/>
        <w:rPr>
          <w:rFonts w:hint="eastAsia"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3、本协议提交采购人、采购代理机构后，联合体各方不得以任何形式对上述内容进行修改或撤销。</w:t>
      </w:r>
    </w:p>
    <w:p w14:paraId="6D0ADF90">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4、</w:t>
      </w:r>
      <w:r>
        <w:rPr>
          <w:rFonts w:hint="eastAsia" w:ascii="宋体" w:hAnsi="宋体" w:cs="宋体"/>
          <w:i w:val="0"/>
          <w:iCs w:val="0"/>
          <w:color w:val="auto"/>
          <w:kern w:val="0"/>
          <w:sz w:val="24"/>
          <w:highlight w:val="none"/>
          <w:lang w:val="zh-CN"/>
        </w:rPr>
        <w:t>其他：……</w:t>
      </w:r>
    </w:p>
    <w:p w14:paraId="43009373">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5、</w:t>
      </w:r>
      <w:r>
        <w:rPr>
          <w:rFonts w:hint="eastAsia" w:ascii="宋体" w:hAnsi="宋体" w:cs="宋体"/>
          <w:i w:val="0"/>
          <w:iCs w:val="0"/>
          <w:color w:val="auto"/>
          <w:kern w:val="0"/>
          <w:sz w:val="24"/>
          <w:highlight w:val="none"/>
          <w:lang w:val="zh-CN"/>
        </w:rPr>
        <w:t>本协议书自签署之日起生效，若未</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，自本</w:t>
      </w:r>
      <w:r>
        <w:rPr>
          <w:rFonts w:hint="eastAsia" w:cs="宋体"/>
          <w:i w:val="0"/>
          <w:iCs w:val="0"/>
          <w:color w:val="auto"/>
          <w:kern w:val="0"/>
          <w:sz w:val="24"/>
          <w:highlight w:val="none"/>
          <w:lang w:val="en-US" w:eastAsia="zh-CN"/>
        </w:rPr>
        <w:t>响应文件</w:t>
      </w:r>
      <w:r>
        <w:rPr>
          <w:rFonts w:hint="eastAsia" w:ascii="宋体" w:hAnsi="宋体" w:cs="宋体"/>
          <w:i w:val="0"/>
          <w:iCs w:val="0"/>
          <w:color w:val="auto"/>
          <w:kern w:val="0"/>
          <w:sz w:val="24"/>
          <w:highlight w:val="none"/>
          <w:lang w:val="zh-CN"/>
        </w:rPr>
        <w:t>有效期结束后自行失效；若</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，自合同书规定的期限之后自行失效。</w:t>
      </w:r>
    </w:p>
    <w:p w14:paraId="580F475F">
      <w:pPr>
        <w:snapToGrid w:val="0"/>
        <w:spacing w:line="360" w:lineRule="auto"/>
        <w:ind w:firstLine="576"/>
        <w:rPr>
          <w:rFonts w:hint="eastAsia" w:ascii="宋体" w:hAnsi="宋体" w:cs="宋体"/>
          <w:i w:val="0"/>
          <w:iCs w:val="0"/>
          <w:color w:val="auto"/>
          <w:kern w:val="0"/>
          <w:sz w:val="24"/>
          <w:highlight w:val="none"/>
          <w:lang w:val="zh-CN"/>
        </w:rPr>
      </w:pPr>
      <w:r>
        <w:rPr>
          <w:rFonts w:hint="eastAsia" w:cs="宋体"/>
          <w:i w:val="0"/>
          <w:iCs w:val="0"/>
          <w:color w:val="auto"/>
          <w:kern w:val="0"/>
          <w:sz w:val="24"/>
          <w:highlight w:val="none"/>
          <w:lang w:val="en-US" w:eastAsia="zh-CN"/>
        </w:rPr>
        <w:t>6、</w:t>
      </w:r>
      <w:r>
        <w:rPr>
          <w:rFonts w:hint="eastAsia" w:ascii="宋体" w:hAnsi="宋体" w:cs="宋体"/>
          <w:i w:val="0"/>
          <w:iCs w:val="0"/>
          <w:color w:val="auto"/>
          <w:kern w:val="0"/>
          <w:sz w:val="24"/>
          <w:highlight w:val="none"/>
          <w:lang w:val="zh-CN"/>
        </w:rPr>
        <w:t>本协议书正本一式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份；副本一式</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份，联合体成员各执</w:t>
      </w:r>
      <w:r>
        <w:rPr>
          <w:rFonts w:hint="eastAsia" w:ascii="宋体" w:hAnsi="宋体" w:cs="宋体"/>
          <w:i w:val="0"/>
          <w:iCs w:val="0"/>
          <w:color w:val="auto"/>
          <w:kern w:val="0"/>
          <w:sz w:val="24"/>
          <w:highlight w:val="none"/>
          <w:u w:val="single"/>
          <w:lang w:val="zh-CN"/>
        </w:rPr>
        <w:t xml:space="preserve">     </w:t>
      </w:r>
      <w:r>
        <w:rPr>
          <w:rFonts w:hint="eastAsia" w:ascii="宋体" w:hAnsi="宋体" w:cs="宋体"/>
          <w:i w:val="0"/>
          <w:iCs w:val="0"/>
          <w:color w:val="auto"/>
          <w:kern w:val="0"/>
          <w:sz w:val="24"/>
          <w:highlight w:val="none"/>
          <w:lang w:val="zh-CN"/>
        </w:rPr>
        <w:t>份。</w:t>
      </w:r>
    </w:p>
    <w:p w14:paraId="1797DC92">
      <w:pPr>
        <w:pStyle w:val="6"/>
        <w:rPr>
          <w:i w:val="0"/>
          <w:iCs w:val="0"/>
          <w:color w:val="auto"/>
          <w:highlight w:val="none"/>
          <w:lang w:val="zh-CN"/>
        </w:rPr>
      </w:pPr>
    </w:p>
    <w:p w14:paraId="6A1B5B57">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1</w:t>
      </w:r>
      <w:r>
        <w:rPr>
          <w:rFonts w:hint="eastAsia" w:ascii="宋体" w:hAnsi="宋体" w:cs="宋体"/>
          <w:i w:val="0"/>
          <w:iCs w:val="0"/>
          <w:color w:val="auto"/>
          <w:kern w:val="0"/>
          <w:sz w:val="24"/>
          <w:highlight w:val="none"/>
          <w:lang w:val="zh-CN"/>
        </w:rPr>
        <w:t>名称(公章)：</w:t>
      </w:r>
    </w:p>
    <w:p w14:paraId="21DBA726">
      <w:pPr>
        <w:snapToGrid w:val="0"/>
        <w:spacing w:line="360" w:lineRule="auto"/>
        <w:ind w:firstLine="3840" w:firstLineChars="16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联合体成员</w:t>
      </w:r>
      <w:r>
        <w:rPr>
          <w:rFonts w:hint="eastAsia" w:ascii="宋体" w:hAnsi="宋体" w:cs="宋体"/>
          <w:i w:val="0"/>
          <w:iCs w:val="0"/>
          <w:color w:val="auto"/>
          <w:kern w:val="0"/>
          <w:sz w:val="24"/>
          <w:highlight w:val="none"/>
          <w:lang w:val="en-US" w:eastAsia="zh-CN"/>
        </w:rPr>
        <w:t>2</w:t>
      </w:r>
      <w:r>
        <w:rPr>
          <w:rFonts w:hint="eastAsia" w:ascii="宋体" w:hAnsi="宋体" w:cs="宋体"/>
          <w:i w:val="0"/>
          <w:iCs w:val="0"/>
          <w:color w:val="auto"/>
          <w:kern w:val="0"/>
          <w:sz w:val="24"/>
          <w:highlight w:val="none"/>
          <w:lang w:val="zh-CN"/>
        </w:rPr>
        <w:t>名称(公章)：</w:t>
      </w:r>
    </w:p>
    <w:p w14:paraId="2C01AA77">
      <w:pPr>
        <w:snapToGrid w:val="0"/>
        <w:spacing w:line="360" w:lineRule="auto"/>
        <w:ind w:right="960"/>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p>
    <w:p w14:paraId="64D03F6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日期：  年  月   日</w:t>
      </w:r>
    </w:p>
    <w:p w14:paraId="69BB115A">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68A2ACB2">
      <w:pPr>
        <w:keepNext w:val="0"/>
        <w:keepLines w:val="0"/>
        <w:pageBreakBefore w:val="0"/>
        <w:kinsoku/>
        <w:overflowPunct/>
        <w:topLinePunct w:val="0"/>
        <w:autoSpaceDE/>
        <w:autoSpaceDN/>
        <w:bidi w:val="0"/>
        <w:spacing w:before="157" w:beforeLines="50" w:after="157" w:afterLines="50"/>
        <w:ind w:left="2520" w:leftChars="1050"/>
        <w:textAlignment w:val="auto"/>
        <w:rPr>
          <w:rFonts w:cs="Tahoma"/>
          <w:i w:val="0"/>
          <w:iCs w:val="0"/>
          <w:color w:val="auto"/>
          <w:highlight w:val="none"/>
          <w:u w:val="single"/>
        </w:rPr>
      </w:pPr>
      <w:r>
        <w:rPr>
          <w:rFonts w:cs="Tahoma"/>
          <w:i w:val="0"/>
          <w:iCs w:val="0"/>
          <w:color w:val="auto"/>
          <w:highlight w:val="none"/>
          <w:u w:val="single"/>
        </w:rPr>
        <w:br w:type="page"/>
      </w:r>
    </w:p>
    <w:p w14:paraId="75121566">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zh-CN" w:eastAsia="zh-CN" w:bidi="ar-SA"/>
        </w:rPr>
      </w:pPr>
      <w:bookmarkStart w:id="652" w:name="_Toc163492925"/>
      <w:bookmarkStart w:id="653" w:name="_Toc162299566"/>
      <w:bookmarkStart w:id="654" w:name="_Toc722"/>
      <w:bookmarkStart w:id="655" w:name="_Toc156490356"/>
      <w:bookmarkStart w:id="656" w:name="_Hlk101169080"/>
      <w:r>
        <w:rPr>
          <w:rFonts w:hint="eastAsia" w:ascii="等线 Light" w:hAnsi="等线 Light" w:eastAsia="宋体" w:cs="宋体"/>
          <w:b/>
          <w:bCs/>
          <w:i w:val="0"/>
          <w:iCs w:val="0"/>
          <w:color w:val="auto"/>
          <w:kern w:val="2"/>
          <w:sz w:val="28"/>
          <w:szCs w:val="28"/>
          <w:highlight w:val="none"/>
          <w:lang w:val="en-US" w:eastAsia="zh-CN" w:bidi="ar-SA"/>
        </w:rPr>
        <w:t>三、</w:t>
      </w:r>
      <w:r>
        <w:rPr>
          <w:rFonts w:hint="eastAsia" w:ascii="等线 Light" w:hAnsi="等线 Light" w:eastAsia="宋体" w:cs="宋体"/>
          <w:b/>
          <w:bCs/>
          <w:i w:val="0"/>
          <w:iCs w:val="0"/>
          <w:color w:val="auto"/>
          <w:kern w:val="2"/>
          <w:sz w:val="28"/>
          <w:szCs w:val="28"/>
          <w:highlight w:val="none"/>
          <w:lang w:val="zh-CN" w:eastAsia="zh-CN" w:bidi="ar-SA"/>
        </w:rPr>
        <w:t>分包意向协议书【如适用】</w:t>
      </w:r>
      <w:bookmarkEnd w:id="652"/>
      <w:bookmarkEnd w:id="653"/>
      <w:bookmarkEnd w:id="654"/>
      <w:bookmarkEnd w:id="655"/>
    </w:p>
    <w:p w14:paraId="72EF9FB2">
      <w:pPr>
        <w:snapToGrid w:val="0"/>
        <w:spacing w:line="360" w:lineRule="auto"/>
        <w:jc w:val="center"/>
        <w:outlineLvl w:val="0"/>
        <w:rPr>
          <w:rFonts w:hint="eastAsia" w:ascii="宋体" w:hAnsi="宋体" w:cs="宋体"/>
          <w:b/>
          <w:i w:val="0"/>
          <w:iCs w:val="0"/>
          <w:color w:val="auto"/>
          <w:kern w:val="0"/>
          <w:sz w:val="32"/>
          <w:szCs w:val="32"/>
          <w:highlight w:val="none"/>
        </w:rPr>
      </w:pPr>
    </w:p>
    <w:p w14:paraId="51ED9DD2">
      <w:pPr>
        <w:snapToGrid w:val="0"/>
        <w:spacing w:line="360" w:lineRule="auto"/>
        <w:jc w:val="center"/>
        <w:outlineLvl w:val="0"/>
        <w:rPr>
          <w:rFonts w:hint="eastAsia" w:ascii="宋体" w:hAnsi="宋体" w:eastAsia="宋体" w:cs="宋体"/>
          <w:b/>
          <w:i w:val="0"/>
          <w:iCs w:val="0"/>
          <w:color w:val="auto"/>
          <w:kern w:val="0"/>
          <w:sz w:val="32"/>
          <w:szCs w:val="32"/>
          <w:highlight w:val="none"/>
          <w:lang w:val="en-US" w:eastAsia="zh-CN"/>
        </w:rPr>
      </w:pPr>
      <w:bookmarkStart w:id="657" w:name="_Toc28256"/>
      <w:bookmarkStart w:id="658" w:name="_Toc28098"/>
      <w:r>
        <w:rPr>
          <w:rFonts w:hint="eastAsia" w:ascii="宋体" w:hAnsi="宋体" w:cs="宋体"/>
          <w:b/>
          <w:i w:val="0"/>
          <w:iCs w:val="0"/>
          <w:color w:val="auto"/>
          <w:kern w:val="0"/>
          <w:sz w:val="32"/>
          <w:szCs w:val="32"/>
          <w:highlight w:val="none"/>
        </w:rPr>
        <w:t>分包意向协议</w:t>
      </w:r>
      <w:r>
        <w:rPr>
          <w:rFonts w:hint="eastAsia" w:ascii="宋体" w:hAnsi="宋体" w:cs="宋体"/>
          <w:b/>
          <w:i w:val="0"/>
          <w:iCs w:val="0"/>
          <w:color w:val="auto"/>
          <w:kern w:val="0"/>
          <w:sz w:val="32"/>
          <w:szCs w:val="32"/>
          <w:highlight w:val="none"/>
          <w:lang w:val="en-US" w:eastAsia="zh-CN"/>
        </w:rPr>
        <w:t>书</w:t>
      </w:r>
      <w:bookmarkEnd w:id="657"/>
      <w:bookmarkEnd w:id="658"/>
    </w:p>
    <w:p w14:paraId="4E9F0BF4">
      <w:pPr>
        <w:widowControl/>
        <w:spacing w:line="360" w:lineRule="auto"/>
        <w:ind w:firstLine="120" w:firstLineChars="50"/>
        <w:jc w:val="left"/>
        <w:rPr>
          <w:rFonts w:ascii="宋体" w:hAnsi="宋体" w:cs="宋体"/>
          <w:i w:val="0"/>
          <w:iCs w:val="0"/>
          <w:color w:val="auto"/>
          <w:sz w:val="24"/>
          <w:highlight w:val="none"/>
        </w:rPr>
      </w:pPr>
      <w:r>
        <w:rPr>
          <w:rFonts w:hint="eastAsia" w:ascii="宋体" w:hAnsi="宋体" w:cs="宋体"/>
          <w:i w:val="0"/>
          <w:iCs w:val="0"/>
          <w:color w:val="auto"/>
          <w:sz w:val="24"/>
          <w:highlight w:val="none"/>
        </w:rPr>
        <w:t>（</w:t>
      </w:r>
      <w:r>
        <w:rPr>
          <w:rFonts w:hint="eastAsia" w:cs="宋体"/>
          <w:b/>
          <w:i w:val="0"/>
          <w:iCs w:val="0"/>
          <w:color w:val="auto"/>
          <w:sz w:val="24"/>
          <w:highlight w:val="none"/>
          <w:lang w:val="en-US" w:eastAsia="zh-CN"/>
        </w:rPr>
        <w:t>成交</w:t>
      </w:r>
      <w:r>
        <w:rPr>
          <w:rFonts w:hint="eastAsia" w:ascii="宋体" w:hAnsi="宋体" w:cs="宋体"/>
          <w:b/>
          <w:i w:val="0"/>
          <w:iCs w:val="0"/>
          <w:color w:val="auto"/>
          <w:sz w:val="24"/>
          <w:highlight w:val="none"/>
        </w:rPr>
        <w:t>后以分包方式履行合同的，提供分包意向协议</w:t>
      </w:r>
      <w:r>
        <w:rPr>
          <w:rFonts w:hint="eastAsia" w:cs="宋体"/>
          <w:b/>
          <w:i w:val="0"/>
          <w:iCs w:val="0"/>
          <w:color w:val="auto"/>
          <w:sz w:val="24"/>
          <w:highlight w:val="none"/>
          <w:lang w:val="en-US" w:eastAsia="zh-CN"/>
        </w:rPr>
        <w:t>书</w:t>
      </w:r>
      <w:r>
        <w:rPr>
          <w:rFonts w:hint="eastAsia" w:ascii="宋体" w:hAnsi="宋体" w:cs="宋体"/>
          <w:b/>
          <w:i w:val="0"/>
          <w:iCs w:val="0"/>
          <w:color w:val="auto"/>
          <w:sz w:val="24"/>
          <w:highlight w:val="none"/>
        </w:rPr>
        <w:t>；采购人不同意分包或者</w:t>
      </w:r>
      <w:r>
        <w:rPr>
          <w:rFonts w:hint="eastAsia" w:cs="宋体"/>
          <w:b/>
          <w:i w:val="0"/>
          <w:iCs w:val="0"/>
          <w:color w:val="auto"/>
          <w:sz w:val="24"/>
          <w:highlight w:val="none"/>
          <w:lang w:val="en-US" w:eastAsia="zh-CN"/>
        </w:rPr>
        <w:t>供应商成交</w:t>
      </w:r>
      <w:r>
        <w:rPr>
          <w:rFonts w:hint="eastAsia" w:ascii="宋体" w:hAnsi="宋体" w:cs="宋体"/>
          <w:b/>
          <w:i w:val="0"/>
          <w:iCs w:val="0"/>
          <w:color w:val="auto"/>
          <w:sz w:val="24"/>
          <w:highlight w:val="none"/>
        </w:rPr>
        <w:t>后不以分包方式履行合同的，则不需要提供。</w:t>
      </w:r>
      <w:r>
        <w:rPr>
          <w:rFonts w:hint="eastAsia" w:ascii="宋体" w:hAnsi="宋体" w:cs="宋体"/>
          <w:i w:val="0"/>
          <w:iCs w:val="0"/>
          <w:color w:val="auto"/>
          <w:sz w:val="24"/>
          <w:highlight w:val="none"/>
        </w:rPr>
        <w:t>）</w:t>
      </w:r>
    </w:p>
    <w:p w14:paraId="5791A45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若成为</w:t>
      </w:r>
      <w:r>
        <w:rPr>
          <w:rFonts w:hint="eastAsia" w:ascii="宋体" w:hAnsi="宋体" w:cs="宋体"/>
          <w:i w:val="0"/>
          <w:iCs w:val="0"/>
          <w:color w:val="auto"/>
          <w:sz w:val="24"/>
          <w:highlight w:val="none"/>
          <w:u w:val="single"/>
        </w:rPr>
        <w:t>（项目名称）</w:t>
      </w:r>
      <w:r>
        <w:rPr>
          <w:rFonts w:hint="eastAsia" w:cs="宋体"/>
          <w:i w:val="0"/>
          <w:iCs w:val="0"/>
          <w:color w:val="auto"/>
          <w:sz w:val="24"/>
          <w:highlight w:val="none"/>
          <w:u w:val="single"/>
          <w:lang w:val="en-US" w:eastAsia="zh-CN"/>
        </w:rPr>
        <w:t xml:space="preserve"> </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项目</w:t>
      </w:r>
      <w:r>
        <w:rPr>
          <w:rFonts w:hint="eastAsia" w:ascii="宋体" w:hAnsi="宋体" w:cs="宋体"/>
          <w:i w:val="0"/>
          <w:iCs w:val="0"/>
          <w:color w:val="auto"/>
          <w:sz w:val="24"/>
          <w:highlight w:val="none"/>
        </w:rPr>
        <w:t>编号</w:t>
      </w:r>
      <w:r>
        <w:rPr>
          <w:rFonts w:hint="eastAsia" w:cs="宋体"/>
          <w:i w:val="0"/>
          <w:iCs w:val="0"/>
          <w:color w:val="auto"/>
          <w:sz w:val="24"/>
          <w:highlight w:val="none"/>
          <w:lang w:val="en-US" w:eastAsia="zh-CN"/>
        </w:rPr>
        <w:t>/包号</w:t>
      </w:r>
      <w:r>
        <w:rPr>
          <w:rFonts w:hint="eastAsia" w:ascii="宋体" w:hAnsi="宋体" w:cs="宋体"/>
          <w:i w:val="0"/>
          <w:iCs w:val="0"/>
          <w:color w:val="auto"/>
          <w:sz w:val="24"/>
          <w:highlight w:val="none"/>
        </w:rPr>
        <w:t>：</w:t>
      </w:r>
      <w:r>
        <w:rPr>
          <w:rFonts w:hint="eastAsia" w:cs="宋体"/>
          <w:i w:val="0"/>
          <w:iCs w:val="0"/>
          <w:color w:val="auto"/>
          <w:sz w:val="24"/>
          <w:highlight w:val="none"/>
          <w:lang w:val="en-US" w:eastAsia="zh-CN"/>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的</w:t>
      </w:r>
      <w:r>
        <w:rPr>
          <w:rFonts w:hint="eastAsia" w:cs="宋体"/>
          <w:i w:val="0"/>
          <w:iCs w:val="0"/>
          <w:color w:val="auto"/>
          <w:kern w:val="0"/>
          <w:sz w:val="24"/>
          <w:highlight w:val="none"/>
          <w:lang w:val="en-US" w:eastAsia="zh-CN"/>
        </w:rPr>
        <w:t>成交</w:t>
      </w:r>
      <w:r>
        <w:rPr>
          <w:rFonts w:hint="eastAsia" w:ascii="宋体" w:hAnsi="宋体" w:cs="宋体"/>
          <w:i w:val="0"/>
          <w:iCs w:val="0"/>
          <w:color w:val="auto"/>
          <w:kern w:val="0"/>
          <w:sz w:val="24"/>
          <w:highlight w:val="none"/>
          <w:lang w:val="zh-CN"/>
        </w:rPr>
        <w:t>供应商，将依法采取分包方式履行合同。</w:t>
      </w: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rPr>
        <w:t>与</w:t>
      </w:r>
      <w:r>
        <w:rPr>
          <w:rFonts w:hint="eastAsia" w:ascii="宋体" w:hAnsi="宋体" w:cs="宋体"/>
          <w:i w:val="0"/>
          <w:iCs w:val="0"/>
          <w:color w:val="auto"/>
          <w:kern w:val="0"/>
          <w:sz w:val="24"/>
          <w:highlight w:val="none"/>
          <w:u w:val="single"/>
        </w:rPr>
        <w:t>（所有分包供应商名称）</w:t>
      </w:r>
      <w:r>
        <w:rPr>
          <w:rFonts w:hint="eastAsia" w:ascii="宋体" w:hAnsi="宋体" w:cs="宋体"/>
          <w:i w:val="0"/>
          <w:iCs w:val="0"/>
          <w:color w:val="auto"/>
          <w:kern w:val="0"/>
          <w:sz w:val="24"/>
          <w:highlight w:val="none"/>
        </w:rPr>
        <w:t>达成分包意向协议</w:t>
      </w:r>
      <w:r>
        <w:rPr>
          <w:rFonts w:hint="eastAsia" w:cs="宋体"/>
          <w:i w:val="0"/>
          <w:iCs w:val="0"/>
          <w:color w:val="auto"/>
          <w:kern w:val="0"/>
          <w:sz w:val="24"/>
          <w:highlight w:val="none"/>
          <w:lang w:val="en-US" w:eastAsia="zh-CN"/>
        </w:rPr>
        <w:t>书</w:t>
      </w:r>
      <w:r>
        <w:rPr>
          <w:rFonts w:hint="eastAsia" w:ascii="宋体" w:hAnsi="宋体" w:cs="宋体"/>
          <w:i w:val="0"/>
          <w:iCs w:val="0"/>
          <w:color w:val="auto"/>
          <w:kern w:val="0"/>
          <w:sz w:val="24"/>
          <w:highlight w:val="none"/>
          <w:lang w:val="zh-CN"/>
        </w:rPr>
        <w:t xml:space="preserve">。 </w:t>
      </w:r>
    </w:p>
    <w:p w14:paraId="545E9079">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一、分包标的及数量</w:t>
      </w:r>
    </w:p>
    <w:p w14:paraId="5E087378">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u w:val="single"/>
        </w:rPr>
        <w:t>（</w:t>
      </w:r>
      <w:r>
        <w:rPr>
          <w:rFonts w:hint="eastAsia" w:cs="宋体"/>
          <w:i w:val="0"/>
          <w:iCs w:val="0"/>
          <w:color w:val="auto"/>
          <w:kern w:val="0"/>
          <w:sz w:val="24"/>
          <w:highlight w:val="none"/>
          <w:u w:val="single"/>
          <w:lang w:val="en-US" w:eastAsia="zh-CN"/>
        </w:rPr>
        <w:t>供应商</w:t>
      </w:r>
      <w:r>
        <w:rPr>
          <w:rFonts w:hint="eastAsia" w:ascii="宋体" w:hAnsi="宋体" w:cs="宋体"/>
          <w:i w:val="0"/>
          <w:iCs w:val="0"/>
          <w:color w:val="auto"/>
          <w:kern w:val="0"/>
          <w:sz w:val="24"/>
          <w:highlight w:val="none"/>
          <w:u w:val="single"/>
        </w:rPr>
        <w:t>名称）</w:t>
      </w:r>
      <w:r>
        <w:rPr>
          <w:rFonts w:hint="eastAsia" w:ascii="宋体" w:hAnsi="宋体" w:cs="宋体"/>
          <w:i w:val="0"/>
          <w:iCs w:val="0"/>
          <w:color w:val="auto"/>
          <w:kern w:val="0"/>
          <w:sz w:val="24"/>
          <w:highlight w:val="none"/>
          <w:lang w:val="zh-CN"/>
        </w:rPr>
        <w:t>将</w:t>
      </w:r>
      <w:r>
        <w:rPr>
          <w:rFonts w:hint="eastAsia" w:ascii="宋体" w:hAnsi="宋体" w:cs="宋体"/>
          <w:i w:val="0"/>
          <w:iCs w:val="0"/>
          <w:color w:val="auto"/>
          <w:highlight w:val="none"/>
          <w:u w:val="single"/>
        </w:rPr>
        <w:t xml:space="preserve"> </w:t>
      </w:r>
      <w:r>
        <w:rPr>
          <w:rFonts w:ascii="宋体" w:hAnsi="宋体" w:cs="宋体"/>
          <w:i w:val="0"/>
          <w:iCs w:val="0"/>
          <w:color w:val="auto"/>
          <w:kern w:val="0"/>
          <w:sz w:val="24"/>
          <w:highlight w:val="none"/>
          <w:u w:val="single"/>
        </w:rPr>
        <w:t xml:space="preserve">  XX工作内容   </w:t>
      </w:r>
      <w:r>
        <w:rPr>
          <w:rFonts w:hint="eastAsia" w:ascii="宋体" w:hAnsi="宋体" w:cs="宋体"/>
          <w:i w:val="0"/>
          <w:iCs w:val="0"/>
          <w:color w:val="auto"/>
          <w:sz w:val="24"/>
          <w:highlight w:val="none"/>
        </w:rPr>
        <w:t>分包给</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w:t>
      </w:r>
      <w:r>
        <w:rPr>
          <w:rFonts w:hint="eastAsia" w:ascii="宋体" w:hAnsi="宋体" w:cs="宋体"/>
          <w:i w:val="0"/>
          <w:iCs w:val="0"/>
          <w:color w:val="auto"/>
          <w:kern w:val="0"/>
          <w:sz w:val="24"/>
          <w:highlight w:val="none"/>
          <w:u w:val="single"/>
        </w:rPr>
        <w:t>（分包供应商1名称），</w:t>
      </w:r>
      <w:r>
        <w:rPr>
          <w:rFonts w:hint="eastAsia" w:ascii="宋体" w:hAnsi="宋体" w:cs="宋体"/>
          <w:i w:val="0"/>
          <w:iCs w:val="0"/>
          <w:color w:val="auto"/>
          <w:kern w:val="0"/>
          <w:sz w:val="24"/>
          <w:highlight w:val="none"/>
          <w:lang w:val="zh-CN"/>
        </w:rPr>
        <w:t>具备承</w:t>
      </w:r>
      <w:r>
        <w:rPr>
          <w:rFonts w:hint="eastAsia" w:ascii="宋体" w:hAnsi="宋体" w:cs="宋体"/>
          <w:i w:val="0"/>
          <w:iCs w:val="0"/>
          <w:color w:val="auto"/>
          <w:kern w:val="0"/>
          <w:sz w:val="24"/>
          <w:highlight w:val="none"/>
        </w:rPr>
        <w:t>担</w:t>
      </w:r>
      <w:r>
        <w:rPr>
          <w:rFonts w:hint="eastAsia" w:ascii="宋体" w:hAnsi="宋体" w:cs="宋体"/>
          <w:i w:val="0"/>
          <w:iCs w:val="0"/>
          <w:color w:val="auto"/>
          <w:kern w:val="0"/>
          <w:sz w:val="24"/>
          <w:highlight w:val="none"/>
          <w:u w:val="single"/>
          <w:lang w:val="zh-CN"/>
        </w:rPr>
        <w:t>XX工作内容</w:t>
      </w:r>
      <w:r>
        <w:rPr>
          <w:rFonts w:hint="eastAsia" w:ascii="宋体" w:hAnsi="宋体" w:cs="宋体"/>
          <w:i w:val="0"/>
          <w:iCs w:val="0"/>
          <w:color w:val="auto"/>
          <w:kern w:val="0"/>
          <w:sz w:val="24"/>
          <w:highlight w:val="none"/>
          <w:lang w:val="zh-CN"/>
        </w:rPr>
        <w:t>相应资质条件且不得再次分包；</w:t>
      </w:r>
    </w:p>
    <w:p w14:paraId="37B916C5">
      <w:pPr>
        <w:pStyle w:val="6"/>
        <w:tabs>
          <w:tab w:val="left" w:pos="432"/>
        </w:tabs>
        <w:ind w:left="758" w:leftChars="316" w:firstLine="229" w:firstLineChars="95"/>
        <w:rPr>
          <w:rFonts w:ascii="宋体" w:hAnsi="宋体" w:eastAsia="宋体" w:cs="宋体"/>
          <w:i w:val="0"/>
          <w:iCs w:val="0"/>
          <w:color w:val="auto"/>
          <w:kern w:val="0"/>
          <w:sz w:val="24"/>
          <w:szCs w:val="24"/>
          <w:highlight w:val="none"/>
        </w:rPr>
      </w:pPr>
      <w:bookmarkStart w:id="659" w:name="_Toc2819"/>
      <w:bookmarkStart w:id="660" w:name="_Toc4735"/>
      <w:r>
        <w:rPr>
          <w:rFonts w:hint="eastAsia" w:ascii="宋体" w:hAnsi="宋体" w:eastAsia="宋体" w:cs="宋体"/>
          <w:i w:val="0"/>
          <w:iCs w:val="0"/>
          <w:color w:val="auto"/>
          <w:kern w:val="0"/>
          <w:sz w:val="24"/>
          <w:szCs w:val="24"/>
          <w:highlight w:val="none"/>
        </w:rPr>
        <w:t>……</w:t>
      </w:r>
      <w:bookmarkEnd w:id="659"/>
      <w:bookmarkEnd w:id="660"/>
    </w:p>
    <w:p w14:paraId="04268894">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二、分包供应商中小企业合同份额</w:t>
      </w:r>
    </w:p>
    <w:p w14:paraId="188898B5">
      <w:pPr>
        <w:snapToGrid w:val="0"/>
        <w:spacing w:line="360" w:lineRule="auto"/>
        <w:ind w:firstLine="576"/>
        <w:rPr>
          <w:rFonts w:ascii="宋体" w:hAnsi="宋体" w:cs="宋体"/>
          <w:b/>
          <w:i w:val="0"/>
          <w:iCs w:val="0"/>
          <w:color w:val="auto"/>
          <w:kern w:val="0"/>
          <w:sz w:val="24"/>
          <w:highlight w:val="none"/>
          <w:lang w:val="zh-CN"/>
        </w:rPr>
      </w:pPr>
      <w:r>
        <w:rPr>
          <w:rFonts w:ascii="宋体" w:hAnsi="宋体" w:cs="宋体"/>
          <w:i w:val="0"/>
          <w:iCs w:val="0"/>
          <w:color w:val="auto"/>
          <w:kern w:val="0"/>
          <w:sz w:val="24"/>
          <w:highlight w:val="none"/>
        </w:rPr>
        <w:t>1、</w:t>
      </w:r>
      <w:r>
        <w:rPr>
          <w:rFonts w:hint="eastAsia" w:ascii="宋体" w:hAnsi="宋体" w:cs="宋体"/>
          <w:i w:val="0"/>
          <w:iCs w:val="0"/>
          <w:color w:val="auto"/>
          <w:kern w:val="0"/>
          <w:sz w:val="24"/>
          <w:highlight w:val="none"/>
          <w:u w:val="single"/>
        </w:rPr>
        <w:t>（分包供应商X</w:t>
      </w:r>
      <w:r>
        <w:rPr>
          <w:rFonts w:ascii="宋体" w:hAnsi="宋体" w:cs="宋体"/>
          <w:i w:val="0"/>
          <w:iCs w:val="0"/>
          <w:color w:val="auto"/>
          <w:kern w:val="0"/>
          <w:sz w:val="24"/>
          <w:highlight w:val="none"/>
          <w:u w:val="single"/>
        </w:rPr>
        <w:t>,</w:t>
      </w:r>
      <w:r>
        <w:rPr>
          <w:rFonts w:hint="eastAsia" w:ascii="宋体" w:hAnsi="宋体" w:cs="宋体"/>
          <w:i w:val="0"/>
          <w:iCs w:val="0"/>
          <w:color w:val="auto"/>
          <w:kern w:val="0"/>
          <w:sz w:val="24"/>
          <w:highlight w:val="none"/>
          <w:u w:val="single"/>
        </w:rPr>
        <w:t>……）提供的</w:t>
      </w:r>
      <w:r>
        <w:rPr>
          <w:rFonts w:hint="eastAsia" w:cs="宋体"/>
          <w:i w:val="0"/>
          <w:iCs w:val="0"/>
          <w:color w:val="auto"/>
          <w:kern w:val="0"/>
          <w:sz w:val="24"/>
          <w:highlight w:val="none"/>
          <w:u w:val="single"/>
          <w:lang w:val="en-US" w:eastAsia="zh-CN"/>
        </w:rPr>
        <w:t>服务</w:t>
      </w:r>
      <w:r>
        <w:rPr>
          <w:rFonts w:hint="eastAsia" w:ascii="宋体" w:hAnsi="宋体" w:cs="宋体"/>
          <w:i w:val="0"/>
          <w:iCs w:val="0"/>
          <w:color w:val="auto"/>
          <w:kern w:val="0"/>
          <w:sz w:val="24"/>
          <w:highlight w:val="none"/>
          <w:u w:val="single"/>
        </w:rPr>
        <w:t>全部由小微企业制造，</w:t>
      </w:r>
      <w:r>
        <w:rPr>
          <w:rFonts w:hint="eastAsia" w:ascii="宋体" w:hAnsi="宋体" w:cs="宋体"/>
          <w:i w:val="0"/>
          <w:iCs w:val="0"/>
          <w:color w:val="auto"/>
          <w:kern w:val="0"/>
          <w:sz w:val="24"/>
          <w:highlight w:val="none"/>
        </w:rPr>
        <w:t>其合同份额占到合同总金额</w:t>
      </w:r>
      <w:r>
        <w:rPr>
          <w:rFonts w:hint="eastAsia" w:ascii="宋体" w:hAnsi="宋体" w:cs="宋体"/>
          <w:i w:val="0"/>
          <w:iCs w:val="0"/>
          <w:color w:val="auto"/>
          <w:kern w:val="0"/>
          <w:sz w:val="24"/>
          <w:highlight w:val="none"/>
          <w:u w:val="single"/>
        </w:rPr>
        <w:t xml:space="preserve">     </w:t>
      </w:r>
      <w:r>
        <w:rPr>
          <w:rFonts w:hint="eastAsia" w:ascii="宋体" w:hAnsi="宋体" w:cs="宋体"/>
          <w:i w:val="0"/>
          <w:iCs w:val="0"/>
          <w:color w:val="auto"/>
          <w:kern w:val="0"/>
          <w:sz w:val="24"/>
          <w:highlight w:val="none"/>
        </w:rPr>
        <w:t>%以上</w:t>
      </w:r>
      <w:r>
        <w:rPr>
          <w:rFonts w:hint="eastAsia" w:ascii="宋体" w:hAnsi="宋体" w:cs="宋体"/>
          <w:i w:val="0"/>
          <w:iCs w:val="0"/>
          <w:color w:val="auto"/>
          <w:highlight w:val="none"/>
        </w:rPr>
        <w:t>。</w:t>
      </w:r>
      <w:r>
        <w:rPr>
          <w:rFonts w:hint="eastAsia" w:ascii="宋体" w:hAnsi="宋体" w:cs="宋体"/>
          <w:b/>
          <w:i w:val="0"/>
          <w:iCs w:val="0"/>
          <w:color w:val="auto"/>
          <w:kern w:val="0"/>
          <w:sz w:val="24"/>
          <w:highlight w:val="none"/>
          <w:lang w:val="zh-CN"/>
        </w:rPr>
        <w:t>（未预留份额专门面向中小企业采购的采购项目，以及预留份额中的非预留部分采购包，允许分包的，分包意向协议</w:t>
      </w:r>
      <w:r>
        <w:rPr>
          <w:rFonts w:hint="eastAsia" w:cs="宋体"/>
          <w:b/>
          <w:i w:val="0"/>
          <w:iCs w:val="0"/>
          <w:color w:val="auto"/>
          <w:kern w:val="0"/>
          <w:sz w:val="24"/>
          <w:highlight w:val="none"/>
          <w:lang w:val="en-US" w:eastAsia="zh-CN"/>
        </w:rPr>
        <w:t>书</w:t>
      </w:r>
      <w:r>
        <w:rPr>
          <w:rFonts w:hint="eastAsia" w:ascii="宋体" w:hAnsi="宋体" w:cs="宋体"/>
          <w:b/>
          <w:i w:val="0"/>
          <w:iCs w:val="0"/>
          <w:color w:val="auto"/>
          <w:kern w:val="0"/>
          <w:sz w:val="24"/>
          <w:highlight w:val="none"/>
          <w:lang w:val="zh-CN"/>
        </w:rPr>
        <w:t>约定小微企业的合同份额占到合同总金额30%以上的，对大中型企业的报价按评标标准确定的比例给予扣除。供应商</w:t>
      </w:r>
      <w:r>
        <w:rPr>
          <w:rFonts w:hint="eastAsia" w:ascii="宋体" w:hAnsi="宋体" w:cs="宋体"/>
          <w:b/>
          <w:i w:val="0"/>
          <w:iCs w:val="0"/>
          <w:color w:val="auto"/>
          <w:sz w:val="24"/>
          <w:highlight w:val="none"/>
        </w:rPr>
        <w:t>拟享受以上价格扣除政策的，填写有关内容。</w:t>
      </w:r>
      <w:r>
        <w:rPr>
          <w:rFonts w:hint="eastAsia" w:ascii="宋体" w:hAnsi="宋体" w:cs="宋体"/>
          <w:b/>
          <w:i w:val="0"/>
          <w:iCs w:val="0"/>
          <w:color w:val="auto"/>
          <w:kern w:val="0"/>
          <w:sz w:val="24"/>
          <w:highlight w:val="none"/>
          <w:lang w:val="zh-CN"/>
        </w:rPr>
        <w:t>）</w:t>
      </w:r>
    </w:p>
    <w:p w14:paraId="145FF207">
      <w:pPr>
        <w:spacing w:line="360" w:lineRule="auto"/>
        <w:ind w:firstLine="480" w:firstLineChars="200"/>
        <w:rPr>
          <w:rFonts w:ascii="宋体" w:hAnsi="宋体" w:cs="宋体"/>
          <w:b/>
          <w:bCs/>
          <w:i w:val="0"/>
          <w:iCs w:val="0"/>
          <w:color w:val="auto"/>
          <w:kern w:val="0"/>
          <w:sz w:val="24"/>
          <w:highlight w:val="none"/>
          <w:lang w:val="zh-CN"/>
        </w:rPr>
      </w:pPr>
      <w:r>
        <w:rPr>
          <w:rFonts w:hint="eastAsia" w:ascii="宋体" w:hAnsi="宋体" w:cs="宋体"/>
          <w:i w:val="0"/>
          <w:iCs w:val="0"/>
          <w:color w:val="auto"/>
          <w:sz w:val="24"/>
          <w:highlight w:val="none"/>
        </w:rPr>
        <w:t>2、</w:t>
      </w:r>
      <w:bookmarkStart w:id="661" w:name="_Hlk101133173"/>
      <w:r>
        <w:rPr>
          <w:rFonts w:hint="eastAsia" w:ascii="宋体" w:hAnsi="宋体" w:cs="宋体"/>
          <w:i w:val="0"/>
          <w:iCs w:val="0"/>
          <w:color w:val="auto"/>
          <w:sz w:val="24"/>
          <w:highlight w:val="none"/>
        </w:rPr>
        <w:t>中小企业合同金额达到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%，其中小微企业合同金额达到</w:t>
      </w:r>
      <w:r>
        <w:rPr>
          <w:rFonts w:hint="eastAsia" w:ascii="宋体" w:hAnsi="宋体" w:cs="宋体"/>
          <w:i w:val="0"/>
          <w:iCs w:val="0"/>
          <w:color w:val="auto"/>
          <w:sz w:val="24"/>
          <w:highlight w:val="none"/>
          <w:u w:val="single"/>
        </w:rPr>
        <w:t xml:space="preserve"> </w:t>
      </w:r>
      <w:r>
        <w:rPr>
          <w:rFonts w:hint="eastAsia" w:ascii="宋体" w:hAnsi="宋体" w:cs="宋体"/>
          <w:i w:val="0"/>
          <w:iCs w:val="0"/>
          <w:color w:val="auto"/>
          <w:sz w:val="24"/>
          <w:highlight w:val="none"/>
        </w:rPr>
        <w:t>%</w:t>
      </w:r>
      <w:r>
        <w:rPr>
          <w:rFonts w:hint="eastAsia" w:ascii="宋体" w:hAnsi="宋体" w:cs="宋体"/>
          <w:i w:val="0"/>
          <w:iCs w:val="0"/>
          <w:color w:val="auto"/>
          <w:kern w:val="0"/>
          <w:sz w:val="24"/>
          <w:highlight w:val="none"/>
          <w:lang w:val="zh-CN"/>
        </w:rPr>
        <w:t>。</w:t>
      </w:r>
      <w:r>
        <w:rPr>
          <w:rFonts w:hint="eastAsia" w:ascii="宋体" w:hAnsi="宋体" w:cs="宋体"/>
          <w:b/>
          <w:bCs/>
          <w:i w:val="0"/>
          <w:iCs w:val="0"/>
          <w:color w:val="auto"/>
          <w:kern w:val="0"/>
          <w:sz w:val="24"/>
          <w:highlight w:val="none"/>
          <w:lang w:val="zh-CN"/>
        </w:rPr>
        <w:t>（</w:t>
      </w:r>
      <w:r>
        <w:rPr>
          <w:rFonts w:hint="eastAsia" w:ascii="宋体" w:hAnsi="宋体" w:cs="宋体"/>
          <w:b/>
          <w:bCs/>
          <w:i w:val="0"/>
          <w:iCs w:val="0"/>
          <w:color w:val="auto"/>
          <w:sz w:val="24"/>
          <w:highlight w:val="none"/>
        </w:rPr>
        <w:t>要求合同分包形式参加的项目或采购包，供应商按招标文件第一部分招标公告申请人的资格要求中规定的</w:t>
      </w:r>
      <w:r>
        <w:rPr>
          <w:rFonts w:hint="eastAsia" w:ascii="宋体" w:hAnsi="宋体" w:cs="宋体"/>
          <w:b/>
          <w:i w:val="0"/>
          <w:iCs w:val="0"/>
          <w:color w:val="auto"/>
          <w:kern w:val="0"/>
          <w:sz w:val="24"/>
          <w:highlight w:val="none"/>
          <w:lang w:val="zh-CN"/>
        </w:rPr>
        <w:t>分包意向协议</w:t>
      </w:r>
      <w:r>
        <w:rPr>
          <w:rFonts w:hint="eastAsia" w:cs="宋体"/>
          <w:b/>
          <w:i w:val="0"/>
          <w:iCs w:val="0"/>
          <w:color w:val="auto"/>
          <w:kern w:val="0"/>
          <w:sz w:val="24"/>
          <w:highlight w:val="none"/>
          <w:lang w:val="en-US" w:eastAsia="zh-CN"/>
        </w:rPr>
        <w:t>书</w:t>
      </w:r>
      <w:r>
        <w:rPr>
          <w:rFonts w:hint="eastAsia" w:ascii="宋体" w:hAnsi="宋体" w:cs="宋体"/>
          <w:b/>
          <w:bCs/>
          <w:i w:val="0"/>
          <w:iCs w:val="0"/>
          <w:color w:val="auto"/>
          <w:sz w:val="24"/>
          <w:highlight w:val="none"/>
        </w:rPr>
        <w:t>中中小企业、小微企业合同金额应当达到的比例要求填写。</w:t>
      </w:r>
      <w:r>
        <w:rPr>
          <w:rFonts w:hint="eastAsia" w:ascii="宋体" w:hAnsi="宋体" w:cs="宋体"/>
          <w:b/>
          <w:bCs/>
          <w:i w:val="0"/>
          <w:iCs w:val="0"/>
          <w:color w:val="auto"/>
          <w:kern w:val="0"/>
          <w:sz w:val="24"/>
          <w:highlight w:val="none"/>
          <w:lang w:val="zh-CN"/>
        </w:rPr>
        <w:t>）</w:t>
      </w:r>
      <w:bookmarkEnd w:id="661"/>
    </w:p>
    <w:p w14:paraId="51C56E7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三、分包工作履行期限、地点、方式</w:t>
      </w:r>
    </w:p>
    <w:p w14:paraId="7F26E4A3">
      <w:pPr>
        <w:snapToGrid w:val="0"/>
        <w:spacing w:line="360" w:lineRule="auto"/>
        <w:ind w:firstLine="576"/>
        <w:rPr>
          <w:rFonts w:ascii="宋体" w:hAnsi="宋体" w:cs="宋体"/>
          <w:i w:val="0"/>
          <w:iCs w:val="0"/>
          <w:color w:val="auto"/>
          <w:highlight w:val="none"/>
          <w:u w:val="single"/>
        </w:rPr>
      </w:pPr>
      <w:r>
        <w:rPr>
          <w:rFonts w:hint="eastAsia" w:ascii="宋体" w:hAnsi="宋体" w:cs="宋体"/>
          <w:i w:val="0"/>
          <w:iCs w:val="0"/>
          <w:color w:val="auto"/>
          <w:highlight w:val="none"/>
          <w:u w:val="single"/>
        </w:rPr>
        <w:t xml:space="preserve">                                                                                  </w:t>
      </w:r>
    </w:p>
    <w:p w14:paraId="7925029E">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四、质量</w:t>
      </w:r>
    </w:p>
    <w:p w14:paraId="7369B1B5">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E7AB092">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五、价款或者报酬</w:t>
      </w:r>
    </w:p>
    <w:p w14:paraId="632B92C8">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0C79FAF7">
      <w:pPr>
        <w:snapToGrid w:val="0"/>
        <w:spacing w:line="360" w:lineRule="auto"/>
        <w:ind w:left="655" w:leftChars="273"/>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六、违约责任</w:t>
      </w:r>
    </w:p>
    <w:p w14:paraId="17F77B90">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2CBB9BB">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七、争议解决的办法</w:t>
      </w:r>
    </w:p>
    <w:p w14:paraId="5D83C451">
      <w:pPr>
        <w:snapToGrid w:val="0"/>
        <w:spacing w:line="360" w:lineRule="auto"/>
        <w:ind w:firstLine="576"/>
        <w:rPr>
          <w:rFonts w:ascii="宋体" w:hAnsi="宋体" w:cs="宋体"/>
          <w:i w:val="0"/>
          <w:iCs w:val="0"/>
          <w:color w:val="auto"/>
          <w:kern w:val="0"/>
          <w:sz w:val="24"/>
          <w:highlight w:val="none"/>
          <w:lang w:val="zh-CN"/>
        </w:rPr>
      </w:pPr>
      <w:r>
        <w:rPr>
          <w:rFonts w:hint="eastAsia" w:ascii="宋体" w:hAnsi="宋体" w:cs="宋体"/>
          <w:i w:val="0"/>
          <w:iCs w:val="0"/>
          <w:color w:val="auto"/>
          <w:highlight w:val="none"/>
          <w:u w:val="single"/>
        </w:rPr>
        <w:t xml:space="preserve">                                                                                  </w:t>
      </w:r>
    </w:p>
    <w:p w14:paraId="2A9066DF">
      <w:pPr>
        <w:snapToGrid w:val="0"/>
        <w:spacing w:line="360" w:lineRule="auto"/>
        <w:ind w:left="5861" w:leftChars="342" w:hanging="5040" w:hangingChars="2100"/>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w:t>
      </w:r>
      <w:r>
        <w:rPr>
          <w:rFonts w:hint="eastAsia" w:cs="宋体"/>
          <w:i w:val="0"/>
          <w:iCs w:val="0"/>
          <w:color w:val="auto"/>
          <w:kern w:val="0"/>
          <w:sz w:val="24"/>
          <w:highlight w:val="none"/>
          <w:lang w:val="en-US" w:eastAsia="zh-CN"/>
        </w:rPr>
        <w:t>供应商</w:t>
      </w:r>
      <w:r>
        <w:rPr>
          <w:rFonts w:hint="eastAsia" w:ascii="宋体" w:hAnsi="宋体" w:cs="宋体"/>
          <w:i w:val="0"/>
          <w:iCs w:val="0"/>
          <w:color w:val="auto"/>
          <w:kern w:val="0"/>
          <w:sz w:val="24"/>
          <w:highlight w:val="none"/>
          <w:lang w:val="zh-CN"/>
        </w:rPr>
        <w:t>名称(</w:t>
      </w:r>
      <w:r>
        <w:rPr>
          <w:rFonts w:hint="eastAsia" w:cs="宋体"/>
          <w:i w:val="0"/>
          <w:iCs w:val="0"/>
          <w:color w:val="auto"/>
          <w:kern w:val="0"/>
          <w:sz w:val="24"/>
          <w:highlight w:val="none"/>
          <w:lang w:val="zh-CN"/>
        </w:rPr>
        <w:t>公章</w:t>
      </w:r>
      <w:r>
        <w:rPr>
          <w:rFonts w:hint="eastAsia" w:ascii="宋体" w:hAnsi="宋体" w:cs="宋体"/>
          <w:i w:val="0"/>
          <w:iCs w:val="0"/>
          <w:color w:val="auto"/>
          <w:kern w:val="0"/>
          <w:sz w:val="24"/>
          <w:highlight w:val="none"/>
          <w:lang w:val="zh-CN"/>
        </w:rPr>
        <w:t>)：</w:t>
      </w:r>
    </w:p>
    <w:p w14:paraId="665C464B">
      <w:pPr>
        <w:snapToGrid w:val="0"/>
        <w:spacing w:line="360" w:lineRule="auto"/>
        <w:jc w:val="right"/>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分包供应商名称(公章)：</w:t>
      </w:r>
    </w:p>
    <w:p w14:paraId="102F6BD9">
      <w:pPr>
        <w:snapToGrid w:val="0"/>
        <w:spacing w:line="360" w:lineRule="auto"/>
        <w:ind w:firstLine="5760" w:firstLineChars="2400"/>
        <w:rPr>
          <w:rFonts w:ascii="宋体" w:hAnsi="宋体" w:cs="宋体"/>
          <w:i w:val="0"/>
          <w:iCs w:val="0"/>
          <w:color w:val="auto"/>
          <w:highlight w:val="none"/>
        </w:rPr>
      </w:pPr>
      <w:r>
        <w:rPr>
          <w:rFonts w:hint="eastAsia" w:ascii="宋体" w:hAnsi="宋体" w:cs="宋体"/>
          <w:i w:val="0"/>
          <w:iCs w:val="0"/>
          <w:color w:val="auto"/>
          <w:kern w:val="0"/>
          <w:sz w:val="24"/>
          <w:highlight w:val="none"/>
          <w:lang w:val="zh-CN"/>
        </w:rPr>
        <w:t>……</w:t>
      </w:r>
    </w:p>
    <w:p w14:paraId="22C38D7A">
      <w:pPr>
        <w:spacing w:line="360" w:lineRule="auto"/>
        <w:jc w:val="center"/>
        <w:rPr>
          <w:rFonts w:ascii="宋体" w:hAnsi="宋体" w:cs="宋体"/>
          <w:i w:val="0"/>
          <w:iCs w:val="0"/>
          <w:color w:val="auto"/>
          <w:kern w:val="0"/>
          <w:sz w:val="24"/>
          <w:highlight w:val="none"/>
          <w:lang w:val="zh-CN"/>
        </w:rPr>
      </w:pPr>
      <w:r>
        <w:rPr>
          <w:rFonts w:hint="eastAsia" w:ascii="宋体" w:hAnsi="宋体" w:cs="宋体"/>
          <w:i w:val="0"/>
          <w:iCs w:val="0"/>
          <w:color w:val="auto"/>
          <w:kern w:val="0"/>
          <w:sz w:val="24"/>
          <w:highlight w:val="none"/>
          <w:lang w:val="zh-CN"/>
        </w:rPr>
        <w:t xml:space="preserve">                                        日期：  年  月   日</w:t>
      </w:r>
    </w:p>
    <w:p w14:paraId="49A2F910">
      <w:pPr>
        <w:spacing w:line="360" w:lineRule="auto"/>
        <w:ind w:right="420"/>
        <w:rPr>
          <w:rFonts w:ascii="宋体" w:hAnsi="宋体" w:cs="宋体"/>
          <w:i w:val="0"/>
          <w:iCs w:val="0"/>
          <w:color w:val="auto"/>
          <w:sz w:val="24"/>
          <w:highlight w:val="none"/>
        </w:rPr>
      </w:pPr>
      <w:r>
        <w:rPr>
          <w:rFonts w:hint="eastAsia" w:ascii="宋体" w:hAnsi="宋体" w:cs="宋体"/>
          <w:i w:val="0"/>
          <w:iCs w:val="0"/>
          <w:color w:val="auto"/>
          <w:sz w:val="21"/>
          <w:szCs w:val="21"/>
          <w:highlight w:val="none"/>
        </w:rPr>
        <w:t>注：按本格式和要求提供。</w:t>
      </w:r>
    </w:p>
    <w:p w14:paraId="7F0D76CC">
      <w:pPr>
        <w:topLinePunct/>
        <w:ind w:firstLine="480" w:firstLineChars="200"/>
        <w:rPr>
          <w:rFonts w:hint="eastAsia"/>
          <w:i w:val="0"/>
          <w:iCs w:val="0"/>
          <w:color w:val="auto"/>
          <w:szCs w:val="32"/>
          <w:highlight w:val="none"/>
        </w:rPr>
      </w:pPr>
    </w:p>
    <w:p w14:paraId="5F400CB9">
      <w:pPr>
        <w:topLinePunct/>
        <w:ind w:firstLine="480" w:firstLineChars="200"/>
        <w:rPr>
          <w:rFonts w:hint="eastAsia"/>
          <w:i w:val="0"/>
          <w:iCs w:val="0"/>
          <w:color w:val="auto"/>
          <w:szCs w:val="32"/>
          <w:highlight w:val="none"/>
        </w:rPr>
      </w:pPr>
    </w:p>
    <w:p w14:paraId="11CAF290">
      <w:pPr>
        <w:topLinePunct/>
        <w:ind w:firstLine="480" w:firstLineChars="200"/>
        <w:rPr>
          <w:rFonts w:hint="eastAsia"/>
          <w:i w:val="0"/>
          <w:iCs w:val="0"/>
          <w:color w:val="auto"/>
          <w:szCs w:val="32"/>
          <w:highlight w:val="none"/>
        </w:rPr>
      </w:pPr>
    </w:p>
    <w:p w14:paraId="35CFE103">
      <w:pPr>
        <w:topLinePunct/>
        <w:ind w:firstLine="480" w:firstLineChars="200"/>
        <w:rPr>
          <w:rFonts w:hint="eastAsia"/>
          <w:i w:val="0"/>
          <w:iCs w:val="0"/>
          <w:color w:val="auto"/>
          <w:szCs w:val="32"/>
          <w:highlight w:val="none"/>
        </w:rPr>
      </w:pPr>
    </w:p>
    <w:bookmarkEnd w:id="656"/>
    <w:p w14:paraId="5775F461">
      <w:pPr>
        <w:ind w:left="2520" w:leftChars="1050"/>
        <w:rPr>
          <w:i w:val="0"/>
          <w:iCs w:val="0"/>
          <w:color w:val="auto"/>
          <w:highlight w:val="none"/>
        </w:rPr>
      </w:pPr>
      <w:r>
        <w:rPr>
          <w:rFonts w:cs="Courier New"/>
          <w:i w:val="0"/>
          <w:iCs w:val="0"/>
          <w:color w:val="auto"/>
          <w:szCs w:val="24"/>
          <w:highlight w:val="none"/>
        </w:rPr>
        <w:br w:type="page"/>
      </w:r>
    </w:p>
    <w:p w14:paraId="27442EEC">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662" w:name="_Toc163492926"/>
      <w:bookmarkStart w:id="663" w:name="_Toc155185932"/>
      <w:bookmarkStart w:id="664" w:name="_Toc4839"/>
      <w:r>
        <w:rPr>
          <w:rFonts w:hint="eastAsia" w:cs="宋体"/>
          <w:b/>
          <w:bCs/>
          <w:i w:val="0"/>
          <w:iCs w:val="0"/>
          <w:color w:val="auto"/>
          <w:kern w:val="2"/>
          <w:sz w:val="28"/>
          <w:szCs w:val="28"/>
          <w:highlight w:val="none"/>
          <w:lang w:val="en-US" w:eastAsia="zh-CN" w:bidi="ar-SA"/>
        </w:rPr>
        <w:t>四</w:t>
      </w:r>
      <w:r>
        <w:rPr>
          <w:rFonts w:hint="eastAsia" w:ascii="等线 Light" w:hAnsi="等线 Light" w:eastAsia="宋体" w:cs="宋体"/>
          <w:b/>
          <w:bCs/>
          <w:i w:val="0"/>
          <w:iCs w:val="0"/>
          <w:color w:val="auto"/>
          <w:kern w:val="2"/>
          <w:sz w:val="28"/>
          <w:szCs w:val="28"/>
          <w:highlight w:val="none"/>
          <w:lang w:val="en-US" w:eastAsia="zh-CN" w:bidi="ar-SA"/>
        </w:rPr>
        <w:t>、</w:t>
      </w:r>
      <w:bookmarkEnd w:id="662"/>
      <w:bookmarkEnd w:id="663"/>
      <w:r>
        <w:rPr>
          <w:rFonts w:hint="eastAsia" w:ascii="等线 Light" w:hAnsi="等线 Light" w:eastAsia="宋体" w:cs="宋体"/>
          <w:b/>
          <w:bCs/>
          <w:i w:val="0"/>
          <w:iCs w:val="0"/>
          <w:color w:val="auto"/>
          <w:kern w:val="2"/>
          <w:sz w:val="28"/>
          <w:szCs w:val="28"/>
          <w:highlight w:val="none"/>
          <w:lang w:val="en-US" w:eastAsia="zh-CN" w:bidi="ar-SA"/>
        </w:rPr>
        <w:t>落实政府采购政策相关证明文件</w:t>
      </w:r>
      <w:bookmarkEnd w:id="664"/>
    </w:p>
    <w:p w14:paraId="0BDCE4AB">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65" w:name="_Toc163492938"/>
      <w:r>
        <w:rPr>
          <w:rFonts w:hint="eastAsia" w:ascii="宋体" w:hAnsi="宋体" w:eastAsia="宋体" w:cs="宋体"/>
          <w:b/>
          <w:bCs/>
          <w:i w:val="0"/>
          <w:iCs w:val="0"/>
          <w:color w:val="auto"/>
          <w:kern w:val="2"/>
          <w:sz w:val="24"/>
          <w:szCs w:val="24"/>
          <w:highlight w:val="none"/>
          <w:lang w:val="en-US" w:eastAsia="zh-CN" w:bidi="ar-SA"/>
        </w:rPr>
        <w:t>（一）节能环保产品清单及证明材料</w:t>
      </w:r>
      <w:r>
        <w:rPr>
          <w:rFonts w:hint="eastAsia" w:ascii="宋体" w:hAnsi="宋体" w:eastAsia="宋体" w:cs="宋体"/>
          <w:b w:val="0"/>
          <w:bCs w:val="0"/>
          <w:i w:val="0"/>
          <w:iCs w:val="0"/>
          <w:color w:val="auto"/>
          <w:kern w:val="2"/>
          <w:sz w:val="24"/>
          <w:szCs w:val="24"/>
          <w:highlight w:val="none"/>
          <w:lang w:val="en-US" w:eastAsia="zh-CN" w:bidi="ar-SA"/>
        </w:rPr>
        <w:t>【如适用】</w:t>
      </w:r>
      <w:bookmarkEnd w:id="665"/>
    </w:p>
    <w:p w14:paraId="738C7A23">
      <w:pPr>
        <w:spacing w:line="300" w:lineRule="auto"/>
        <w:rPr>
          <w:rFonts w:hint="eastAsia" w:ascii="宋体" w:hAnsi="宋体" w:eastAsia="宋体" w:cs="宋体"/>
          <w:i w:val="0"/>
          <w:iCs w:val="0"/>
          <w:color w:val="auto"/>
          <w:sz w:val="24"/>
          <w:szCs w:val="24"/>
          <w:highlight w:val="none"/>
          <w:u w:val="single"/>
        </w:rPr>
      </w:pPr>
      <w:r>
        <w:rPr>
          <w:rFonts w:hint="eastAsia" w:ascii="宋体" w:hAnsi="宋体" w:eastAsia="宋体" w:cs="宋体"/>
          <w:i w:val="0"/>
          <w:iCs w:val="0"/>
          <w:color w:val="auto"/>
          <w:sz w:val="24"/>
          <w:szCs w:val="24"/>
          <w:highlight w:val="none"/>
        </w:rPr>
        <w:t>项目名称：</w:t>
      </w:r>
      <w:r>
        <w:rPr>
          <w:rFonts w:hint="eastAsia" w:ascii="宋体" w:hAnsi="宋体" w:eastAsia="宋体" w:cs="宋体"/>
          <w:i w:val="0"/>
          <w:iCs w:val="0"/>
          <w:color w:val="auto"/>
          <w:sz w:val="24"/>
          <w:szCs w:val="24"/>
          <w:highlight w:val="none"/>
          <w:lang w:val="en-US" w:eastAsia="zh-CN"/>
        </w:rPr>
        <w:t xml:space="preserve">             </w:t>
      </w:r>
      <w:r>
        <w:rPr>
          <w:rFonts w:hint="eastAsia" w:ascii="宋体" w:hAnsi="宋体" w:eastAsia="宋体" w:cs="宋体"/>
          <w:i w:val="0"/>
          <w:iCs w:val="0"/>
          <w:color w:val="auto"/>
          <w:sz w:val="24"/>
          <w:szCs w:val="24"/>
          <w:highlight w:val="none"/>
        </w:rPr>
        <w:t>项目编号</w:t>
      </w:r>
      <w:r>
        <w:rPr>
          <w:rFonts w:hint="eastAsia" w:ascii="宋体" w:hAnsi="宋体" w:eastAsia="宋体" w:cs="宋体"/>
          <w:i w:val="0"/>
          <w:iCs w:val="0"/>
          <w:color w:val="auto"/>
          <w:sz w:val="24"/>
          <w:szCs w:val="24"/>
          <w:highlight w:val="none"/>
          <w:lang w:val="en-US" w:eastAsia="zh-CN"/>
        </w:rPr>
        <w:t>/包号</w:t>
      </w:r>
      <w:r>
        <w:rPr>
          <w:rFonts w:hint="eastAsia" w:ascii="宋体" w:hAnsi="宋体" w:eastAsia="宋体" w:cs="宋体"/>
          <w:i w:val="0"/>
          <w:iCs w:val="0"/>
          <w:color w:val="auto"/>
          <w:sz w:val="24"/>
          <w:szCs w:val="24"/>
          <w:highlight w:val="none"/>
        </w:rPr>
        <w:t>：</w:t>
      </w:r>
    </w:p>
    <w:p w14:paraId="74728550">
      <w:pPr>
        <w:spacing w:line="300" w:lineRule="auto"/>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1</w:t>
      </w:r>
      <w:r>
        <w:rPr>
          <w:rFonts w:hint="eastAsia" w:ascii="宋体" w:hAnsi="宋体" w:eastAsia="宋体" w:cs="宋体"/>
          <w:i w:val="0"/>
          <w:iCs w:val="0"/>
          <w:color w:val="auto"/>
          <w:sz w:val="24"/>
          <w:szCs w:val="24"/>
          <w:highlight w:val="none"/>
          <w:lang w:val="en-US" w:eastAsia="zh-CN"/>
        </w:rPr>
        <w:t>、</w:t>
      </w:r>
      <w:r>
        <w:rPr>
          <w:rFonts w:hint="eastAsia" w:ascii="宋体" w:hAnsi="宋体" w:eastAsia="宋体" w:cs="宋体"/>
          <w:i w:val="0"/>
          <w:iCs w:val="0"/>
          <w:color w:val="auto"/>
          <w:sz w:val="24"/>
          <w:szCs w:val="24"/>
          <w:highlight w:val="none"/>
        </w:rPr>
        <w:t>节能产品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57"/>
        <w:gridCol w:w="1147"/>
        <w:gridCol w:w="972"/>
        <w:gridCol w:w="792"/>
        <w:gridCol w:w="696"/>
        <w:gridCol w:w="648"/>
        <w:gridCol w:w="1128"/>
        <w:gridCol w:w="1224"/>
        <w:gridCol w:w="1582"/>
      </w:tblGrid>
      <w:tr w14:paraId="0D711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7FCF36A0">
            <w:pPr>
              <w:pStyle w:val="47"/>
              <w:jc w:val="center"/>
              <w:rPr>
                <w:i w:val="0"/>
                <w:iCs w:val="0"/>
                <w:color w:val="auto"/>
                <w:sz w:val="21"/>
                <w:szCs w:val="21"/>
                <w:highlight w:val="none"/>
              </w:rPr>
            </w:pPr>
            <w:r>
              <w:rPr>
                <w:rFonts w:hint="eastAsia"/>
                <w:i w:val="0"/>
                <w:iCs w:val="0"/>
                <w:color w:val="auto"/>
                <w:sz w:val="21"/>
                <w:szCs w:val="21"/>
                <w:highlight w:val="none"/>
              </w:rPr>
              <w:t>序号</w:t>
            </w:r>
          </w:p>
        </w:tc>
        <w:tc>
          <w:tcPr>
            <w:tcW w:w="1147" w:type="dxa"/>
            <w:tcBorders>
              <w:top w:val="single" w:color="auto" w:sz="4" w:space="0"/>
              <w:left w:val="single" w:color="auto" w:sz="4" w:space="0"/>
              <w:bottom w:val="single" w:color="auto" w:sz="4" w:space="0"/>
              <w:right w:val="single" w:color="auto" w:sz="4" w:space="0"/>
            </w:tcBorders>
            <w:vAlign w:val="center"/>
          </w:tcPr>
          <w:p w14:paraId="454C6998">
            <w:pPr>
              <w:pStyle w:val="47"/>
              <w:jc w:val="center"/>
              <w:rPr>
                <w:i w:val="0"/>
                <w:iCs w:val="0"/>
                <w:color w:val="auto"/>
                <w:sz w:val="21"/>
                <w:szCs w:val="21"/>
                <w:highlight w:val="none"/>
              </w:rPr>
            </w:pPr>
            <w:r>
              <w:rPr>
                <w:rFonts w:hint="eastAsia"/>
                <w:i w:val="0"/>
                <w:iCs w:val="0"/>
                <w:color w:val="auto"/>
                <w:sz w:val="21"/>
                <w:szCs w:val="21"/>
                <w:highlight w:val="none"/>
              </w:rPr>
              <w:t>设备名称</w:t>
            </w:r>
          </w:p>
        </w:tc>
        <w:tc>
          <w:tcPr>
            <w:tcW w:w="972" w:type="dxa"/>
            <w:tcBorders>
              <w:top w:val="single" w:color="auto" w:sz="4" w:space="0"/>
              <w:left w:val="single" w:color="auto" w:sz="4" w:space="0"/>
              <w:bottom w:val="single" w:color="auto" w:sz="4" w:space="0"/>
              <w:right w:val="single" w:color="auto" w:sz="4" w:space="0"/>
            </w:tcBorders>
            <w:vAlign w:val="center"/>
          </w:tcPr>
          <w:p w14:paraId="4BB5F633">
            <w:pPr>
              <w:pStyle w:val="47"/>
              <w:jc w:val="center"/>
              <w:rPr>
                <w:i w:val="0"/>
                <w:iCs w:val="0"/>
                <w:color w:val="auto"/>
                <w:sz w:val="21"/>
                <w:szCs w:val="21"/>
                <w:highlight w:val="none"/>
              </w:rPr>
            </w:pPr>
            <w:r>
              <w:rPr>
                <w:rFonts w:hint="eastAsia"/>
                <w:i w:val="0"/>
                <w:iCs w:val="0"/>
                <w:color w:val="auto"/>
                <w:sz w:val="21"/>
                <w:szCs w:val="21"/>
                <w:highlight w:val="none"/>
              </w:rPr>
              <w:t>制造商名称</w:t>
            </w:r>
          </w:p>
        </w:tc>
        <w:tc>
          <w:tcPr>
            <w:tcW w:w="792" w:type="dxa"/>
            <w:tcBorders>
              <w:top w:val="single" w:color="auto" w:sz="4" w:space="0"/>
              <w:left w:val="single" w:color="auto" w:sz="4" w:space="0"/>
              <w:bottom w:val="single" w:color="auto" w:sz="4" w:space="0"/>
              <w:right w:val="single" w:color="auto" w:sz="4" w:space="0"/>
            </w:tcBorders>
            <w:vAlign w:val="center"/>
          </w:tcPr>
          <w:p w14:paraId="05539A93">
            <w:pPr>
              <w:pStyle w:val="47"/>
              <w:jc w:val="center"/>
              <w:rPr>
                <w:i w:val="0"/>
                <w:iCs w:val="0"/>
                <w:color w:val="auto"/>
                <w:sz w:val="21"/>
                <w:szCs w:val="21"/>
                <w:highlight w:val="none"/>
              </w:rPr>
            </w:pPr>
            <w:r>
              <w:rPr>
                <w:rFonts w:hint="eastAsia"/>
                <w:i w:val="0"/>
                <w:iCs w:val="0"/>
                <w:color w:val="auto"/>
                <w:sz w:val="21"/>
                <w:szCs w:val="21"/>
                <w:highlight w:val="none"/>
              </w:rPr>
              <w:t>品牌</w:t>
            </w:r>
          </w:p>
        </w:tc>
        <w:tc>
          <w:tcPr>
            <w:tcW w:w="696" w:type="dxa"/>
            <w:tcBorders>
              <w:top w:val="single" w:color="auto" w:sz="4" w:space="0"/>
              <w:left w:val="single" w:color="auto" w:sz="4" w:space="0"/>
              <w:bottom w:val="single" w:color="auto" w:sz="4" w:space="0"/>
              <w:right w:val="single" w:color="auto" w:sz="4" w:space="0"/>
            </w:tcBorders>
            <w:vAlign w:val="center"/>
          </w:tcPr>
          <w:p w14:paraId="0DDEEF99">
            <w:pPr>
              <w:pStyle w:val="47"/>
              <w:jc w:val="center"/>
              <w:rPr>
                <w:i w:val="0"/>
                <w:iCs w:val="0"/>
                <w:color w:val="auto"/>
                <w:sz w:val="21"/>
                <w:szCs w:val="21"/>
                <w:highlight w:val="none"/>
              </w:rPr>
            </w:pPr>
            <w:r>
              <w:rPr>
                <w:rFonts w:hint="eastAsia"/>
                <w:i w:val="0"/>
                <w:iCs w:val="0"/>
                <w:color w:val="auto"/>
                <w:sz w:val="21"/>
                <w:szCs w:val="21"/>
                <w:highlight w:val="none"/>
              </w:rPr>
              <w:t>型号</w:t>
            </w:r>
          </w:p>
        </w:tc>
        <w:tc>
          <w:tcPr>
            <w:tcW w:w="648" w:type="dxa"/>
            <w:tcBorders>
              <w:top w:val="single" w:color="auto" w:sz="4" w:space="0"/>
              <w:left w:val="single" w:color="auto" w:sz="4" w:space="0"/>
              <w:bottom w:val="single" w:color="auto" w:sz="4" w:space="0"/>
              <w:right w:val="single" w:color="auto" w:sz="4" w:space="0"/>
            </w:tcBorders>
            <w:vAlign w:val="center"/>
          </w:tcPr>
          <w:p w14:paraId="3F9D9ED4">
            <w:pPr>
              <w:pStyle w:val="47"/>
              <w:jc w:val="center"/>
              <w:rPr>
                <w:i w:val="0"/>
                <w:iCs w:val="0"/>
                <w:color w:val="auto"/>
                <w:sz w:val="21"/>
                <w:szCs w:val="21"/>
                <w:highlight w:val="none"/>
              </w:rPr>
            </w:pPr>
            <w:r>
              <w:rPr>
                <w:rFonts w:hint="eastAsia"/>
                <w:i w:val="0"/>
                <w:iCs w:val="0"/>
                <w:color w:val="auto"/>
                <w:sz w:val="21"/>
                <w:szCs w:val="21"/>
                <w:highlight w:val="none"/>
              </w:rPr>
              <w:t>数量</w:t>
            </w:r>
          </w:p>
        </w:tc>
        <w:tc>
          <w:tcPr>
            <w:tcW w:w="1128" w:type="dxa"/>
            <w:tcBorders>
              <w:top w:val="single" w:color="auto" w:sz="4" w:space="0"/>
              <w:left w:val="single" w:color="auto" w:sz="4" w:space="0"/>
              <w:bottom w:val="single" w:color="auto" w:sz="4" w:space="0"/>
              <w:right w:val="single" w:color="auto" w:sz="4" w:space="0"/>
            </w:tcBorders>
            <w:vAlign w:val="center"/>
          </w:tcPr>
          <w:p w14:paraId="46E5422B">
            <w:pPr>
              <w:pStyle w:val="47"/>
              <w:jc w:val="center"/>
              <w:rPr>
                <w:i w:val="0"/>
                <w:iCs w:val="0"/>
                <w:color w:val="auto"/>
                <w:sz w:val="21"/>
                <w:szCs w:val="21"/>
                <w:highlight w:val="none"/>
              </w:rPr>
            </w:pPr>
            <w:r>
              <w:rPr>
                <w:rFonts w:hint="eastAsia"/>
                <w:i w:val="0"/>
                <w:iCs w:val="0"/>
                <w:color w:val="auto"/>
                <w:sz w:val="21"/>
                <w:szCs w:val="21"/>
                <w:highlight w:val="none"/>
              </w:rPr>
              <w:t>单价</w:t>
            </w:r>
          </w:p>
          <w:p w14:paraId="4D8AC9C4">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224" w:type="dxa"/>
            <w:tcBorders>
              <w:top w:val="single" w:color="auto" w:sz="4" w:space="0"/>
              <w:left w:val="single" w:color="auto" w:sz="4" w:space="0"/>
              <w:bottom w:val="single" w:color="auto" w:sz="4" w:space="0"/>
              <w:right w:val="single" w:color="auto" w:sz="4" w:space="0"/>
            </w:tcBorders>
            <w:vAlign w:val="center"/>
          </w:tcPr>
          <w:p w14:paraId="514FB4B3">
            <w:pPr>
              <w:pStyle w:val="47"/>
              <w:jc w:val="center"/>
              <w:rPr>
                <w:i w:val="0"/>
                <w:iCs w:val="0"/>
                <w:color w:val="auto"/>
                <w:sz w:val="21"/>
                <w:szCs w:val="21"/>
                <w:highlight w:val="none"/>
              </w:rPr>
            </w:pPr>
            <w:r>
              <w:rPr>
                <w:rFonts w:hint="eastAsia"/>
                <w:i w:val="0"/>
                <w:iCs w:val="0"/>
                <w:color w:val="auto"/>
                <w:sz w:val="21"/>
                <w:szCs w:val="21"/>
                <w:highlight w:val="none"/>
              </w:rPr>
              <w:t>总价</w:t>
            </w:r>
          </w:p>
          <w:p w14:paraId="4637FB3E">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582" w:type="dxa"/>
            <w:tcBorders>
              <w:top w:val="single" w:color="auto" w:sz="4" w:space="0"/>
              <w:left w:val="single" w:color="auto" w:sz="4" w:space="0"/>
              <w:bottom w:val="single" w:color="auto" w:sz="4" w:space="0"/>
              <w:right w:val="single" w:color="auto" w:sz="4" w:space="0"/>
            </w:tcBorders>
            <w:vAlign w:val="center"/>
          </w:tcPr>
          <w:p w14:paraId="3D113D7A">
            <w:pPr>
              <w:pStyle w:val="47"/>
              <w:jc w:val="center"/>
              <w:rPr>
                <w:i w:val="0"/>
                <w:iCs w:val="0"/>
                <w:color w:val="auto"/>
                <w:sz w:val="21"/>
                <w:szCs w:val="21"/>
                <w:highlight w:val="none"/>
              </w:rPr>
            </w:pPr>
            <w:r>
              <w:rPr>
                <w:rFonts w:hint="eastAsia"/>
                <w:i w:val="0"/>
                <w:iCs w:val="0"/>
                <w:color w:val="auto"/>
                <w:sz w:val="21"/>
                <w:szCs w:val="21"/>
                <w:highlight w:val="none"/>
              </w:rPr>
              <w:t>属强制采购或优先采购</w:t>
            </w:r>
          </w:p>
        </w:tc>
      </w:tr>
      <w:tr w14:paraId="18D74A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695B8E6D">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1532E04E">
            <w:pPr>
              <w:pStyle w:val="47"/>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3CDFCC5">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1A4E845A">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348699">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CEBECC8">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3782F642">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2EADA19A">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2BC80F3F">
            <w:pPr>
              <w:pStyle w:val="47"/>
              <w:jc w:val="center"/>
              <w:rPr>
                <w:i w:val="0"/>
                <w:iCs w:val="0"/>
                <w:color w:val="auto"/>
                <w:sz w:val="21"/>
                <w:szCs w:val="21"/>
                <w:highlight w:val="none"/>
              </w:rPr>
            </w:pPr>
          </w:p>
        </w:tc>
      </w:tr>
      <w:tr w14:paraId="13A56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009443BF">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5FB1FB35">
            <w:pPr>
              <w:pStyle w:val="47"/>
              <w:jc w:val="center"/>
              <w:rPr>
                <w:i w:val="0"/>
                <w:iCs w:val="0"/>
                <w:color w:val="auto"/>
                <w:sz w:val="21"/>
                <w:szCs w:val="21"/>
                <w:highlight w:val="none"/>
              </w:rPr>
            </w:pPr>
          </w:p>
        </w:tc>
        <w:tc>
          <w:tcPr>
            <w:tcW w:w="972" w:type="dxa"/>
            <w:tcBorders>
              <w:top w:val="single" w:color="auto" w:sz="4" w:space="0"/>
              <w:left w:val="single" w:color="auto" w:sz="4" w:space="0"/>
              <w:bottom w:val="single" w:color="auto" w:sz="4" w:space="0"/>
              <w:right w:val="single" w:color="auto" w:sz="4" w:space="0"/>
            </w:tcBorders>
            <w:vAlign w:val="center"/>
          </w:tcPr>
          <w:p w14:paraId="5219D569">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79AEC486">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1046AFD5">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419C65DA">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6B1B3EB9">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5894FDF6">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1C379112">
            <w:pPr>
              <w:pStyle w:val="47"/>
              <w:jc w:val="center"/>
              <w:rPr>
                <w:i w:val="0"/>
                <w:iCs w:val="0"/>
                <w:color w:val="auto"/>
                <w:sz w:val="21"/>
                <w:szCs w:val="21"/>
                <w:highlight w:val="none"/>
              </w:rPr>
            </w:pPr>
          </w:p>
        </w:tc>
      </w:tr>
      <w:tr w14:paraId="1A338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57" w:type="dxa"/>
            <w:tcBorders>
              <w:top w:val="single" w:color="auto" w:sz="4" w:space="0"/>
              <w:left w:val="single" w:color="auto" w:sz="4" w:space="0"/>
              <w:bottom w:val="single" w:color="auto" w:sz="4" w:space="0"/>
              <w:right w:val="single" w:color="auto" w:sz="4" w:space="0"/>
            </w:tcBorders>
            <w:vAlign w:val="center"/>
          </w:tcPr>
          <w:p w14:paraId="314FA40F">
            <w:pPr>
              <w:pStyle w:val="47"/>
              <w:numPr>
                <w:ilvl w:val="0"/>
                <w:numId w:val="1"/>
              </w:numPr>
              <w:jc w:val="center"/>
              <w:rPr>
                <w:i w:val="0"/>
                <w:iCs w:val="0"/>
                <w:color w:val="auto"/>
                <w:sz w:val="21"/>
                <w:szCs w:val="21"/>
                <w:highlight w:val="none"/>
              </w:rPr>
            </w:pPr>
          </w:p>
        </w:tc>
        <w:tc>
          <w:tcPr>
            <w:tcW w:w="1147" w:type="dxa"/>
            <w:tcBorders>
              <w:top w:val="single" w:color="auto" w:sz="4" w:space="0"/>
              <w:left w:val="single" w:color="auto" w:sz="4" w:space="0"/>
              <w:bottom w:val="single" w:color="auto" w:sz="4" w:space="0"/>
              <w:right w:val="single" w:color="auto" w:sz="4" w:space="0"/>
            </w:tcBorders>
            <w:vAlign w:val="center"/>
          </w:tcPr>
          <w:p w14:paraId="087F5988">
            <w:pPr>
              <w:pStyle w:val="47"/>
              <w:jc w:val="center"/>
              <w:rPr>
                <w:i w:val="0"/>
                <w:iCs w:val="0"/>
                <w:color w:val="auto"/>
                <w:sz w:val="21"/>
                <w:szCs w:val="21"/>
                <w:highlight w:val="none"/>
              </w:rPr>
            </w:pPr>
            <w:r>
              <w:rPr>
                <w:i w:val="0"/>
                <w:iCs w:val="0"/>
                <w:color w:val="auto"/>
                <w:sz w:val="21"/>
                <w:szCs w:val="21"/>
                <w:highlight w:val="none"/>
              </w:rPr>
              <w:t>……</w:t>
            </w:r>
          </w:p>
        </w:tc>
        <w:tc>
          <w:tcPr>
            <w:tcW w:w="972" w:type="dxa"/>
            <w:tcBorders>
              <w:top w:val="single" w:color="auto" w:sz="4" w:space="0"/>
              <w:left w:val="single" w:color="auto" w:sz="4" w:space="0"/>
              <w:bottom w:val="single" w:color="auto" w:sz="4" w:space="0"/>
              <w:right w:val="single" w:color="auto" w:sz="4" w:space="0"/>
            </w:tcBorders>
            <w:vAlign w:val="center"/>
          </w:tcPr>
          <w:p w14:paraId="790E1A28">
            <w:pPr>
              <w:pStyle w:val="47"/>
              <w:jc w:val="center"/>
              <w:rPr>
                <w:i w:val="0"/>
                <w:iCs w:val="0"/>
                <w:color w:val="auto"/>
                <w:sz w:val="21"/>
                <w:szCs w:val="21"/>
                <w:highlight w:val="none"/>
              </w:rPr>
            </w:pPr>
          </w:p>
        </w:tc>
        <w:tc>
          <w:tcPr>
            <w:tcW w:w="792" w:type="dxa"/>
            <w:tcBorders>
              <w:top w:val="single" w:color="auto" w:sz="4" w:space="0"/>
              <w:left w:val="single" w:color="auto" w:sz="4" w:space="0"/>
              <w:bottom w:val="single" w:color="auto" w:sz="4" w:space="0"/>
              <w:right w:val="single" w:color="auto" w:sz="4" w:space="0"/>
            </w:tcBorders>
            <w:vAlign w:val="center"/>
          </w:tcPr>
          <w:p w14:paraId="5A0864AE">
            <w:pPr>
              <w:pStyle w:val="47"/>
              <w:jc w:val="center"/>
              <w:rPr>
                <w:i w:val="0"/>
                <w:iCs w:val="0"/>
                <w:color w:val="auto"/>
                <w:sz w:val="21"/>
                <w:szCs w:val="21"/>
                <w:highlight w:val="none"/>
              </w:rPr>
            </w:pPr>
          </w:p>
        </w:tc>
        <w:tc>
          <w:tcPr>
            <w:tcW w:w="696" w:type="dxa"/>
            <w:tcBorders>
              <w:top w:val="single" w:color="auto" w:sz="4" w:space="0"/>
              <w:left w:val="single" w:color="auto" w:sz="4" w:space="0"/>
              <w:bottom w:val="single" w:color="auto" w:sz="4" w:space="0"/>
              <w:right w:val="single" w:color="auto" w:sz="4" w:space="0"/>
            </w:tcBorders>
            <w:vAlign w:val="center"/>
          </w:tcPr>
          <w:p w14:paraId="54C9F1D0">
            <w:pPr>
              <w:pStyle w:val="47"/>
              <w:jc w:val="center"/>
              <w:rPr>
                <w:i w:val="0"/>
                <w:iCs w:val="0"/>
                <w:color w:val="auto"/>
                <w:sz w:val="21"/>
                <w:szCs w:val="21"/>
                <w:highlight w:val="none"/>
              </w:rPr>
            </w:pPr>
          </w:p>
        </w:tc>
        <w:tc>
          <w:tcPr>
            <w:tcW w:w="648" w:type="dxa"/>
            <w:tcBorders>
              <w:top w:val="single" w:color="auto" w:sz="4" w:space="0"/>
              <w:left w:val="single" w:color="auto" w:sz="4" w:space="0"/>
              <w:bottom w:val="single" w:color="auto" w:sz="4" w:space="0"/>
              <w:right w:val="single" w:color="auto" w:sz="4" w:space="0"/>
            </w:tcBorders>
            <w:vAlign w:val="center"/>
          </w:tcPr>
          <w:p w14:paraId="0686AC29">
            <w:pPr>
              <w:pStyle w:val="47"/>
              <w:jc w:val="center"/>
              <w:rPr>
                <w:i w:val="0"/>
                <w:iCs w:val="0"/>
                <w:color w:val="auto"/>
                <w:sz w:val="21"/>
                <w:szCs w:val="21"/>
                <w:highlight w:val="none"/>
              </w:rPr>
            </w:pPr>
          </w:p>
        </w:tc>
        <w:tc>
          <w:tcPr>
            <w:tcW w:w="1128" w:type="dxa"/>
            <w:tcBorders>
              <w:top w:val="single" w:color="auto" w:sz="4" w:space="0"/>
              <w:left w:val="single" w:color="auto" w:sz="4" w:space="0"/>
              <w:bottom w:val="single" w:color="auto" w:sz="4" w:space="0"/>
              <w:right w:val="single" w:color="auto" w:sz="4" w:space="0"/>
            </w:tcBorders>
            <w:vAlign w:val="center"/>
          </w:tcPr>
          <w:p w14:paraId="1343A306">
            <w:pPr>
              <w:pStyle w:val="47"/>
              <w:jc w:val="center"/>
              <w:rPr>
                <w:i w:val="0"/>
                <w:iCs w:val="0"/>
                <w:color w:val="auto"/>
                <w:sz w:val="21"/>
                <w:szCs w:val="21"/>
                <w:highlight w:val="none"/>
              </w:rPr>
            </w:pPr>
          </w:p>
        </w:tc>
        <w:tc>
          <w:tcPr>
            <w:tcW w:w="1224" w:type="dxa"/>
            <w:tcBorders>
              <w:top w:val="single" w:color="auto" w:sz="4" w:space="0"/>
              <w:left w:val="single" w:color="auto" w:sz="4" w:space="0"/>
              <w:bottom w:val="single" w:color="auto" w:sz="4" w:space="0"/>
              <w:right w:val="single" w:color="auto" w:sz="4" w:space="0"/>
            </w:tcBorders>
            <w:vAlign w:val="center"/>
          </w:tcPr>
          <w:p w14:paraId="7A6317B8">
            <w:pPr>
              <w:pStyle w:val="47"/>
              <w:jc w:val="center"/>
              <w:rPr>
                <w:i w:val="0"/>
                <w:iCs w:val="0"/>
                <w:color w:val="auto"/>
                <w:sz w:val="21"/>
                <w:szCs w:val="21"/>
                <w:highlight w:val="none"/>
              </w:rPr>
            </w:pPr>
          </w:p>
        </w:tc>
        <w:tc>
          <w:tcPr>
            <w:tcW w:w="1582" w:type="dxa"/>
            <w:tcBorders>
              <w:top w:val="single" w:color="auto" w:sz="4" w:space="0"/>
              <w:left w:val="single" w:color="auto" w:sz="4" w:space="0"/>
              <w:bottom w:val="single" w:color="auto" w:sz="4" w:space="0"/>
              <w:right w:val="single" w:color="auto" w:sz="4" w:space="0"/>
            </w:tcBorders>
            <w:vAlign w:val="center"/>
          </w:tcPr>
          <w:p w14:paraId="0E24D072">
            <w:pPr>
              <w:pStyle w:val="47"/>
              <w:jc w:val="center"/>
              <w:rPr>
                <w:i w:val="0"/>
                <w:iCs w:val="0"/>
                <w:color w:val="auto"/>
                <w:sz w:val="21"/>
                <w:szCs w:val="21"/>
                <w:highlight w:val="none"/>
              </w:rPr>
            </w:pPr>
          </w:p>
        </w:tc>
      </w:tr>
    </w:tbl>
    <w:p w14:paraId="2831E0BE">
      <w:pPr>
        <w:spacing w:line="300" w:lineRule="auto"/>
        <w:rPr>
          <w:rFonts w:ascii="Arial" w:hAnsi="Arial" w:cs="Arial"/>
          <w:i w:val="0"/>
          <w:iCs w:val="0"/>
          <w:color w:val="auto"/>
          <w:szCs w:val="21"/>
          <w:highlight w:val="none"/>
        </w:rPr>
      </w:pPr>
    </w:p>
    <w:p w14:paraId="60D44E3F">
      <w:pPr>
        <w:spacing w:line="300" w:lineRule="auto"/>
        <w:rPr>
          <w:rFonts w:hint="eastAsia" w:ascii="宋体" w:hAnsi="宋体" w:eastAsia="宋体" w:cs="宋体"/>
          <w:i w:val="0"/>
          <w:iCs w:val="0"/>
          <w:color w:val="auto"/>
          <w:szCs w:val="21"/>
          <w:highlight w:val="none"/>
        </w:rPr>
      </w:pPr>
      <w:r>
        <w:rPr>
          <w:rFonts w:hint="eastAsia" w:ascii="宋体" w:hAnsi="宋体" w:eastAsia="宋体" w:cs="宋体"/>
          <w:i w:val="0"/>
          <w:iCs w:val="0"/>
          <w:color w:val="auto"/>
          <w:szCs w:val="21"/>
          <w:highlight w:val="none"/>
        </w:rPr>
        <w:t>2</w:t>
      </w:r>
      <w:r>
        <w:rPr>
          <w:rFonts w:hint="eastAsia" w:ascii="宋体" w:hAnsi="宋体" w:eastAsia="宋体" w:cs="宋体"/>
          <w:i w:val="0"/>
          <w:iCs w:val="0"/>
          <w:color w:val="auto"/>
          <w:szCs w:val="21"/>
          <w:highlight w:val="none"/>
          <w:lang w:eastAsia="zh-CN"/>
        </w:rPr>
        <w:t>、</w:t>
      </w:r>
      <w:r>
        <w:rPr>
          <w:rFonts w:hint="eastAsia" w:ascii="宋体" w:hAnsi="宋体" w:eastAsia="宋体" w:cs="宋体"/>
          <w:i w:val="0"/>
          <w:iCs w:val="0"/>
          <w:color w:val="auto"/>
          <w:szCs w:val="21"/>
          <w:highlight w:val="none"/>
        </w:rPr>
        <w:t>环保产品</w:t>
      </w:r>
    </w:p>
    <w:tbl>
      <w:tblPr>
        <w:tblStyle w:val="30"/>
        <w:tblW w:w="8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776"/>
        <w:gridCol w:w="1140"/>
        <w:gridCol w:w="1272"/>
        <w:gridCol w:w="816"/>
        <w:gridCol w:w="816"/>
        <w:gridCol w:w="1032"/>
        <w:gridCol w:w="1380"/>
        <w:gridCol w:w="1714"/>
      </w:tblGrid>
      <w:tr w14:paraId="1D26B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57131EF">
            <w:pPr>
              <w:pStyle w:val="47"/>
              <w:jc w:val="center"/>
              <w:rPr>
                <w:i w:val="0"/>
                <w:iCs w:val="0"/>
                <w:color w:val="auto"/>
                <w:sz w:val="21"/>
                <w:szCs w:val="21"/>
                <w:highlight w:val="none"/>
              </w:rPr>
            </w:pPr>
            <w:r>
              <w:rPr>
                <w:rFonts w:hint="eastAsia"/>
                <w:i w:val="0"/>
                <w:iCs w:val="0"/>
                <w:color w:val="auto"/>
                <w:sz w:val="21"/>
                <w:szCs w:val="21"/>
                <w:highlight w:val="none"/>
              </w:rPr>
              <w:t>序号</w:t>
            </w:r>
          </w:p>
        </w:tc>
        <w:tc>
          <w:tcPr>
            <w:tcW w:w="1140" w:type="dxa"/>
            <w:tcBorders>
              <w:top w:val="single" w:color="auto" w:sz="4" w:space="0"/>
              <w:left w:val="single" w:color="auto" w:sz="4" w:space="0"/>
              <w:bottom w:val="single" w:color="auto" w:sz="4" w:space="0"/>
              <w:right w:val="single" w:color="auto" w:sz="4" w:space="0"/>
            </w:tcBorders>
            <w:vAlign w:val="center"/>
          </w:tcPr>
          <w:p w14:paraId="6B75546E">
            <w:pPr>
              <w:pStyle w:val="47"/>
              <w:jc w:val="center"/>
              <w:rPr>
                <w:i w:val="0"/>
                <w:iCs w:val="0"/>
                <w:color w:val="auto"/>
                <w:sz w:val="21"/>
                <w:szCs w:val="21"/>
                <w:highlight w:val="none"/>
              </w:rPr>
            </w:pPr>
            <w:r>
              <w:rPr>
                <w:rFonts w:hint="eastAsia"/>
                <w:i w:val="0"/>
                <w:iCs w:val="0"/>
                <w:color w:val="auto"/>
                <w:sz w:val="21"/>
                <w:szCs w:val="21"/>
                <w:highlight w:val="none"/>
              </w:rPr>
              <w:t>设备名称</w:t>
            </w:r>
          </w:p>
        </w:tc>
        <w:tc>
          <w:tcPr>
            <w:tcW w:w="1272" w:type="dxa"/>
            <w:tcBorders>
              <w:top w:val="single" w:color="auto" w:sz="4" w:space="0"/>
              <w:left w:val="single" w:color="auto" w:sz="4" w:space="0"/>
              <w:bottom w:val="single" w:color="auto" w:sz="4" w:space="0"/>
              <w:right w:val="single" w:color="auto" w:sz="4" w:space="0"/>
            </w:tcBorders>
            <w:vAlign w:val="center"/>
          </w:tcPr>
          <w:p w14:paraId="48807FE9">
            <w:pPr>
              <w:pStyle w:val="47"/>
              <w:jc w:val="center"/>
              <w:rPr>
                <w:i w:val="0"/>
                <w:iCs w:val="0"/>
                <w:color w:val="auto"/>
                <w:sz w:val="21"/>
                <w:szCs w:val="21"/>
                <w:highlight w:val="none"/>
              </w:rPr>
            </w:pPr>
            <w:r>
              <w:rPr>
                <w:rFonts w:hint="eastAsia"/>
                <w:i w:val="0"/>
                <w:iCs w:val="0"/>
                <w:color w:val="auto"/>
                <w:sz w:val="21"/>
                <w:szCs w:val="21"/>
                <w:highlight w:val="none"/>
              </w:rPr>
              <w:t>制造商</w:t>
            </w:r>
          </w:p>
          <w:p w14:paraId="6871D586">
            <w:pPr>
              <w:pStyle w:val="47"/>
              <w:jc w:val="center"/>
              <w:rPr>
                <w:i w:val="0"/>
                <w:iCs w:val="0"/>
                <w:color w:val="auto"/>
                <w:sz w:val="21"/>
                <w:szCs w:val="21"/>
                <w:highlight w:val="none"/>
              </w:rPr>
            </w:pPr>
            <w:r>
              <w:rPr>
                <w:rFonts w:hint="eastAsia"/>
                <w:i w:val="0"/>
                <w:iCs w:val="0"/>
                <w:color w:val="auto"/>
                <w:sz w:val="21"/>
                <w:szCs w:val="21"/>
                <w:highlight w:val="none"/>
              </w:rPr>
              <w:t>名称</w:t>
            </w:r>
          </w:p>
        </w:tc>
        <w:tc>
          <w:tcPr>
            <w:tcW w:w="816" w:type="dxa"/>
            <w:tcBorders>
              <w:top w:val="single" w:color="auto" w:sz="4" w:space="0"/>
              <w:left w:val="single" w:color="auto" w:sz="4" w:space="0"/>
              <w:bottom w:val="single" w:color="auto" w:sz="4" w:space="0"/>
              <w:right w:val="single" w:color="auto" w:sz="4" w:space="0"/>
            </w:tcBorders>
            <w:vAlign w:val="center"/>
          </w:tcPr>
          <w:p w14:paraId="63CB73BC">
            <w:pPr>
              <w:pStyle w:val="47"/>
              <w:jc w:val="center"/>
              <w:rPr>
                <w:i w:val="0"/>
                <w:iCs w:val="0"/>
                <w:color w:val="auto"/>
                <w:sz w:val="21"/>
                <w:szCs w:val="21"/>
                <w:highlight w:val="none"/>
              </w:rPr>
            </w:pPr>
            <w:r>
              <w:rPr>
                <w:rFonts w:hint="eastAsia"/>
                <w:i w:val="0"/>
                <w:iCs w:val="0"/>
                <w:color w:val="auto"/>
                <w:sz w:val="21"/>
                <w:szCs w:val="21"/>
                <w:highlight w:val="none"/>
              </w:rPr>
              <w:t>品牌</w:t>
            </w:r>
          </w:p>
        </w:tc>
        <w:tc>
          <w:tcPr>
            <w:tcW w:w="816" w:type="dxa"/>
            <w:tcBorders>
              <w:top w:val="single" w:color="auto" w:sz="4" w:space="0"/>
              <w:left w:val="single" w:color="auto" w:sz="4" w:space="0"/>
              <w:bottom w:val="single" w:color="auto" w:sz="4" w:space="0"/>
              <w:right w:val="single" w:color="auto" w:sz="4" w:space="0"/>
            </w:tcBorders>
            <w:vAlign w:val="center"/>
          </w:tcPr>
          <w:p w14:paraId="46FFC544">
            <w:pPr>
              <w:pStyle w:val="47"/>
              <w:jc w:val="center"/>
              <w:rPr>
                <w:i w:val="0"/>
                <w:iCs w:val="0"/>
                <w:color w:val="auto"/>
                <w:sz w:val="21"/>
                <w:szCs w:val="21"/>
                <w:highlight w:val="none"/>
              </w:rPr>
            </w:pPr>
            <w:r>
              <w:rPr>
                <w:rFonts w:hint="eastAsia"/>
                <w:i w:val="0"/>
                <w:iCs w:val="0"/>
                <w:color w:val="auto"/>
                <w:sz w:val="21"/>
                <w:szCs w:val="21"/>
                <w:highlight w:val="none"/>
              </w:rPr>
              <w:t>型号</w:t>
            </w:r>
          </w:p>
        </w:tc>
        <w:tc>
          <w:tcPr>
            <w:tcW w:w="1032" w:type="dxa"/>
            <w:tcBorders>
              <w:top w:val="single" w:color="auto" w:sz="4" w:space="0"/>
              <w:left w:val="single" w:color="auto" w:sz="4" w:space="0"/>
              <w:bottom w:val="single" w:color="auto" w:sz="4" w:space="0"/>
              <w:right w:val="single" w:color="auto" w:sz="4" w:space="0"/>
            </w:tcBorders>
            <w:vAlign w:val="center"/>
          </w:tcPr>
          <w:p w14:paraId="067CEFC8">
            <w:pPr>
              <w:pStyle w:val="47"/>
              <w:jc w:val="center"/>
              <w:rPr>
                <w:i w:val="0"/>
                <w:iCs w:val="0"/>
                <w:color w:val="auto"/>
                <w:sz w:val="21"/>
                <w:szCs w:val="21"/>
                <w:highlight w:val="none"/>
              </w:rPr>
            </w:pPr>
            <w:r>
              <w:rPr>
                <w:rFonts w:hint="eastAsia"/>
                <w:i w:val="0"/>
                <w:iCs w:val="0"/>
                <w:color w:val="auto"/>
                <w:sz w:val="21"/>
                <w:szCs w:val="21"/>
                <w:highlight w:val="none"/>
              </w:rPr>
              <w:t>数量</w:t>
            </w:r>
          </w:p>
        </w:tc>
        <w:tc>
          <w:tcPr>
            <w:tcW w:w="1380" w:type="dxa"/>
            <w:tcBorders>
              <w:top w:val="single" w:color="auto" w:sz="4" w:space="0"/>
              <w:left w:val="single" w:color="auto" w:sz="4" w:space="0"/>
              <w:bottom w:val="single" w:color="auto" w:sz="4" w:space="0"/>
              <w:right w:val="single" w:color="auto" w:sz="4" w:space="0"/>
            </w:tcBorders>
            <w:vAlign w:val="center"/>
          </w:tcPr>
          <w:p w14:paraId="37A87868">
            <w:pPr>
              <w:pStyle w:val="47"/>
              <w:jc w:val="center"/>
              <w:rPr>
                <w:i w:val="0"/>
                <w:iCs w:val="0"/>
                <w:color w:val="auto"/>
                <w:sz w:val="21"/>
                <w:szCs w:val="21"/>
                <w:highlight w:val="none"/>
              </w:rPr>
            </w:pPr>
            <w:r>
              <w:rPr>
                <w:rFonts w:hint="eastAsia"/>
                <w:i w:val="0"/>
                <w:iCs w:val="0"/>
                <w:color w:val="auto"/>
                <w:sz w:val="21"/>
                <w:szCs w:val="21"/>
                <w:highlight w:val="none"/>
              </w:rPr>
              <w:t>单价</w:t>
            </w:r>
          </w:p>
          <w:p w14:paraId="09FBCB92">
            <w:pPr>
              <w:pStyle w:val="47"/>
              <w:jc w:val="center"/>
              <w:rPr>
                <w:i w:val="0"/>
                <w:iCs w:val="0"/>
                <w:color w:val="auto"/>
                <w:sz w:val="21"/>
                <w:szCs w:val="21"/>
                <w:highlight w:val="none"/>
              </w:rPr>
            </w:pPr>
            <w:r>
              <w:rPr>
                <w:rFonts w:hint="eastAsia"/>
                <w:i w:val="0"/>
                <w:iCs w:val="0"/>
                <w:color w:val="auto"/>
                <w:sz w:val="21"/>
                <w:szCs w:val="21"/>
                <w:highlight w:val="none"/>
              </w:rPr>
              <w:t>（万元）</w:t>
            </w:r>
          </w:p>
        </w:tc>
        <w:tc>
          <w:tcPr>
            <w:tcW w:w="1714" w:type="dxa"/>
            <w:tcBorders>
              <w:top w:val="single" w:color="auto" w:sz="4" w:space="0"/>
              <w:left w:val="single" w:color="auto" w:sz="4" w:space="0"/>
              <w:bottom w:val="single" w:color="auto" w:sz="4" w:space="0"/>
              <w:right w:val="single" w:color="auto" w:sz="4" w:space="0"/>
            </w:tcBorders>
            <w:vAlign w:val="center"/>
          </w:tcPr>
          <w:p w14:paraId="0A825EE6">
            <w:pPr>
              <w:pStyle w:val="47"/>
              <w:jc w:val="center"/>
              <w:rPr>
                <w:i w:val="0"/>
                <w:iCs w:val="0"/>
                <w:color w:val="auto"/>
                <w:sz w:val="21"/>
                <w:szCs w:val="21"/>
                <w:highlight w:val="none"/>
              </w:rPr>
            </w:pPr>
            <w:r>
              <w:rPr>
                <w:rFonts w:hint="eastAsia"/>
                <w:i w:val="0"/>
                <w:iCs w:val="0"/>
                <w:color w:val="auto"/>
                <w:sz w:val="21"/>
                <w:szCs w:val="21"/>
                <w:highlight w:val="none"/>
              </w:rPr>
              <w:t>总价</w:t>
            </w:r>
          </w:p>
          <w:p w14:paraId="33CDE01B">
            <w:pPr>
              <w:pStyle w:val="47"/>
              <w:jc w:val="center"/>
              <w:rPr>
                <w:i w:val="0"/>
                <w:iCs w:val="0"/>
                <w:color w:val="auto"/>
                <w:sz w:val="21"/>
                <w:szCs w:val="21"/>
                <w:highlight w:val="none"/>
              </w:rPr>
            </w:pPr>
            <w:r>
              <w:rPr>
                <w:rFonts w:hint="eastAsia"/>
                <w:i w:val="0"/>
                <w:iCs w:val="0"/>
                <w:color w:val="auto"/>
                <w:sz w:val="21"/>
                <w:szCs w:val="21"/>
                <w:highlight w:val="none"/>
              </w:rPr>
              <w:t>（万元）</w:t>
            </w:r>
          </w:p>
        </w:tc>
      </w:tr>
      <w:tr w14:paraId="73043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66FF683B">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02A116FE">
            <w:pPr>
              <w:pStyle w:val="47"/>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737EAFD8">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6148B80C">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746C9D21">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36E01E2C">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6EBB7355">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400014CA">
            <w:pPr>
              <w:pStyle w:val="47"/>
              <w:jc w:val="center"/>
              <w:rPr>
                <w:i w:val="0"/>
                <w:iCs w:val="0"/>
                <w:color w:val="auto"/>
                <w:sz w:val="21"/>
                <w:szCs w:val="21"/>
                <w:highlight w:val="none"/>
              </w:rPr>
            </w:pPr>
          </w:p>
        </w:tc>
      </w:tr>
      <w:tr w14:paraId="7D13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3AE9564A">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57E2EB56">
            <w:pPr>
              <w:pStyle w:val="47"/>
              <w:jc w:val="center"/>
              <w:rPr>
                <w:i w:val="0"/>
                <w:iCs w:val="0"/>
                <w:color w:val="auto"/>
                <w:sz w:val="21"/>
                <w:szCs w:val="21"/>
                <w:highlight w:val="none"/>
              </w:rPr>
            </w:pPr>
          </w:p>
        </w:tc>
        <w:tc>
          <w:tcPr>
            <w:tcW w:w="1272" w:type="dxa"/>
            <w:tcBorders>
              <w:top w:val="single" w:color="auto" w:sz="4" w:space="0"/>
              <w:left w:val="single" w:color="auto" w:sz="4" w:space="0"/>
              <w:bottom w:val="single" w:color="auto" w:sz="4" w:space="0"/>
              <w:right w:val="single" w:color="auto" w:sz="4" w:space="0"/>
            </w:tcBorders>
            <w:vAlign w:val="center"/>
          </w:tcPr>
          <w:p w14:paraId="588C31A9">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390A4A93">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56DA7E15">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1037ECDB">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23BD0E45">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5D0710D8">
            <w:pPr>
              <w:pStyle w:val="47"/>
              <w:jc w:val="center"/>
              <w:rPr>
                <w:i w:val="0"/>
                <w:iCs w:val="0"/>
                <w:color w:val="auto"/>
                <w:sz w:val="21"/>
                <w:szCs w:val="21"/>
                <w:highlight w:val="none"/>
              </w:rPr>
            </w:pPr>
          </w:p>
        </w:tc>
      </w:tr>
      <w:tr w14:paraId="7AC84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cantSplit/>
          <w:trHeight w:val="454" w:hRule="atLeast"/>
        </w:trPr>
        <w:tc>
          <w:tcPr>
            <w:tcW w:w="776" w:type="dxa"/>
            <w:tcBorders>
              <w:top w:val="single" w:color="auto" w:sz="4" w:space="0"/>
              <w:left w:val="single" w:color="auto" w:sz="4" w:space="0"/>
              <w:bottom w:val="single" w:color="auto" w:sz="4" w:space="0"/>
              <w:right w:val="single" w:color="auto" w:sz="4" w:space="0"/>
            </w:tcBorders>
            <w:vAlign w:val="center"/>
          </w:tcPr>
          <w:p w14:paraId="2631B4FC">
            <w:pPr>
              <w:pStyle w:val="47"/>
              <w:numPr>
                <w:ilvl w:val="0"/>
                <w:numId w:val="2"/>
              </w:numPr>
              <w:jc w:val="center"/>
              <w:rPr>
                <w:i w:val="0"/>
                <w:iCs w:val="0"/>
                <w:color w:val="auto"/>
                <w:sz w:val="21"/>
                <w:szCs w:val="21"/>
                <w:highlight w:val="none"/>
              </w:rPr>
            </w:pPr>
          </w:p>
        </w:tc>
        <w:tc>
          <w:tcPr>
            <w:tcW w:w="1140" w:type="dxa"/>
            <w:tcBorders>
              <w:top w:val="single" w:color="auto" w:sz="4" w:space="0"/>
              <w:left w:val="single" w:color="auto" w:sz="4" w:space="0"/>
              <w:bottom w:val="single" w:color="auto" w:sz="4" w:space="0"/>
              <w:right w:val="single" w:color="auto" w:sz="4" w:space="0"/>
            </w:tcBorders>
            <w:vAlign w:val="center"/>
          </w:tcPr>
          <w:p w14:paraId="7A83E45D">
            <w:pPr>
              <w:pStyle w:val="47"/>
              <w:jc w:val="center"/>
              <w:rPr>
                <w:i w:val="0"/>
                <w:iCs w:val="0"/>
                <w:color w:val="auto"/>
                <w:sz w:val="21"/>
                <w:szCs w:val="21"/>
                <w:highlight w:val="none"/>
              </w:rPr>
            </w:pPr>
            <w:r>
              <w:rPr>
                <w:i w:val="0"/>
                <w:iCs w:val="0"/>
                <w:color w:val="auto"/>
                <w:sz w:val="21"/>
                <w:szCs w:val="21"/>
                <w:highlight w:val="none"/>
              </w:rPr>
              <w:t>……</w:t>
            </w:r>
          </w:p>
        </w:tc>
        <w:tc>
          <w:tcPr>
            <w:tcW w:w="1272" w:type="dxa"/>
            <w:tcBorders>
              <w:top w:val="single" w:color="auto" w:sz="4" w:space="0"/>
              <w:left w:val="single" w:color="auto" w:sz="4" w:space="0"/>
              <w:bottom w:val="single" w:color="auto" w:sz="4" w:space="0"/>
              <w:right w:val="single" w:color="auto" w:sz="4" w:space="0"/>
            </w:tcBorders>
            <w:vAlign w:val="center"/>
          </w:tcPr>
          <w:p w14:paraId="313CA41C">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553DA88">
            <w:pPr>
              <w:pStyle w:val="47"/>
              <w:jc w:val="center"/>
              <w:rPr>
                <w:i w:val="0"/>
                <w:iCs w:val="0"/>
                <w:color w:val="auto"/>
                <w:sz w:val="21"/>
                <w:szCs w:val="21"/>
                <w:highlight w:val="none"/>
              </w:rPr>
            </w:pPr>
          </w:p>
        </w:tc>
        <w:tc>
          <w:tcPr>
            <w:tcW w:w="816" w:type="dxa"/>
            <w:tcBorders>
              <w:top w:val="single" w:color="auto" w:sz="4" w:space="0"/>
              <w:left w:val="single" w:color="auto" w:sz="4" w:space="0"/>
              <w:bottom w:val="single" w:color="auto" w:sz="4" w:space="0"/>
              <w:right w:val="single" w:color="auto" w:sz="4" w:space="0"/>
            </w:tcBorders>
            <w:vAlign w:val="center"/>
          </w:tcPr>
          <w:p w14:paraId="0DE0615D">
            <w:pPr>
              <w:pStyle w:val="47"/>
              <w:jc w:val="center"/>
              <w:rPr>
                <w:i w:val="0"/>
                <w:iCs w:val="0"/>
                <w:color w:val="auto"/>
                <w:sz w:val="21"/>
                <w:szCs w:val="21"/>
                <w:highlight w:val="none"/>
              </w:rPr>
            </w:pPr>
          </w:p>
        </w:tc>
        <w:tc>
          <w:tcPr>
            <w:tcW w:w="1032" w:type="dxa"/>
            <w:tcBorders>
              <w:top w:val="single" w:color="auto" w:sz="4" w:space="0"/>
              <w:left w:val="single" w:color="auto" w:sz="4" w:space="0"/>
              <w:bottom w:val="single" w:color="auto" w:sz="4" w:space="0"/>
              <w:right w:val="single" w:color="auto" w:sz="4" w:space="0"/>
            </w:tcBorders>
            <w:vAlign w:val="center"/>
          </w:tcPr>
          <w:p w14:paraId="5874A069">
            <w:pPr>
              <w:pStyle w:val="47"/>
              <w:jc w:val="center"/>
              <w:rPr>
                <w:i w:val="0"/>
                <w:iCs w:val="0"/>
                <w:color w:val="auto"/>
                <w:sz w:val="21"/>
                <w:szCs w:val="21"/>
                <w:highlight w:val="none"/>
              </w:rPr>
            </w:pPr>
          </w:p>
        </w:tc>
        <w:tc>
          <w:tcPr>
            <w:tcW w:w="1380" w:type="dxa"/>
            <w:tcBorders>
              <w:top w:val="single" w:color="auto" w:sz="4" w:space="0"/>
              <w:left w:val="single" w:color="auto" w:sz="4" w:space="0"/>
              <w:bottom w:val="single" w:color="auto" w:sz="4" w:space="0"/>
              <w:right w:val="single" w:color="auto" w:sz="4" w:space="0"/>
            </w:tcBorders>
            <w:vAlign w:val="center"/>
          </w:tcPr>
          <w:p w14:paraId="065BE9E4">
            <w:pPr>
              <w:pStyle w:val="47"/>
              <w:jc w:val="center"/>
              <w:rPr>
                <w:i w:val="0"/>
                <w:iCs w:val="0"/>
                <w:color w:val="auto"/>
                <w:sz w:val="21"/>
                <w:szCs w:val="21"/>
                <w:highlight w:val="none"/>
              </w:rPr>
            </w:pPr>
          </w:p>
        </w:tc>
        <w:tc>
          <w:tcPr>
            <w:tcW w:w="1714" w:type="dxa"/>
            <w:tcBorders>
              <w:top w:val="single" w:color="auto" w:sz="4" w:space="0"/>
              <w:left w:val="single" w:color="auto" w:sz="4" w:space="0"/>
              <w:bottom w:val="single" w:color="auto" w:sz="4" w:space="0"/>
              <w:right w:val="single" w:color="auto" w:sz="4" w:space="0"/>
            </w:tcBorders>
            <w:vAlign w:val="center"/>
          </w:tcPr>
          <w:p w14:paraId="32910C53">
            <w:pPr>
              <w:pStyle w:val="47"/>
              <w:jc w:val="center"/>
              <w:rPr>
                <w:i w:val="0"/>
                <w:iCs w:val="0"/>
                <w:color w:val="auto"/>
                <w:sz w:val="21"/>
                <w:szCs w:val="21"/>
                <w:highlight w:val="none"/>
              </w:rPr>
            </w:pPr>
          </w:p>
        </w:tc>
      </w:tr>
    </w:tbl>
    <w:p w14:paraId="141E07B3">
      <w:pPr>
        <w:spacing w:line="300" w:lineRule="auto"/>
        <w:rPr>
          <w:rFonts w:ascii="Arial" w:hAnsi="Arial" w:cs="Arial"/>
          <w:i w:val="0"/>
          <w:iCs w:val="0"/>
          <w:color w:val="auto"/>
          <w:szCs w:val="21"/>
          <w:highlight w:val="none"/>
        </w:rPr>
      </w:pPr>
    </w:p>
    <w:p w14:paraId="606E5A08">
      <w:pPr>
        <w:rPr>
          <w:rFonts w:ascii="Arial" w:hAnsi="Arial" w:cs="Arial"/>
          <w:b/>
          <w:i w:val="0"/>
          <w:iCs w:val="0"/>
          <w:color w:val="auto"/>
          <w:szCs w:val="21"/>
          <w:highlight w:val="none"/>
        </w:rPr>
      </w:pPr>
      <w:r>
        <w:rPr>
          <w:rFonts w:hint="eastAsia" w:ascii="Arial" w:hAnsi="Arial" w:cs="Arial"/>
          <w:b/>
          <w:i w:val="0"/>
          <w:iCs w:val="0"/>
          <w:color w:val="auto"/>
          <w:sz w:val="21"/>
          <w:szCs w:val="21"/>
          <w:highlight w:val="none"/>
        </w:rPr>
        <w:t>特别说明：</w:t>
      </w:r>
      <w:r>
        <w:rPr>
          <w:rFonts w:hint="eastAsia" w:ascii="Arial" w:hAnsi="Arial" w:cs="Arial"/>
          <w:b/>
          <w:i w:val="0"/>
          <w:iCs w:val="0"/>
          <w:color w:val="auto"/>
          <w:sz w:val="21"/>
          <w:szCs w:val="21"/>
          <w:highlight w:val="none"/>
          <w:lang w:val="en-US" w:eastAsia="zh-CN"/>
        </w:rPr>
        <w:t>供应商</w:t>
      </w:r>
      <w:r>
        <w:rPr>
          <w:rFonts w:hint="eastAsia" w:ascii="Arial" w:hAnsi="Arial" w:cs="Arial"/>
          <w:b/>
          <w:i w:val="0"/>
          <w:iCs w:val="0"/>
          <w:color w:val="auto"/>
          <w:sz w:val="21"/>
          <w:szCs w:val="21"/>
          <w:highlight w:val="none"/>
        </w:rPr>
        <w:t>应将所投产品中节能、环保产品分别列入上表中，并按本</w:t>
      </w:r>
      <w:r>
        <w:rPr>
          <w:rFonts w:hint="eastAsia" w:ascii="Arial" w:hAnsi="Arial" w:cs="Arial"/>
          <w:b/>
          <w:i w:val="0"/>
          <w:iCs w:val="0"/>
          <w:color w:val="auto"/>
          <w:sz w:val="21"/>
          <w:szCs w:val="21"/>
          <w:highlight w:val="none"/>
          <w:lang w:val="en-US" w:eastAsia="zh-CN"/>
        </w:rPr>
        <w:t>竞争性磋商</w:t>
      </w:r>
      <w:r>
        <w:rPr>
          <w:rFonts w:hint="eastAsia" w:ascii="Arial" w:hAnsi="Arial" w:cs="Arial"/>
          <w:b/>
          <w:i w:val="0"/>
          <w:iCs w:val="0"/>
          <w:color w:val="auto"/>
          <w:sz w:val="21"/>
          <w:szCs w:val="21"/>
          <w:highlight w:val="none"/>
        </w:rPr>
        <w:t>文件</w:t>
      </w:r>
      <w:r>
        <w:rPr>
          <w:rFonts w:hint="eastAsia" w:ascii="Arial" w:hAnsi="Arial" w:eastAsia="宋体" w:cs="Arial"/>
          <w:b/>
          <w:i w:val="0"/>
          <w:iCs w:val="0"/>
          <w:color w:val="auto"/>
          <w:sz w:val="21"/>
          <w:szCs w:val="21"/>
          <w:highlight w:val="none"/>
          <w:lang w:val="en-US" w:eastAsia="zh-CN"/>
        </w:rPr>
        <w:t>“</w:t>
      </w:r>
      <w:r>
        <w:rPr>
          <w:rFonts w:hint="eastAsia" w:ascii="Arial" w:hAnsi="Arial" w:eastAsia="宋体" w:cs="Arial"/>
          <w:b/>
          <w:i w:val="0"/>
          <w:iCs w:val="0"/>
          <w:color w:val="auto"/>
          <w:sz w:val="21"/>
          <w:szCs w:val="21"/>
          <w:highlight w:val="none"/>
        </w:rPr>
        <w:t>第二章</w:t>
      </w:r>
      <w:r>
        <w:rPr>
          <w:rFonts w:hint="eastAsia" w:ascii="Arial" w:hAnsi="Arial" w:eastAsia="宋体" w:cs="Arial"/>
          <w:b/>
          <w:i w:val="0"/>
          <w:iCs w:val="0"/>
          <w:color w:val="auto"/>
          <w:sz w:val="21"/>
          <w:szCs w:val="21"/>
          <w:highlight w:val="none"/>
          <w:lang w:val="en-US" w:eastAsia="zh-CN"/>
        </w:rPr>
        <w:t>供应商须知”</w:t>
      </w:r>
      <w:r>
        <w:rPr>
          <w:rFonts w:hint="eastAsia" w:ascii="Arial" w:hAnsi="Arial" w:eastAsia="宋体" w:cs="Arial"/>
          <w:b/>
          <w:i w:val="0"/>
          <w:iCs w:val="0"/>
          <w:color w:val="auto"/>
          <w:sz w:val="21"/>
          <w:szCs w:val="21"/>
          <w:highlight w:val="none"/>
        </w:rPr>
        <w:t>提</w:t>
      </w:r>
      <w:r>
        <w:rPr>
          <w:rFonts w:hint="eastAsia" w:ascii="Arial" w:hAnsi="Arial" w:cs="Arial"/>
          <w:b/>
          <w:i w:val="0"/>
          <w:iCs w:val="0"/>
          <w:color w:val="auto"/>
          <w:sz w:val="21"/>
          <w:szCs w:val="21"/>
          <w:highlight w:val="none"/>
        </w:rPr>
        <w:t>供相关证明材料，未填写本表或未提供有效认证证书</w:t>
      </w:r>
      <w:r>
        <w:rPr>
          <w:rFonts w:ascii="Arial" w:hAnsi="Arial" w:cs="Arial"/>
          <w:b/>
          <w:i w:val="0"/>
          <w:iCs w:val="0"/>
          <w:color w:val="auto"/>
          <w:sz w:val="21"/>
          <w:szCs w:val="21"/>
          <w:highlight w:val="none"/>
        </w:rPr>
        <w:t>的</w:t>
      </w:r>
      <w:r>
        <w:rPr>
          <w:rFonts w:hint="eastAsia" w:ascii="Arial" w:hAnsi="Arial" w:cs="Arial"/>
          <w:b/>
          <w:i w:val="0"/>
          <w:iCs w:val="0"/>
          <w:color w:val="auto"/>
          <w:sz w:val="21"/>
          <w:szCs w:val="21"/>
          <w:highlight w:val="none"/>
        </w:rPr>
        <w:t>不给予</w:t>
      </w:r>
      <w:r>
        <w:rPr>
          <w:rFonts w:hint="eastAsia" w:ascii="Arial" w:hAnsi="Arial" w:cs="Arial"/>
          <w:b/>
          <w:i w:val="0"/>
          <w:iCs w:val="0"/>
          <w:color w:val="auto"/>
          <w:sz w:val="21"/>
          <w:szCs w:val="21"/>
          <w:highlight w:val="none"/>
          <w:lang w:val="en-US" w:eastAsia="zh-CN"/>
        </w:rPr>
        <w:t>评审优惠</w:t>
      </w:r>
      <w:r>
        <w:rPr>
          <w:rFonts w:hint="eastAsia" w:ascii="Arial" w:hAnsi="Arial" w:cs="Arial"/>
          <w:b/>
          <w:i w:val="0"/>
          <w:iCs w:val="0"/>
          <w:color w:val="auto"/>
          <w:sz w:val="21"/>
          <w:szCs w:val="21"/>
          <w:highlight w:val="none"/>
        </w:rPr>
        <w:t>。</w:t>
      </w:r>
    </w:p>
    <w:p w14:paraId="675C9164">
      <w:pPr>
        <w:spacing w:line="300" w:lineRule="auto"/>
        <w:rPr>
          <w:rFonts w:ascii="Arial" w:hAnsi="Arial" w:cs="Arial"/>
          <w:i w:val="0"/>
          <w:iCs w:val="0"/>
          <w:color w:val="auto"/>
          <w:szCs w:val="21"/>
          <w:highlight w:val="none"/>
        </w:rPr>
      </w:pPr>
    </w:p>
    <w:p w14:paraId="0FCB6BFD">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247AFE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0617D68">
      <w:pPr>
        <w:rPr>
          <w:rFonts w:ascii="Arial" w:hAnsi="Arial" w:cs="Arial"/>
          <w:i w:val="0"/>
          <w:iCs w:val="0"/>
          <w:color w:val="auto"/>
          <w:szCs w:val="21"/>
          <w:highlight w:val="none"/>
        </w:rPr>
      </w:pPr>
      <w:r>
        <w:rPr>
          <w:rFonts w:ascii="Arial" w:hAnsi="Arial" w:cs="Arial"/>
          <w:i w:val="0"/>
          <w:iCs w:val="0"/>
          <w:color w:val="auto"/>
          <w:szCs w:val="21"/>
          <w:highlight w:val="none"/>
        </w:rPr>
        <w:br w:type="page"/>
      </w:r>
    </w:p>
    <w:p w14:paraId="711C0C58">
      <w:pPr>
        <w:pStyle w:val="7"/>
        <w:keepNext/>
        <w:keepLines/>
        <w:pageBreakBefore w:val="0"/>
        <w:widowControl w:val="0"/>
        <w:numPr>
          <w:ilvl w:val="0"/>
          <w:numId w:val="0"/>
        </w:numPr>
        <w:kinsoku/>
        <w:wordWrap/>
        <w:overflowPunct/>
        <w:topLinePunct w:val="0"/>
        <w:autoSpaceDE/>
        <w:autoSpaceDN/>
        <w:bidi w:val="0"/>
        <w:adjustRightInd/>
        <w:snapToGrid/>
        <w:spacing w:before="0" w:after="0" w:line="360" w:lineRule="auto"/>
        <w:textAlignment w:val="auto"/>
        <w:rPr>
          <w:rFonts w:hint="eastAsia" w:ascii="宋体" w:hAnsi="宋体" w:eastAsia="宋体" w:cs="宋体"/>
          <w:b/>
          <w:bCs/>
          <w:i w:val="0"/>
          <w:iCs w:val="0"/>
          <w:color w:val="auto"/>
          <w:kern w:val="2"/>
          <w:sz w:val="24"/>
          <w:szCs w:val="24"/>
          <w:highlight w:val="none"/>
          <w:lang w:val="en-US" w:eastAsia="zh-CN" w:bidi="ar-SA"/>
        </w:rPr>
      </w:pPr>
      <w:bookmarkStart w:id="666" w:name="_Toc163492939"/>
      <w:r>
        <w:rPr>
          <w:rFonts w:hint="eastAsia" w:ascii="宋体" w:hAnsi="宋体" w:eastAsia="宋体" w:cs="宋体"/>
          <w:b/>
          <w:bCs/>
          <w:i w:val="0"/>
          <w:iCs w:val="0"/>
          <w:color w:val="auto"/>
          <w:kern w:val="2"/>
          <w:sz w:val="24"/>
          <w:szCs w:val="24"/>
          <w:highlight w:val="none"/>
          <w:lang w:val="en-US" w:eastAsia="zh-CN" w:bidi="ar-SA"/>
        </w:rPr>
        <w:t>（二）中小企业声明函</w:t>
      </w:r>
      <w:r>
        <w:rPr>
          <w:rFonts w:hint="eastAsia" w:ascii="宋体" w:hAnsi="宋体" w:eastAsia="宋体" w:cs="宋体"/>
          <w:b w:val="0"/>
          <w:bCs w:val="0"/>
          <w:i w:val="0"/>
          <w:iCs w:val="0"/>
          <w:color w:val="auto"/>
          <w:kern w:val="2"/>
          <w:sz w:val="24"/>
          <w:szCs w:val="24"/>
          <w:highlight w:val="none"/>
          <w:lang w:val="en-US" w:eastAsia="zh-CN" w:bidi="ar-SA"/>
        </w:rPr>
        <w:t>【</w:t>
      </w:r>
      <w:r>
        <w:rPr>
          <w:rFonts w:hint="eastAsia" w:cs="宋体"/>
          <w:b w:val="0"/>
          <w:bCs w:val="0"/>
          <w:i w:val="0"/>
          <w:iCs w:val="0"/>
          <w:color w:val="auto"/>
          <w:kern w:val="2"/>
          <w:sz w:val="24"/>
          <w:szCs w:val="24"/>
          <w:highlight w:val="none"/>
          <w:lang w:val="en-US" w:eastAsia="zh-CN" w:bidi="ar-SA"/>
        </w:rPr>
        <w:t>如专门面向中小企业采购的项目，此函可放于此处，否则，应后置于“其他资格证明文件”</w:t>
      </w:r>
      <w:r>
        <w:rPr>
          <w:rFonts w:hint="eastAsia" w:ascii="宋体" w:hAnsi="宋体" w:eastAsia="宋体" w:cs="宋体"/>
          <w:b w:val="0"/>
          <w:bCs w:val="0"/>
          <w:i w:val="0"/>
          <w:iCs w:val="0"/>
          <w:color w:val="auto"/>
          <w:kern w:val="2"/>
          <w:sz w:val="24"/>
          <w:szCs w:val="24"/>
          <w:highlight w:val="none"/>
          <w:lang w:val="en-US" w:eastAsia="zh-CN" w:bidi="ar-SA"/>
        </w:rPr>
        <w:t>】</w:t>
      </w:r>
      <w:bookmarkEnd w:id="666"/>
    </w:p>
    <w:p w14:paraId="17DF8322">
      <w:pPr>
        <w:pStyle w:val="40"/>
        <w:keepNext w:val="0"/>
        <w:keepLines w:val="0"/>
        <w:pageBreakBefore w:val="0"/>
        <w:widowControl w:val="0"/>
        <w:numPr>
          <w:ilvl w:val="0"/>
          <w:numId w:val="0"/>
        </w:numPr>
        <w:kinsoku/>
        <w:wordWrap/>
        <w:overflowPunct/>
        <w:topLinePunct w:val="0"/>
        <w:autoSpaceDE/>
        <w:autoSpaceDN/>
        <w:bidi w:val="0"/>
        <w:adjustRightInd/>
        <w:snapToGrid/>
        <w:spacing w:line="300" w:lineRule="exact"/>
        <w:ind w:left="420" w:leftChars="0" w:hanging="420" w:firstLineChars="0"/>
        <w:jc w:val="center"/>
        <w:textAlignment w:val="auto"/>
        <w:rPr>
          <w:rFonts w:hint="eastAsia"/>
          <w:b/>
          <w:bCs/>
          <w:i w:val="0"/>
          <w:iCs w:val="0"/>
          <w:color w:val="auto"/>
          <w:sz w:val="32"/>
          <w:szCs w:val="32"/>
          <w:highlight w:val="none"/>
        </w:rPr>
      </w:pPr>
    </w:p>
    <w:p w14:paraId="3E31A8EB">
      <w:pPr>
        <w:pStyle w:val="40"/>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中小企业声明函</w:t>
      </w:r>
    </w:p>
    <w:p w14:paraId="78BC1CF1">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本公司（联合体）郑重声明，根据《政府采购促进中小企业发展管理办法》（财库﹝2020﹞46 号）的规定，本公司（联合体）参加</w:t>
      </w:r>
      <w:r>
        <w:rPr>
          <w:rFonts w:hint="eastAsia" w:cs="宋体"/>
          <w:i w:val="0"/>
          <w:iCs w:val="0"/>
          <w:color w:val="auto"/>
          <w:spacing w:val="6"/>
          <w:szCs w:val="24"/>
          <w:highlight w:val="none"/>
          <w:u w:val="single"/>
        </w:rPr>
        <w:t xml:space="preserve"> （单位名称）</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u w:val="single"/>
        </w:rPr>
        <w:t xml:space="preserve"> </w:t>
      </w:r>
      <w:r>
        <w:rPr>
          <w:rFonts w:hint="eastAsia" w:cs="宋体"/>
          <w:i w:val="0"/>
          <w:iCs w:val="0"/>
          <w:color w:val="auto"/>
          <w:spacing w:val="6"/>
          <w:szCs w:val="24"/>
          <w:highlight w:val="none"/>
        </w:rPr>
        <w:t xml:space="preserve">的 </w:t>
      </w:r>
      <w:r>
        <w:rPr>
          <w:rFonts w:hint="eastAsia" w:cs="宋体"/>
          <w:i w:val="0"/>
          <w:iCs w:val="0"/>
          <w:color w:val="auto"/>
          <w:spacing w:val="6"/>
          <w:szCs w:val="24"/>
          <w:highlight w:val="none"/>
          <w:u w:val="single"/>
        </w:rPr>
        <w:t xml:space="preserve">（项目名称） </w:t>
      </w:r>
      <w:r>
        <w:rPr>
          <w:rFonts w:hint="eastAsia" w:cs="宋体"/>
          <w:i w:val="0"/>
          <w:iCs w:val="0"/>
          <w:color w:val="auto"/>
          <w:spacing w:val="6"/>
          <w:szCs w:val="24"/>
          <w:highlight w:val="none"/>
        </w:rPr>
        <w:t>采购活动，服务全部由符合政策要求的中小企业承接。相关企业（含联合体中的中小企业、签订分包意向协议</w:t>
      </w:r>
      <w:r>
        <w:rPr>
          <w:rFonts w:hint="eastAsia" w:cs="宋体"/>
          <w:i w:val="0"/>
          <w:iCs w:val="0"/>
          <w:color w:val="auto"/>
          <w:spacing w:val="6"/>
          <w:szCs w:val="24"/>
          <w:highlight w:val="none"/>
          <w:lang w:val="en-US" w:eastAsia="zh-CN"/>
        </w:rPr>
        <w:t>书</w:t>
      </w:r>
      <w:r>
        <w:rPr>
          <w:rFonts w:hint="eastAsia" w:cs="宋体"/>
          <w:i w:val="0"/>
          <w:iCs w:val="0"/>
          <w:color w:val="auto"/>
          <w:spacing w:val="6"/>
          <w:szCs w:val="24"/>
          <w:highlight w:val="none"/>
        </w:rPr>
        <w:t>的中小企业）的具体情况如下：</w:t>
      </w:r>
    </w:p>
    <w:p w14:paraId="5FCC96F1">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1.</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（采购文件中明确的所属行业）</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1D01E102">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2.</w:t>
      </w:r>
      <w:r>
        <w:rPr>
          <w:rFonts w:hint="eastAsia" w:cs="宋体"/>
          <w:i w:val="0"/>
          <w:iCs w:val="0"/>
          <w:color w:val="auto"/>
          <w:spacing w:val="6"/>
          <w:szCs w:val="24"/>
          <w:highlight w:val="none"/>
          <w:u w:val="single"/>
        </w:rPr>
        <w:t xml:space="preserve"> （标的名称） </w:t>
      </w:r>
      <w:r>
        <w:rPr>
          <w:rFonts w:hint="eastAsia" w:cs="宋体"/>
          <w:i w:val="0"/>
          <w:iCs w:val="0"/>
          <w:color w:val="auto"/>
          <w:spacing w:val="6"/>
          <w:szCs w:val="24"/>
          <w:highlight w:val="none"/>
        </w:rPr>
        <w:t>，属于</w:t>
      </w:r>
      <w:r>
        <w:rPr>
          <w:rFonts w:hint="eastAsia" w:cs="宋体"/>
          <w:i w:val="0"/>
          <w:iCs w:val="0"/>
          <w:color w:val="auto"/>
          <w:spacing w:val="6"/>
          <w:szCs w:val="24"/>
          <w:highlight w:val="none"/>
          <w:u w:val="single"/>
        </w:rPr>
        <w:t xml:space="preserve"> （采购文件中明确的所属行业）</w:t>
      </w:r>
      <w:r>
        <w:rPr>
          <w:rFonts w:hint="eastAsia" w:cs="宋体"/>
          <w:i w:val="0"/>
          <w:iCs w:val="0"/>
          <w:color w:val="auto"/>
          <w:spacing w:val="6"/>
          <w:szCs w:val="24"/>
          <w:highlight w:val="none"/>
        </w:rPr>
        <w:t>行业 ；承接企业为</w:t>
      </w:r>
      <w:r>
        <w:rPr>
          <w:rFonts w:hint="eastAsia" w:cs="宋体"/>
          <w:i w:val="0"/>
          <w:iCs w:val="0"/>
          <w:color w:val="auto"/>
          <w:spacing w:val="6"/>
          <w:szCs w:val="24"/>
          <w:highlight w:val="none"/>
          <w:u w:val="single"/>
        </w:rPr>
        <w:t xml:space="preserve"> （企业名称） </w:t>
      </w:r>
      <w:r>
        <w:rPr>
          <w:rFonts w:hint="eastAsia" w:cs="宋体"/>
          <w:i w:val="0"/>
          <w:iCs w:val="0"/>
          <w:color w:val="auto"/>
          <w:spacing w:val="6"/>
          <w:szCs w:val="24"/>
          <w:highlight w:val="none"/>
        </w:rPr>
        <w:t>，从业人员</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人，营业收入为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万元，资产总额为</w:t>
      </w:r>
      <w:r>
        <w:rPr>
          <w:rFonts w:hint="eastAsia" w:cs="宋体"/>
          <w:i w:val="0"/>
          <w:iCs w:val="0"/>
          <w:color w:val="auto"/>
          <w:spacing w:val="6"/>
          <w:szCs w:val="24"/>
          <w:highlight w:val="none"/>
          <w:u w:val="single"/>
          <w:lang w:val="en-US" w:eastAsia="zh-CN"/>
        </w:rPr>
        <w:t xml:space="preserve">     </w:t>
      </w:r>
      <w:r>
        <w:rPr>
          <w:rFonts w:hint="eastAsia" w:cs="宋体"/>
          <w:i w:val="0"/>
          <w:iCs w:val="0"/>
          <w:color w:val="auto"/>
          <w:spacing w:val="6"/>
          <w:szCs w:val="24"/>
          <w:highlight w:val="none"/>
        </w:rPr>
        <w:t>万元，属于</w:t>
      </w:r>
      <w:r>
        <w:rPr>
          <w:rFonts w:hint="eastAsia" w:cs="宋体"/>
          <w:i w:val="0"/>
          <w:iCs w:val="0"/>
          <w:color w:val="auto"/>
          <w:spacing w:val="6"/>
          <w:szCs w:val="24"/>
          <w:highlight w:val="none"/>
          <w:u w:val="single"/>
        </w:rPr>
        <w:t xml:space="preserve"> （中型企业、小型企业、微型企业）</w:t>
      </w:r>
      <w:r>
        <w:rPr>
          <w:rFonts w:hint="eastAsia" w:cs="宋体"/>
          <w:i w:val="0"/>
          <w:iCs w:val="0"/>
          <w:color w:val="auto"/>
          <w:spacing w:val="6"/>
          <w:szCs w:val="24"/>
          <w:highlight w:val="none"/>
        </w:rPr>
        <w:t>；</w:t>
      </w:r>
    </w:p>
    <w:p w14:paraId="7CB1DD8C">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w:t>
      </w:r>
    </w:p>
    <w:p w14:paraId="776FE44A">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以上企业，不属于大企业的分支机构，不存在控股股东为大企业的情形，也不存在与大企业的负责人为同一人的情形。</w:t>
      </w:r>
    </w:p>
    <w:p w14:paraId="3A720EA2">
      <w:pPr>
        <w:ind w:firstLine="504" w:firstLineChars="200"/>
        <w:rPr>
          <w:rFonts w:cs="宋体"/>
          <w:i w:val="0"/>
          <w:iCs w:val="0"/>
          <w:color w:val="auto"/>
          <w:spacing w:val="6"/>
          <w:szCs w:val="24"/>
          <w:highlight w:val="none"/>
        </w:rPr>
      </w:pPr>
      <w:r>
        <w:rPr>
          <w:rFonts w:hint="eastAsia" w:cs="宋体"/>
          <w:i w:val="0"/>
          <w:iCs w:val="0"/>
          <w:color w:val="auto"/>
          <w:spacing w:val="6"/>
          <w:szCs w:val="24"/>
          <w:highlight w:val="none"/>
        </w:rPr>
        <w:t>本企业对上述声明内容的真实性负责。如有虚假，将依法承担相应责任。</w:t>
      </w:r>
    </w:p>
    <w:p w14:paraId="5A6D844B">
      <w:pPr>
        <w:ind w:right="1008" w:firstLine="4788" w:firstLineChars="1900"/>
        <w:rPr>
          <w:rFonts w:cs="宋体"/>
          <w:i w:val="0"/>
          <w:iCs w:val="0"/>
          <w:color w:val="auto"/>
          <w:spacing w:val="6"/>
          <w:szCs w:val="24"/>
          <w:highlight w:val="none"/>
        </w:rPr>
      </w:pPr>
    </w:p>
    <w:p w14:paraId="165AEE2D">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183E380">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BA8C73B">
      <w:pPr>
        <w:ind w:firstLine="504" w:firstLineChars="200"/>
        <w:rPr>
          <w:rFonts w:cs="宋体"/>
          <w:i w:val="0"/>
          <w:iCs w:val="0"/>
          <w:color w:val="auto"/>
          <w:spacing w:val="6"/>
          <w:szCs w:val="24"/>
          <w:highlight w:val="none"/>
        </w:rPr>
      </w:pPr>
    </w:p>
    <w:p w14:paraId="748B4DD4">
      <w:pPr>
        <w:spacing w:line="360" w:lineRule="auto"/>
        <w:rPr>
          <w:rFonts w:hint="default" w:cs="宋体"/>
          <w:b/>
          <w:bCs/>
          <w:i w:val="0"/>
          <w:iCs w:val="0"/>
          <w:color w:val="auto"/>
          <w:spacing w:val="6"/>
          <w:sz w:val="21"/>
          <w:szCs w:val="21"/>
          <w:highlight w:val="none"/>
          <w:lang w:val="en-US" w:eastAsia="zh-CN"/>
        </w:rPr>
      </w:pPr>
      <w:r>
        <w:rPr>
          <w:rFonts w:hint="eastAsia" w:cs="宋体"/>
          <w:b/>
          <w:bCs/>
          <w:i w:val="0"/>
          <w:iCs w:val="0"/>
          <w:color w:val="auto"/>
          <w:spacing w:val="6"/>
          <w:sz w:val="21"/>
          <w:szCs w:val="21"/>
          <w:highlight w:val="none"/>
        </w:rPr>
        <w:t>说明：</w:t>
      </w:r>
      <w:r>
        <w:rPr>
          <w:rFonts w:hint="eastAsia" w:cs="宋体"/>
          <w:b/>
          <w:bCs/>
          <w:i w:val="0"/>
          <w:iCs w:val="0"/>
          <w:color w:val="auto"/>
          <w:spacing w:val="6"/>
          <w:sz w:val="21"/>
          <w:szCs w:val="21"/>
          <w:highlight w:val="none"/>
          <w:lang w:val="en-US" w:eastAsia="zh-CN"/>
        </w:rPr>
        <w:t>1.重要提示：供应商应仔细阅读本函附件1关于“中小企业声明函”的填写要求及提交要求，否则，因填写或提交等产生的一切不利后果，须自行承担。</w:t>
      </w:r>
    </w:p>
    <w:p w14:paraId="30478923">
      <w:pPr>
        <w:spacing w:line="360" w:lineRule="auto"/>
        <w:ind w:firstLine="446" w:firstLineChars="200"/>
        <w:rPr>
          <w:rFonts w:hint="eastAsia" w:cs="宋体"/>
          <w:i w:val="0"/>
          <w:iCs w:val="0"/>
          <w:color w:val="auto"/>
          <w:spacing w:val="6"/>
          <w:sz w:val="24"/>
          <w:szCs w:val="24"/>
          <w:highlight w:val="none"/>
        </w:rPr>
      </w:pPr>
      <w:r>
        <w:rPr>
          <w:rFonts w:hint="eastAsia" w:cs="宋体"/>
          <w:b/>
          <w:bCs/>
          <w:i w:val="0"/>
          <w:iCs w:val="0"/>
          <w:color w:val="auto"/>
          <w:spacing w:val="6"/>
          <w:sz w:val="21"/>
          <w:szCs w:val="21"/>
          <w:highlight w:val="none"/>
          <w:lang w:val="en-US" w:eastAsia="zh-CN"/>
        </w:rPr>
        <w:t>2.</w:t>
      </w:r>
      <w:r>
        <w:rPr>
          <w:rFonts w:hint="eastAsia" w:cs="宋体"/>
          <w:i w:val="0"/>
          <w:iCs w:val="0"/>
          <w:color w:val="auto"/>
          <w:spacing w:val="6"/>
          <w:sz w:val="21"/>
          <w:szCs w:val="21"/>
          <w:highlight w:val="none"/>
        </w:rPr>
        <w:t>从业人员、营业收入、资产总额填报上一年度数据，无上一年度数据的新成立企业可不填报。</w:t>
      </w:r>
    </w:p>
    <w:p w14:paraId="645259F9">
      <w:pPr>
        <w:rPr>
          <w:rFonts w:cs="宋体"/>
          <w:i w:val="0"/>
          <w:iCs w:val="0"/>
          <w:color w:val="auto"/>
          <w:spacing w:val="6"/>
          <w:sz w:val="21"/>
          <w:szCs w:val="21"/>
          <w:highlight w:val="none"/>
        </w:rPr>
      </w:pPr>
    </w:p>
    <w:p w14:paraId="38D889F8">
      <w:pPr>
        <w:rPr>
          <w:rFonts w:cs="宋体"/>
          <w:i w:val="0"/>
          <w:iCs w:val="0"/>
          <w:color w:val="auto"/>
          <w:spacing w:val="6"/>
          <w:sz w:val="21"/>
          <w:szCs w:val="21"/>
          <w:highlight w:val="none"/>
        </w:rPr>
      </w:pPr>
    </w:p>
    <w:p w14:paraId="501C8029">
      <w:pPr>
        <w:rPr>
          <w:rFonts w:cs="宋体"/>
          <w:i w:val="0"/>
          <w:iCs w:val="0"/>
          <w:color w:val="auto"/>
          <w:spacing w:val="6"/>
          <w:sz w:val="21"/>
          <w:szCs w:val="21"/>
          <w:highlight w:val="none"/>
        </w:rPr>
      </w:pPr>
    </w:p>
    <w:p w14:paraId="325BBB21">
      <w:pPr>
        <w:rPr>
          <w:rFonts w:cs="宋体"/>
          <w:i w:val="0"/>
          <w:iCs w:val="0"/>
          <w:color w:val="auto"/>
          <w:spacing w:val="6"/>
          <w:sz w:val="21"/>
          <w:szCs w:val="21"/>
          <w:highlight w:val="none"/>
        </w:rPr>
      </w:pPr>
    </w:p>
    <w:p w14:paraId="3EAEDF6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bCs/>
          <w:i w:val="0"/>
          <w:iCs w:val="0"/>
          <w:color w:val="auto"/>
          <w:highlight w:val="none"/>
          <w:lang w:val="en-US" w:eastAsia="zh-CN"/>
        </w:rPr>
      </w:pPr>
    </w:p>
    <w:p w14:paraId="7006C7B7">
      <w:pPr>
        <w:keepNext w:val="0"/>
        <w:keepLines w:val="0"/>
        <w:pageBreakBefore w:val="0"/>
        <w:widowControl w:val="0"/>
        <w:kinsoku/>
        <w:wordWrap/>
        <w:overflowPunct/>
        <w:topLinePunct w:val="0"/>
        <w:autoSpaceDE/>
        <w:autoSpaceDN/>
        <w:bidi w:val="0"/>
        <w:adjustRightInd/>
        <w:snapToGrid/>
        <w:spacing w:line="360" w:lineRule="exact"/>
        <w:textAlignment w:val="auto"/>
        <w:rPr>
          <w:rFonts w:hint="default"/>
          <w:b/>
          <w:bCs/>
          <w:i w:val="0"/>
          <w:iCs w:val="0"/>
          <w:color w:val="auto"/>
          <w:highlight w:val="none"/>
          <w:lang w:val="en-US" w:eastAsia="zh-CN"/>
        </w:rPr>
      </w:pPr>
      <w:r>
        <w:rPr>
          <w:rFonts w:hint="eastAsia"/>
          <w:b/>
          <w:bCs/>
          <w:i w:val="0"/>
          <w:iCs w:val="0"/>
          <w:color w:val="auto"/>
          <w:highlight w:val="none"/>
          <w:lang w:val="en-US" w:eastAsia="zh-CN"/>
        </w:rPr>
        <w:t xml:space="preserve">附件1 </w:t>
      </w:r>
    </w:p>
    <w:p w14:paraId="0A0B18BB">
      <w:pPr>
        <w:keepNext w:val="0"/>
        <w:keepLines w:val="0"/>
        <w:widowControl/>
        <w:suppressLineNumbers w:val="0"/>
        <w:ind w:firstLine="562" w:firstLineChars="200"/>
        <w:jc w:val="left"/>
        <w:rPr>
          <w:rStyle w:val="33"/>
          <w:rFonts w:hint="eastAsia" w:ascii="宋体" w:hAnsi="宋体" w:eastAsia="宋体" w:cs="宋体"/>
          <w:i w:val="0"/>
          <w:iCs w:val="0"/>
          <w:color w:val="auto"/>
          <w:kern w:val="0"/>
          <w:sz w:val="28"/>
          <w:szCs w:val="28"/>
          <w:highlight w:val="none"/>
          <w:lang w:val="en-US" w:eastAsia="zh-CN"/>
        </w:rPr>
      </w:pPr>
    </w:p>
    <w:p w14:paraId="2318C2EC">
      <w:pPr>
        <w:keepNext w:val="0"/>
        <w:keepLines w:val="0"/>
        <w:widowControl/>
        <w:suppressLineNumbers w:val="0"/>
        <w:ind w:firstLine="482" w:firstLineChars="200"/>
        <w:jc w:val="left"/>
        <w:rPr>
          <w:rStyle w:val="33"/>
          <w:rFonts w:hint="eastAsia" w:ascii="宋体" w:hAnsi="宋体" w:eastAsia="宋体" w:cs="宋体"/>
          <w:i w:val="0"/>
          <w:iCs w:val="0"/>
          <w:color w:val="auto"/>
          <w:kern w:val="0"/>
          <w:sz w:val="28"/>
          <w:szCs w:val="28"/>
          <w:highlight w:val="none"/>
          <w:lang w:val="en-US" w:eastAsia="zh-CN"/>
        </w:rPr>
      </w:pPr>
      <w:r>
        <w:rPr>
          <w:rStyle w:val="33"/>
          <w:rFonts w:hint="eastAsia" w:ascii="宋体" w:hAnsi="宋体" w:eastAsia="宋体" w:cs="宋体"/>
          <w:i w:val="0"/>
          <w:iCs w:val="0"/>
          <w:color w:val="auto"/>
          <w:kern w:val="0"/>
          <w:sz w:val="24"/>
          <w:szCs w:val="24"/>
          <w:highlight w:val="none"/>
          <w:lang w:val="en-US" w:eastAsia="zh-CN"/>
        </w:rPr>
        <w:t>（一）关于</w:t>
      </w:r>
      <w:r>
        <w:rPr>
          <w:rStyle w:val="33"/>
          <w:rFonts w:hint="eastAsia" w:cs="宋体"/>
          <w:i w:val="0"/>
          <w:iCs w:val="0"/>
          <w:color w:val="auto"/>
          <w:kern w:val="0"/>
          <w:sz w:val="24"/>
          <w:szCs w:val="24"/>
          <w:highlight w:val="none"/>
          <w:lang w:val="en-US" w:eastAsia="zh-CN"/>
        </w:rPr>
        <w:t>“</w:t>
      </w:r>
      <w:r>
        <w:rPr>
          <w:rStyle w:val="33"/>
          <w:rFonts w:hint="eastAsia" w:ascii="宋体" w:hAnsi="宋体" w:eastAsia="宋体" w:cs="宋体"/>
          <w:i w:val="0"/>
          <w:iCs w:val="0"/>
          <w:color w:val="auto"/>
          <w:kern w:val="0"/>
          <w:sz w:val="24"/>
          <w:szCs w:val="24"/>
          <w:highlight w:val="none"/>
          <w:lang w:val="en-US" w:eastAsia="zh-CN"/>
        </w:rPr>
        <w:t>中小企业声明函</w:t>
      </w:r>
      <w:r>
        <w:rPr>
          <w:rStyle w:val="33"/>
          <w:rFonts w:hint="eastAsia" w:cs="宋体"/>
          <w:i w:val="0"/>
          <w:iCs w:val="0"/>
          <w:color w:val="auto"/>
          <w:kern w:val="0"/>
          <w:sz w:val="24"/>
          <w:szCs w:val="24"/>
          <w:highlight w:val="none"/>
          <w:lang w:val="en-US" w:eastAsia="zh-CN"/>
        </w:rPr>
        <w:t>”</w:t>
      </w:r>
      <w:r>
        <w:rPr>
          <w:rStyle w:val="33"/>
          <w:rFonts w:hint="eastAsia" w:ascii="宋体" w:hAnsi="宋体" w:eastAsia="宋体" w:cs="宋体"/>
          <w:i w:val="0"/>
          <w:iCs w:val="0"/>
          <w:color w:val="auto"/>
          <w:kern w:val="0"/>
          <w:sz w:val="24"/>
          <w:szCs w:val="24"/>
          <w:highlight w:val="none"/>
          <w:lang w:val="en-US" w:eastAsia="zh-CN"/>
        </w:rPr>
        <w:t>的填写要求</w:t>
      </w:r>
    </w:p>
    <w:p w14:paraId="6BC4DFB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具体填写要求如下：</w:t>
      </w:r>
    </w:p>
    <w:p w14:paraId="414BDEE0">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1.“单位名称”应填写采购人名称。</w:t>
      </w:r>
    </w:p>
    <w:p w14:paraId="3C11145C">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2.“项目名称”应按照采购文件中确定的项目名称填写。对于分包方式面向中小企业采购的项目，应标明中小企业的具体分包内容；对于以联合体方式面向中小企业采购的项目，应标明联合体中中小企业所承担的具体内容。</w:t>
      </w:r>
    </w:p>
    <w:p w14:paraId="02B61C1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3.“标的名称”应填写采购文件中细化载明的采购标的名称。对于分包方式面向中小企业采购的项目，“标的名称”应填写采购文件中注明的分包给中小企业的采购标的名称；对于以联合体方式面向中小企业采购的项目，“标的名称”应填写采购文件中注明的联合体中中小企业承担的采购标的名称。</w:t>
      </w:r>
    </w:p>
    <w:p w14:paraId="29C82323">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4.“采购文件中明确的所属行业”应填写采购文件中明确的采购标的所属行业，并应确保与采购标的涉及的货物制造商/服务承接商/工程承建商（根据项目属性确定）本身的所属行业保持一致。</w:t>
      </w:r>
    </w:p>
    <w:p w14:paraId="634D661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分包方式面向中小企业采购的项目，“采购文件中明确的所属行业”应按照采购文件中注明的分包给中小企业的采购标的所属行业填写，并应确保与该分包部分采购标的涉及的货物制造商/服务承接商/工程承建商（根据项目属性确定）本身的所属行业保持一致。</w:t>
      </w:r>
    </w:p>
    <w:p w14:paraId="3941B3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以联合体方式面向中小企业采购的项目，“采购文件中明确的所属行业”应按照采购文件中注明的联合体中中小企业承担的采购标的所属行业填写，并应确保与该承担部分采购标的涉及的货物制造商/服务承接商/工程承建商（根据项目属性确定）本身的所属行业保持一致。</w:t>
      </w:r>
    </w:p>
    <w:p w14:paraId="3C9C37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5.“企业名称”应填写投标（响应）的货物制造商/服务承接商/工程承建商（根据项目属性确定）。</w:t>
      </w:r>
    </w:p>
    <w:p w14:paraId="1A04AFA6">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对于分包方式面向中小企业采购的项目，“企业名称”应填写分包部分采购标的对应的货物制造商/服务承接商/工程承建商（根据项目属性确定）。</w:t>
      </w:r>
    </w:p>
    <w:p w14:paraId="67D0083B">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对于以联合体方式面向中小企业采购的项目，“企业名称”应填写联合体中中小企业承担采购标的对应的货物制造商/服务承接商/工程承建商（根据项目属性确定）。</w:t>
      </w:r>
    </w:p>
    <w:p w14:paraId="47482CF1">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6.从业人员、资产总额指标以上年度末数据为依据，营业收入指标以上年度累计数据为依据。无上年度数据的新成立企业可不填报。</w:t>
      </w:r>
    </w:p>
    <w:p w14:paraId="417BBF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7.“中型企业/小型企业/微型企业”部分，供应商应依据企业上年度从业人员、营业收入、资产总额等指标，按照《中小企业划型标准规定》（工信部联企业〔2011〕300号）、《金融业企业划型标准规定》（银发〔2015〕309号），判断</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载明的货物制造商/服务承接商/工程承建商（根据项目属性确定）是否属于采购文件所属行业的中型企业/小型企业/微型企业。</w:t>
      </w:r>
    </w:p>
    <w:p w14:paraId="0A3DD53E">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8.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BA9439A">
      <w:pPr>
        <w:keepNext w:val="0"/>
        <w:keepLines w:val="0"/>
        <w:widowControl/>
        <w:suppressLineNumbers w:val="0"/>
        <w:ind w:firstLine="482" w:firstLineChars="200"/>
        <w:jc w:val="left"/>
        <w:rPr>
          <w:rStyle w:val="33"/>
          <w:rFonts w:hint="eastAsia" w:ascii="宋体" w:hAnsi="宋体" w:eastAsia="宋体" w:cs="宋体"/>
          <w:i w:val="0"/>
          <w:iCs w:val="0"/>
          <w:color w:val="auto"/>
          <w:kern w:val="0"/>
          <w:sz w:val="24"/>
          <w:szCs w:val="24"/>
          <w:highlight w:val="none"/>
          <w:lang w:val="en-US" w:eastAsia="zh-CN"/>
        </w:rPr>
      </w:pPr>
      <w:r>
        <w:rPr>
          <w:rStyle w:val="33"/>
          <w:rFonts w:hint="eastAsia" w:ascii="宋体" w:hAnsi="宋体" w:eastAsia="宋体" w:cs="宋体"/>
          <w:i w:val="0"/>
          <w:iCs w:val="0"/>
          <w:color w:val="auto"/>
          <w:kern w:val="0"/>
          <w:sz w:val="24"/>
          <w:szCs w:val="24"/>
          <w:highlight w:val="none"/>
          <w:lang w:val="en-US" w:eastAsia="zh-CN"/>
        </w:rPr>
        <w:t>（二）关于“中小企业声明函”的提交要求</w:t>
      </w:r>
    </w:p>
    <w:p w14:paraId="5F29A0D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1.投标（响应）供应商对</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的真实性负责。投标（响应）供应商应当核实投标（响应）的货物制造商/服务承接商/工程承建商（根据项目属性确定）的相关信息，如对相关信息了解不充分，或者不能确定相关信息真实、准确的，不建议出具</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w:t>
      </w:r>
    </w:p>
    <w:p w14:paraId="49FFD352">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eastAsia" w:ascii="宋体" w:hAnsi="宋体" w:eastAsia="宋体" w:cs="宋体"/>
          <w:i w:val="0"/>
          <w:iCs w:val="0"/>
          <w:color w:val="auto"/>
          <w:kern w:val="0"/>
          <w:sz w:val="24"/>
          <w:szCs w:val="28"/>
          <w:highlight w:val="none"/>
          <w:lang w:val="en-US" w:eastAsia="zh-CN"/>
        </w:rPr>
      </w:pPr>
      <w:r>
        <w:rPr>
          <w:rFonts w:hint="eastAsia" w:ascii="宋体" w:hAnsi="宋体" w:eastAsia="宋体" w:cs="宋体"/>
          <w:i w:val="0"/>
          <w:iCs w:val="0"/>
          <w:color w:val="auto"/>
          <w:kern w:val="0"/>
          <w:sz w:val="24"/>
          <w:szCs w:val="28"/>
          <w:highlight w:val="none"/>
          <w:lang w:val="en-US" w:eastAsia="zh-CN"/>
        </w:rPr>
        <w:t>2.鼓励供应商在投标（响应）时一并提供对货物制造商、服务承接商、工程承建商相关信息的核实核验情况以及其他佐证材料。</w:t>
      </w:r>
    </w:p>
    <w:p w14:paraId="5309701E">
      <w:pPr>
        <w:ind w:firstLine="480" w:firstLineChars="200"/>
        <w:rPr>
          <w:rFonts w:cs="宋体"/>
          <w:i w:val="0"/>
          <w:iCs w:val="0"/>
          <w:color w:val="auto"/>
          <w:spacing w:val="6"/>
          <w:sz w:val="21"/>
          <w:szCs w:val="21"/>
          <w:highlight w:val="none"/>
        </w:rPr>
      </w:pPr>
      <w:r>
        <w:rPr>
          <w:rFonts w:hint="eastAsia" w:ascii="宋体" w:hAnsi="宋体" w:eastAsia="宋体" w:cs="宋体"/>
          <w:i w:val="0"/>
          <w:iCs w:val="0"/>
          <w:color w:val="auto"/>
          <w:kern w:val="0"/>
          <w:sz w:val="24"/>
          <w:szCs w:val="28"/>
          <w:highlight w:val="none"/>
          <w:lang w:val="en-US" w:eastAsia="zh-CN"/>
        </w:rPr>
        <w:t>3.如供应商提供的</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中小企业声明函</w:t>
      </w:r>
      <w:r>
        <w:rPr>
          <w:rFonts w:hint="eastAsia" w:cs="宋体"/>
          <w:i w:val="0"/>
          <w:iCs w:val="0"/>
          <w:color w:val="auto"/>
          <w:kern w:val="0"/>
          <w:sz w:val="24"/>
          <w:szCs w:val="28"/>
          <w:highlight w:val="none"/>
          <w:lang w:val="en-US" w:eastAsia="zh-CN"/>
        </w:rPr>
        <w:t>”</w:t>
      </w:r>
      <w:r>
        <w:rPr>
          <w:rFonts w:hint="eastAsia" w:ascii="宋体" w:hAnsi="宋体" w:eastAsia="宋体" w:cs="宋体"/>
          <w:i w:val="0"/>
          <w:iCs w:val="0"/>
          <w:color w:val="auto"/>
          <w:kern w:val="0"/>
          <w:sz w:val="24"/>
          <w:szCs w:val="28"/>
          <w:highlight w:val="none"/>
          <w:lang w:val="en-US" w:eastAsia="zh-CN"/>
        </w:rPr>
        <w:t>存在按采购文件所属行业划型不实的，属于提供虚假材料谋取中标、成交，依照《中华人民共和国政府采购法》第七十七条的规定，将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246E8A2">
      <w:pPr>
        <w:rPr>
          <w:rFonts w:cs="宋体"/>
          <w:i w:val="0"/>
          <w:iCs w:val="0"/>
          <w:color w:val="auto"/>
          <w:spacing w:val="6"/>
          <w:sz w:val="21"/>
          <w:szCs w:val="21"/>
          <w:highlight w:val="none"/>
        </w:rPr>
      </w:pPr>
    </w:p>
    <w:p w14:paraId="6E224C04">
      <w:pPr>
        <w:rPr>
          <w:rFonts w:cs="宋体"/>
          <w:i w:val="0"/>
          <w:iCs w:val="0"/>
          <w:color w:val="auto"/>
          <w:spacing w:val="6"/>
          <w:sz w:val="21"/>
          <w:szCs w:val="21"/>
          <w:highlight w:val="none"/>
        </w:rPr>
      </w:pPr>
    </w:p>
    <w:p w14:paraId="511B2BB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附件2：</w:t>
      </w:r>
    </w:p>
    <w:p w14:paraId="243BB2FE">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关于印发中小企业划型标准规定的通知</w:t>
      </w:r>
    </w:p>
    <w:p w14:paraId="7FFC0F7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i w:val="0"/>
          <w:iCs w:val="0"/>
          <w:color w:val="auto"/>
          <w:sz w:val="24"/>
          <w:szCs w:val="24"/>
          <w:highlight w:val="none"/>
        </w:rPr>
      </w:pPr>
      <w:r>
        <w:rPr>
          <w:rStyle w:val="33"/>
          <w:rFonts w:hint="eastAsia" w:ascii="宋体" w:hAnsi="宋体" w:eastAsia="宋体" w:cs="宋体"/>
          <w:b w:val="0"/>
          <w:i w:val="0"/>
          <w:iCs w:val="0"/>
          <w:color w:val="auto"/>
          <w:sz w:val="24"/>
          <w:szCs w:val="24"/>
          <w:highlight w:val="none"/>
        </w:rPr>
        <w:t>工信部联企业〔2011〕300号</w:t>
      </w:r>
    </w:p>
    <w:p w14:paraId="0E959BE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Style w:val="33"/>
          <w:rFonts w:hint="eastAsia" w:ascii="宋体" w:hAnsi="宋体" w:eastAsia="宋体" w:cs="宋体"/>
          <w:b w:val="0"/>
          <w:i w:val="0"/>
          <w:iCs w:val="0"/>
          <w:color w:val="auto"/>
          <w:sz w:val="24"/>
          <w:szCs w:val="24"/>
          <w:highlight w:val="none"/>
        </w:rPr>
      </w:pPr>
    </w:p>
    <w:p w14:paraId="289C59A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i w:val="0"/>
          <w:iCs w:val="0"/>
          <w:color w:val="auto"/>
          <w:sz w:val="24"/>
          <w:szCs w:val="24"/>
          <w:highlight w:val="none"/>
        </w:rPr>
      </w:pPr>
      <w:r>
        <w:rPr>
          <w:rStyle w:val="33"/>
          <w:rFonts w:hint="eastAsia" w:ascii="宋体" w:hAnsi="宋体" w:eastAsia="宋体" w:cs="宋体"/>
          <w:b w:val="0"/>
          <w:i w:val="0"/>
          <w:iCs w:val="0"/>
          <w:color w:val="auto"/>
          <w:sz w:val="24"/>
          <w:szCs w:val="24"/>
          <w:highlight w:val="none"/>
        </w:rPr>
        <w:t>各省、自治区、直辖市人民政府，国务院各部委、各直属机构及有关单位：</w:t>
      </w:r>
    </w:p>
    <w:p w14:paraId="11AACCD7">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为贯彻落实《中华人民共和国中小企业促进法》和《国务院关于进一步促进中小企业发展的若干意见》（国发〔2009〕36号），工业和信息化部、国家统计局、发展改革委、财政部研究制定了《中小企业划型标准规定》。经国务院同意，现印发给你们，请遵照执行。</w:t>
      </w:r>
    </w:p>
    <w:p w14:paraId="69C30634">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工业和信息化部　国家统计局</w:t>
      </w:r>
    </w:p>
    <w:p w14:paraId="5C55A29B">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国家发展和改革委员会　财政部</w:t>
      </w:r>
    </w:p>
    <w:p w14:paraId="6F52758A">
      <w:pPr>
        <w:keepNext w:val="0"/>
        <w:keepLines w:val="0"/>
        <w:pageBreakBefore w:val="0"/>
        <w:widowControl w:val="0"/>
        <w:kinsoku/>
        <w:wordWrap/>
        <w:overflowPunct/>
        <w:topLinePunct w:val="0"/>
        <w:autoSpaceDE/>
        <w:autoSpaceDN/>
        <w:bidi w:val="0"/>
        <w:adjustRightInd/>
        <w:snapToGrid/>
        <w:spacing w:line="360" w:lineRule="exact"/>
        <w:jc w:val="righ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二○一一年六月十八日</w:t>
      </w:r>
    </w:p>
    <w:p w14:paraId="75F0B3C6">
      <w:pPr>
        <w:keepNext w:val="0"/>
        <w:keepLines w:val="0"/>
        <w:pageBreakBefore w:val="0"/>
        <w:widowControl w:val="0"/>
        <w:kinsoku/>
        <w:wordWrap/>
        <w:overflowPunct/>
        <w:topLinePunct w:val="0"/>
        <w:autoSpaceDE/>
        <w:autoSpaceDN/>
        <w:bidi w:val="0"/>
        <w:adjustRightInd/>
        <w:snapToGrid/>
        <w:spacing w:line="36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xml:space="preserve"> </w:t>
      </w:r>
    </w:p>
    <w:p w14:paraId="3E2FDBA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Style w:val="33"/>
          <w:rFonts w:hint="eastAsia" w:ascii="宋体" w:hAnsi="宋体" w:eastAsia="宋体" w:cs="宋体"/>
          <w:b/>
          <w:bCs w:val="0"/>
          <w:i w:val="0"/>
          <w:iCs w:val="0"/>
          <w:color w:val="auto"/>
          <w:sz w:val="28"/>
          <w:szCs w:val="28"/>
          <w:highlight w:val="none"/>
        </w:rPr>
      </w:pPr>
      <w:r>
        <w:rPr>
          <w:rStyle w:val="33"/>
          <w:rFonts w:hint="eastAsia" w:ascii="宋体" w:hAnsi="宋体" w:eastAsia="宋体" w:cs="宋体"/>
          <w:b/>
          <w:bCs w:val="0"/>
          <w:i w:val="0"/>
          <w:iCs w:val="0"/>
          <w:color w:val="auto"/>
          <w:sz w:val="28"/>
          <w:szCs w:val="28"/>
          <w:highlight w:val="none"/>
        </w:rPr>
        <w:t>中小企业划型标准规定</w:t>
      </w:r>
    </w:p>
    <w:p w14:paraId="7440C46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一、根据《中华人民共和国中小企业促进法》和《国务院关于进一步促进中小企业发展的若干意见》(国发〔2009〕36号)，制定本规定。</w:t>
      </w:r>
    </w:p>
    <w:p w14:paraId="507AD26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二、中小企业划分为中型、小型、微型三种类型，具体标准根据企业从业人员、营业收入、资产总额等指标，结合行业特点制定。</w:t>
      </w:r>
    </w:p>
    <w:p w14:paraId="58A39619">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三、本规定适用的行业包括：农、林、牧、渔业，工业（包括采矿业，制造业，电力、热力、燃气及水生产和供应业），建筑业，批发业，零售业，交通运输业（不含铁路运输业），仓储业，邮政业，住宿业，餐饮业，信息传输业（包括电信、互联网和相关服务），软件和信息技术服务业，房地产开发经营，物业管理，租赁和商务服务业，其他未列明行业（包括科学研究和技术服务业，水利、环境和公共设施管理业，居民服务、修理和其他服务业，社会工作，文化、体育和娱乐业等）。</w:t>
      </w:r>
    </w:p>
    <w:p w14:paraId="7F5AE9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四、各行业划型标准为：</w:t>
      </w:r>
    </w:p>
    <w:p w14:paraId="6B4E2D0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（一）农、林、牧、渔业。营业收入20000万元以下的为中小微型企业。其中，营业收入500万元及以上的为中型企业，营业收入50万元及以上的为小型企业，营业收入50万元以下的为微型企业。</w:t>
      </w:r>
    </w:p>
    <w:p w14:paraId="79E2F5AC">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3AA582A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21D138B">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217EB3B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1FEB118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7514A6D2">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3EFCEC9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6D4D3E4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A462725">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537CBAA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710AAA96">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1EC394A7">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61121D1E">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46AB8718">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4088139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（十六）其他未列明行业。从业人员300人以下的为中小微型企业。其中，从业人员100人及以上的为中型企业；从业人员10人及以上的为小型企业；从业人员10人以下的为微型企业。　　</w:t>
      </w:r>
    </w:p>
    <w:p w14:paraId="509B953B">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五、企业类型的划分以统计部门的统计数据为依据。</w:t>
      </w:r>
    </w:p>
    <w:p w14:paraId="77228C0D">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六、本规定适用于在中华人民共和国境内依法设立的各类所有制和各种组织形式的企业。个体工商户和本规定以外的行业，参照本规定进行划型。</w:t>
      </w:r>
    </w:p>
    <w:p w14:paraId="5F4BB8EA">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七、本规定的中型企业标准上限即为大型企业标准的下限，国家统计部门据此制定大中小微型企业的统计分类。国务院有关部门据此进行相关数据分析，不得制定与本规定不一致的企业划型标准。</w:t>
      </w:r>
    </w:p>
    <w:p w14:paraId="0450AEC1">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八、本规定由工业和信息化部、国家统计局会同有关部门根据《国民经济行业分类》修订情况和企业发展变化情况适时修订。</w:t>
      </w:r>
    </w:p>
    <w:p w14:paraId="69D789A4">
      <w:pPr>
        <w:keepNext w:val="0"/>
        <w:keepLines w:val="0"/>
        <w:pageBreakBefore w:val="0"/>
        <w:widowControl w:val="0"/>
        <w:kinsoku/>
        <w:wordWrap/>
        <w:overflowPunct/>
        <w:topLinePunct w:val="0"/>
        <w:autoSpaceDE/>
        <w:autoSpaceDN/>
        <w:bidi w:val="0"/>
        <w:adjustRightInd/>
        <w:snapToGrid/>
        <w:spacing w:line="40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九、本规定由工业和信息化部、国家统计局会同有关部门负责解释。</w:t>
      </w:r>
    </w:p>
    <w:p w14:paraId="4299A031">
      <w:pPr>
        <w:keepNext w:val="0"/>
        <w:keepLines w:val="0"/>
        <w:pageBreakBefore w:val="0"/>
        <w:widowControl w:val="0"/>
        <w:kinsoku/>
        <w:wordWrap/>
        <w:overflowPunct/>
        <w:topLinePunct w:val="0"/>
        <w:autoSpaceDE/>
        <w:autoSpaceDN/>
        <w:bidi w:val="0"/>
        <w:adjustRightInd/>
        <w:snapToGrid/>
        <w:spacing w:line="400" w:lineRule="exact"/>
        <w:textAlignment w:val="auto"/>
        <w:rPr>
          <w:rFonts w:cs="宋体"/>
          <w:i w:val="0"/>
          <w:iCs w:val="0"/>
          <w:color w:val="auto"/>
          <w:spacing w:val="6"/>
          <w:sz w:val="21"/>
          <w:szCs w:val="21"/>
          <w:highlight w:val="none"/>
        </w:rPr>
      </w:pPr>
      <w:r>
        <w:rPr>
          <w:rStyle w:val="33"/>
          <w:rFonts w:hint="eastAsia" w:ascii="宋体" w:hAnsi="宋体" w:eastAsia="宋体" w:cs="宋体"/>
          <w:b w:val="0"/>
          <w:bCs w:val="0"/>
          <w:i w:val="0"/>
          <w:iCs w:val="0"/>
          <w:color w:val="auto"/>
          <w:sz w:val="24"/>
          <w:szCs w:val="24"/>
          <w:highlight w:val="none"/>
        </w:rPr>
        <w:t>十、本规定自发布之日起执行，原国家经贸委、原国家计委、财政部和国家统计局2003年颁布的《中小企业标准暂行规定》同时废止。</w:t>
      </w:r>
    </w:p>
    <w:p w14:paraId="5BCE9D64">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p w14:paraId="20B4770A">
      <w:pPr>
        <w:rPr>
          <w:rFonts w:cs="宋体"/>
          <w:i w:val="0"/>
          <w:iCs w:val="0"/>
          <w:color w:val="auto"/>
          <w:spacing w:val="6"/>
          <w:sz w:val="21"/>
          <w:szCs w:val="21"/>
          <w:highlight w:val="none"/>
        </w:rPr>
      </w:pPr>
      <w:bookmarkStart w:id="667" w:name="_Toc163492940"/>
    </w:p>
    <w:p w14:paraId="5FA7D1D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eastAsia="宋体"/>
          <w:b/>
          <w:bCs/>
          <w:i w:val="0"/>
          <w:iCs w:val="0"/>
          <w:color w:val="auto"/>
          <w:highlight w:val="none"/>
          <w:lang w:val="en-US" w:eastAsia="zh-CN"/>
        </w:rPr>
      </w:pPr>
      <w:r>
        <w:rPr>
          <w:rFonts w:hint="eastAsia"/>
          <w:b/>
          <w:bCs/>
          <w:i w:val="0"/>
          <w:iCs w:val="0"/>
          <w:color w:val="auto"/>
          <w:highlight w:val="none"/>
          <w:lang w:val="en-US" w:eastAsia="zh-CN"/>
        </w:rPr>
        <w:t>附件3：</w:t>
      </w:r>
    </w:p>
    <w:p w14:paraId="1AF7C83B">
      <w:pPr>
        <w:rPr>
          <w:rFonts w:hint="eastAsia" w:cs="宋体"/>
          <w:i w:val="0"/>
          <w:iCs w:val="0"/>
          <w:color w:val="auto"/>
          <w:spacing w:val="6"/>
          <w:sz w:val="21"/>
          <w:szCs w:val="21"/>
          <w:highlight w:val="none"/>
        </w:rPr>
      </w:pPr>
    </w:p>
    <w:p w14:paraId="134F6EBF">
      <w:pPr>
        <w:pStyle w:val="17"/>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关于印发《金融业企业划型标准规定》的通知</w:t>
      </w:r>
    </w:p>
    <w:p w14:paraId="60239E26">
      <w:pPr>
        <w:keepNext w:val="0"/>
        <w:keepLines w:val="0"/>
        <w:pageBreakBefore w:val="0"/>
        <w:widowControl w:val="0"/>
        <w:kinsoku/>
        <w:wordWrap/>
        <w:overflowPunct/>
        <w:topLinePunct w:val="0"/>
        <w:autoSpaceDE/>
        <w:autoSpaceDN/>
        <w:bidi w:val="0"/>
        <w:adjustRightInd/>
        <w:snapToGrid/>
        <w:spacing w:before="0" w:beforeLines="50"/>
        <w:jc w:val="center"/>
        <w:textAlignment w:val="auto"/>
        <w:rPr>
          <w:rStyle w:val="33"/>
          <w:rFonts w:hint="eastAsia" w:ascii="宋体" w:hAnsi="宋体" w:eastAsia="宋体" w:cs="宋体"/>
          <w:b w:val="0"/>
          <w:i w:val="0"/>
          <w:iCs w:val="0"/>
          <w:color w:val="auto"/>
          <w:sz w:val="24"/>
          <w:szCs w:val="24"/>
          <w:highlight w:val="none"/>
        </w:rPr>
      </w:pPr>
      <w:r>
        <w:rPr>
          <w:rStyle w:val="33"/>
          <w:rFonts w:hint="eastAsia" w:ascii="宋体" w:hAnsi="宋体" w:eastAsia="宋体" w:cs="宋体"/>
          <w:b w:val="0"/>
          <w:i w:val="0"/>
          <w:iCs w:val="0"/>
          <w:color w:val="auto"/>
          <w:sz w:val="24"/>
          <w:szCs w:val="24"/>
          <w:highlight w:val="none"/>
        </w:rPr>
        <w:t>银发〔2015〕309号</w:t>
      </w:r>
    </w:p>
    <w:p w14:paraId="6EBA1AEF">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12B6BFCB">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请人民银行上海总部，各分行、营业管理部、省会（首府）城市中心支行、副省级城市中心支行会同所在省（区、市）银监局、证监局、保监局、统计局将本通知联合转发至辖内相关机构。</w:t>
      </w:r>
    </w:p>
    <w:p w14:paraId="53F6A9E3">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i w:val="0"/>
          <w:iCs w:val="0"/>
          <w:color w:val="auto"/>
          <w:sz w:val="24"/>
          <w:szCs w:val="24"/>
          <w:highlight w:val="none"/>
        </w:rPr>
      </w:pPr>
    </w:p>
    <w:p w14:paraId="5AE5F476">
      <w:pPr>
        <w:keepNext w:val="0"/>
        <w:keepLines w:val="0"/>
        <w:pageBreakBefore w:val="0"/>
        <w:widowControl w:val="0"/>
        <w:kinsoku/>
        <w:wordWrap/>
        <w:overflowPunct/>
        <w:topLinePunct w:val="0"/>
        <w:autoSpaceDE/>
        <w:autoSpaceDN/>
        <w:bidi w:val="0"/>
        <w:adjustRightInd/>
        <w:snapToGrid/>
        <w:spacing w:line="46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附件：金融业企业划型标准规定</w:t>
      </w:r>
    </w:p>
    <w:p w14:paraId="575D4BF4">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i w:val="0"/>
          <w:iCs w:val="0"/>
          <w:color w:val="auto"/>
          <w:sz w:val="24"/>
          <w:szCs w:val="24"/>
          <w:highlight w:val="none"/>
        </w:rPr>
      </w:pPr>
      <w:r>
        <w:rPr>
          <w:rFonts w:hint="eastAsia" w:cs="宋体"/>
          <w:i w:val="0"/>
          <w:iCs w:val="0"/>
          <w:color w:val="auto"/>
          <w:spacing w:val="6"/>
          <w:sz w:val="24"/>
          <w:szCs w:val="24"/>
          <w:highlight w:val="none"/>
        </w:rPr>
        <w:t>                                      </w:t>
      </w:r>
      <w:r>
        <w:rPr>
          <w:rStyle w:val="33"/>
          <w:rFonts w:hint="eastAsia" w:ascii="宋体" w:hAnsi="宋体" w:eastAsia="宋体" w:cs="宋体"/>
          <w:b w:val="0"/>
          <w:bCs w:val="0"/>
          <w:i w:val="0"/>
          <w:iCs w:val="0"/>
          <w:color w:val="auto"/>
          <w:sz w:val="24"/>
          <w:szCs w:val="24"/>
          <w:highlight w:val="none"/>
        </w:rPr>
        <w:t>       </w:t>
      </w:r>
      <w:r>
        <w:rPr>
          <w:rStyle w:val="33"/>
          <w:rFonts w:hint="eastAsia" w:cs="宋体"/>
          <w:b w:val="0"/>
          <w:bCs w:val="0"/>
          <w:i w:val="0"/>
          <w:iCs w:val="0"/>
          <w:color w:val="auto"/>
          <w:sz w:val="24"/>
          <w:szCs w:val="24"/>
          <w:highlight w:val="none"/>
          <w:lang w:val="en-US" w:eastAsia="zh-CN"/>
        </w:rPr>
        <w:t xml:space="preserve">                            </w:t>
      </w:r>
      <w:r>
        <w:rPr>
          <w:rStyle w:val="33"/>
          <w:rFonts w:hint="eastAsia" w:ascii="宋体" w:hAnsi="宋体" w:eastAsia="宋体" w:cs="宋体"/>
          <w:b w:val="0"/>
          <w:bCs w:val="0"/>
          <w:i w:val="0"/>
          <w:iCs w:val="0"/>
          <w:color w:val="auto"/>
          <w:sz w:val="24"/>
          <w:szCs w:val="24"/>
          <w:highlight w:val="none"/>
        </w:rPr>
        <w:t>中国人民银行</w:t>
      </w:r>
    </w:p>
    <w:p w14:paraId="0E162F05">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中国银行业监督管理委员会</w:t>
      </w:r>
    </w:p>
    <w:p w14:paraId="644A820C">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中国证券监督管理委员会</w:t>
      </w:r>
    </w:p>
    <w:p w14:paraId="13427FED">
      <w:pPr>
        <w:keepNext w:val="0"/>
        <w:keepLines w:val="0"/>
        <w:pageBreakBefore w:val="0"/>
        <w:widowControl w:val="0"/>
        <w:kinsoku/>
        <w:wordWrap/>
        <w:overflowPunct/>
        <w:topLinePunct w:val="0"/>
        <w:autoSpaceDE/>
        <w:autoSpaceDN/>
        <w:bidi w:val="0"/>
        <w:adjustRightInd/>
        <w:snapToGrid/>
        <w:spacing w:line="460" w:lineRule="exact"/>
        <w:ind w:firstLine="2400" w:firstLineChars="1000"/>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中国保险监督管理委员会</w:t>
      </w:r>
    </w:p>
    <w:p w14:paraId="189E390E">
      <w:pPr>
        <w:keepNext w:val="0"/>
        <w:keepLines w:val="0"/>
        <w:pageBreakBefore w:val="0"/>
        <w:widowControl w:val="0"/>
        <w:kinsoku/>
        <w:wordWrap/>
        <w:overflowPunct/>
        <w:topLinePunct w:val="0"/>
        <w:autoSpaceDE/>
        <w:autoSpaceDN/>
        <w:bidi w:val="0"/>
        <w:adjustRightInd/>
        <w:snapToGrid/>
        <w:spacing w:line="460" w:lineRule="exact"/>
        <w:ind w:firstLine="2160" w:firstLineChars="900"/>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中华人民共和国国家统计局</w:t>
      </w:r>
    </w:p>
    <w:p w14:paraId="35EB1163">
      <w:pPr>
        <w:keepNext w:val="0"/>
        <w:keepLines w:val="0"/>
        <w:pageBreakBefore w:val="0"/>
        <w:widowControl w:val="0"/>
        <w:kinsoku/>
        <w:wordWrap/>
        <w:overflowPunct/>
        <w:topLinePunct w:val="0"/>
        <w:autoSpaceDE/>
        <w:autoSpaceDN/>
        <w:bidi w:val="0"/>
        <w:adjustRightInd/>
        <w:snapToGrid/>
        <w:spacing w:line="460" w:lineRule="exact"/>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                                                     </w:t>
      </w:r>
      <w:r>
        <w:rPr>
          <w:rStyle w:val="33"/>
          <w:rFonts w:hint="eastAsia" w:cs="宋体"/>
          <w:b w:val="0"/>
          <w:bCs w:val="0"/>
          <w:i w:val="0"/>
          <w:iCs w:val="0"/>
          <w:color w:val="auto"/>
          <w:sz w:val="24"/>
          <w:szCs w:val="24"/>
          <w:highlight w:val="none"/>
          <w:lang w:val="en-US" w:eastAsia="zh-CN"/>
        </w:rPr>
        <w:t xml:space="preserve">     </w:t>
      </w:r>
      <w:r>
        <w:rPr>
          <w:rStyle w:val="33"/>
          <w:rFonts w:hint="eastAsia" w:ascii="宋体" w:hAnsi="宋体" w:eastAsia="宋体" w:cs="宋体"/>
          <w:b w:val="0"/>
          <w:bCs w:val="0"/>
          <w:i w:val="0"/>
          <w:iCs w:val="0"/>
          <w:color w:val="auto"/>
          <w:sz w:val="24"/>
          <w:szCs w:val="24"/>
          <w:highlight w:val="none"/>
        </w:rPr>
        <w:t> 2015年9月28日</w:t>
      </w:r>
    </w:p>
    <w:p w14:paraId="2D875BF0">
      <w:pPr>
        <w:rPr>
          <w:rFonts w:hint="eastAsia" w:cs="宋体"/>
          <w:i w:val="0"/>
          <w:iCs w:val="0"/>
          <w:color w:val="auto"/>
          <w:spacing w:val="6"/>
          <w:sz w:val="21"/>
          <w:szCs w:val="21"/>
          <w:highlight w:val="none"/>
        </w:rPr>
      </w:pPr>
    </w:p>
    <w:p w14:paraId="3D3E2F07">
      <w:pPr>
        <w:rPr>
          <w:rFonts w:hint="eastAsia" w:cs="宋体"/>
          <w:i w:val="0"/>
          <w:iCs w:val="0"/>
          <w:color w:val="auto"/>
          <w:spacing w:val="6"/>
          <w:sz w:val="21"/>
          <w:szCs w:val="21"/>
          <w:highlight w:val="none"/>
          <w:lang w:val="en-US" w:eastAsia="zh-CN"/>
        </w:rPr>
      </w:pPr>
    </w:p>
    <w:p w14:paraId="7D55D2C4">
      <w:pPr>
        <w:rPr>
          <w:rFonts w:hint="eastAsia" w:cs="宋体"/>
          <w:i w:val="0"/>
          <w:iCs w:val="0"/>
          <w:color w:val="auto"/>
          <w:spacing w:val="6"/>
          <w:sz w:val="21"/>
          <w:szCs w:val="21"/>
          <w:highlight w:val="none"/>
          <w:lang w:val="en-US" w:eastAsia="zh-CN"/>
        </w:rPr>
      </w:pPr>
    </w:p>
    <w:p w14:paraId="535B7B3C">
      <w:pPr>
        <w:rPr>
          <w:rFonts w:hint="eastAsia" w:cs="宋体"/>
          <w:i w:val="0"/>
          <w:iCs w:val="0"/>
          <w:color w:val="auto"/>
          <w:spacing w:val="6"/>
          <w:sz w:val="21"/>
          <w:szCs w:val="21"/>
          <w:highlight w:val="none"/>
          <w:lang w:val="en-US" w:eastAsia="zh-CN"/>
        </w:rPr>
      </w:pPr>
    </w:p>
    <w:p w14:paraId="0003DA46">
      <w:pPr>
        <w:rPr>
          <w:rFonts w:hint="eastAsia" w:cs="宋体"/>
          <w:i w:val="0"/>
          <w:iCs w:val="0"/>
          <w:color w:val="auto"/>
          <w:spacing w:val="6"/>
          <w:sz w:val="21"/>
          <w:szCs w:val="21"/>
          <w:highlight w:val="none"/>
          <w:lang w:val="en-US" w:eastAsia="zh-CN"/>
        </w:rPr>
      </w:pPr>
    </w:p>
    <w:p w14:paraId="2EB5298D">
      <w:pPr>
        <w:rPr>
          <w:rFonts w:hint="eastAsia" w:cs="宋体"/>
          <w:i w:val="0"/>
          <w:iCs w:val="0"/>
          <w:color w:val="auto"/>
          <w:spacing w:val="6"/>
          <w:sz w:val="21"/>
          <w:szCs w:val="21"/>
          <w:highlight w:val="none"/>
          <w:lang w:val="en-US" w:eastAsia="zh-CN"/>
        </w:rPr>
      </w:pPr>
    </w:p>
    <w:p w14:paraId="56C175D4">
      <w:pPr>
        <w:rPr>
          <w:rFonts w:hint="eastAsia" w:cs="宋体"/>
          <w:i w:val="0"/>
          <w:iCs w:val="0"/>
          <w:color w:val="auto"/>
          <w:spacing w:val="6"/>
          <w:sz w:val="21"/>
          <w:szCs w:val="21"/>
          <w:highlight w:val="none"/>
          <w:lang w:val="en-US" w:eastAsia="zh-CN"/>
        </w:rPr>
      </w:pPr>
    </w:p>
    <w:p w14:paraId="04253368">
      <w:pPr>
        <w:rPr>
          <w:rFonts w:hint="eastAsia" w:cs="宋体"/>
          <w:i w:val="0"/>
          <w:iCs w:val="0"/>
          <w:color w:val="auto"/>
          <w:spacing w:val="6"/>
          <w:sz w:val="21"/>
          <w:szCs w:val="21"/>
          <w:highlight w:val="none"/>
          <w:lang w:val="en-US" w:eastAsia="zh-CN"/>
        </w:rPr>
      </w:pPr>
    </w:p>
    <w:p w14:paraId="0C202F82">
      <w:pPr>
        <w:rPr>
          <w:rFonts w:hint="eastAsia" w:cs="宋体"/>
          <w:i w:val="0"/>
          <w:iCs w:val="0"/>
          <w:color w:val="auto"/>
          <w:spacing w:val="6"/>
          <w:sz w:val="21"/>
          <w:szCs w:val="21"/>
          <w:highlight w:val="none"/>
        </w:rPr>
      </w:pPr>
      <w:r>
        <w:rPr>
          <w:rFonts w:hint="eastAsia" w:cs="宋体"/>
          <w:i w:val="0"/>
          <w:iCs w:val="0"/>
          <w:color w:val="auto"/>
          <w:spacing w:val="6"/>
          <w:sz w:val="21"/>
          <w:szCs w:val="21"/>
          <w:highlight w:val="none"/>
          <w:lang w:val="en-US" w:eastAsia="zh-CN"/>
        </w:rPr>
        <w:t>附件</w:t>
      </w:r>
      <w:r>
        <w:rPr>
          <w:rFonts w:hint="eastAsia" w:cs="宋体"/>
          <w:i w:val="0"/>
          <w:iCs w:val="0"/>
          <w:color w:val="auto"/>
          <w:spacing w:val="6"/>
          <w:sz w:val="21"/>
          <w:szCs w:val="21"/>
          <w:highlight w:val="none"/>
        </w:rPr>
        <w:t>              </w:t>
      </w:r>
    </w:p>
    <w:p w14:paraId="197435F7">
      <w:pPr>
        <w:pStyle w:val="17"/>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金融业企业划型标准规定</w:t>
      </w:r>
    </w:p>
    <w:p w14:paraId="35BCA7B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一、根据《中华人民共和国中小企业促进法》、《国务院关于进一步促进中小企业发展的若干意见》（国发〔2009〕36号）和《国务院办公厅关于金融支持小微企业发展的实施意见》（国办发〔2013〕87号），制定本规定。</w:t>
      </w:r>
    </w:p>
    <w:p w14:paraId="465CF45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二、适用范围。本规定适用于从事《国民经济行业分类》（GB/T4754-2011）中J门类（金融业）活动的企业。</w:t>
      </w:r>
    </w:p>
    <w:p w14:paraId="777FDD5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292D97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四、划型标准指标。采用一个完整会计年度中四个季度末法人并表口径的资产总额（信托公司为信托资产）平均值作为划型指标，该指标以监管部门数据为准。</w:t>
      </w:r>
    </w:p>
    <w:p w14:paraId="3BF83806">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五、指标标准值。依据指标标准值，将各类金融业企业划分为大、中、小、微四个规模类型，中型企业标准上限及以上的为大型企业。</w:t>
      </w:r>
    </w:p>
    <w:p w14:paraId="7425771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（一）银行业存款类金融机构。资产总额40000亿元以下的为中小微型企业。其中，资产总额5000亿元及以上的为中型企业，资产总额50亿元及以上的为小型企业，资产总额50亿元以下的为微型企业。</w:t>
      </w:r>
    </w:p>
    <w:p w14:paraId="6C9C1B6A">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（二）银行业非存款类金融机构。资产总额1000亿元以下的为中小微企业。其中，资产总额200亿元及以上的为中型企业，资产总额50亿元及以上的为小型企业，资产总额50亿元以下的为微型企业。</w:t>
      </w:r>
    </w:p>
    <w:p w14:paraId="192CC4C7">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（三）贷款公司、小额贷款公司及典当行。资产总额1000亿元以下的为中小微型企业。其中，资产总额200亿元及以上的为中型企业，资产总额50亿元及以上的为小型企业，资产总额50亿元以下的为微型企业。</w:t>
      </w:r>
    </w:p>
    <w:p w14:paraId="2B49DF9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（四）证券业金融机构。资产总额1000亿元以下的为中小微型企业。其中，资产总额100亿元及以上的为中型企业，资产总额10亿元及以上的为小型企业，资产总额10亿元以下的为微型企业。</w:t>
      </w:r>
    </w:p>
    <w:p w14:paraId="0D837DC3">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（五）保险业金融机构。资产总额5000亿元以下的为中小微型企业。其中，资产总额400亿元及以上的为中型企业，资产总额20亿元及以上的为小型企业，资产总额20亿元以下的为微型企业。</w:t>
      </w:r>
    </w:p>
    <w:p w14:paraId="266F6F91">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（六）信托公司。信托资产1000亿元以下的为中小微型企业。其中，信托资产400亿元及以上的为中型企业，信托资产20亿元及以上的为小型企业，信托资产20亿元以下的为微型企业。</w:t>
      </w:r>
    </w:p>
    <w:p w14:paraId="2D1B4E7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（七）金融控股公司。资产总额40000亿元以下的为中小微企业。其中，资产总额5000亿元及以上的为中型企业，资产总额50亿元及以上的为小型企业，资产总额50亿元以下的为微型企业。、</w:t>
      </w:r>
    </w:p>
    <w:p w14:paraId="0E5BB8B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lang w:eastAsia="zh-CN"/>
        </w:rPr>
      </w:pPr>
      <w:r>
        <w:rPr>
          <w:rStyle w:val="33"/>
          <w:rFonts w:hint="eastAsia" w:ascii="宋体" w:hAnsi="宋体" w:eastAsia="宋体" w:cs="宋体"/>
          <w:b w:val="0"/>
          <w:bCs w:val="0"/>
          <w:i w:val="0"/>
          <w:iCs w:val="0"/>
          <w:color w:val="auto"/>
          <w:sz w:val="24"/>
          <w:szCs w:val="24"/>
          <w:highlight w:val="none"/>
        </w:rPr>
        <w:t>(八)除贷款公司、小额贷款公司、典当行以外的其他金融机构。资产总额1000亿元以下的为中小微型企业。其中，资产总额200亿元及以上的为中型企业，资产总额50亿元及以上的为小型企业，资产总额50亿元以下的为微型企业</w:t>
      </w:r>
      <w:r>
        <w:rPr>
          <w:rStyle w:val="33"/>
          <w:rFonts w:hint="eastAsia" w:cs="宋体"/>
          <w:b w:val="0"/>
          <w:bCs w:val="0"/>
          <w:i w:val="0"/>
          <w:iCs w:val="0"/>
          <w:color w:val="auto"/>
          <w:sz w:val="24"/>
          <w:szCs w:val="24"/>
          <w:highlight w:val="none"/>
          <w:lang w:eastAsia="zh-CN"/>
        </w:rPr>
        <w:t>。</w:t>
      </w:r>
    </w:p>
    <w:p w14:paraId="32994D2F">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加相应的字段模块。经过认定的金融业企业在系统中进行规模登记</w:t>
      </w:r>
      <w:r>
        <w:rPr>
          <w:rStyle w:val="33"/>
          <w:rFonts w:hint="eastAsia" w:cs="宋体"/>
          <w:b w:val="0"/>
          <w:bCs w:val="0"/>
          <w:i w:val="0"/>
          <w:iCs w:val="0"/>
          <w:color w:val="auto"/>
          <w:sz w:val="24"/>
          <w:szCs w:val="24"/>
          <w:highlight w:val="none"/>
          <w:lang w:eastAsia="zh-CN"/>
        </w:rPr>
        <w:t>，</w:t>
      </w:r>
      <w:r>
        <w:rPr>
          <w:rStyle w:val="33"/>
          <w:rFonts w:hint="eastAsia" w:ascii="宋体" w:hAnsi="宋体" w:eastAsia="宋体" w:cs="宋体"/>
          <w:b w:val="0"/>
          <w:bCs w:val="0"/>
          <w:i w:val="0"/>
          <w:iCs w:val="0"/>
          <w:color w:val="auto"/>
          <w:sz w:val="24"/>
          <w:szCs w:val="24"/>
          <w:highlight w:val="none"/>
        </w:rPr>
        <w:t>方便政府部门和社会各界查询使用。</w:t>
      </w:r>
    </w:p>
    <w:p w14:paraId="034C483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七、标准值的评估和调整。金融业企业划型标准工作组每五年对划型标准值受经济发展与通货膨胀等因素的影响程度进行评估和调整。</w:t>
      </w:r>
    </w:p>
    <w:p w14:paraId="01F56FF4">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lang w:eastAsia="zh-CN"/>
        </w:rPr>
      </w:pPr>
      <w:r>
        <w:rPr>
          <w:rStyle w:val="33"/>
          <w:rFonts w:hint="eastAsia" w:ascii="宋体" w:hAnsi="宋体" w:eastAsia="宋体" w:cs="宋体"/>
          <w:b w:val="0"/>
          <w:bCs w:val="0"/>
          <w:i w:val="0"/>
          <w:iCs w:val="0"/>
          <w:color w:val="auto"/>
          <w:sz w:val="24"/>
          <w:szCs w:val="24"/>
          <w:highlight w:val="none"/>
        </w:rPr>
        <w:t>八、本规定的中型金融业企业标准上限即为大型金融业企业下限。国务院有关部门据此进行相关数据的统计分析，不得制定与本规定不一致的金融业企业划型标准</w:t>
      </w:r>
      <w:r>
        <w:rPr>
          <w:rStyle w:val="33"/>
          <w:rFonts w:hint="eastAsia" w:cs="宋体"/>
          <w:b w:val="0"/>
          <w:bCs w:val="0"/>
          <w:i w:val="0"/>
          <w:iCs w:val="0"/>
          <w:color w:val="auto"/>
          <w:sz w:val="24"/>
          <w:szCs w:val="24"/>
          <w:highlight w:val="none"/>
          <w:lang w:eastAsia="zh-CN"/>
        </w:rPr>
        <w:t>。</w:t>
      </w:r>
    </w:p>
    <w:p w14:paraId="62B89F50">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lang w:eastAsia="zh-CN"/>
        </w:rPr>
      </w:pPr>
      <w:r>
        <w:rPr>
          <w:rStyle w:val="33"/>
          <w:rFonts w:hint="eastAsia" w:ascii="宋体" w:hAnsi="宋体" w:eastAsia="宋体" w:cs="宋体"/>
          <w:b w:val="0"/>
          <w:bCs w:val="0"/>
          <w:i w:val="0"/>
          <w:iCs w:val="0"/>
          <w:color w:val="auto"/>
          <w:sz w:val="24"/>
          <w:szCs w:val="24"/>
          <w:highlight w:val="none"/>
        </w:rPr>
        <w:t>九、融资担保公司参照本规定中“除贷款公司、小额贷款公司、典当行以外的其他金融机构”标准划型</w:t>
      </w:r>
      <w:r>
        <w:rPr>
          <w:rStyle w:val="33"/>
          <w:rFonts w:hint="eastAsia" w:cs="宋体"/>
          <w:b w:val="0"/>
          <w:bCs w:val="0"/>
          <w:i w:val="0"/>
          <w:iCs w:val="0"/>
          <w:color w:val="auto"/>
          <w:sz w:val="24"/>
          <w:szCs w:val="24"/>
          <w:highlight w:val="none"/>
          <w:lang w:eastAsia="zh-CN"/>
        </w:rPr>
        <w:t>。</w:t>
      </w:r>
    </w:p>
    <w:p w14:paraId="5562FAB9">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十、本规定由人民银行会同银监会、证监会、保监会和统计局负责解释。</w:t>
      </w:r>
    </w:p>
    <w:p w14:paraId="0CD76B78">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十一、本规定自发布之日起实施,</w:t>
      </w:r>
    </w:p>
    <w:p w14:paraId="5DAE7F9E">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p>
    <w:p w14:paraId="13D9865C">
      <w:pPr>
        <w:keepNext w:val="0"/>
        <w:keepLines w:val="0"/>
        <w:pageBreakBefore w:val="0"/>
        <w:widowControl w:val="0"/>
        <w:kinsoku/>
        <w:wordWrap/>
        <w:overflowPunct/>
        <w:topLinePunct w:val="0"/>
        <w:autoSpaceDE/>
        <w:autoSpaceDN/>
        <w:bidi w:val="0"/>
        <w:adjustRightInd/>
        <w:snapToGrid/>
        <w:spacing w:line="400" w:lineRule="exact"/>
        <w:ind w:firstLine="483"/>
        <w:textAlignment w:val="auto"/>
        <w:rPr>
          <w:rStyle w:val="33"/>
          <w:rFonts w:hint="eastAsia" w:ascii="宋体" w:hAnsi="宋体" w:eastAsia="宋体" w:cs="宋体"/>
          <w:b w:val="0"/>
          <w:bCs w:val="0"/>
          <w:i w:val="0"/>
          <w:iCs w:val="0"/>
          <w:color w:val="auto"/>
          <w:sz w:val="24"/>
          <w:szCs w:val="24"/>
          <w:highlight w:val="none"/>
        </w:rPr>
      </w:pPr>
      <w:r>
        <w:rPr>
          <w:rStyle w:val="33"/>
          <w:rFonts w:hint="eastAsia" w:ascii="宋体" w:hAnsi="宋体" w:eastAsia="宋体" w:cs="宋体"/>
          <w:b w:val="0"/>
          <w:bCs w:val="0"/>
          <w:i w:val="0"/>
          <w:iCs w:val="0"/>
          <w:color w:val="auto"/>
          <w:sz w:val="24"/>
          <w:szCs w:val="24"/>
          <w:highlight w:val="none"/>
        </w:rPr>
        <w:t>附:金融业企业划型标准</w:t>
      </w:r>
    </w:p>
    <w:p w14:paraId="4CB94869">
      <w:pPr>
        <w:rPr>
          <w:rFonts w:cs="宋体"/>
          <w:i w:val="0"/>
          <w:iCs w:val="0"/>
          <w:color w:val="auto"/>
          <w:spacing w:val="6"/>
          <w:sz w:val="21"/>
          <w:szCs w:val="21"/>
          <w:highlight w:val="none"/>
        </w:rPr>
      </w:pPr>
    </w:p>
    <w:p w14:paraId="018058A8">
      <w:pPr>
        <w:rPr>
          <w:rFonts w:hint="eastAsia" w:cs="宋体"/>
          <w:i w:val="0"/>
          <w:iCs w:val="0"/>
          <w:color w:val="auto"/>
          <w:spacing w:val="6"/>
          <w:sz w:val="24"/>
          <w:szCs w:val="24"/>
          <w:highlight w:val="none"/>
          <w:lang w:val="en-US" w:eastAsia="zh-CN"/>
        </w:rPr>
      </w:pPr>
    </w:p>
    <w:p w14:paraId="5023B69E">
      <w:pPr>
        <w:rPr>
          <w:rFonts w:hint="eastAsia" w:cs="宋体"/>
          <w:i w:val="0"/>
          <w:iCs w:val="0"/>
          <w:color w:val="auto"/>
          <w:spacing w:val="6"/>
          <w:sz w:val="24"/>
          <w:szCs w:val="24"/>
          <w:highlight w:val="none"/>
          <w:lang w:val="en-US" w:eastAsia="zh-CN"/>
        </w:rPr>
      </w:pPr>
    </w:p>
    <w:p w14:paraId="5F7D4B83">
      <w:pPr>
        <w:rPr>
          <w:rFonts w:hint="eastAsia" w:cs="宋体"/>
          <w:i w:val="0"/>
          <w:iCs w:val="0"/>
          <w:color w:val="auto"/>
          <w:spacing w:val="6"/>
          <w:sz w:val="24"/>
          <w:szCs w:val="24"/>
          <w:highlight w:val="none"/>
          <w:lang w:val="en-US" w:eastAsia="zh-CN"/>
        </w:rPr>
      </w:pPr>
    </w:p>
    <w:p w14:paraId="20B74F82">
      <w:pPr>
        <w:rPr>
          <w:rFonts w:hint="eastAsia" w:cs="宋体"/>
          <w:i w:val="0"/>
          <w:iCs w:val="0"/>
          <w:color w:val="auto"/>
          <w:spacing w:val="6"/>
          <w:sz w:val="24"/>
          <w:szCs w:val="24"/>
          <w:highlight w:val="none"/>
          <w:lang w:val="en-US" w:eastAsia="zh-CN"/>
        </w:rPr>
      </w:pPr>
    </w:p>
    <w:p w14:paraId="2C0B2223">
      <w:pPr>
        <w:rPr>
          <w:rFonts w:hint="eastAsia" w:cs="宋体"/>
          <w:i w:val="0"/>
          <w:iCs w:val="0"/>
          <w:color w:val="auto"/>
          <w:spacing w:val="6"/>
          <w:sz w:val="24"/>
          <w:szCs w:val="24"/>
          <w:highlight w:val="none"/>
          <w:lang w:val="en-US" w:eastAsia="zh-CN"/>
        </w:rPr>
      </w:pPr>
    </w:p>
    <w:p w14:paraId="5D736742">
      <w:pPr>
        <w:rPr>
          <w:rFonts w:hint="eastAsia" w:cs="宋体"/>
          <w:i w:val="0"/>
          <w:iCs w:val="0"/>
          <w:color w:val="auto"/>
          <w:spacing w:val="6"/>
          <w:sz w:val="24"/>
          <w:szCs w:val="24"/>
          <w:highlight w:val="none"/>
          <w:lang w:val="en-US" w:eastAsia="zh-CN"/>
        </w:rPr>
      </w:pPr>
    </w:p>
    <w:p w14:paraId="226ECDE6">
      <w:pPr>
        <w:rPr>
          <w:rFonts w:hint="eastAsia" w:cs="宋体"/>
          <w:i w:val="0"/>
          <w:iCs w:val="0"/>
          <w:color w:val="auto"/>
          <w:spacing w:val="6"/>
          <w:sz w:val="24"/>
          <w:szCs w:val="24"/>
          <w:highlight w:val="none"/>
          <w:lang w:val="en-US" w:eastAsia="zh-CN"/>
        </w:rPr>
      </w:pPr>
      <w:r>
        <w:rPr>
          <w:rFonts w:hint="eastAsia" w:cs="宋体"/>
          <w:i w:val="0"/>
          <w:iCs w:val="0"/>
          <w:color w:val="auto"/>
          <w:spacing w:val="6"/>
          <w:sz w:val="24"/>
          <w:szCs w:val="24"/>
          <w:highlight w:val="none"/>
          <w:lang w:val="en-US" w:eastAsia="zh-CN"/>
        </w:rPr>
        <w:t>附</w:t>
      </w:r>
    </w:p>
    <w:p w14:paraId="14431C70">
      <w:pPr>
        <w:pStyle w:val="17"/>
        <w:keepNext w:val="0"/>
        <w:keepLines w:val="0"/>
        <w:pageBreakBefore w:val="0"/>
        <w:widowControl w:val="0"/>
        <w:kinsoku/>
        <w:wordWrap/>
        <w:overflowPunct/>
        <w:topLinePunct w:val="0"/>
        <w:autoSpaceDE/>
        <w:autoSpaceDN/>
        <w:bidi w:val="0"/>
        <w:adjustRightInd/>
        <w:snapToGrid/>
        <w:spacing w:before="0" w:beforeLines="50" w:after="0" w:afterLines="50" w:line="240" w:lineRule="auto"/>
        <w:jc w:val="center"/>
        <w:textAlignment w:val="auto"/>
        <w:rPr>
          <w:rFonts w:hint="eastAsia" w:ascii="方正小标宋_GBK" w:hAnsi="方正小标宋_GBK" w:eastAsia="方正小标宋_GBK" w:cs="方正小标宋_GBK"/>
          <w:bCs/>
          <w:i w:val="0"/>
          <w:iCs w:val="0"/>
          <w:color w:val="auto"/>
          <w:sz w:val="32"/>
          <w:szCs w:val="32"/>
          <w:highlight w:val="none"/>
        </w:rPr>
      </w:pPr>
      <w:r>
        <w:rPr>
          <w:rFonts w:hint="eastAsia" w:ascii="宋体" w:hAnsi="宋体" w:eastAsia="宋体" w:cs="宋体"/>
          <w:b/>
          <w:bCs w:val="0"/>
          <w:i w:val="0"/>
          <w:iCs w:val="0"/>
          <w:color w:val="auto"/>
          <w:sz w:val="28"/>
          <w:szCs w:val="28"/>
          <w:highlight w:val="none"/>
        </w:rPr>
        <w:t>金融业企业划型标准</w:t>
      </w:r>
    </w:p>
    <w:tbl>
      <w:tblPr>
        <w:tblStyle w:val="31"/>
        <w:tblW w:w="8498" w:type="dxa"/>
        <w:tblInd w:w="1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168"/>
        <w:gridCol w:w="1817"/>
        <w:gridCol w:w="1143"/>
        <w:gridCol w:w="3251"/>
      </w:tblGrid>
      <w:tr w14:paraId="26CBC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Align w:val="center"/>
          </w:tcPr>
          <w:p w14:paraId="25F9841A">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行业</w:t>
            </w:r>
          </w:p>
        </w:tc>
        <w:tc>
          <w:tcPr>
            <w:tcW w:w="1817" w:type="dxa"/>
            <w:vAlign w:val="center"/>
          </w:tcPr>
          <w:p w14:paraId="3B4008BC">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类别</w:t>
            </w:r>
          </w:p>
        </w:tc>
        <w:tc>
          <w:tcPr>
            <w:tcW w:w="1143" w:type="dxa"/>
            <w:vAlign w:val="center"/>
          </w:tcPr>
          <w:p w14:paraId="199F0882">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类型</w:t>
            </w:r>
          </w:p>
        </w:tc>
        <w:tc>
          <w:tcPr>
            <w:tcW w:w="3251" w:type="dxa"/>
            <w:vAlign w:val="center"/>
          </w:tcPr>
          <w:p w14:paraId="715E5C3B">
            <w:pPr>
              <w:spacing w:line="240" w:lineRule="auto"/>
              <w:jc w:val="center"/>
              <w:rPr>
                <w:rFonts w:hint="eastAsia" w:ascii="宋体" w:hAnsi="宋体" w:eastAsia="宋体" w:cs="宋体"/>
                <w:b/>
                <w:i w:val="0"/>
                <w:iCs w:val="0"/>
                <w:color w:val="auto"/>
                <w:spacing w:val="6"/>
                <w:sz w:val="21"/>
                <w:szCs w:val="21"/>
                <w:highlight w:val="none"/>
                <w:vertAlign w:val="baseline"/>
                <w:lang w:val="en-US" w:eastAsia="zh-CN"/>
              </w:rPr>
            </w:pPr>
            <w:r>
              <w:rPr>
                <w:rFonts w:hint="eastAsia" w:ascii="宋体" w:hAnsi="宋体" w:eastAsia="宋体" w:cs="宋体"/>
                <w:b/>
                <w:i w:val="0"/>
                <w:iCs w:val="0"/>
                <w:color w:val="auto"/>
                <w:spacing w:val="6"/>
                <w:sz w:val="21"/>
                <w:szCs w:val="21"/>
                <w:highlight w:val="none"/>
                <w:vertAlign w:val="baseline"/>
                <w:lang w:val="en-US" w:eastAsia="zh-CN"/>
              </w:rPr>
              <w:t>资产总额</w:t>
            </w:r>
          </w:p>
        </w:tc>
      </w:tr>
      <w:tr w14:paraId="471A87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1233504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货币金融服务</w:t>
            </w:r>
          </w:p>
        </w:tc>
        <w:tc>
          <w:tcPr>
            <w:tcW w:w="1168" w:type="dxa"/>
            <w:vMerge w:val="restart"/>
            <w:vAlign w:val="center"/>
          </w:tcPr>
          <w:p w14:paraId="4350DE8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货币银行服务</w:t>
            </w:r>
          </w:p>
        </w:tc>
        <w:tc>
          <w:tcPr>
            <w:tcW w:w="1817" w:type="dxa"/>
            <w:vMerge w:val="restart"/>
            <w:vAlign w:val="center"/>
          </w:tcPr>
          <w:p w14:paraId="6D5CDA82">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银行业存款类金融机构</w:t>
            </w:r>
          </w:p>
        </w:tc>
        <w:tc>
          <w:tcPr>
            <w:tcW w:w="1143" w:type="dxa"/>
            <w:vAlign w:val="center"/>
          </w:tcPr>
          <w:p w14:paraId="18DA8CED">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vAlign w:val="center"/>
          </w:tcPr>
          <w:p w14:paraId="6553EDDF">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7DDCE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5D803A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5CFC2B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392AD96A">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146F4352">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C95576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73826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44DEC4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47E3A4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43C129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vAlign w:val="center"/>
          </w:tcPr>
          <w:p w14:paraId="0A8569B9">
            <w:pPr>
              <w:spacing w:line="240" w:lineRule="auto"/>
              <w:jc w:val="center"/>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29C9E0F4">
            <w:pPr>
              <w:spacing w:line="240" w:lineRule="auto"/>
              <w:jc w:val="center"/>
              <w:rPr>
                <w:rFonts w:hint="eastAsia" w:ascii="宋体" w:hAnsi="宋体" w:eastAsia="宋体" w:cs="宋体"/>
                <w:i w:val="0"/>
                <w:iCs w:val="0"/>
                <w:color w:val="auto"/>
                <w:spacing w:val="6"/>
                <w:sz w:val="21"/>
                <w:szCs w:val="21"/>
                <w:highlight w:val="none"/>
                <w:vertAlign w:val="baseline"/>
                <w:lang w:val="en-US"/>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C15D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2A12E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56574B6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非货币银行服务</w:t>
            </w:r>
          </w:p>
        </w:tc>
        <w:tc>
          <w:tcPr>
            <w:tcW w:w="1817" w:type="dxa"/>
            <w:vMerge w:val="restart"/>
            <w:vAlign w:val="center"/>
          </w:tcPr>
          <w:p w14:paraId="7DD2F497">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银行业非存款类金融机构</w:t>
            </w:r>
          </w:p>
        </w:tc>
        <w:tc>
          <w:tcPr>
            <w:tcW w:w="1143" w:type="dxa"/>
            <w:shd w:val="clear" w:color="auto" w:fill="auto"/>
            <w:vAlign w:val="center"/>
          </w:tcPr>
          <w:p w14:paraId="46609FB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8F5BE5">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29DE0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40CFE49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1EF9025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CC015F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0699B1D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56E78EC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0CA59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EE674B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17EDCC4">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DEB5E2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4E9D4A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vAlign w:val="center"/>
          </w:tcPr>
          <w:p w14:paraId="00D701CA">
            <w:pPr>
              <w:spacing w:line="240" w:lineRule="auto"/>
              <w:jc w:val="center"/>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4B534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6D041F7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95688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restart"/>
            <w:vAlign w:val="center"/>
          </w:tcPr>
          <w:p w14:paraId="2420EBEF">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贷款公司、小额贷款公司及典当行</w:t>
            </w:r>
          </w:p>
        </w:tc>
        <w:tc>
          <w:tcPr>
            <w:tcW w:w="1143" w:type="dxa"/>
            <w:shd w:val="clear" w:color="auto" w:fill="auto"/>
            <w:vAlign w:val="center"/>
          </w:tcPr>
          <w:p w14:paraId="705DE84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07BBC2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9E6E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180FDC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078270C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0CBA76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2EA1A43D">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220FC05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7A6B2C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1C9F23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693061F1">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41FB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76913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03E9BD7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10E7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3A884F55">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资本市场服务</w:t>
            </w:r>
          </w:p>
        </w:tc>
        <w:tc>
          <w:tcPr>
            <w:tcW w:w="1817" w:type="dxa"/>
            <w:vMerge w:val="restart"/>
            <w:vAlign w:val="center"/>
          </w:tcPr>
          <w:p w14:paraId="6E78CF8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证券业金融机构</w:t>
            </w:r>
          </w:p>
        </w:tc>
        <w:tc>
          <w:tcPr>
            <w:tcW w:w="1143" w:type="dxa"/>
            <w:shd w:val="clear" w:color="auto" w:fill="auto"/>
            <w:vAlign w:val="center"/>
          </w:tcPr>
          <w:p w14:paraId="0414261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44492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100亿元（含）至1000亿元</w:t>
            </w:r>
          </w:p>
        </w:tc>
      </w:tr>
      <w:tr w14:paraId="0F1C8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3B06C7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59421CA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4B5A7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A9C4DF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10亿元（含）至100亿元</w:t>
            </w:r>
          </w:p>
        </w:tc>
      </w:tr>
      <w:tr w14:paraId="01E76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65FECC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ADD78C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0F7AF9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43D0131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10亿元以下</w:t>
            </w:r>
          </w:p>
        </w:tc>
      </w:tr>
      <w:tr w14:paraId="33147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restart"/>
            <w:vAlign w:val="center"/>
          </w:tcPr>
          <w:p w14:paraId="7FAED34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保险业</w:t>
            </w:r>
          </w:p>
        </w:tc>
        <w:tc>
          <w:tcPr>
            <w:tcW w:w="1817" w:type="dxa"/>
            <w:vMerge w:val="restart"/>
            <w:vAlign w:val="center"/>
          </w:tcPr>
          <w:p w14:paraId="73A1B699">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lang w:val="en-US" w:eastAsia="zh-CN"/>
              </w:rPr>
              <w:t>保险业金融机构</w:t>
            </w:r>
          </w:p>
        </w:tc>
        <w:tc>
          <w:tcPr>
            <w:tcW w:w="1143" w:type="dxa"/>
            <w:shd w:val="clear" w:color="auto" w:fill="auto"/>
            <w:vAlign w:val="center"/>
          </w:tcPr>
          <w:p w14:paraId="7046BDE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41B9BB4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400亿元（含）至5000亿元</w:t>
            </w:r>
          </w:p>
        </w:tc>
      </w:tr>
      <w:tr w14:paraId="386FC4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48C8613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2ACF5AB">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361981C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7F195A7E">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13369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287" w:type="dxa"/>
            <w:gridSpan w:val="2"/>
            <w:vMerge w:val="continue"/>
            <w:vAlign w:val="center"/>
          </w:tcPr>
          <w:p w14:paraId="7051FBA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1A95E01E">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5DD1435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F4DBB0">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1B382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restart"/>
            <w:vAlign w:val="center"/>
          </w:tcPr>
          <w:p w14:paraId="6A4EBA5D">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其他金融业</w:t>
            </w:r>
          </w:p>
        </w:tc>
        <w:tc>
          <w:tcPr>
            <w:tcW w:w="1168" w:type="dxa"/>
            <w:vMerge w:val="restart"/>
            <w:vAlign w:val="center"/>
          </w:tcPr>
          <w:p w14:paraId="741CF031">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金融信托与管理服务</w:t>
            </w:r>
          </w:p>
        </w:tc>
        <w:tc>
          <w:tcPr>
            <w:tcW w:w="1817" w:type="dxa"/>
            <w:vMerge w:val="restart"/>
            <w:vAlign w:val="center"/>
          </w:tcPr>
          <w:p w14:paraId="70836B6C">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信托公司</w:t>
            </w:r>
          </w:p>
        </w:tc>
        <w:tc>
          <w:tcPr>
            <w:tcW w:w="1143" w:type="dxa"/>
            <w:shd w:val="clear" w:color="auto" w:fill="auto"/>
            <w:vAlign w:val="center"/>
          </w:tcPr>
          <w:p w14:paraId="03C999A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0C96EED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400亿元（含）至1000亿元</w:t>
            </w:r>
          </w:p>
        </w:tc>
      </w:tr>
      <w:tr w14:paraId="394AA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338E5D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2343FC29">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EB960A0">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D76C17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0E689FD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20亿元（含）至400亿元</w:t>
            </w:r>
          </w:p>
        </w:tc>
      </w:tr>
      <w:tr w14:paraId="3E940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71E32AA3">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41AB74F">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15F254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60C098A">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33182E4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20亿元以下</w:t>
            </w:r>
          </w:p>
        </w:tc>
      </w:tr>
      <w:tr w14:paraId="61CA03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0A3463AD">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65B75359">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控股公司服务</w:t>
            </w:r>
          </w:p>
        </w:tc>
        <w:tc>
          <w:tcPr>
            <w:tcW w:w="1817" w:type="dxa"/>
            <w:vMerge w:val="restart"/>
            <w:vAlign w:val="center"/>
          </w:tcPr>
          <w:p w14:paraId="5AA3A788">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金融控股公司</w:t>
            </w:r>
          </w:p>
        </w:tc>
        <w:tc>
          <w:tcPr>
            <w:tcW w:w="1143" w:type="dxa"/>
            <w:shd w:val="clear" w:color="auto" w:fill="auto"/>
            <w:vAlign w:val="center"/>
          </w:tcPr>
          <w:p w14:paraId="6A34EBF4">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2863D8FC">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5000亿元（含）至40000亿元</w:t>
            </w:r>
          </w:p>
        </w:tc>
      </w:tr>
      <w:tr w14:paraId="61EE7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57F9BDD8">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774A559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658174A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3D84EB3">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434D1F52">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50亿元（含）至5000亿元</w:t>
            </w:r>
          </w:p>
        </w:tc>
      </w:tr>
      <w:tr w14:paraId="245B3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1119" w:type="dxa"/>
            <w:vMerge w:val="continue"/>
            <w:vAlign w:val="center"/>
          </w:tcPr>
          <w:p w14:paraId="288472CC">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continue"/>
            <w:vAlign w:val="center"/>
          </w:tcPr>
          <w:p w14:paraId="4DB4D286">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817" w:type="dxa"/>
            <w:vMerge w:val="continue"/>
            <w:vAlign w:val="center"/>
          </w:tcPr>
          <w:p w14:paraId="72B6EDD2">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472A904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FC344BB">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r w14:paraId="3F9EF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119" w:type="dxa"/>
            <w:vMerge w:val="continue"/>
            <w:vAlign w:val="center"/>
          </w:tcPr>
          <w:p w14:paraId="046E9137">
            <w:pPr>
              <w:spacing w:line="240" w:lineRule="auto"/>
              <w:jc w:val="both"/>
              <w:rPr>
                <w:rFonts w:hint="eastAsia" w:ascii="宋体" w:hAnsi="宋体" w:eastAsia="宋体" w:cs="宋体"/>
                <w:i w:val="0"/>
                <w:iCs w:val="0"/>
                <w:color w:val="auto"/>
                <w:spacing w:val="6"/>
                <w:sz w:val="21"/>
                <w:szCs w:val="21"/>
                <w:highlight w:val="none"/>
                <w:vertAlign w:val="baseline"/>
              </w:rPr>
            </w:pPr>
          </w:p>
        </w:tc>
        <w:tc>
          <w:tcPr>
            <w:tcW w:w="1168" w:type="dxa"/>
            <w:vMerge w:val="restart"/>
            <w:vAlign w:val="center"/>
          </w:tcPr>
          <w:p w14:paraId="10B14656">
            <w:pPr>
              <w:spacing w:line="240" w:lineRule="auto"/>
              <w:jc w:val="both"/>
              <w:rPr>
                <w:rFonts w:hint="eastAsia" w:ascii="宋体" w:hAnsi="宋体" w:eastAsia="宋体" w:cs="宋体"/>
                <w:i w:val="0"/>
                <w:iCs w:val="0"/>
                <w:color w:val="auto"/>
                <w:spacing w:val="6"/>
                <w:sz w:val="21"/>
                <w:szCs w:val="21"/>
                <w:highlight w:val="none"/>
                <w:vertAlign w:val="baseline"/>
                <w:lang w:val="en-US" w:eastAsia="zh-CN"/>
              </w:rPr>
            </w:pPr>
            <w:r>
              <w:rPr>
                <w:rFonts w:hint="eastAsia" w:ascii="宋体" w:hAnsi="宋体" w:eastAsia="宋体" w:cs="宋体"/>
                <w:i w:val="0"/>
                <w:iCs w:val="0"/>
                <w:color w:val="auto"/>
                <w:spacing w:val="6"/>
                <w:sz w:val="21"/>
                <w:szCs w:val="21"/>
                <w:highlight w:val="none"/>
                <w:vertAlign w:val="baseline"/>
                <w:lang w:val="en-US" w:eastAsia="zh-CN"/>
              </w:rPr>
              <w:t>其他未包括的金融业</w:t>
            </w:r>
          </w:p>
        </w:tc>
        <w:tc>
          <w:tcPr>
            <w:tcW w:w="1817" w:type="dxa"/>
            <w:vMerge w:val="restart"/>
            <w:vAlign w:val="center"/>
          </w:tcPr>
          <w:p w14:paraId="3E665F4F">
            <w:pPr>
              <w:spacing w:line="240" w:lineRule="auto"/>
              <w:jc w:val="both"/>
              <w:rPr>
                <w:rFonts w:hint="eastAsia" w:ascii="宋体" w:hAnsi="宋体" w:eastAsia="宋体" w:cs="宋体"/>
                <w:i w:val="0"/>
                <w:iCs w:val="0"/>
                <w:color w:val="auto"/>
                <w:spacing w:val="6"/>
                <w:sz w:val="21"/>
                <w:szCs w:val="21"/>
                <w:highlight w:val="none"/>
                <w:vertAlign w:val="baseline"/>
              </w:rPr>
            </w:pPr>
            <w:r>
              <w:rPr>
                <w:rFonts w:hint="eastAsia" w:ascii="宋体" w:hAnsi="宋体" w:eastAsia="宋体" w:cs="宋体"/>
                <w:i w:val="0"/>
                <w:iCs w:val="0"/>
                <w:color w:val="auto"/>
                <w:spacing w:val="6"/>
                <w:sz w:val="21"/>
                <w:szCs w:val="21"/>
                <w:highlight w:val="none"/>
                <w:vertAlign w:val="baseline"/>
              </w:rPr>
              <w:t>除贷款公司、小额贷款公司、典当行以外的其他金融机构</w:t>
            </w:r>
          </w:p>
        </w:tc>
        <w:tc>
          <w:tcPr>
            <w:tcW w:w="1143" w:type="dxa"/>
            <w:shd w:val="clear" w:color="auto" w:fill="auto"/>
            <w:vAlign w:val="center"/>
          </w:tcPr>
          <w:p w14:paraId="00510279">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中型</w:t>
            </w:r>
          </w:p>
        </w:tc>
        <w:tc>
          <w:tcPr>
            <w:tcW w:w="3251" w:type="dxa"/>
            <w:shd w:val="clear" w:color="auto" w:fill="auto"/>
            <w:vAlign w:val="center"/>
          </w:tcPr>
          <w:p w14:paraId="6033F5D6">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200亿元（含）至1000亿元</w:t>
            </w:r>
          </w:p>
        </w:tc>
      </w:tr>
      <w:tr w14:paraId="34EBC9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1119" w:type="dxa"/>
            <w:vMerge w:val="continue"/>
          </w:tcPr>
          <w:p w14:paraId="04848A28">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2F2E72F9">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179DE2D0">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1E623338">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小型</w:t>
            </w:r>
          </w:p>
        </w:tc>
        <w:tc>
          <w:tcPr>
            <w:tcW w:w="3251" w:type="dxa"/>
            <w:shd w:val="clear" w:color="auto" w:fill="auto"/>
            <w:vAlign w:val="center"/>
          </w:tcPr>
          <w:p w14:paraId="12916BB7">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50亿元（含）至200亿元</w:t>
            </w:r>
          </w:p>
        </w:tc>
      </w:tr>
      <w:tr w14:paraId="6DDCD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119" w:type="dxa"/>
            <w:vMerge w:val="continue"/>
          </w:tcPr>
          <w:p w14:paraId="0F1E7A7B">
            <w:pPr>
              <w:spacing w:line="240" w:lineRule="auto"/>
              <w:rPr>
                <w:rFonts w:hint="eastAsia" w:ascii="宋体" w:hAnsi="宋体" w:eastAsia="宋体" w:cs="宋体"/>
                <w:i w:val="0"/>
                <w:iCs w:val="0"/>
                <w:color w:val="auto"/>
                <w:spacing w:val="6"/>
                <w:sz w:val="21"/>
                <w:szCs w:val="21"/>
                <w:highlight w:val="none"/>
                <w:vertAlign w:val="baseline"/>
              </w:rPr>
            </w:pPr>
          </w:p>
        </w:tc>
        <w:tc>
          <w:tcPr>
            <w:tcW w:w="1168" w:type="dxa"/>
            <w:vMerge w:val="continue"/>
          </w:tcPr>
          <w:p w14:paraId="08010151">
            <w:pPr>
              <w:spacing w:line="240" w:lineRule="auto"/>
              <w:rPr>
                <w:rFonts w:hint="eastAsia" w:ascii="宋体" w:hAnsi="宋体" w:eastAsia="宋体" w:cs="宋体"/>
                <w:i w:val="0"/>
                <w:iCs w:val="0"/>
                <w:color w:val="auto"/>
                <w:spacing w:val="6"/>
                <w:sz w:val="21"/>
                <w:szCs w:val="21"/>
                <w:highlight w:val="none"/>
                <w:vertAlign w:val="baseline"/>
              </w:rPr>
            </w:pPr>
          </w:p>
        </w:tc>
        <w:tc>
          <w:tcPr>
            <w:tcW w:w="1817" w:type="dxa"/>
            <w:vMerge w:val="continue"/>
          </w:tcPr>
          <w:p w14:paraId="71A393FF">
            <w:pPr>
              <w:spacing w:line="240" w:lineRule="auto"/>
              <w:rPr>
                <w:rFonts w:hint="eastAsia" w:ascii="宋体" w:hAnsi="宋体" w:eastAsia="宋体" w:cs="宋体"/>
                <w:i w:val="0"/>
                <w:iCs w:val="0"/>
                <w:color w:val="auto"/>
                <w:spacing w:val="6"/>
                <w:sz w:val="21"/>
                <w:szCs w:val="21"/>
                <w:highlight w:val="none"/>
                <w:vertAlign w:val="baseline"/>
              </w:rPr>
            </w:pPr>
          </w:p>
        </w:tc>
        <w:tc>
          <w:tcPr>
            <w:tcW w:w="1143" w:type="dxa"/>
            <w:shd w:val="clear" w:color="auto" w:fill="auto"/>
            <w:vAlign w:val="center"/>
          </w:tcPr>
          <w:p w14:paraId="668714F1">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微型</w:t>
            </w:r>
          </w:p>
        </w:tc>
        <w:tc>
          <w:tcPr>
            <w:tcW w:w="3251" w:type="dxa"/>
            <w:shd w:val="clear" w:color="auto" w:fill="auto"/>
            <w:vAlign w:val="center"/>
          </w:tcPr>
          <w:p w14:paraId="1913FA3F">
            <w:pPr>
              <w:spacing w:line="240" w:lineRule="auto"/>
              <w:jc w:val="center"/>
              <w:rPr>
                <w:rFonts w:hint="eastAsia" w:ascii="宋体" w:hAnsi="宋体" w:eastAsia="宋体" w:cs="宋体"/>
                <w:i w:val="0"/>
                <w:iCs w:val="0"/>
                <w:color w:val="auto"/>
                <w:spacing w:val="6"/>
                <w:kern w:val="2"/>
                <w:sz w:val="21"/>
                <w:szCs w:val="21"/>
                <w:highlight w:val="none"/>
                <w:vertAlign w:val="baseline"/>
                <w:lang w:val="en-US" w:eastAsia="zh-CN" w:bidi="ar-SA"/>
              </w:rPr>
            </w:pPr>
            <w:r>
              <w:rPr>
                <w:rFonts w:hint="eastAsia" w:ascii="宋体" w:hAnsi="宋体" w:eastAsia="宋体" w:cs="宋体"/>
                <w:i w:val="0"/>
                <w:iCs w:val="0"/>
                <w:color w:val="auto"/>
                <w:spacing w:val="6"/>
                <w:sz w:val="21"/>
                <w:szCs w:val="21"/>
                <w:highlight w:val="none"/>
                <w:vertAlign w:val="baseline"/>
                <w:lang w:val="en-US" w:eastAsia="zh-CN"/>
              </w:rPr>
              <w:t>50亿元以下</w:t>
            </w:r>
          </w:p>
        </w:tc>
      </w:tr>
    </w:tbl>
    <w:p w14:paraId="18C696DB">
      <w:pPr>
        <w:rPr>
          <w:rFonts w:cs="宋体"/>
          <w:i w:val="0"/>
          <w:iCs w:val="0"/>
          <w:color w:val="auto"/>
          <w:spacing w:val="6"/>
          <w:sz w:val="21"/>
          <w:szCs w:val="21"/>
          <w:highlight w:val="none"/>
        </w:rPr>
      </w:pPr>
      <w:r>
        <w:rPr>
          <w:rFonts w:cs="宋体"/>
          <w:i w:val="0"/>
          <w:iCs w:val="0"/>
          <w:color w:val="auto"/>
          <w:spacing w:val="6"/>
          <w:sz w:val="21"/>
          <w:szCs w:val="21"/>
          <w:highlight w:val="none"/>
        </w:rPr>
        <w:br w:type="page"/>
      </w:r>
    </w:p>
    <w:bookmarkEnd w:id="667"/>
    <w:p w14:paraId="5D4F19F2">
      <w:pPr>
        <w:pStyle w:val="17"/>
        <w:keepNext w:val="0"/>
        <w:keepLines w:val="0"/>
        <w:pageBreakBefore w:val="0"/>
        <w:widowControl w:val="0"/>
        <w:kinsoku/>
        <w:wordWrap/>
        <w:overflowPunct/>
        <w:topLinePunct w:val="0"/>
        <w:autoSpaceDE/>
        <w:autoSpaceDN/>
        <w:bidi w:val="0"/>
        <w:adjustRightInd/>
        <w:snapToGrid/>
        <w:spacing w:line="500" w:lineRule="exact"/>
        <w:jc w:val="both"/>
        <w:textAlignment w:val="auto"/>
        <w:rPr>
          <w:rFonts w:hint="eastAsia" w:ascii="方正小标宋_GBK" w:hAnsi="方正小标宋_GBK" w:eastAsia="方正小标宋_GBK" w:cs="方正小标宋_GBK"/>
          <w:bCs/>
          <w:i w:val="0"/>
          <w:iCs w:val="0"/>
          <w:color w:val="auto"/>
          <w:sz w:val="36"/>
          <w:szCs w:val="36"/>
          <w:highlight w:val="none"/>
          <w:lang w:val="en-US" w:eastAsia="zh-CN"/>
        </w:rPr>
      </w:pPr>
    </w:p>
    <w:p w14:paraId="639FE59E">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（三）监狱企业证明文件</w:t>
      </w:r>
      <w:r>
        <w:rPr>
          <w:rFonts w:hint="eastAsia" w:ascii="宋体" w:hAnsi="宋体" w:eastAsia="宋体" w:cs="宋体"/>
          <w:b w:val="0"/>
          <w:bCs w:val="0"/>
          <w:i w:val="0"/>
          <w:iCs w:val="0"/>
          <w:color w:val="auto"/>
          <w:kern w:val="2"/>
          <w:sz w:val="24"/>
          <w:szCs w:val="24"/>
          <w:highlight w:val="none"/>
          <w:lang w:val="en-US" w:eastAsia="zh-CN" w:bidi="ar-SA"/>
        </w:rPr>
        <w:t>【如适用】</w:t>
      </w:r>
    </w:p>
    <w:p w14:paraId="2C3D834F">
      <w:pPr>
        <w:rPr>
          <w:rFonts w:cs="仿宋_GB2312"/>
          <w:b/>
          <w:i w:val="0"/>
          <w:iCs w:val="0"/>
          <w:color w:val="auto"/>
          <w:sz w:val="28"/>
          <w:szCs w:val="28"/>
          <w:highlight w:val="none"/>
        </w:rPr>
      </w:pPr>
    </w:p>
    <w:p w14:paraId="23D1BFCD">
      <w:pPr>
        <w:adjustRightInd w:val="0"/>
        <w:snapToGrid w:val="0"/>
        <w:ind w:firstLine="480" w:firstLineChars="2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【监狱企业应当提供由省级及以上监狱管理局、戒毒管理局（含新疆生产建设兵团）出具的监狱企业的证明文件，格式</w:t>
      </w:r>
      <w:r>
        <w:rPr>
          <w:rFonts w:hint="eastAsia" w:ascii="宋体" w:hAnsi="宋体" w:eastAsia="宋体" w:cs="宋体"/>
          <w:i w:val="0"/>
          <w:iCs w:val="0"/>
          <w:color w:val="auto"/>
          <w:sz w:val="24"/>
          <w:szCs w:val="24"/>
          <w:highlight w:val="none"/>
          <w:lang w:val="en-US" w:eastAsia="zh-CN"/>
        </w:rPr>
        <w:t>如下</w:t>
      </w:r>
      <w:r>
        <w:rPr>
          <w:rFonts w:hint="eastAsia" w:ascii="宋体" w:hAnsi="宋体" w:eastAsia="宋体" w:cs="宋体"/>
          <w:i w:val="0"/>
          <w:iCs w:val="0"/>
          <w:color w:val="auto"/>
          <w:sz w:val="24"/>
          <w:szCs w:val="24"/>
          <w:highlight w:val="none"/>
        </w:rPr>
        <w:t>】。</w:t>
      </w:r>
    </w:p>
    <w:p w14:paraId="75238DB1">
      <w:pPr>
        <w:pStyle w:val="17"/>
        <w:spacing w:line="360" w:lineRule="auto"/>
        <w:jc w:val="center"/>
        <w:rPr>
          <w:rFonts w:hint="eastAsia" w:ascii="宋体" w:hAnsi="宋体" w:eastAsia="宋体" w:cs="宋体"/>
          <w:b/>
          <w:bCs w:val="0"/>
          <w:i w:val="0"/>
          <w:iCs w:val="0"/>
          <w:color w:val="auto"/>
          <w:sz w:val="32"/>
          <w:szCs w:val="32"/>
          <w:highlight w:val="none"/>
        </w:rPr>
      </w:pPr>
    </w:p>
    <w:p w14:paraId="3EAA5E2A">
      <w:pPr>
        <w:pStyle w:val="17"/>
        <w:spacing w:line="360" w:lineRule="auto"/>
        <w:jc w:val="center"/>
        <w:rPr>
          <w:rFonts w:hint="eastAsia" w:ascii="宋体" w:hAnsi="宋体" w:eastAsia="宋体" w:cs="宋体"/>
          <w:b/>
          <w:bCs w:val="0"/>
          <w:i w:val="0"/>
          <w:iCs w:val="0"/>
          <w:color w:val="auto"/>
          <w:sz w:val="32"/>
          <w:szCs w:val="32"/>
          <w:highlight w:val="none"/>
        </w:rPr>
      </w:pPr>
      <w:r>
        <w:rPr>
          <w:rFonts w:hint="eastAsia" w:ascii="宋体" w:hAnsi="宋体" w:eastAsia="宋体" w:cs="宋体"/>
          <w:b/>
          <w:bCs w:val="0"/>
          <w:i w:val="0"/>
          <w:iCs w:val="0"/>
          <w:color w:val="auto"/>
          <w:sz w:val="32"/>
          <w:szCs w:val="32"/>
          <w:highlight w:val="none"/>
        </w:rPr>
        <w:t>监狱企业证明函</w:t>
      </w:r>
    </w:p>
    <w:p w14:paraId="73EFA9C1">
      <w:pPr>
        <w:spacing w:line="360" w:lineRule="auto"/>
        <w:rPr>
          <w:rFonts w:hint="eastAsia" w:ascii="仿宋_GB2312" w:hAnsi="仿宋_GB2312" w:eastAsia="仿宋_GB2312" w:cs="仿宋_GB2312"/>
          <w:i w:val="0"/>
          <w:iCs w:val="0"/>
          <w:color w:val="auto"/>
          <w:sz w:val="32"/>
          <w:szCs w:val="32"/>
          <w:highlight w:val="none"/>
        </w:rPr>
      </w:pPr>
    </w:p>
    <w:p w14:paraId="7E6FDB37">
      <w:pPr>
        <w:ind w:firstLine="504" w:firstLineChars="200"/>
        <w:rPr>
          <w:rFonts w:hint="eastAsia" w:cs="宋体"/>
          <w:i w:val="0"/>
          <w:iCs w:val="0"/>
          <w:color w:val="auto"/>
          <w:spacing w:val="6"/>
          <w:szCs w:val="24"/>
          <w:highlight w:val="none"/>
        </w:rPr>
      </w:pPr>
      <w:r>
        <w:rPr>
          <w:rFonts w:hint="eastAsia" w:cs="宋体"/>
          <w:i w:val="0"/>
          <w:iCs w:val="0"/>
          <w:color w:val="auto"/>
          <w:spacing w:val="6"/>
          <w:szCs w:val="24"/>
          <w:highlight w:val="none"/>
        </w:rPr>
        <w:t>本公司郑重声明，根据财政部、司法部《关于政府采购支持监狱企业发展有关问题的通知》（财库【2014】68号）的规定，本公司为监狱企业。</w:t>
      </w:r>
    </w:p>
    <w:p w14:paraId="3C2CE4C6">
      <w:pPr>
        <w:spacing w:line="360" w:lineRule="auto"/>
        <w:rPr>
          <w:rFonts w:hint="eastAsia" w:ascii="宋体" w:hAnsi="宋体" w:eastAsia="宋体" w:cs="宋体"/>
          <w:i w:val="0"/>
          <w:iCs w:val="0"/>
          <w:color w:val="auto"/>
          <w:sz w:val="24"/>
          <w:szCs w:val="24"/>
          <w:highlight w:val="none"/>
        </w:rPr>
      </w:pPr>
    </w:p>
    <w:p w14:paraId="25406F97">
      <w:pPr>
        <w:ind w:firstLine="4440" w:firstLineChars="1850"/>
        <w:rPr>
          <w:rFonts w:hint="eastAsia" w:ascii="宋体" w:hAnsi="宋体" w:eastAsia="宋体" w:cs="宋体"/>
          <w:i w:val="0"/>
          <w:iCs w:val="0"/>
          <w:color w:val="auto"/>
          <w:sz w:val="24"/>
          <w:szCs w:val="24"/>
          <w:highlight w:val="none"/>
        </w:rPr>
      </w:pPr>
    </w:p>
    <w:p w14:paraId="44FF352C">
      <w:pPr>
        <w:ind w:firstLine="4440" w:firstLineChars="1850"/>
        <w:rPr>
          <w:rFonts w:hint="eastAsia" w:ascii="宋体" w:hAnsi="宋体" w:eastAsia="宋体" w:cs="宋体"/>
          <w:i w:val="0"/>
          <w:iCs w:val="0"/>
          <w:color w:val="auto"/>
          <w:sz w:val="24"/>
          <w:szCs w:val="24"/>
          <w:highlight w:val="none"/>
        </w:rPr>
      </w:pPr>
    </w:p>
    <w:p w14:paraId="22DEAA2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38A830B4">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6C7FB09E">
      <w:pPr>
        <w:spacing w:line="360" w:lineRule="auto"/>
        <w:ind w:firstLine="240" w:firstLineChars="100"/>
        <w:rPr>
          <w:rFonts w:hint="eastAsia" w:ascii="宋体" w:hAnsi="宋体" w:eastAsia="宋体" w:cs="宋体"/>
          <w:i w:val="0"/>
          <w:iCs w:val="0"/>
          <w:color w:val="auto"/>
          <w:sz w:val="24"/>
          <w:szCs w:val="24"/>
          <w:highlight w:val="none"/>
        </w:rPr>
      </w:pPr>
    </w:p>
    <w:p w14:paraId="7B8735C9">
      <w:pPr>
        <w:spacing w:line="360" w:lineRule="auto"/>
        <w:ind w:firstLine="240" w:firstLineChars="100"/>
        <w:rPr>
          <w:rFonts w:hint="eastAsia" w:ascii="宋体" w:hAnsi="宋体" w:eastAsia="宋体" w:cs="宋体"/>
          <w:i w:val="0"/>
          <w:iCs w:val="0"/>
          <w:color w:val="auto"/>
          <w:sz w:val="24"/>
          <w:szCs w:val="24"/>
          <w:highlight w:val="none"/>
        </w:rPr>
      </w:pPr>
    </w:p>
    <w:p w14:paraId="32722C7E">
      <w:pPr>
        <w:spacing w:line="360" w:lineRule="auto"/>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省级以上监狱管理局、戒毒管理局</w:t>
      </w:r>
    </w:p>
    <w:p w14:paraId="20204BC0">
      <w:pPr>
        <w:ind w:firstLine="3360" w:firstLineChars="14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 xml:space="preserve">（含新疆生产建设兵团）（盖章）：  </w:t>
      </w:r>
    </w:p>
    <w:p w14:paraId="4A414B41">
      <w:pPr>
        <w:ind w:firstLine="4320" w:firstLineChars="1800"/>
        <w:rPr>
          <w:rFonts w:hint="eastAsia" w:ascii="宋体" w:hAnsi="宋体" w:eastAsia="宋体" w:cs="宋体"/>
          <w:i w:val="0"/>
          <w:iCs w:val="0"/>
          <w:color w:val="auto"/>
          <w:sz w:val="24"/>
          <w:szCs w:val="24"/>
          <w:highlight w:val="none"/>
        </w:rPr>
      </w:pPr>
      <w:r>
        <w:rPr>
          <w:rFonts w:hint="eastAsia" w:ascii="宋体" w:hAnsi="宋体" w:eastAsia="宋体" w:cs="宋体"/>
          <w:i w:val="0"/>
          <w:iCs w:val="0"/>
          <w:color w:val="auto"/>
          <w:sz w:val="24"/>
          <w:szCs w:val="24"/>
          <w:highlight w:val="none"/>
        </w:rPr>
        <w:t>日期：</w:t>
      </w:r>
      <w:r>
        <w:rPr>
          <w:rFonts w:hint="eastAsia" w:ascii="宋体" w:hAnsi="宋体" w:eastAsia="宋体" w:cs="宋体"/>
          <w:i w:val="0"/>
          <w:iCs w:val="0"/>
          <w:color w:val="auto"/>
          <w:spacing w:val="6"/>
          <w:sz w:val="24"/>
          <w:szCs w:val="24"/>
          <w:highlight w:val="none"/>
          <w:lang w:val="en-US" w:eastAsia="zh-CN"/>
        </w:rPr>
        <w:t xml:space="preserve">   年  月  日</w:t>
      </w:r>
    </w:p>
    <w:p w14:paraId="028B0253">
      <w:pPr>
        <w:spacing w:line="360" w:lineRule="auto"/>
        <w:ind w:firstLine="240" w:firstLineChars="100"/>
        <w:rPr>
          <w:rFonts w:hint="eastAsia" w:ascii="宋体" w:hAnsi="宋体" w:eastAsia="宋体" w:cs="宋体"/>
          <w:i w:val="0"/>
          <w:iCs w:val="0"/>
          <w:color w:val="auto"/>
          <w:sz w:val="24"/>
          <w:szCs w:val="24"/>
          <w:highlight w:val="none"/>
        </w:rPr>
      </w:pPr>
    </w:p>
    <w:p w14:paraId="4A20867A">
      <w:pPr>
        <w:spacing w:line="360" w:lineRule="auto"/>
        <w:ind w:firstLine="4000" w:firstLineChars="1250"/>
        <w:rPr>
          <w:rFonts w:hint="eastAsia" w:ascii="仿宋_GB2312" w:hAnsi="仿宋_GB2312" w:eastAsia="仿宋_GB2312" w:cs="仿宋_GB2312"/>
          <w:i w:val="0"/>
          <w:iCs w:val="0"/>
          <w:color w:val="auto"/>
          <w:sz w:val="32"/>
          <w:szCs w:val="32"/>
          <w:highlight w:val="none"/>
        </w:rPr>
      </w:pPr>
    </w:p>
    <w:p w14:paraId="206A9633">
      <w:pPr>
        <w:spacing w:line="360" w:lineRule="auto"/>
        <w:rPr>
          <w:rFonts w:hint="eastAsia" w:ascii="仿宋_GB2312" w:hAnsi="仿宋_GB2312" w:eastAsia="仿宋_GB2312" w:cs="仿宋_GB2312"/>
          <w:i w:val="0"/>
          <w:iCs w:val="0"/>
          <w:color w:val="auto"/>
          <w:sz w:val="32"/>
          <w:szCs w:val="32"/>
          <w:highlight w:val="none"/>
        </w:rPr>
      </w:pPr>
    </w:p>
    <w:p w14:paraId="283F77FC">
      <w:pPr>
        <w:widowControl/>
        <w:spacing w:before="100" w:beforeAutospacing="1" w:after="100" w:afterAutospacing="1"/>
        <w:rPr>
          <w:rFonts w:ascii="Arial" w:hAnsi="Arial" w:cs="Arial"/>
          <w:i w:val="0"/>
          <w:iCs w:val="0"/>
          <w:color w:val="auto"/>
          <w:sz w:val="21"/>
          <w:szCs w:val="21"/>
          <w:highlight w:val="none"/>
        </w:rPr>
      </w:pPr>
    </w:p>
    <w:p w14:paraId="3ACDD48E">
      <w:pPr>
        <w:widowControl/>
        <w:spacing w:before="100" w:beforeAutospacing="1" w:after="100" w:afterAutospacing="1"/>
        <w:rPr>
          <w:rFonts w:ascii="Arial" w:hAnsi="Arial" w:cs="Arial"/>
          <w:i w:val="0"/>
          <w:iCs w:val="0"/>
          <w:color w:val="auto"/>
          <w:sz w:val="21"/>
          <w:szCs w:val="21"/>
          <w:highlight w:val="none"/>
        </w:rPr>
      </w:pPr>
    </w:p>
    <w:p w14:paraId="22F7A202">
      <w:pPr>
        <w:widowControl/>
        <w:spacing w:before="100" w:beforeAutospacing="1" w:after="100" w:afterAutospacing="1"/>
        <w:rPr>
          <w:rFonts w:ascii="Arial" w:hAnsi="Arial" w:cs="Arial"/>
          <w:i w:val="0"/>
          <w:iCs w:val="0"/>
          <w:color w:val="auto"/>
          <w:sz w:val="21"/>
          <w:szCs w:val="21"/>
          <w:highlight w:val="none"/>
        </w:rPr>
      </w:pPr>
    </w:p>
    <w:p w14:paraId="2AA0844D">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68" w:name="_Toc163492941"/>
    </w:p>
    <w:p w14:paraId="69ACD5D5">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r>
        <w:rPr>
          <w:rFonts w:hint="eastAsia" w:ascii="宋体" w:hAnsi="宋体" w:eastAsia="宋体" w:cs="宋体"/>
          <w:b/>
          <w:bCs/>
          <w:i w:val="0"/>
          <w:iCs w:val="0"/>
          <w:color w:val="auto"/>
          <w:kern w:val="2"/>
          <w:sz w:val="24"/>
          <w:szCs w:val="24"/>
          <w:highlight w:val="none"/>
          <w:lang w:val="en-US" w:eastAsia="zh-CN" w:bidi="ar-SA"/>
        </w:rPr>
        <w:t>（四）残疾人福利性单位声明函</w:t>
      </w:r>
      <w:r>
        <w:rPr>
          <w:rFonts w:hint="eastAsia" w:ascii="宋体" w:hAnsi="宋体" w:eastAsia="宋体" w:cs="宋体"/>
          <w:b w:val="0"/>
          <w:bCs w:val="0"/>
          <w:i w:val="0"/>
          <w:iCs w:val="0"/>
          <w:color w:val="auto"/>
          <w:kern w:val="2"/>
          <w:sz w:val="24"/>
          <w:szCs w:val="24"/>
          <w:highlight w:val="none"/>
          <w:lang w:val="en-US" w:eastAsia="zh-CN" w:bidi="ar-SA"/>
        </w:rPr>
        <w:t>【如适用】</w:t>
      </w:r>
      <w:bookmarkEnd w:id="668"/>
    </w:p>
    <w:p w14:paraId="57F303A4">
      <w:pPr>
        <w:pStyle w:val="40"/>
        <w:numPr>
          <w:ilvl w:val="0"/>
          <w:numId w:val="0"/>
        </w:numPr>
        <w:ind w:left="420" w:leftChars="0" w:hanging="420" w:firstLineChars="0"/>
        <w:jc w:val="center"/>
        <w:rPr>
          <w:rFonts w:hint="eastAsia"/>
          <w:b/>
          <w:bCs/>
          <w:i w:val="0"/>
          <w:iCs w:val="0"/>
          <w:color w:val="auto"/>
          <w:sz w:val="32"/>
          <w:szCs w:val="32"/>
          <w:highlight w:val="none"/>
        </w:rPr>
      </w:pPr>
    </w:p>
    <w:p w14:paraId="091B47EA">
      <w:pPr>
        <w:pStyle w:val="40"/>
        <w:numPr>
          <w:ilvl w:val="0"/>
          <w:numId w:val="0"/>
        </w:numPr>
        <w:ind w:left="420" w:leftChars="0" w:hanging="420" w:firstLineChars="0"/>
        <w:jc w:val="center"/>
        <w:rPr>
          <w:b/>
          <w:bCs/>
          <w:i w:val="0"/>
          <w:iCs w:val="0"/>
          <w:color w:val="auto"/>
          <w:sz w:val="32"/>
          <w:szCs w:val="32"/>
          <w:highlight w:val="none"/>
        </w:rPr>
      </w:pPr>
      <w:r>
        <w:rPr>
          <w:rFonts w:hint="eastAsia"/>
          <w:b/>
          <w:bCs/>
          <w:i w:val="0"/>
          <w:iCs w:val="0"/>
          <w:color w:val="auto"/>
          <w:sz w:val="32"/>
          <w:szCs w:val="32"/>
          <w:highlight w:val="none"/>
        </w:rPr>
        <w:t>残疾人福利性单位声明函</w:t>
      </w:r>
    </w:p>
    <w:p w14:paraId="28D13EE8">
      <w:pPr>
        <w:wordWrap w:val="0"/>
        <w:ind w:firstLine="480" w:firstLineChars="200"/>
        <w:rPr>
          <w:rFonts w:hint="eastAsia"/>
          <w:i w:val="0"/>
          <w:iCs w:val="0"/>
          <w:color w:val="auto"/>
          <w:szCs w:val="24"/>
          <w:highlight w:val="none"/>
        </w:rPr>
      </w:pPr>
    </w:p>
    <w:p w14:paraId="2B2B6A0A">
      <w:pPr>
        <w:wordWrap w:val="0"/>
        <w:ind w:firstLine="480" w:firstLineChars="200"/>
        <w:rPr>
          <w:i w:val="0"/>
          <w:iCs w:val="0"/>
          <w:color w:val="auto"/>
          <w:szCs w:val="24"/>
          <w:highlight w:val="none"/>
        </w:rPr>
      </w:pPr>
      <w:r>
        <w:rPr>
          <w:rFonts w:hint="eastAsia"/>
          <w:i w:val="0"/>
          <w:iCs w:val="0"/>
          <w:color w:val="auto"/>
          <w:szCs w:val="24"/>
          <w:highlight w:val="none"/>
        </w:rPr>
        <w:t>本公司（联合体）郑重声明，根据《财政部 民政部 中国残疾人联合会关于促进残疾人就业政府采购政策的通知》（财库〔2017〕141号）的规定，本公司（联合体）参加</w:t>
      </w:r>
      <w:r>
        <w:rPr>
          <w:rFonts w:hint="eastAsia"/>
          <w:i w:val="0"/>
          <w:iCs w:val="0"/>
          <w:color w:val="auto"/>
          <w:szCs w:val="24"/>
          <w:highlight w:val="none"/>
          <w:u w:val="single"/>
        </w:rPr>
        <w:t xml:space="preserve"> （单位名称） </w:t>
      </w:r>
      <w:r>
        <w:rPr>
          <w:rFonts w:hint="eastAsia"/>
          <w:i w:val="0"/>
          <w:iCs w:val="0"/>
          <w:color w:val="auto"/>
          <w:szCs w:val="24"/>
          <w:highlight w:val="none"/>
        </w:rPr>
        <w:t>的</w:t>
      </w:r>
      <w:r>
        <w:rPr>
          <w:rFonts w:hint="eastAsia"/>
          <w:i w:val="0"/>
          <w:iCs w:val="0"/>
          <w:color w:val="auto"/>
          <w:szCs w:val="24"/>
          <w:highlight w:val="none"/>
          <w:u w:val="single"/>
        </w:rPr>
        <w:t xml:space="preserve"> （项目名称） </w:t>
      </w:r>
      <w:r>
        <w:rPr>
          <w:rFonts w:hint="eastAsia"/>
          <w:i w:val="0"/>
          <w:iCs w:val="0"/>
          <w:color w:val="auto"/>
          <w:szCs w:val="24"/>
          <w:highlight w:val="none"/>
        </w:rPr>
        <w:t>采购活动，提供的</w:t>
      </w:r>
      <w:r>
        <w:rPr>
          <w:rFonts w:hint="eastAsia"/>
          <w:i w:val="0"/>
          <w:iCs w:val="0"/>
          <w:color w:val="auto"/>
          <w:szCs w:val="24"/>
          <w:highlight w:val="none"/>
          <w:lang w:val="en-US" w:eastAsia="zh-CN"/>
        </w:rPr>
        <w:t>服务</w:t>
      </w:r>
      <w:r>
        <w:rPr>
          <w:rFonts w:hint="eastAsia"/>
          <w:b/>
          <w:i w:val="0"/>
          <w:iCs w:val="0"/>
          <w:color w:val="auto"/>
          <w:szCs w:val="24"/>
          <w:highlight w:val="none"/>
        </w:rPr>
        <w:t>全部由</w:t>
      </w:r>
      <w:r>
        <w:rPr>
          <w:rFonts w:hint="eastAsia"/>
          <w:i w:val="0"/>
          <w:iCs w:val="0"/>
          <w:color w:val="auto"/>
          <w:szCs w:val="24"/>
          <w:highlight w:val="none"/>
        </w:rPr>
        <w:t>符合政策要求的</w:t>
      </w:r>
      <w:r>
        <w:rPr>
          <w:rFonts w:hint="eastAsia"/>
          <w:b/>
          <w:i w:val="0"/>
          <w:iCs w:val="0"/>
          <w:color w:val="auto"/>
          <w:szCs w:val="24"/>
          <w:highlight w:val="none"/>
        </w:rPr>
        <w:t>残疾人福利性单位</w:t>
      </w:r>
      <w:r>
        <w:rPr>
          <w:rFonts w:hint="eastAsia"/>
          <w:b/>
          <w:i w:val="0"/>
          <w:iCs w:val="0"/>
          <w:color w:val="auto"/>
          <w:szCs w:val="24"/>
          <w:highlight w:val="none"/>
          <w:lang w:val="en-US" w:eastAsia="zh-CN"/>
        </w:rPr>
        <w:t>承接</w:t>
      </w:r>
      <w:r>
        <w:rPr>
          <w:rFonts w:hint="eastAsia"/>
          <w:i w:val="0"/>
          <w:iCs w:val="0"/>
          <w:color w:val="auto"/>
          <w:szCs w:val="24"/>
          <w:highlight w:val="none"/>
        </w:rPr>
        <w:t>。相关企业（含联合体中的残疾人福利性单位、签订分包意向协议</w:t>
      </w:r>
      <w:r>
        <w:rPr>
          <w:rFonts w:hint="eastAsia"/>
          <w:i w:val="0"/>
          <w:iCs w:val="0"/>
          <w:color w:val="auto"/>
          <w:szCs w:val="24"/>
          <w:highlight w:val="none"/>
          <w:lang w:val="en-US" w:eastAsia="zh-CN"/>
        </w:rPr>
        <w:t>书</w:t>
      </w:r>
      <w:r>
        <w:rPr>
          <w:rFonts w:hint="eastAsia"/>
          <w:i w:val="0"/>
          <w:iCs w:val="0"/>
          <w:color w:val="auto"/>
          <w:szCs w:val="24"/>
          <w:highlight w:val="none"/>
        </w:rPr>
        <w:t>的残疾人福利性单位）的具体情况如下：</w:t>
      </w:r>
    </w:p>
    <w:p w14:paraId="2B0D31AB">
      <w:pPr>
        <w:wordWrap w:val="0"/>
        <w:ind w:firstLine="480" w:firstLineChars="200"/>
        <w:rPr>
          <w:i w:val="0"/>
          <w:iCs w:val="0"/>
          <w:color w:val="auto"/>
          <w:szCs w:val="24"/>
          <w:highlight w:val="none"/>
        </w:rPr>
      </w:pPr>
      <w:r>
        <w:rPr>
          <w:rFonts w:hint="eastAsia"/>
          <w:i w:val="0"/>
          <w:iCs w:val="0"/>
          <w:color w:val="auto"/>
          <w:szCs w:val="24"/>
          <w:highlight w:val="none"/>
        </w:rPr>
        <w:t>1.</w:t>
      </w:r>
      <w:r>
        <w:rPr>
          <w:rFonts w:hint="eastAsia"/>
          <w:i w:val="0"/>
          <w:iCs w:val="0"/>
          <w:color w:val="auto"/>
          <w:szCs w:val="24"/>
          <w:highlight w:val="none"/>
          <w:u w:val="single"/>
        </w:rPr>
        <w:t xml:space="preserve"> （标的名称）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138F8FD5">
      <w:pPr>
        <w:wordWrap w:val="0"/>
        <w:ind w:firstLine="480" w:firstLineChars="200"/>
        <w:rPr>
          <w:i w:val="0"/>
          <w:iCs w:val="0"/>
          <w:color w:val="auto"/>
          <w:szCs w:val="24"/>
          <w:highlight w:val="none"/>
        </w:rPr>
      </w:pPr>
      <w:r>
        <w:rPr>
          <w:rFonts w:hint="eastAsia"/>
          <w:i w:val="0"/>
          <w:iCs w:val="0"/>
          <w:color w:val="auto"/>
          <w:szCs w:val="24"/>
          <w:highlight w:val="none"/>
        </w:rPr>
        <w:t xml:space="preserve">2. </w:t>
      </w:r>
      <w:r>
        <w:rPr>
          <w:rFonts w:hint="eastAsia"/>
          <w:i w:val="0"/>
          <w:iCs w:val="0"/>
          <w:color w:val="auto"/>
          <w:szCs w:val="24"/>
          <w:highlight w:val="none"/>
          <w:u w:val="single"/>
        </w:rPr>
        <w:t xml:space="preserve">（标的名称） </w:t>
      </w:r>
      <w:r>
        <w:rPr>
          <w:rFonts w:hint="eastAsia"/>
          <w:i w:val="0"/>
          <w:iCs w:val="0"/>
          <w:color w:val="auto"/>
          <w:szCs w:val="24"/>
          <w:highlight w:val="none"/>
        </w:rPr>
        <w:t>，</w:t>
      </w:r>
      <w:r>
        <w:rPr>
          <w:rFonts w:hint="eastAsia"/>
          <w:i w:val="0"/>
          <w:iCs w:val="0"/>
          <w:color w:val="auto"/>
          <w:szCs w:val="24"/>
          <w:highlight w:val="none"/>
          <w:lang w:val="en-US" w:eastAsia="zh-CN"/>
        </w:rPr>
        <w:t>承接单位</w:t>
      </w:r>
      <w:r>
        <w:rPr>
          <w:rFonts w:hint="eastAsia"/>
          <w:i w:val="0"/>
          <w:iCs w:val="0"/>
          <w:color w:val="auto"/>
          <w:szCs w:val="24"/>
          <w:highlight w:val="none"/>
        </w:rPr>
        <w:t xml:space="preserve">为 </w:t>
      </w:r>
      <w:r>
        <w:rPr>
          <w:i w:val="0"/>
          <w:iCs w:val="0"/>
          <w:color w:val="auto"/>
          <w:szCs w:val="24"/>
          <w:highlight w:val="none"/>
          <w:u w:val="single"/>
        </w:rPr>
        <w:t xml:space="preserve">  </w:t>
      </w:r>
      <w:r>
        <w:rPr>
          <w:rFonts w:hint="eastAsia"/>
          <w:i w:val="0"/>
          <w:iCs w:val="0"/>
          <w:color w:val="auto"/>
          <w:szCs w:val="24"/>
          <w:highlight w:val="none"/>
          <w:u w:val="single"/>
        </w:rPr>
        <w:t xml:space="preserve">（企业名称） </w:t>
      </w:r>
      <w:r>
        <w:rPr>
          <w:rFonts w:hint="eastAsia"/>
          <w:i w:val="0"/>
          <w:iCs w:val="0"/>
          <w:color w:val="auto"/>
          <w:szCs w:val="24"/>
          <w:highlight w:val="none"/>
        </w:rPr>
        <w:t>，属于残疾人福利性单位；</w:t>
      </w:r>
    </w:p>
    <w:p w14:paraId="7FB12063">
      <w:pPr>
        <w:wordWrap w:val="0"/>
        <w:ind w:firstLine="480" w:firstLineChars="200"/>
        <w:rPr>
          <w:i w:val="0"/>
          <w:iCs w:val="0"/>
          <w:color w:val="auto"/>
          <w:szCs w:val="24"/>
          <w:highlight w:val="none"/>
        </w:rPr>
      </w:pPr>
      <w:r>
        <w:rPr>
          <w:rFonts w:hint="eastAsia"/>
          <w:i w:val="0"/>
          <w:iCs w:val="0"/>
          <w:color w:val="auto"/>
          <w:szCs w:val="24"/>
          <w:highlight w:val="none"/>
        </w:rPr>
        <w:t>……</w:t>
      </w:r>
    </w:p>
    <w:p w14:paraId="7B8F3287">
      <w:pPr>
        <w:wordWrap w:val="0"/>
        <w:ind w:firstLine="480" w:firstLineChars="200"/>
        <w:rPr>
          <w:i w:val="0"/>
          <w:iCs w:val="0"/>
          <w:color w:val="auto"/>
          <w:szCs w:val="24"/>
          <w:highlight w:val="none"/>
        </w:rPr>
      </w:pPr>
      <w:r>
        <w:rPr>
          <w:rFonts w:hint="eastAsia"/>
          <w:i w:val="0"/>
          <w:iCs w:val="0"/>
          <w:color w:val="auto"/>
          <w:szCs w:val="24"/>
          <w:highlight w:val="none"/>
        </w:rPr>
        <w:t>以上企业，不属于大企业的分支机构，不存在控股股东为大企业的情形，也不存在与大企业的负责人为同一人的情形。</w:t>
      </w:r>
    </w:p>
    <w:p w14:paraId="18EB7223">
      <w:pPr>
        <w:wordWrap w:val="0"/>
        <w:ind w:left="1087" w:leftChars="200" w:hanging="607" w:hangingChars="253"/>
        <w:rPr>
          <w:i w:val="0"/>
          <w:iCs w:val="0"/>
          <w:color w:val="auto"/>
          <w:szCs w:val="24"/>
          <w:highlight w:val="none"/>
        </w:rPr>
      </w:pPr>
      <w:r>
        <w:rPr>
          <w:rFonts w:hint="eastAsia"/>
          <w:i w:val="0"/>
          <w:iCs w:val="0"/>
          <w:color w:val="auto"/>
          <w:szCs w:val="24"/>
          <w:highlight w:val="none"/>
        </w:rPr>
        <w:t>本企业对上述声明内容的真实性负责。如有虚假，将依法承担相应责任。</w:t>
      </w:r>
    </w:p>
    <w:p w14:paraId="44C7A080">
      <w:pPr>
        <w:wordWrap w:val="0"/>
        <w:ind w:left="1091" w:hanging="1091" w:hangingChars="453"/>
        <w:rPr>
          <w:b/>
          <w:bCs/>
          <w:i w:val="0"/>
          <w:iCs w:val="0"/>
          <w:color w:val="auto"/>
          <w:szCs w:val="24"/>
          <w:highlight w:val="none"/>
        </w:rPr>
      </w:pPr>
    </w:p>
    <w:p w14:paraId="43523196">
      <w:pPr>
        <w:wordWrap w:val="0"/>
        <w:ind w:left="1091" w:hanging="1091" w:hangingChars="453"/>
        <w:rPr>
          <w:bCs/>
          <w:i w:val="0"/>
          <w:iCs w:val="0"/>
          <w:color w:val="auto"/>
          <w:szCs w:val="24"/>
          <w:highlight w:val="none"/>
        </w:rPr>
      </w:pPr>
      <w:r>
        <w:rPr>
          <w:rFonts w:hint="eastAsia"/>
          <w:b/>
          <w:bCs/>
          <w:i w:val="0"/>
          <w:iCs w:val="0"/>
          <w:color w:val="auto"/>
          <w:szCs w:val="24"/>
          <w:highlight w:val="none"/>
        </w:rPr>
        <w:t>说明：</w:t>
      </w:r>
      <w:r>
        <w:rPr>
          <w:rFonts w:hint="eastAsia"/>
          <w:bCs/>
          <w:i w:val="0"/>
          <w:iCs w:val="0"/>
          <w:color w:val="auto"/>
          <w:szCs w:val="24"/>
          <w:highlight w:val="none"/>
        </w:rPr>
        <w:t>1、</w:t>
      </w:r>
      <w:r>
        <w:rPr>
          <w:rFonts w:hint="eastAsia"/>
          <w:bCs/>
          <w:i w:val="0"/>
          <w:iCs w:val="0"/>
          <w:color w:val="auto"/>
          <w:szCs w:val="24"/>
          <w:highlight w:val="none"/>
          <w:lang w:val="en-US" w:eastAsia="zh-CN"/>
        </w:rPr>
        <w:t>服务</w:t>
      </w:r>
      <w:r>
        <w:rPr>
          <w:rFonts w:hint="eastAsia"/>
          <w:bCs/>
          <w:i w:val="0"/>
          <w:iCs w:val="0"/>
          <w:color w:val="auto"/>
          <w:szCs w:val="21"/>
          <w:highlight w:val="none"/>
          <w:lang w:val="zh-CN"/>
        </w:rPr>
        <w:t>应当全部由符合政策要求的残疾人福利性单位</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且使用该残疾人福利性单位商号或注册商标（与代理商或</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无关）；应当严格按上述格式及内容进行填写（应当明确每个</w:t>
      </w:r>
      <w:r>
        <w:rPr>
          <w:rFonts w:hint="eastAsia"/>
          <w:bCs/>
          <w:i w:val="0"/>
          <w:iCs w:val="0"/>
          <w:color w:val="auto"/>
          <w:szCs w:val="21"/>
          <w:highlight w:val="none"/>
          <w:lang w:val="en-US" w:eastAsia="zh-CN"/>
        </w:rPr>
        <w:t>包</w:t>
      </w:r>
      <w:r>
        <w:rPr>
          <w:rFonts w:hint="eastAsia"/>
          <w:bCs/>
          <w:i w:val="0"/>
          <w:iCs w:val="0"/>
          <w:color w:val="auto"/>
          <w:szCs w:val="21"/>
          <w:highlight w:val="none"/>
          <w:lang w:val="zh-CN"/>
        </w:rPr>
        <w:t>的的</w:t>
      </w:r>
      <w:r>
        <w:rPr>
          <w:rFonts w:hint="eastAsia"/>
          <w:bCs/>
          <w:i w:val="0"/>
          <w:iCs w:val="0"/>
          <w:color w:val="auto"/>
          <w:szCs w:val="21"/>
          <w:highlight w:val="none"/>
          <w:lang w:val="en-US" w:eastAsia="zh-CN"/>
        </w:rPr>
        <w:t>承接</w:t>
      </w:r>
      <w:r>
        <w:rPr>
          <w:rFonts w:hint="eastAsia"/>
          <w:bCs/>
          <w:i w:val="0"/>
          <w:iCs w:val="0"/>
          <w:color w:val="auto"/>
          <w:szCs w:val="21"/>
          <w:highlight w:val="none"/>
          <w:lang w:val="zh-CN"/>
        </w:rPr>
        <w:t>企业类型及相关数据），否则导致的后果由</w:t>
      </w:r>
      <w:r>
        <w:rPr>
          <w:rFonts w:hint="eastAsia"/>
          <w:bCs/>
          <w:i w:val="0"/>
          <w:iCs w:val="0"/>
          <w:color w:val="auto"/>
          <w:szCs w:val="21"/>
          <w:highlight w:val="none"/>
          <w:lang w:val="en-US" w:eastAsia="zh-CN"/>
        </w:rPr>
        <w:t>供应商</w:t>
      </w:r>
      <w:r>
        <w:rPr>
          <w:rFonts w:hint="eastAsia"/>
          <w:bCs/>
          <w:i w:val="0"/>
          <w:iCs w:val="0"/>
          <w:color w:val="auto"/>
          <w:szCs w:val="21"/>
          <w:highlight w:val="none"/>
          <w:lang w:val="zh-CN"/>
        </w:rPr>
        <w:t>自行承担；</w:t>
      </w:r>
    </w:p>
    <w:p w14:paraId="2288B711">
      <w:pPr>
        <w:wordWrap w:val="0"/>
        <w:ind w:left="1087" w:hanging="1087" w:hangingChars="453"/>
        <w:rPr>
          <w:rFonts w:cs="Courier New"/>
          <w:i w:val="0"/>
          <w:iCs w:val="0"/>
          <w:color w:val="auto"/>
          <w:szCs w:val="21"/>
          <w:highlight w:val="none"/>
        </w:rPr>
      </w:pPr>
      <w:r>
        <w:rPr>
          <w:rFonts w:hint="eastAsia"/>
          <w:bCs/>
          <w:i w:val="0"/>
          <w:iCs w:val="0"/>
          <w:color w:val="auto"/>
          <w:szCs w:val="21"/>
          <w:highlight w:val="none"/>
          <w:lang w:val="zh-CN"/>
        </w:rPr>
        <w:t xml:space="preserve">      2、</w:t>
      </w:r>
      <w:r>
        <w:rPr>
          <w:rFonts w:hint="eastAsia" w:cs="Courier New"/>
          <w:i w:val="0"/>
          <w:iCs w:val="0"/>
          <w:color w:val="auto"/>
          <w:szCs w:val="21"/>
          <w:highlight w:val="none"/>
        </w:rPr>
        <w:t>以联合体形式参加的，应</w:t>
      </w:r>
      <w:r>
        <w:rPr>
          <w:rFonts w:hint="eastAsia"/>
          <w:bCs/>
          <w:i w:val="0"/>
          <w:iCs w:val="0"/>
          <w:color w:val="auto"/>
          <w:szCs w:val="21"/>
          <w:highlight w:val="none"/>
          <w:lang w:val="zh-CN"/>
        </w:rPr>
        <w:t>当</w:t>
      </w:r>
      <w:r>
        <w:rPr>
          <w:rFonts w:hint="eastAsia" w:cs="Courier New"/>
          <w:i w:val="0"/>
          <w:iCs w:val="0"/>
          <w:color w:val="auto"/>
          <w:szCs w:val="21"/>
          <w:highlight w:val="none"/>
        </w:rPr>
        <w:t>由联合体各方盖章。</w:t>
      </w:r>
    </w:p>
    <w:p w14:paraId="71983F83">
      <w:pPr>
        <w:wordWrap w:val="0"/>
        <w:spacing w:before="100" w:beforeAutospacing="1" w:after="100" w:afterAutospacing="1"/>
        <w:ind w:firstLine="3316" w:firstLineChars="1382"/>
        <w:rPr>
          <w:bCs/>
          <w:i w:val="0"/>
          <w:iCs w:val="0"/>
          <w:color w:val="auto"/>
          <w:szCs w:val="21"/>
          <w:highlight w:val="none"/>
          <w:lang w:val="zh-CN"/>
        </w:rPr>
      </w:pPr>
      <w:r>
        <w:rPr>
          <w:rFonts w:hint="eastAsia"/>
          <w:bCs/>
          <w:i w:val="0"/>
          <w:iCs w:val="0"/>
          <w:color w:val="auto"/>
          <w:szCs w:val="21"/>
          <w:highlight w:val="none"/>
          <w:lang w:val="en-US" w:eastAsia="zh-CN"/>
        </w:rPr>
        <w:t>供应商</w:t>
      </w:r>
      <w:r>
        <w:rPr>
          <w:rFonts w:hint="eastAsia" w:ascii="宋体" w:hAnsi="宋体" w:eastAsia="宋体"/>
          <w:bCs/>
          <w:i w:val="0"/>
          <w:iCs w:val="0"/>
          <w:color w:val="auto"/>
          <w:szCs w:val="21"/>
          <w:highlight w:val="none"/>
          <w:lang w:val="en-US" w:eastAsia="zh-CN"/>
        </w:rPr>
        <w:t>名称</w:t>
      </w:r>
      <w:r>
        <w:rPr>
          <w:rFonts w:hint="eastAsia"/>
          <w:bCs/>
          <w:i w:val="0"/>
          <w:iCs w:val="0"/>
          <w:color w:val="auto"/>
          <w:szCs w:val="21"/>
          <w:highlight w:val="none"/>
          <w:lang w:val="en-US" w:eastAsia="zh-CN"/>
        </w:rPr>
        <w:t>（公章）</w:t>
      </w:r>
      <w:r>
        <w:rPr>
          <w:rFonts w:hint="eastAsia"/>
          <w:bCs/>
          <w:i w:val="0"/>
          <w:iCs w:val="0"/>
          <w:color w:val="auto"/>
          <w:szCs w:val="21"/>
          <w:highlight w:val="none"/>
          <w:lang w:val="zh-CN"/>
        </w:rPr>
        <w:t>：</w:t>
      </w:r>
      <w:r>
        <w:rPr>
          <w:rFonts w:hint="eastAsia"/>
          <w:bCs/>
          <w:i w:val="0"/>
          <w:iCs w:val="0"/>
          <w:color w:val="auto"/>
          <w:szCs w:val="21"/>
          <w:highlight w:val="none"/>
          <w:u w:val="single"/>
          <w:lang w:val="zh-CN"/>
        </w:rPr>
        <w:t xml:space="preserve">              </w:t>
      </w:r>
    </w:p>
    <w:p w14:paraId="3A972AC9">
      <w:pPr>
        <w:wordWrap w:val="0"/>
        <w:spacing w:before="100" w:beforeAutospacing="1" w:after="100" w:afterAutospacing="1"/>
        <w:ind w:firstLine="3316" w:firstLineChars="1382"/>
        <w:rPr>
          <w:i w:val="0"/>
          <w:iCs w:val="0"/>
          <w:color w:val="auto"/>
          <w:highlight w:val="none"/>
        </w:rPr>
      </w:pPr>
      <w:r>
        <w:rPr>
          <w:rFonts w:hint="eastAsia"/>
          <w:i w:val="0"/>
          <w:iCs w:val="0"/>
          <w:color w:val="auto"/>
          <w:szCs w:val="24"/>
          <w:highlight w:val="none"/>
        </w:rPr>
        <w:t>日</w:t>
      </w:r>
      <w:r>
        <w:rPr>
          <w:i w:val="0"/>
          <w:iCs w:val="0"/>
          <w:color w:val="auto"/>
          <w:szCs w:val="24"/>
          <w:highlight w:val="none"/>
        </w:rPr>
        <w:t xml:space="preserve">  </w:t>
      </w:r>
      <w:r>
        <w:rPr>
          <w:rFonts w:hint="eastAsia"/>
          <w:i w:val="0"/>
          <w:iCs w:val="0"/>
          <w:color w:val="auto"/>
          <w:szCs w:val="24"/>
          <w:highlight w:val="none"/>
        </w:rPr>
        <w:t>期：</w:t>
      </w:r>
      <w:r>
        <w:rPr>
          <w:bCs/>
          <w:i w:val="0"/>
          <w:iCs w:val="0"/>
          <w:color w:val="auto"/>
          <w:szCs w:val="24"/>
          <w:highlight w:val="none"/>
          <w:u w:val="single"/>
        </w:rPr>
        <w:t xml:space="preserve">                         </w:t>
      </w:r>
    </w:p>
    <w:p w14:paraId="6F5F8DCA">
      <w:pPr>
        <w:ind w:left="4620" w:firstLine="281" w:firstLineChars="100"/>
        <w:rPr>
          <w:rFonts w:cs="仿宋_GB2312"/>
          <w:b/>
          <w:i w:val="0"/>
          <w:iCs w:val="0"/>
          <w:color w:val="auto"/>
          <w:sz w:val="28"/>
          <w:szCs w:val="28"/>
          <w:highlight w:val="none"/>
        </w:rPr>
      </w:pPr>
    </w:p>
    <w:p w14:paraId="7BDD1A80">
      <w:pPr>
        <w:rPr>
          <w:i w:val="0"/>
          <w:iCs w:val="0"/>
          <w:color w:val="auto"/>
          <w:highlight w:val="none"/>
        </w:rPr>
      </w:pPr>
      <w:r>
        <w:rPr>
          <w:i w:val="0"/>
          <w:iCs w:val="0"/>
          <w:color w:val="auto"/>
          <w:highlight w:val="none"/>
        </w:rPr>
        <w:br w:type="page"/>
      </w:r>
    </w:p>
    <w:p w14:paraId="4044E1FE">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bookmarkStart w:id="669" w:name="_Toc163492942"/>
    </w:p>
    <w:p w14:paraId="14689676">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宋体"/>
          <w:b/>
          <w:bCs/>
          <w:i w:val="0"/>
          <w:iCs w:val="0"/>
          <w:color w:val="auto"/>
          <w:kern w:val="2"/>
          <w:sz w:val="28"/>
          <w:szCs w:val="28"/>
          <w:highlight w:val="none"/>
          <w:lang w:val="en-US" w:eastAsia="zh-CN" w:bidi="ar-SA"/>
        </w:rPr>
      </w:pPr>
      <w:bookmarkStart w:id="670" w:name="_Toc11970"/>
      <w:r>
        <w:rPr>
          <w:rFonts w:hint="eastAsia" w:cs="宋体"/>
          <w:b/>
          <w:bCs/>
          <w:i w:val="0"/>
          <w:iCs w:val="0"/>
          <w:color w:val="auto"/>
          <w:kern w:val="2"/>
          <w:sz w:val="28"/>
          <w:szCs w:val="28"/>
          <w:highlight w:val="none"/>
          <w:lang w:val="en-US" w:eastAsia="zh-CN" w:bidi="ar-SA"/>
        </w:rPr>
        <w:t>五、不参与围标串标承诺书</w:t>
      </w:r>
      <w:bookmarkEnd w:id="670"/>
    </w:p>
    <w:p w14:paraId="415F309A">
      <w:pPr>
        <w:pStyle w:val="6"/>
        <w:keepNext/>
        <w:keepLines/>
        <w:pageBreakBefore w:val="0"/>
        <w:widowControl w:val="0"/>
        <w:numPr>
          <w:ilvl w:val="0"/>
          <w:numId w:val="0"/>
        </w:numPr>
        <w:kinsoku/>
        <w:wordWrap/>
        <w:overflowPunct/>
        <w:topLinePunct w:val="0"/>
        <w:autoSpaceDE/>
        <w:autoSpaceDN/>
        <w:bidi w:val="0"/>
        <w:adjustRightInd/>
        <w:snapToGrid/>
        <w:spacing w:before="100" w:after="100" w:line="240" w:lineRule="auto"/>
        <w:ind w:left="420" w:leftChars="0" w:hanging="420" w:firstLineChars="0"/>
        <w:textAlignment w:val="auto"/>
        <w:rPr>
          <w:rFonts w:hint="eastAsia" w:ascii="等线 Light" w:hAnsi="等线 Light" w:eastAsia="宋体" w:cs="宋体"/>
          <w:b/>
          <w:bCs/>
          <w:i w:val="0"/>
          <w:iCs w:val="0"/>
          <w:color w:val="auto"/>
          <w:kern w:val="2"/>
          <w:sz w:val="32"/>
          <w:szCs w:val="32"/>
          <w:highlight w:val="none"/>
          <w:lang w:val="en-US" w:eastAsia="zh-CN" w:bidi="ar-SA"/>
        </w:rPr>
      </w:pPr>
    </w:p>
    <w:p w14:paraId="1FE71F6D">
      <w:pPr>
        <w:jc w:val="center"/>
        <w:rPr>
          <w:rFonts w:hint="eastAsia"/>
          <w:i w:val="0"/>
          <w:iCs w:val="0"/>
          <w:color w:val="auto"/>
          <w:highlight w:val="none"/>
          <w:lang w:val="en-US" w:eastAsia="zh-CN"/>
        </w:rPr>
      </w:pPr>
      <w:r>
        <w:rPr>
          <w:rFonts w:hint="eastAsia" w:cs="宋体"/>
          <w:b/>
          <w:bCs/>
          <w:i w:val="0"/>
          <w:iCs w:val="0"/>
          <w:color w:val="auto"/>
          <w:kern w:val="2"/>
          <w:sz w:val="32"/>
          <w:szCs w:val="32"/>
          <w:highlight w:val="none"/>
          <w:lang w:val="en-US" w:eastAsia="zh-CN" w:bidi="ar-SA"/>
        </w:rPr>
        <w:t>不参与围标串标承诺书</w:t>
      </w:r>
    </w:p>
    <w:p w14:paraId="2DC5E9C8">
      <w:pPr>
        <w:rPr>
          <w:rFonts w:hint="eastAsia"/>
          <w:i w:val="0"/>
          <w:iCs w:val="0"/>
          <w:color w:val="auto"/>
          <w:highlight w:val="none"/>
          <w:lang w:val="en-US" w:eastAsia="zh-CN"/>
        </w:rPr>
      </w:pPr>
      <w:r>
        <w:rPr>
          <w:rFonts w:hint="eastAsia"/>
          <w:i w:val="0"/>
          <w:iCs w:val="0"/>
          <w:color w:val="auto"/>
          <w:highlight w:val="none"/>
          <w:lang w:val="en-US" w:eastAsia="zh-CN"/>
        </w:rPr>
        <w:t>  </w:t>
      </w:r>
    </w:p>
    <w:p w14:paraId="338C56A6">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本人作为经授权的供应商代表,清楚知晓我单位参与本项目竞争性磋商活动,对以下事项作出承诺：</w:t>
      </w:r>
    </w:p>
    <w:p w14:paraId="0FD00095">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p>
    <w:p w14:paraId="5E3346B7">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一、我单位和我本人遵循公开透明、公平竞争、公正和诚实信用的原则,依法依规参与本项目竞标。</w:t>
      </w:r>
    </w:p>
    <w:p w14:paraId="13CE2D4B">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二、我单位和我本人在本项目政府采购竞争性磋商活动中,未参与围标串标。</w:t>
      </w:r>
    </w:p>
    <w:p w14:paraId="21D04EAD">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i w:val="0"/>
          <w:iCs w:val="0"/>
          <w:color w:val="auto"/>
          <w:highlight w:val="none"/>
          <w:lang w:val="en-US" w:eastAsia="zh-CN"/>
        </w:rPr>
      </w:pPr>
      <w:r>
        <w:rPr>
          <w:rFonts w:hint="eastAsia"/>
          <w:i w:val="0"/>
          <w:iCs w:val="0"/>
          <w:color w:val="auto"/>
          <w:highlight w:val="none"/>
          <w:lang w:val="en-US" w:eastAsia="zh-CN"/>
        </w:rPr>
        <w:t>三、我单位如被查实在本项目政府采购竞争性磋商活动中存在围标串标的，递交响应文件行为作为实施串通投标违法行为的关键环节,由我单位及法定代表人承担相应的法律责任，接受相应行政处罚和失信惩戒。</w:t>
      </w:r>
    </w:p>
    <w:p w14:paraId="2AF251D5">
      <w:pPr>
        <w:pStyle w:val="15"/>
        <w:rPr>
          <w:rFonts w:hint="eastAsia"/>
          <w:i w:val="0"/>
          <w:iCs w:val="0"/>
          <w:color w:val="auto"/>
          <w:highlight w:val="none"/>
          <w:lang w:val="en-US" w:eastAsia="zh-CN"/>
        </w:rPr>
      </w:pPr>
    </w:p>
    <w:p w14:paraId="3F7EEDEF">
      <w:pPr>
        <w:spacing w:line="560" w:lineRule="exact"/>
        <w:rPr>
          <w:rFonts w:hint="eastAsia" w:ascii="宋体" w:hAnsi="宋体" w:eastAsia="宋体" w:cs="宋体"/>
          <w:i w:val="0"/>
          <w:iCs w:val="0"/>
          <w:color w:val="auto"/>
          <w:kern w:val="0"/>
          <w:sz w:val="24"/>
          <w:szCs w:val="24"/>
          <w:highlight w:val="none"/>
        </w:rPr>
      </w:pPr>
    </w:p>
    <w:p w14:paraId="663E9337">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供应商</w:t>
      </w:r>
      <w:r>
        <w:rPr>
          <w:rFonts w:hint="eastAsia" w:cs="宋体"/>
          <w:i w:val="0"/>
          <w:iCs w:val="0"/>
          <w:color w:val="auto"/>
          <w:kern w:val="0"/>
          <w:sz w:val="24"/>
          <w:szCs w:val="24"/>
          <w:highlight w:val="none"/>
          <w:lang w:val="en-US" w:eastAsia="zh-CN"/>
        </w:rPr>
        <w:t>名称</w:t>
      </w:r>
      <w:r>
        <w:rPr>
          <w:rFonts w:hint="eastAsia" w:ascii="宋体" w:hAnsi="宋体" w:eastAsia="宋体" w:cs="宋体"/>
          <w:i w:val="0"/>
          <w:iCs w:val="0"/>
          <w:color w:val="auto"/>
          <w:kern w:val="0"/>
          <w:sz w:val="24"/>
          <w:szCs w:val="24"/>
          <w:highlight w:val="none"/>
          <w:lang w:eastAsia="zh-CN"/>
        </w:rPr>
        <w:t>（</w:t>
      </w:r>
      <w:r>
        <w:rPr>
          <w:rFonts w:hint="eastAsia" w:cs="宋体"/>
          <w:i w:val="0"/>
          <w:iCs w:val="0"/>
          <w:color w:val="auto"/>
          <w:kern w:val="0"/>
          <w:sz w:val="24"/>
          <w:szCs w:val="24"/>
          <w:highlight w:val="none"/>
          <w:lang w:eastAsia="zh-CN"/>
        </w:rPr>
        <w:t>公</w:t>
      </w:r>
      <w:r>
        <w:rPr>
          <w:rFonts w:hint="eastAsia" w:ascii="宋体" w:hAnsi="宋体" w:eastAsia="宋体" w:cs="宋体"/>
          <w:i w:val="0"/>
          <w:iCs w:val="0"/>
          <w:color w:val="auto"/>
          <w:kern w:val="0"/>
          <w:sz w:val="24"/>
          <w:szCs w:val="24"/>
          <w:highlight w:val="none"/>
          <w:lang w:eastAsia="zh-CN"/>
        </w:rPr>
        <w:t>章）</w:t>
      </w:r>
      <w:r>
        <w:rPr>
          <w:rFonts w:hint="eastAsia" w:ascii="宋体" w:hAnsi="宋体" w:eastAsia="宋体" w:cs="宋体"/>
          <w:i w:val="0"/>
          <w:iCs w:val="0"/>
          <w:color w:val="auto"/>
          <w:kern w:val="0"/>
          <w:sz w:val="24"/>
          <w:szCs w:val="24"/>
          <w:highlight w:val="none"/>
        </w:rPr>
        <w:t>：</w:t>
      </w:r>
    </w:p>
    <w:p w14:paraId="7D2617C5">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法定代表人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负责人</w:t>
      </w:r>
      <w:r>
        <w:rPr>
          <w:rFonts w:hint="eastAsia" w:cs="宋体"/>
          <w:i w:val="0"/>
          <w:iCs w:val="0"/>
          <w:color w:val="auto"/>
          <w:kern w:val="0"/>
          <w:sz w:val="24"/>
          <w:szCs w:val="24"/>
          <w:highlight w:val="none"/>
          <w:lang w:val="en-US" w:eastAsia="zh-CN"/>
        </w:rPr>
        <w:t>或</w:t>
      </w:r>
      <w:r>
        <w:rPr>
          <w:rFonts w:hint="eastAsia" w:ascii="宋体" w:hAnsi="宋体" w:eastAsia="宋体" w:cs="宋体"/>
          <w:i w:val="0"/>
          <w:iCs w:val="0"/>
          <w:color w:val="auto"/>
          <w:kern w:val="0"/>
          <w:sz w:val="24"/>
          <w:szCs w:val="24"/>
          <w:highlight w:val="none"/>
        </w:rPr>
        <w:t>本人</w:t>
      </w:r>
      <w:r>
        <w:rPr>
          <w:rFonts w:hint="eastAsia"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或授权代表</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签字或印章</w:t>
      </w:r>
      <w:r>
        <w:rPr>
          <w:rFonts w:hint="eastAsia" w:ascii="宋体" w:hAnsi="宋体" w:eastAsia="宋体" w:cs="宋体"/>
          <w:i w:val="0"/>
          <w:iCs w:val="0"/>
          <w:color w:val="auto"/>
          <w:kern w:val="0"/>
          <w:sz w:val="24"/>
          <w:szCs w:val="24"/>
          <w:highlight w:val="none"/>
          <w:lang w:eastAsia="zh-CN"/>
        </w:rPr>
        <w:t>）</w:t>
      </w:r>
      <w:r>
        <w:rPr>
          <w:rFonts w:hint="eastAsia" w:ascii="宋体" w:hAnsi="宋体" w:eastAsia="宋体" w:cs="宋体"/>
          <w:i w:val="0"/>
          <w:iCs w:val="0"/>
          <w:color w:val="auto"/>
          <w:kern w:val="0"/>
          <w:sz w:val="24"/>
          <w:szCs w:val="24"/>
          <w:highlight w:val="none"/>
        </w:rPr>
        <w:t>：</w:t>
      </w:r>
    </w:p>
    <w:p w14:paraId="57156FA6">
      <w:pPr>
        <w:spacing w:line="560" w:lineRule="exact"/>
        <w:rPr>
          <w:rFonts w:hint="eastAsia" w:ascii="宋体" w:hAnsi="宋体" w:eastAsia="宋体" w:cs="宋体"/>
          <w:i w:val="0"/>
          <w:iCs w:val="0"/>
          <w:color w:val="auto"/>
          <w:kern w:val="0"/>
          <w:sz w:val="24"/>
          <w:szCs w:val="24"/>
          <w:highlight w:val="none"/>
        </w:rPr>
      </w:pPr>
      <w:r>
        <w:rPr>
          <w:rFonts w:hint="eastAsia" w:ascii="宋体" w:hAnsi="宋体" w:eastAsia="宋体" w:cs="宋体"/>
          <w:i w:val="0"/>
          <w:iCs w:val="0"/>
          <w:color w:val="auto"/>
          <w:kern w:val="0"/>
          <w:sz w:val="24"/>
          <w:szCs w:val="24"/>
          <w:highlight w:val="none"/>
        </w:rPr>
        <w:t>日期： 年 月 日</w:t>
      </w:r>
    </w:p>
    <w:p w14:paraId="55EFB222">
      <w:pPr>
        <w:spacing w:line="560" w:lineRule="exact"/>
        <w:rPr>
          <w:rFonts w:hint="eastAsia" w:ascii="宋体" w:hAnsi="宋体" w:eastAsia="宋体" w:cs="宋体"/>
          <w:i w:val="0"/>
          <w:iCs w:val="0"/>
          <w:color w:val="auto"/>
          <w:kern w:val="0"/>
          <w:sz w:val="24"/>
          <w:szCs w:val="24"/>
          <w:highlight w:val="none"/>
        </w:rPr>
      </w:pPr>
    </w:p>
    <w:p w14:paraId="13DA43E0">
      <w:pPr>
        <w:widowControl/>
        <w:spacing w:line="560" w:lineRule="exact"/>
        <w:ind w:firstLine="630"/>
        <w:jc w:val="left"/>
        <w:rPr>
          <w:rFonts w:hint="eastAsia" w:ascii="宋体" w:hAnsi="宋体" w:eastAsia="宋体" w:cs="宋体"/>
          <w:i w:val="0"/>
          <w:iCs w:val="0"/>
          <w:color w:val="auto"/>
          <w:kern w:val="0"/>
          <w:sz w:val="24"/>
          <w:szCs w:val="24"/>
          <w:highlight w:val="none"/>
        </w:rPr>
      </w:pPr>
    </w:p>
    <w:p w14:paraId="7CD72A88">
      <w:pPr>
        <w:pStyle w:val="15"/>
        <w:rPr>
          <w:rFonts w:hint="eastAsia"/>
          <w:i w:val="0"/>
          <w:iCs w:val="0"/>
          <w:color w:val="auto"/>
          <w:highlight w:val="none"/>
          <w:lang w:val="en-US" w:eastAsia="zh-CN"/>
        </w:rPr>
      </w:pPr>
    </w:p>
    <w:p w14:paraId="6FC519D1">
      <w:pPr>
        <w:pStyle w:val="15"/>
        <w:rPr>
          <w:rFonts w:hint="eastAsia"/>
          <w:i w:val="0"/>
          <w:iCs w:val="0"/>
          <w:color w:val="auto"/>
          <w:highlight w:val="none"/>
          <w:lang w:val="en-US" w:eastAsia="zh-CN"/>
        </w:rPr>
      </w:pPr>
    </w:p>
    <w:p w14:paraId="7500053D">
      <w:pPr>
        <w:pStyle w:val="15"/>
        <w:rPr>
          <w:rFonts w:hint="eastAsia"/>
          <w:i w:val="0"/>
          <w:iCs w:val="0"/>
          <w:color w:val="auto"/>
          <w:highlight w:val="none"/>
          <w:lang w:val="en-US" w:eastAsia="zh-CN"/>
        </w:rPr>
      </w:pPr>
    </w:p>
    <w:p w14:paraId="5BF64493">
      <w:pPr>
        <w:pStyle w:val="15"/>
        <w:rPr>
          <w:rFonts w:hint="eastAsia"/>
          <w:i w:val="0"/>
          <w:iCs w:val="0"/>
          <w:color w:val="auto"/>
          <w:highlight w:val="none"/>
          <w:lang w:val="en-US" w:eastAsia="zh-CN"/>
        </w:rPr>
      </w:pPr>
    </w:p>
    <w:p w14:paraId="5CA01A8B">
      <w:pPr>
        <w:pStyle w:val="15"/>
        <w:rPr>
          <w:rFonts w:hint="eastAsia"/>
          <w:i w:val="0"/>
          <w:iCs w:val="0"/>
          <w:color w:val="auto"/>
          <w:highlight w:val="none"/>
          <w:lang w:val="en-US" w:eastAsia="zh-CN"/>
        </w:rPr>
      </w:pPr>
    </w:p>
    <w:p w14:paraId="029F743D">
      <w:pPr>
        <w:pStyle w:val="15"/>
        <w:rPr>
          <w:rFonts w:hint="eastAsia"/>
          <w:i w:val="0"/>
          <w:iCs w:val="0"/>
          <w:color w:val="auto"/>
          <w:highlight w:val="none"/>
          <w:lang w:val="en-US" w:eastAsia="zh-CN"/>
        </w:rPr>
      </w:pPr>
    </w:p>
    <w:p w14:paraId="41587146">
      <w:pPr>
        <w:pStyle w:val="15"/>
        <w:rPr>
          <w:rFonts w:hint="eastAsia"/>
          <w:i w:val="0"/>
          <w:iCs w:val="0"/>
          <w:color w:val="auto"/>
          <w:highlight w:val="none"/>
          <w:lang w:val="en-US" w:eastAsia="zh-CN"/>
        </w:rPr>
      </w:pPr>
    </w:p>
    <w:p w14:paraId="34406338">
      <w:pPr>
        <w:widowControl/>
        <w:spacing w:before="100" w:beforeAutospacing="1" w:after="100" w:afterAutospacing="1"/>
        <w:rPr>
          <w:rFonts w:hint="eastAsia" w:ascii="Arial" w:hAnsi="Arial" w:cs="Arial"/>
          <w:i w:val="0"/>
          <w:iCs w:val="0"/>
          <w:color w:val="auto"/>
          <w:sz w:val="21"/>
          <w:szCs w:val="21"/>
          <w:highlight w:val="none"/>
          <w:lang w:val="en-US" w:eastAsia="zh-CN"/>
        </w:rPr>
      </w:pPr>
    </w:p>
    <w:bookmarkEnd w:id="669"/>
    <w:p w14:paraId="13DEAFB3">
      <w:pPr>
        <w:pStyle w:val="7"/>
        <w:keepNext/>
        <w:keepLines/>
        <w:pageBreakBefore w:val="0"/>
        <w:widowControl w:val="0"/>
        <w:numPr>
          <w:ilvl w:val="0"/>
          <w:numId w:val="0"/>
        </w:numPr>
        <w:kinsoku/>
        <w:wordWrap/>
        <w:overflowPunct/>
        <w:topLinePunct w:val="0"/>
        <w:autoSpaceDE/>
        <w:autoSpaceDN/>
        <w:bidi w:val="0"/>
        <w:adjustRightInd/>
        <w:snapToGrid/>
        <w:spacing w:before="80" w:after="80" w:line="240" w:lineRule="auto"/>
        <w:ind w:left="420" w:leftChars="0" w:hanging="420" w:firstLineChars="0"/>
        <w:textAlignment w:val="auto"/>
        <w:rPr>
          <w:rFonts w:hint="eastAsia" w:ascii="宋体" w:hAnsi="宋体" w:eastAsia="宋体" w:cs="宋体"/>
          <w:b/>
          <w:bCs/>
          <w:i w:val="0"/>
          <w:iCs w:val="0"/>
          <w:color w:val="auto"/>
          <w:kern w:val="2"/>
          <w:sz w:val="24"/>
          <w:szCs w:val="24"/>
          <w:highlight w:val="none"/>
          <w:lang w:val="en-US" w:eastAsia="zh-CN" w:bidi="ar-SA"/>
        </w:rPr>
      </w:pPr>
    </w:p>
    <w:p w14:paraId="2F6D1729">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textAlignment w:val="auto"/>
        <w:rPr>
          <w:rFonts w:hint="eastAsia" w:cs="宋体"/>
          <w:b/>
          <w:bCs/>
          <w:i w:val="0"/>
          <w:iCs w:val="0"/>
          <w:color w:val="auto"/>
          <w:kern w:val="2"/>
          <w:sz w:val="28"/>
          <w:szCs w:val="28"/>
          <w:highlight w:val="none"/>
          <w:lang w:val="zh-CN" w:eastAsia="zh-CN" w:bidi="ar-SA"/>
        </w:rPr>
      </w:pPr>
      <w:bookmarkStart w:id="671" w:name="_Toc6611"/>
      <w:r>
        <w:rPr>
          <w:rFonts w:hint="eastAsia" w:cs="宋体"/>
          <w:b/>
          <w:bCs/>
          <w:i w:val="0"/>
          <w:iCs w:val="0"/>
          <w:color w:val="auto"/>
          <w:kern w:val="2"/>
          <w:sz w:val="28"/>
          <w:szCs w:val="28"/>
          <w:highlight w:val="none"/>
          <w:lang w:val="en-US" w:eastAsia="zh-CN" w:bidi="ar-SA"/>
        </w:rPr>
        <w:t>六</w:t>
      </w:r>
      <w:r>
        <w:rPr>
          <w:rFonts w:hint="eastAsia" w:ascii="等线 Light" w:hAnsi="等线 Light" w:eastAsia="宋体" w:cs="宋体"/>
          <w:b/>
          <w:bCs/>
          <w:i w:val="0"/>
          <w:iCs w:val="0"/>
          <w:color w:val="auto"/>
          <w:kern w:val="2"/>
          <w:sz w:val="28"/>
          <w:szCs w:val="28"/>
          <w:highlight w:val="none"/>
          <w:lang w:val="en-US" w:eastAsia="zh-CN" w:bidi="ar-SA"/>
        </w:rPr>
        <w:t>、</w:t>
      </w:r>
      <w:r>
        <w:rPr>
          <w:rFonts w:hint="eastAsia" w:ascii="等线 Light" w:hAnsi="等线 Light" w:eastAsia="宋体" w:cs="宋体"/>
          <w:b/>
          <w:bCs/>
          <w:i w:val="0"/>
          <w:iCs w:val="0"/>
          <w:color w:val="auto"/>
          <w:kern w:val="2"/>
          <w:sz w:val="28"/>
          <w:szCs w:val="28"/>
          <w:highlight w:val="none"/>
          <w:lang w:val="zh-CN" w:eastAsia="zh-CN" w:bidi="ar-SA"/>
        </w:rPr>
        <w:t>其他资格证明文件</w:t>
      </w:r>
      <w:bookmarkEnd w:id="671"/>
    </w:p>
    <w:p w14:paraId="0C24F0AE">
      <w:pPr>
        <w:pStyle w:val="36"/>
        <w:rPr>
          <w:rFonts w:hint="eastAsia"/>
          <w:i w:val="0"/>
          <w:iCs w:val="0"/>
          <w:color w:val="auto"/>
          <w:highlight w:val="none"/>
        </w:rPr>
      </w:pPr>
      <w:r>
        <w:rPr>
          <w:rFonts w:hint="eastAsia" w:cs="Courier New"/>
          <w:i w:val="0"/>
          <w:iCs w:val="0"/>
          <w:color w:val="auto"/>
          <w:szCs w:val="24"/>
          <w:highlight w:val="none"/>
          <w:lang w:val="en-US" w:eastAsia="zh-CN"/>
        </w:rPr>
        <w:t>供应商</w:t>
      </w:r>
      <w:r>
        <w:rPr>
          <w:rFonts w:hint="eastAsia" w:cs="Courier New"/>
          <w:i w:val="0"/>
          <w:iCs w:val="0"/>
          <w:color w:val="auto"/>
          <w:szCs w:val="24"/>
          <w:highlight w:val="none"/>
        </w:rPr>
        <w:t>认为需提供的其它相关资格证明材料</w:t>
      </w:r>
    </w:p>
    <w:p w14:paraId="7C2C3E83">
      <w:pPr>
        <w:pStyle w:val="36"/>
        <w:rPr>
          <w:rFonts w:hint="eastAsia"/>
          <w:i w:val="0"/>
          <w:iCs w:val="0"/>
          <w:color w:val="auto"/>
          <w:highlight w:val="none"/>
        </w:rPr>
      </w:pPr>
    </w:p>
    <w:p w14:paraId="58A36194">
      <w:pPr>
        <w:pStyle w:val="36"/>
        <w:rPr>
          <w:rFonts w:hint="eastAsia"/>
          <w:i w:val="0"/>
          <w:iCs w:val="0"/>
          <w:color w:val="auto"/>
          <w:highlight w:val="none"/>
        </w:rPr>
      </w:pPr>
    </w:p>
    <w:p w14:paraId="3553B395">
      <w:pPr>
        <w:pStyle w:val="36"/>
        <w:rPr>
          <w:rFonts w:hint="eastAsia"/>
          <w:i w:val="0"/>
          <w:iCs w:val="0"/>
          <w:color w:val="auto"/>
          <w:highlight w:val="none"/>
        </w:rPr>
      </w:pPr>
    </w:p>
    <w:p w14:paraId="49D404FC">
      <w:pPr>
        <w:pStyle w:val="36"/>
        <w:rPr>
          <w:rFonts w:hint="eastAsia"/>
          <w:i w:val="0"/>
          <w:iCs w:val="0"/>
          <w:color w:val="auto"/>
          <w:highlight w:val="none"/>
        </w:rPr>
      </w:pPr>
    </w:p>
    <w:p w14:paraId="4B98E4B6">
      <w:pPr>
        <w:pStyle w:val="36"/>
        <w:rPr>
          <w:rFonts w:hint="eastAsia"/>
          <w:i w:val="0"/>
          <w:iCs w:val="0"/>
          <w:color w:val="auto"/>
          <w:highlight w:val="none"/>
        </w:rPr>
      </w:pPr>
    </w:p>
    <w:p w14:paraId="737FEDD3">
      <w:pPr>
        <w:pStyle w:val="36"/>
        <w:rPr>
          <w:rFonts w:hint="eastAsia"/>
          <w:i w:val="0"/>
          <w:iCs w:val="0"/>
          <w:color w:val="auto"/>
          <w:highlight w:val="none"/>
        </w:rPr>
      </w:pPr>
    </w:p>
    <w:p w14:paraId="1C876135">
      <w:pPr>
        <w:pStyle w:val="36"/>
        <w:rPr>
          <w:rFonts w:hint="eastAsia"/>
          <w:i w:val="0"/>
          <w:iCs w:val="0"/>
          <w:color w:val="auto"/>
          <w:highlight w:val="none"/>
        </w:rPr>
      </w:pPr>
    </w:p>
    <w:p w14:paraId="7E85C842">
      <w:pPr>
        <w:pStyle w:val="36"/>
        <w:rPr>
          <w:rFonts w:hint="eastAsia"/>
          <w:i w:val="0"/>
          <w:iCs w:val="0"/>
          <w:color w:val="auto"/>
          <w:highlight w:val="none"/>
        </w:rPr>
      </w:pPr>
    </w:p>
    <w:p w14:paraId="4CBE3B0D">
      <w:pPr>
        <w:pStyle w:val="36"/>
        <w:rPr>
          <w:rFonts w:hint="eastAsia"/>
          <w:i w:val="0"/>
          <w:iCs w:val="0"/>
          <w:color w:val="auto"/>
          <w:highlight w:val="none"/>
        </w:rPr>
      </w:pPr>
    </w:p>
    <w:p w14:paraId="2E6E451F">
      <w:pPr>
        <w:pStyle w:val="36"/>
        <w:rPr>
          <w:rFonts w:hint="eastAsia"/>
          <w:i w:val="0"/>
          <w:iCs w:val="0"/>
          <w:color w:val="auto"/>
          <w:highlight w:val="none"/>
        </w:rPr>
      </w:pPr>
    </w:p>
    <w:p w14:paraId="38DC2C55">
      <w:pPr>
        <w:pStyle w:val="36"/>
        <w:rPr>
          <w:rFonts w:hint="eastAsia"/>
          <w:i w:val="0"/>
          <w:iCs w:val="0"/>
          <w:color w:val="auto"/>
          <w:highlight w:val="none"/>
        </w:rPr>
      </w:pPr>
    </w:p>
    <w:p w14:paraId="04DAFD3C">
      <w:pPr>
        <w:pStyle w:val="36"/>
        <w:rPr>
          <w:rFonts w:hint="eastAsia"/>
          <w:i w:val="0"/>
          <w:iCs w:val="0"/>
          <w:color w:val="auto"/>
          <w:highlight w:val="none"/>
        </w:rPr>
      </w:pPr>
    </w:p>
    <w:p w14:paraId="51E24CDC">
      <w:pPr>
        <w:pStyle w:val="36"/>
        <w:rPr>
          <w:rFonts w:hint="eastAsia"/>
          <w:i w:val="0"/>
          <w:iCs w:val="0"/>
          <w:color w:val="auto"/>
          <w:highlight w:val="none"/>
        </w:rPr>
      </w:pPr>
    </w:p>
    <w:p w14:paraId="1AC1942E">
      <w:pPr>
        <w:pStyle w:val="36"/>
        <w:rPr>
          <w:rFonts w:hint="eastAsia"/>
          <w:i w:val="0"/>
          <w:iCs w:val="0"/>
          <w:color w:val="auto"/>
          <w:highlight w:val="none"/>
        </w:rPr>
      </w:pPr>
    </w:p>
    <w:p w14:paraId="4722E259">
      <w:pPr>
        <w:pStyle w:val="36"/>
        <w:rPr>
          <w:rFonts w:hint="eastAsia"/>
          <w:i w:val="0"/>
          <w:iCs w:val="0"/>
          <w:color w:val="auto"/>
          <w:highlight w:val="none"/>
        </w:rPr>
      </w:pPr>
    </w:p>
    <w:p w14:paraId="07033BD3">
      <w:pPr>
        <w:pStyle w:val="36"/>
        <w:rPr>
          <w:rFonts w:hint="eastAsia"/>
          <w:i w:val="0"/>
          <w:iCs w:val="0"/>
          <w:color w:val="auto"/>
          <w:highlight w:val="none"/>
        </w:rPr>
      </w:pPr>
    </w:p>
    <w:p w14:paraId="6E1D094D">
      <w:pPr>
        <w:pStyle w:val="36"/>
        <w:rPr>
          <w:rFonts w:hint="eastAsia"/>
          <w:i w:val="0"/>
          <w:iCs w:val="0"/>
          <w:color w:val="auto"/>
          <w:highlight w:val="none"/>
        </w:rPr>
      </w:pPr>
    </w:p>
    <w:p w14:paraId="23B0DB54">
      <w:pPr>
        <w:pStyle w:val="36"/>
        <w:rPr>
          <w:rFonts w:hint="eastAsia"/>
          <w:i w:val="0"/>
          <w:iCs w:val="0"/>
          <w:color w:val="auto"/>
          <w:highlight w:val="none"/>
        </w:rPr>
      </w:pPr>
    </w:p>
    <w:p w14:paraId="07159DF6">
      <w:pPr>
        <w:pStyle w:val="36"/>
        <w:rPr>
          <w:rFonts w:hint="eastAsia"/>
          <w:i w:val="0"/>
          <w:iCs w:val="0"/>
          <w:color w:val="auto"/>
          <w:highlight w:val="none"/>
        </w:rPr>
      </w:pPr>
    </w:p>
    <w:p w14:paraId="44B3A5AA">
      <w:pPr>
        <w:pStyle w:val="36"/>
        <w:rPr>
          <w:rFonts w:hint="eastAsia"/>
          <w:i w:val="0"/>
          <w:iCs w:val="0"/>
          <w:color w:val="auto"/>
          <w:highlight w:val="none"/>
        </w:rPr>
      </w:pPr>
    </w:p>
    <w:p w14:paraId="05BB178A">
      <w:pPr>
        <w:pStyle w:val="36"/>
        <w:rPr>
          <w:rFonts w:hint="eastAsia"/>
          <w:i w:val="0"/>
          <w:iCs w:val="0"/>
          <w:color w:val="auto"/>
          <w:highlight w:val="none"/>
        </w:rPr>
      </w:pPr>
    </w:p>
    <w:p w14:paraId="0E7980AB">
      <w:pPr>
        <w:pStyle w:val="36"/>
        <w:rPr>
          <w:rFonts w:hint="eastAsia"/>
          <w:i w:val="0"/>
          <w:iCs w:val="0"/>
          <w:color w:val="auto"/>
          <w:highlight w:val="none"/>
        </w:rPr>
      </w:pPr>
    </w:p>
    <w:p w14:paraId="5A09B930">
      <w:pPr>
        <w:pStyle w:val="36"/>
        <w:rPr>
          <w:rFonts w:hint="eastAsia"/>
          <w:i w:val="0"/>
          <w:iCs w:val="0"/>
          <w:color w:val="auto"/>
          <w:highlight w:val="none"/>
        </w:rPr>
      </w:pPr>
    </w:p>
    <w:p w14:paraId="3FB1F62E">
      <w:pPr>
        <w:pStyle w:val="36"/>
        <w:rPr>
          <w:rFonts w:hint="eastAsia"/>
          <w:i w:val="0"/>
          <w:iCs w:val="0"/>
          <w:color w:val="auto"/>
          <w:highlight w:val="none"/>
        </w:rPr>
      </w:pPr>
    </w:p>
    <w:p w14:paraId="674D4B47">
      <w:pPr>
        <w:pStyle w:val="36"/>
        <w:rPr>
          <w:rFonts w:hint="eastAsia"/>
          <w:i w:val="0"/>
          <w:iCs w:val="0"/>
          <w:color w:val="auto"/>
          <w:highlight w:val="none"/>
        </w:rPr>
      </w:pPr>
    </w:p>
    <w:p w14:paraId="29F4C723">
      <w:pPr>
        <w:pStyle w:val="36"/>
        <w:rPr>
          <w:rFonts w:hint="eastAsia"/>
          <w:i w:val="0"/>
          <w:iCs w:val="0"/>
          <w:color w:val="auto"/>
          <w:highlight w:val="none"/>
        </w:rPr>
      </w:pPr>
    </w:p>
    <w:p w14:paraId="1047D3EE">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7FC23E9A">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579E32CA">
      <w:pPr>
        <w:autoSpaceDE w:val="0"/>
        <w:autoSpaceDN w:val="0"/>
        <w:adjustRightInd w:val="0"/>
        <w:rPr>
          <w:i w:val="0"/>
          <w:iCs w:val="0"/>
          <w:color w:val="auto"/>
          <w:sz w:val="21"/>
          <w:szCs w:val="24"/>
          <w:highlight w:val="none"/>
        </w:rPr>
      </w:pPr>
    </w:p>
    <w:p w14:paraId="2CC27B4B">
      <w:pPr>
        <w:autoSpaceDE w:val="0"/>
        <w:autoSpaceDN w:val="0"/>
        <w:adjustRightInd w:val="0"/>
        <w:rPr>
          <w:i w:val="0"/>
          <w:iCs w:val="0"/>
          <w:color w:val="auto"/>
          <w:sz w:val="21"/>
          <w:szCs w:val="24"/>
          <w:highlight w:val="none"/>
        </w:rPr>
      </w:pPr>
    </w:p>
    <w:p w14:paraId="63CA31F9">
      <w:pPr>
        <w:autoSpaceDE w:val="0"/>
        <w:autoSpaceDN w:val="0"/>
        <w:adjustRightInd w:val="0"/>
        <w:jc w:val="center"/>
        <w:rPr>
          <w:i w:val="0"/>
          <w:iCs w:val="0"/>
          <w:color w:val="auto"/>
          <w:sz w:val="21"/>
          <w:szCs w:val="24"/>
          <w:highlight w:val="none"/>
        </w:rPr>
      </w:pPr>
    </w:p>
    <w:p w14:paraId="0F2A8793">
      <w:pPr>
        <w:pStyle w:val="5"/>
        <w:bidi w:val="0"/>
        <w:spacing w:line="240" w:lineRule="auto"/>
        <w:rPr>
          <w:color w:val="auto"/>
          <w:sz w:val="72"/>
          <w:szCs w:val="72"/>
          <w:highlight w:val="none"/>
        </w:rPr>
      </w:pPr>
      <w:bookmarkStart w:id="672" w:name="_Toc20777"/>
      <w:r>
        <w:rPr>
          <w:rFonts w:hint="eastAsia"/>
          <w:color w:val="auto"/>
          <w:sz w:val="72"/>
          <w:szCs w:val="72"/>
          <w:highlight w:val="none"/>
          <w:lang w:val="en-US" w:eastAsia="zh-CN"/>
        </w:rPr>
        <w:t>响 应</w:t>
      </w:r>
      <w:r>
        <w:rPr>
          <w:rFonts w:hint="eastAsia"/>
          <w:color w:val="auto"/>
          <w:sz w:val="72"/>
          <w:szCs w:val="72"/>
          <w:highlight w:val="none"/>
        </w:rPr>
        <w:t xml:space="preserve"> 文 件</w:t>
      </w:r>
      <w:bookmarkEnd w:id="672"/>
    </w:p>
    <w:p w14:paraId="383861DE">
      <w:pPr>
        <w:pStyle w:val="5"/>
        <w:bidi w:val="0"/>
        <w:spacing w:line="240" w:lineRule="auto"/>
        <w:rPr>
          <w:rFonts w:hint="eastAsia"/>
          <w:color w:val="auto"/>
          <w:sz w:val="72"/>
          <w:szCs w:val="72"/>
          <w:highlight w:val="none"/>
          <w:lang w:val="en-US" w:eastAsia="zh-CN"/>
        </w:rPr>
      </w:pPr>
      <w:bookmarkStart w:id="673" w:name="_Toc25659"/>
      <w:r>
        <w:rPr>
          <w:rFonts w:hint="eastAsia"/>
          <w:color w:val="auto"/>
          <w:sz w:val="72"/>
          <w:szCs w:val="72"/>
          <w:highlight w:val="none"/>
          <w:lang w:val="en-US" w:eastAsia="zh-CN"/>
        </w:rPr>
        <w:t>报价文件</w:t>
      </w:r>
      <w:bookmarkEnd w:id="673"/>
    </w:p>
    <w:p w14:paraId="213DD66C">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798A956E">
      <w:pPr>
        <w:pStyle w:val="6"/>
        <w:rPr>
          <w:i w:val="0"/>
          <w:iCs w:val="0"/>
          <w:color w:val="auto"/>
          <w:sz w:val="21"/>
          <w:szCs w:val="21"/>
          <w:highlight w:val="none"/>
        </w:rPr>
      </w:pPr>
    </w:p>
    <w:p w14:paraId="24B6A268">
      <w:pPr>
        <w:rPr>
          <w:i w:val="0"/>
          <w:iCs w:val="0"/>
          <w:color w:val="auto"/>
          <w:sz w:val="21"/>
          <w:szCs w:val="21"/>
          <w:highlight w:val="none"/>
        </w:rPr>
      </w:pPr>
    </w:p>
    <w:p w14:paraId="3DC104B3">
      <w:pPr>
        <w:rPr>
          <w:i w:val="0"/>
          <w:iCs w:val="0"/>
          <w:color w:val="auto"/>
          <w:highlight w:val="none"/>
        </w:rPr>
      </w:pPr>
    </w:p>
    <w:p w14:paraId="74A7A117">
      <w:pPr>
        <w:autoSpaceDE w:val="0"/>
        <w:autoSpaceDN w:val="0"/>
        <w:adjustRightInd w:val="0"/>
        <w:rPr>
          <w:i w:val="0"/>
          <w:iCs w:val="0"/>
          <w:color w:val="auto"/>
          <w:sz w:val="21"/>
          <w:szCs w:val="21"/>
          <w:highlight w:val="none"/>
        </w:rPr>
      </w:pPr>
    </w:p>
    <w:p w14:paraId="6EE89269">
      <w:pPr>
        <w:autoSpaceDE w:val="0"/>
        <w:autoSpaceDN w:val="0"/>
        <w:adjustRightInd w:val="0"/>
        <w:rPr>
          <w:i w:val="0"/>
          <w:iCs w:val="0"/>
          <w:color w:val="auto"/>
          <w:sz w:val="21"/>
          <w:szCs w:val="21"/>
          <w:highlight w:val="none"/>
        </w:rPr>
      </w:pPr>
    </w:p>
    <w:p w14:paraId="6F475132">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173F70E">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101680F9">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13B6644C">
      <w:pPr>
        <w:ind w:left="840" w:firstLine="420"/>
        <w:rPr>
          <w:b/>
          <w:bCs/>
          <w:i w:val="0"/>
          <w:iCs w:val="0"/>
          <w:color w:val="auto"/>
          <w:sz w:val="28"/>
          <w:szCs w:val="28"/>
          <w:highlight w:val="none"/>
        </w:rPr>
      </w:pPr>
    </w:p>
    <w:p w14:paraId="17D47AB2">
      <w:pPr>
        <w:ind w:left="840" w:firstLine="420"/>
        <w:rPr>
          <w:b/>
          <w:bCs/>
          <w:i w:val="0"/>
          <w:iCs w:val="0"/>
          <w:color w:val="auto"/>
          <w:sz w:val="28"/>
          <w:szCs w:val="28"/>
          <w:highlight w:val="none"/>
        </w:rPr>
      </w:pPr>
    </w:p>
    <w:p w14:paraId="189AF4A8">
      <w:pPr>
        <w:jc w:val="center"/>
        <w:rPr>
          <w:rFonts w:ascii="黑体" w:hAnsi="黑体" w:eastAsia="黑体"/>
          <w:i w:val="0"/>
          <w:iCs w:val="0"/>
          <w:color w:val="auto"/>
          <w:sz w:val="32"/>
          <w:szCs w:val="32"/>
          <w:highlight w:val="none"/>
        </w:rPr>
      </w:pPr>
      <w:r>
        <w:rPr>
          <w:rFonts w:hint="eastAsia" w:ascii="宋体" w:hAnsi="宋体" w:eastAsia="宋体" w:cs="宋体"/>
          <w:i w:val="0"/>
          <w:iCs w:val="0"/>
          <w:color w:val="auto"/>
          <w:sz w:val="32"/>
          <w:szCs w:val="32"/>
          <w:highlight w:val="none"/>
        </w:rPr>
        <w:t>年   月    日</w:t>
      </w:r>
    </w:p>
    <w:p w14:paraId="2B025C97">
      <w:pPr>
        <w:rPr>
          <w:i w:val="0"/>
          <w:iCs w:val="0"/>
          <w:color w:val="auto"/>
          <w:highlight w:val="none"/>
          <w:lang w:val="zh-CN"/>
        </w:rPr>
      </w:pPr>
      <w:r>
        <w:rPr>
          <w:i w:val="0"/>
          <w:iCs w:val="0"/>
          <w:color w:val="auto"/>
          <w:highlight w:val="none"/>
          <w:lang w:val="zh-CN"/>
        </w:rPr>
        <w:br w:type="page"/>
      </w:r>
    </w:p>
    <w:p w14:paraId="5A6B7717">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p>
    <w:p w14:paraId="730DA0BC">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bookmarkStart w:id="674" w:name="_Toc22453"/>
      <w:r>
        <w:rPr>
          <w:rFonts w:hint="eastAsia" w:cs="宋体"/>
          <w:b/>
          <w:bCs/>
          <w:i w:val="0"/>
          <w:iCs w:val="0"/>
          <w:color w:val="auto"/>
          <w:kern w:val="2"/>
          <w:sz w:val="32"/>
          <w:szCs w:val="32"/>
          <w:highlight w:val="none"/>
          <w:lang w:val="en-US" w:eastAsia="zh-CN" w:bidi="ar-SA"/>
        </w:rPr>
        <w:t>一、报价一览表</w:t>
      </w:r>
      <w:bookmarkEnd w:id="674"/>
    </w:p>
    <w:p w14:paraId="2AB3D72A">
      <w:pPr>
        <w:spacing w:line="300" w:lineRule="auto"/>
        <w:rPr>
          <w:rFonts w:cs="仿宋_GB2312"/>
          <w:i w:val="0"/>
          <w:iCs w:val="0"/>
          <w:color w:val="auto"/>
          <w:szCs w:val="24"/>
          <w:highlight w:val="none"/>
        </w:rPr>
      </w:pPr>
    </w:p>
    <w:p w14:paraId="2E702B28">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p>
    <w:p w14:paraId="573A0361">
      <w:pPr>
        <w:rPr>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03"/>
        <w:gridCol w:w="2352"/>
        <w:gridCol w:w="2161"/>
        <w:gridCol w:w="2611"/>
      </w:tblGrid>
      <w:tr w14:paraId="5F27D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6" w:hRule="atLeast"/>
        </w:trPr>
        <w:tc>
          <w:tcPr>
            <w:tcW w:w="1403" w:type="dxa"/>
            <w:vAlign w:val="center"/>
          </w:tcPr>
          <w:p w14:paraId="68B46E6E">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序号</w:t>
            </w:r>
          </w:p>
        </w:tc>
        <w:tc>
          <w:tcPr>
            <w:tcW w:w="2352" w:type="dxa"/>
            <w:vAlign w:val="center"/>
          </w:tcPr>
          <w:p w14:paraId="5D10FF2E">
            <w:pPr>
              <w:widowControl/>
              <w:autoSpaceDE w:val="0"/>
              <w:autoSpaceDN w:val="0"/>
              <w:ind w:left="851" w:hanging="851"/>
              <w:jc w:val="center"/>
              <w:textAlignment w:val="bottom"/>
              <w:rPr>
                <w:i w:val="0"/>
                <w:iCs w:val="0"/>
                <w:color w:val="auto"/>
                <w:szCs w:val="21"/>
                <w:highlight w:val="none"/>
              </w:rPr>
            </w:pPr>
            <w:r>
              <w:rPr>
                <w:rFonts w:hint="eastAsia"/>
                <w:i w:val="0"/>
                <w:iCs w:val="0"/>
                <w:color w:val="auto"/>
                <w:szCs w:val="21"/>
                <w:highlight w:val="none"/>
                <w:lang w:val="en-US" w:eastAsia="zh-CN"/>
              </w:rPr>
              <w:t>磋商</w:t>
            </w:r>
            <w:r>
              <w:rPr>
                <w:rFonts w:hint="eastAsia"/>
                <w:i w:val="0"/>
                <w:iCs w:val="0"/>
                <w:color w:val="auto"/>
                <w:szCs w:val="21"/>
                <w:highlight w:val="none"/>
              </w:rPr>
              <w:t>报价</w:t>
            </w:r>
          </w:p>
        </w:tc>
        <w:tc>
          <w:tcPr>
            <w:tcW w:w="2161" w:type="dxa"/>
            <w:vAlign w:val="center"/>
          </w:tcPr>
          <w:p w14:paraId="48CC1886">
            <w:pPr>
              <w:widowControl/>
              <w:autoSpaceDE w:val="0"/>
              <w:autoSpaceDN w:val="0"/>
              <w:ind w:left="851" w:hanging="851"/>
              <w:jc w:val="center"/>
              <w:textAlignment w:val="bottom"/>
              <w:rPr>
                <w:i w:val="0"/>
                <w:iCs w:val="0"/>
                <w:color w:val="auto"/>
                <w:szCs w:val="21"/>
                <w:highlight w:val="none"/>
              </w:rPr>
            </w:pPr>
            <w:r>
              <w:rPr>
                <w:rFonts w:hint="eastAsia"/>
                <w:i w:val="0"/>
                <w:iCs w:val="0"/>
                <w:color w:val="auto"/>
                <w:szCs w:val="21"/>
                <w:highlight w:val="none"/>
                <w:lang w:val="en-US" w:eastAsia="zh-CN"/>
              </w:rPr>
              <w:t>服务</w:t>
            </w:r>
            <w:r>
              <w:rPr>
                <w:rFonts w:hint="eastAsia"/>
                <w:i w:val="0"/>
                <w:iCs w:val="0"/>
                <w:color w:val="auto"/>
                <w:szCs w:val="21"/>
                <w:highlight w:val="none"/>
              </w:rPr>
              <w:t>期限</w:t>
            </w:r>
          </w:p>
        </w:tc>
        <w:tc>
          <w:tcPr>
            <w:tcW w:w="2611" w:type="dxa"/>
            <w:vAlign w:val="center"/>
          </w:tcPr>
          <w:p w14:paraId="620875ED">
            <w:pPr>
              <w:widowControl/>
              <w:autoSpaceDE w:val="0"/>
              <w:autoSpaceDN w:val="0"/>
              <w:jc w:val="center"/>
              <w:textAlignment w:val="bottom"/>
              <w:rPr>
                <w:i w:val="0"/>
                <w:iCs w:val="0"/>
                <w:color w:val="auto"/>
                <w:szCs w:val="21"/>
                <w:highlight w:val="none"/>
              </w:rPr>
            </w:pPr>
            <w:r>
              <w:rPr>
                <w:rFonts w:hint="eastAsia"/>
                <w:i w:val="0"/>
                <w:iCs w:val="0"/>
                <w:color w:val="auto"/>
                <w:szCs w:val="21"/>
                <w:highlight w:val="none"/>
              </w:rPr>
              <w:t>备注（如有）</w:t>
            </w:r>
          </w:p>
        </w:tc>
      </w:tr>
      <w:tr w14:paraId="1B090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0" w:hRule="atLeast"/>
        </w:trPr>
        <w:tc>
          <w:tcPr>
            <w:tcW w:w="1403" w:type="dxa"/>
            <w:vAlign w:val="center"/>
          </w:tcPr>
          <w:p w14:paraId="73431128">
            <w:pPr>
              <w:jc w:val="center"/>
              <w:rPr>
                <w:i w:val="0"/>
                <w:iCs w:val="0"/>
                <w:color w:val="auto"/>
                <w:sz w:val="28"/>
                <w:highlight w:val="none"/>
              </w:rPr>
            </w:pPr>
          </w:p>
        </w:tc>
        <w:tc>
          <w:tcPr>
            <w:tcW w:w="2352" w:type="dxa"/>
            <w:vAlign w:val="center"/>
          </w:tcPr>
          <w:p w14:paraId="5670501B">
            <w:pPr>
              <w:widowControl/>
              <w:autoSpaceDE w:val="0"/>
              <w:autoSpaceDN w:val="0"/>
              <w:spacing w:line="240" w:lineRule="auto"/>
              <w:ind w:left="851" w:hanging="851"/>
              <w:jc w:val="left"/>
              <w:textAlignment w:val="bottom"/>
              <w:rPr>
                <w:rFonts w:hint="eastAsia"/>
                <w:i w:val="0"/>
                <w:iCs w:val="0"/>
                <w:color w:val="auto"/>
                <w:szCs w:val="21"/>
                <w:highlight w:val="none"/>
                <w:lang w:val="en-US" w:eastAsia="zh-CN"/>
              </w:rPr>
            </w:pPr>
            <w:r>
              <w:rPr>
                <w:rFonts w:hint="eastAsia"/>
                <w:i w:val="0"/>
                <w:iCs w:val="0"/>
                <w:color w:val="auto"/>
                <w:szCs w:val="21"/>
                <w:highlight w:val="none"/>
                <w:lang w:val="en-US" w:eastAsia="zh-CN"/>
              </w:rPr>
              <w:t>小写：</w:t>
            </w:r>
          </w:p>
          <w:p w14:paraId="5238C712">
            <w:pPr>
              <w:jc w:val="left"/>
              <w:rPr>
                <w:i w:val="0"/>
                <w:iCs w:val="0"/>
                <w:color w:val="auto"/>
                <w:sz w:val="28"/>
                <w:highlight w:val="none"/>
              </w:rPr>
            </w:pPr>
            <w:r>
              <w:rPr>
                <w:rFonts w:hint="eastAsia"/>
                <w:i w:val="0"/>
                <w:iCs w:val="0"/>
                <w:color w:val="auto"/>
                <w:szCs w:val="21"/>
                <w:highlight w:val="none"/>
                <w:lang w:val="en-US" w:eastAsia="zh-CN"/>
              </w:rPr>
              <w:t>大写：</w:t>
            </w:r>
          </w:p>
        </w:tc>
        <w:tc>
          <w:tcPr>
            <w:tcW w:w="2161" w:type="dxa"/>
            <w:vAlign w:val="center"/>
          </w:tcPr>
          <w:p w14:paraId="3409D243">
            <w:pPr>
              <w:jc w:val="center"/>
              <w:rPr>
                <w:i w:val="0"/>
                <w:iCs w:val="0"/>
                <w:color w:val="auto"/>
                <w:sz w:val="28"/>
                <w:highlight w:val="none"/>
              </w:rPr>
            </w:pPr>
          </w:p>
        </w:tc>
        <w:tc>
          <w:tcPr>
            <w:tcW w:w="2611" w:type="dxa"/>
            <w:vAlign w:val="center"/>
          </w:tcPr>
          <w:p w14:paraId="35602B49">
            <w:pPr>
              <w:jc w:val="center"/>
              <w:rPr>
                <w:i w:val="0"/>
                <w:iCs w:val="0"/>
                <w:color w:val="auto"/>
                <w:sz w:val="28"/>
                <w:highlight w:val="none"/>
              </w:rPr>
            </w:pPr>
          </w:p>
        </w:tc>
      </w:tr>
    </w:tbl>
    <w:p w14:paraId="35185EF7">
      <w:pPr>
        <w:spacing w:line="300" w:lineRule="auto"/>
        <w:rPr>
          <w:rFonts w:ascii="Arial" w:hAnsi="Arial" w:cs="Arial"/>
          <w:i w:val="0"/>
          <w:iCs w:val="0"/>
          <w:color w:val="auto"/>
          <w:szCs w:val="21"/>
          <w:highlight w:val="none"/>
          <w:u w:val="single"/>
        </w:rPr>
      </w:pPr>
    </w:p>
    <w:p w14:paraId="0D79AA68">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5DD29C0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4CB5297">
      <w:pPr>
        <w:rPr>
          <w:rFonts w:cs="Arial"/>
          <w:i w:val="0"/>
          <w:iCs w:val="0"/>
          <w:color w:val="auto"/>
          <w:szCs w:val="24"/>
          <w:highlight w:val="none"/>
        </w:rPr>
      </w:pPr>
    </w:p>
    <w:p w14:paraId="21BB3A26">
      <w:pPr>
        <w:pStyle w:val="15"/>
        <w:rPr>
          <w:rFonts w:cs="Arial"/>
          <w:i w:val="0"/>
          <w:iCs w:val="0"/>
          <w:color w:val="auto"/>
          <w:szCs w:val="24"/>
          <w:highlight w:val="none"/>
        </w:rPr>
      </w:pPr>
    </w:p>
    <w:p w14:paraId="4C551945">
      <w:pPr>
        <w:pStyle w:val="15"/>
        <w:rPr>
          <w:rFonts w:cs="Arial"/>
          <w:i w:val="0"/>
          <w:iCs w:val="0"/>
          <w:color w:val="auto"/>
          <w:szCs w:val="24"/>
          <w:highlight w:val="none"/>
        </w:rPr>
      </w:pPr>
    </w:p>
    <w:p w14:paraId="09ACCEBB">
      <w:pPr>
        <w:pStyle w:val="15"/>
        <w:rPr>
          <w:rFonts w:cs="Arial"/>
          <w:i w:val="0"/>
          <w:iCs w:val="0"/>
          <w:color w:val="auto"/>
          <w:szCs w:val="24"/>
          <w:highlight w:val="none"/>
        </w:rPr>
      </w:pPr>
    </w:p>
    <w:p w14:paraId="54CAC625">
      <w:pPr>
        <w:pStyle w:val="15"/>
        <w:rPr>
          <w:rFonts w:cs="Arial"/>
          <w:i w:val="0"/>
          <w:iCs w:val="0"/>
          <w:color w:val="auto"/>
          <w:szCs w:val="24"/>
          <w:highlight w:val="none"/>
        </w:rPr>
      </w:pPr>
    </w:p>
    <w:p w14:paraId="5D119674">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1266F1C5">
      <w:pPr>
        <w:pStyle w:val="15"/>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1.表中磋商报价即为分项报价表中的报价合计。</w:t>
      </w:r>
    </w:p>
    <w:p w14:paraId="26C7BD91">
      <w:pPr>
        <w:pStyle w:val="15"/>
        <w:ind w:firstLine="420" w:firstLineChars="200"/>
        <w:rPr>
          <w:rFonts w:hint="eastAsia"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2.特殊事项在备注中注明。</w:t>
      </w:r>
    </w:p>
    <w:p w14:paraId="6309015B">
      <w:pPr>
        <w:pStyle w:val="15"/>
        <w:ind w:firstLine="420" w:firstLineChars="200"/>
        <w:rPr>
          <w:rFonts w:hint="eastAsia" w:ascii="宋体" w:hAnsi="宋体" w:eastAsia="宋体" w:cs="宋体"/>
          <w:i w:val="0"/>
          <w:iCs w:val="0"/>
          <w:color w:val="auto"/>
          <w:sz w:val="21"/>
          <w:szCs w:val="21"/>
          <w:highlight w:val="none"/>
        </w:rPr>
        <w:sectPr>
          <w:headerReference r:id="rId13" w:type="default"/>
          <w:footerReference r:id="rId14" w:type="default"/>
          <w:pgSz w:w="11905" w:h="16840"/>
          <w:pgMar w:top="1440" w:right="1797" w:bottom="1440" w:left="1797" w:header="851" w:footer="850" w:gutter="0"/>
          <w:pgBorders>
            <w:top w:val="none" w:sz="0" w:space="0"/>
            <w:left w:val="none" w:sz="0" w:space="0"/>
            <w:bottom w:val="none" w:sz="0" w:space="0"/>
            <w:right w:val="none" w:sz="0" w:space="0"/>
          </w:pgBorders>
          <w:pgNumType w:fmt="numberInDash"/>
          <w:cols w:space="720" w:num="1"/>
        </w:sectPr>
      </w:pPr>
      <w:r>
        <w:rPr>
          <w:rFonts w:hint="eastAsia" w:ascii="宋体" w:hAnsi="宋体" w:eastAsia="宋体" w:cs="宋体"/>
          <w:i w:val="0"/>
          <w:iCs w:val="0"/>
          <w:color w:val="auto"/>
          <w:sz w:val="21"/>
          <w:szCs w:val="21"/>
          <w:highlight w:val="none"/>
          <w:lang w:val="en-US" w:eastAsia="zh-CN"/>
        </w:rPr>
        <w:t>3.表中大写与小写不一致的，以大写为准</w:t>
      </w:r>
      <w:r>
        <w:rPr>
          <w:rFonts w:hint="eastAsia" w:ascii="宋体" w:hAnsi="宋体" w:eastAsia="宋体" w:cs="宋体"/>
          <w:i w:val="0"/>
          <w:iCs w:val="0"/>
          <w:color w:val="auto"/>
          <w:sz w:val="21"/>
          <w:szCs w:val="21"/>
          <w:highlight w:val="none"/>
        </w:rPr>
        <w:t>。</w:t>
      </w:r>
    </w:p>
    <w:p w14:paraId="7B2B178E">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bookmarkStart w:id="675" w:name="_Toc12133"/>
      <w:r>
        <w:rPr>
          <w:rFonts w:hint="eastAsia" w:cs="宋体"/>
          <w:b/>
          <w:bCs/>
          <w:i w:val="0"/>
          <w:iCs w:val="0"/>
          <w:color w:val="auto"/>
          <w:kern w:val="2"/>
          <w:sz w:val="32"/>
          <w:szCs w:val="32"/>
          <w:highlight w:val="none"/>
          <w:lang w:val="en-US" w:eastAsia="zh-CN" w:bidi="ar-SA"/>
        </w:rPr>
        <w:t>二、分项报价表</w:t>
      </w:r>
      <w:bookmarkEnd w:id="675"/>
    </w:p>
    <w:p w14:paraId="36B29882">
      <w:pPr>
        <w:rPr>
          <w:b w:val="0"/>
          <w:bCs/>
          <w:i w:val="0"/>
          <w:iCs w:val="0"/>
          <w:color w:val="auto"/>
          <w:szCs w:val="21"/>
          <w:highlight w:val="none"/>
          <w:lang w:val="zh-CN"/>
        </w:rPr>
      </w:pPr>
      <w:r>
        <w:rPr>
          <w:rFonts w:hint="eastAsia"/>
          <w:b w:val="0"/>
          <w:bCs/>
          <w:i w:val="0"/>
          <w:iCs w:val="0"/>
          <w:color w:val="auto"/>
          <w:szCs w:val="21"/>
          <w:highlight w:val="none"/>
          <w:lang w:val="zh-CN"/>
        </w:rPr>
        <w:t>项目名称：</w:t>
      </w:r>
      <w:r>
        <w:rPr>
          <w:rFonts w:hint="eastAsia"/>
          <w:b w:val="0"/>
          <w:bCs/>
          <w:i w:val="0"/>
          <w:iCs w:val="0"/>
          <w:color w:val="auto"/>
          <w:szCs w:val="21"/>
          <w:highlight w:val="none"/>
          <w:u w:val="single"/>
          <w:lang w:val="zh-CN"/>
        </w:rPr>
        <w:t xml:space="preserve">                  </w:t>
      </w:r>
      <w:r>
        <w:rPr>
          <w:rFonts w:hint="eastAsia"/>
          <w:b w:val="0"/>
          <w:bCs/>
          <w:i w:val="0"/>
          <w:iCs w:val="0"/>
          <w:color w:val="auto"/>
          <w:szCs w:val="21"/>
          <w:highlight w:val="none"/>
          <w:u w:val="single"/>
          <w:lang w:val="en-US" w:eastAsia="zh-CN"/>
        </w:rPr>
        <w:t xml:space="preserve">     </w:t>
      </w:r>
      <w:r>
        <w:rPr>
          <w:rFonts w:hint="eastAsia"/>
          <w:b w:val="0"/>
          <w:bCs/>
          <w:i w:val="0"/>
          <w:iCs w:val="0"/>
          <w:color w:val="auto"/>
          <w:szCs w:val="21"/>
          <w:highlight w:val="none"/>
          <w:u w:val="single"/>
          <w:lang w:val="zh-CN"/>
        </w:rPr>
        <w:t xml:space="preserve">   </w:t>
      </w:r>
    </w:p>
    <w:p w14:paraId="369D32C9">
      <w:pPr>
        <w:rPr>
          <w:rFonts w:hint="eastAsia"/>
          <w:b w:val="0"/>
          <w:bCs/>
          <w:i w:val="0"/>
          <w:iCs w:val="0"/>
          <w:color w:val="auto"/>
          <w:szCs w:val="21"/>
          <w:highlight w:val="none"/>
          <w:u w:val="single"/>
          <w:lang w:val="zh-CN"/>
        </w:rPr>
      </w:pPr>
      <w:r>
        <w:rPr>
          <w:rFonts w:hint="eastAsia"/>
          <w:b w:val="0"/>
          <w:bCs/>
          <w:i w:val="0"/>
          <w:iCs w:val="0"/>
          <w:color w:val="auto"/>
          <w:szCs w:val="21"/>
          <w:highlight w:val="none"/>
          <w:lang w:val="zh-CN"/>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b w:val="0"/>
          <w:bCs/>
          <w:i w:val="0"/>
          <w:iCs w:val="0"/>
          <w:color w:val="auto"/>
          <w:szCs w:val="21"/>
          <w:highlight w:val="none"/>
          <w:u w:val="single"/>
          <w:lang w:val="zh-CN"/>
        </w:rPr>
        <w:t xml:space="preserve">                     </w:t>
      </w:r>
    </w:p>
    <w:tbl>
      <w:tblPr>
        <w:tblStyle w:val="30"/>
        <w:tblW w:w="89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5"/>
        <w:gridCol w:w="3720"/>
        <w:gridCol w:w="1065"/>
        <w:gridCol w:w="1065"/>
        <w:gridCol w:w="1066"/>
        <w:gridCol w:w="947"/>
      </w:tblGrid>
      <w:tr w14:paraId="64BB0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359B3E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序号</w:t>
            </w:r>
          </w:p>
        </w:tc>
        <w:tc>
          <w:tcPr>
            <w:tcW w:w="3720" w:type="dxa"/>
            <w:vAlign w:val="center"/>
          </w:tcPr>
          <w:p w14:paraId="088C5C1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名称</w:t>
            </w:r>
          </w:p>
        </w:tc>
        <w:tc>
          <w:tcPr>
            <w:tcW w:w="1065" w:type="dxa"/>
            <w:vAlign w:val="center"/>
          </w:tcPr>
          <w:p w14:paraId="73E95872">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数量</w:t>
            </w:r>
          </w:p>
        </w:tc>
        <w:tc>
          <w:tcPr>
            <w:tcW w:w="1065" w:type="dxa"/>
            <w:vAlign w:val="center"/>
          </w:tcPr>
          <w:p w14:paraId="46AE39CD">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单价（元）</w:t>
            </w:r>
          </w:p>
        </w:tc>
        <w:tc>
          <w:tcPr>
            <w:tcW w:w="1066" w:type="dxa"/>
            <w:vAlign w:val="center"/>
          </w:tcPr>
          <w:p w14:paraId="39D5688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总价</w:t>
            </w:r>
          </w:p>
        </w:tc>
        <w:tc>
          <w:tcPr>
            <w:tcW w:w="947" w:type="dxa"/>
            <w:vAlign w:val="center"/>
          </w:tcPr>
          <w:p w14:paraId="7A26779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备注</w:t>
            </w:r>
          </w:p>
        </w:tc>
      </w:tr>
      <w:tr w14:paraId="467AA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A5FF6D0">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1</w:t>
            </w:r>
          </w:p>
        </w:tc>
        <w:tc>
          <w:tcPr>
            <w:tcW w:w="3720" w:type="dxa"/>
            <w:vAlign w:val="center"/>
          </w:tcPr>
          <w:p w14:paraId="07A38CC0">
            <w:pPr>
              <w:adjustRightInd w:val="0"/>
              <w:snapToGrid w:val="0"/>
              <w:spacing w:line="240" w:lineRule="auto"/>
              <w:jc w:val="center"/>
              <w:rPr>
                <w:i w:val="0"/>
                <w:iCs w:val="0"/>
                <w:color w:val="auto"/>
                <w:szCs w:val="21"/>
                <w:highlight w:val="none"/>
              </w:rPr>
            </w:pPr>
          </w:p>
        </w:tc>
        <w:tc>
          <w:tcPr>
            <w:tcW w:w="1065" w:type="dxa"/>
            <w:vAlign w:val="center"/>
          </w:tcPr>
          <w:p w14:paraId="0D2CE283">
            <w:pPr>
              <w:adjustRightInd w:val="0"/>
              <w:snapToGrid w:val="0"/>
              <w:spacing w:line="240" w:lineRule="auto"/>
              <w:jc w:val="center"/>
              <w:rPr>
                <w:i w:val="0"/>
                <w:iCs w:val="0"/>
                <w:color w:val="auto"/>
                <w:szCs w:val="21"/>
                <w:highlight w:val="none"/>
              </w:rPr>
            </w:pPr>
          </w:p>
        </w:tc>
        <w:tc>
          <w:tcPr>
            <w:tcW w:w="1065" w:type="dxa"/>
            <w:vAlign w:val="center"/>
          </w:tcPr>
          <w:p w14:paraId="347A98B0">
            <w:pPr>
              <w:adjustRightInd w:val="0"/>
              <w:snapToGrid w:val="0"/>
              <w:spacing w:line="240" w:lineRule="auto"/>
              <w:jc w:val="center"/>
              <w:rPr>
                <w:i w:val="0"/>
                <w:iCs w:val="0"/>
                <w:color w:val="auto"/>
                <w:szCs w:val="21"/>
                <w:highlight w:val="none"/>
              </w:rPr>
            </w:pPr>
          </w:p>
        </w:tc>
        <w:tc>
          <w:tcPr>
            <w:tcW w:w="1066" w:type="dxa"/>
            <w:vAlign w:val="center"/>
          </w:tcPr>
          <w:p w14:paraId="439055D0">
            <w:pPr>
              <w:adjustRightInd w:val="0"/>
              <w:snapToGrid w:val="0"/>
              <w:spacing w:line="240" w:lineRule="auto"/>
              <w:jc w:val="center"/>
              <w:rPr>
                <w:i w:val="0"/>
                <w:iCs w:val="0"/>
                <w:color w:val="auto"/>
                <w:szCs w:val="21"/>
                <w:highlight w:val="none"/>
              </w:rPr>
            </w:pPr>
          </w:p>
        </w:tc>
        <w:tc>
          <w:tcPr>
            <w:tcW w:w="947" w:type="dxa"/>
            <w:vAlign w:val="center"/>
          </w:tcPr>
          <w:p w14:paraId="53350EE9">
            <w:pPr>
              <w:adjustRightInd w:val="0"/>
              <w:snapToGrid w:val="0"/>
              <w:spacing w:line="240" w:lineRule="auto"/>
              <w:jc w:val="center"/>
              <w:rPr>
                <w:i w:val="0"/>
                <w:iCs w:val="0"/>
                <w:color w:val="auto"/>
                <w:szCs w:val="21"/>
                <w:highlight w:val="none"/>
              </w:rPr>
            </w:pPr>
          </w:p>
        </w:tc>
      </w:tr>
      <w:tr w14:paraId="510BB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70E786EF">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2</w:t>
            </w:r>
          </w:p>
        </w:tc>
        <w:tc>
          <w:tcPr>
            <w:tcW w:w="3720" w:type="dxa"/>
            <w:vAlign w:val="center"/>
          </w:tcPr>
          <w:p w14:paraId="19F17531">
            <w:pPr>
              <w:adjustRightInd w:val="0"/>
              <w:snapToGrid w:val="0"/>
              <w:spacing w:line="240" w:lineRule="auto"/>
              <w:jc w:val="center"/>
              <w:rPr>
                <w:i w:val="0"/>
                <w:iCs w:val="0"/>
                <w:color w:val="auto"/>
                <w:szCs w:val="21"/>
                <w:highlight w:val="none"/>
              </w:rPr>
            </w:pPr>
          </w:p>
        </w:tc>
        <w:tc>
          <w:tcPr>
            <w:tcW w:w="1065" w:type="dxa"/>
            <w:vAlign w:val="center"/>
          </w:tcPr>
          <w:p w14:paraId="5FA2A257">
            <w:pPr>
              <w:adjustRightInd w:val="0"/>
              <w:snapToGrid w:val="0"/>
              <w:spacing w:line="240" w:lineRule="auto"/>
              <w:jc w:val="center"/>
              <w:rPr>
                <w:i w:val="0"/>
                <w:iCs w:val="0"/>
                <w:color w:val="auto"/>
                <w:szCs w:val="21"/>
                <w:highlight w:val="none"/>
              </w:rPr>
            </w:pPr>
          </w:p>
        </w:tc>
        <w:tc>
          <w:tcPr>
            <w:tcW w:w="1065" w:type="dxa"/>
            <w:vAlign w:val="center"/>
          </w:tcPr>
          <w:p w14:paraId="634862ED">
            <w:pPr>
              <w:adjustRightInd w:val="0"/>
              <w:snapToGrid w:val="0"/>
              <w:spacing w:line="240" w:lineRule="auto"/>
              <w:jc w:val="center"/>
              <w:rPr>
                <w:i w:val="0"/>
                <w:iCs w:val="0"/>
                <w:color w:val="auto"/>
                <w:szCs w:val="21"/>
                <w:highlight w:val="none"/>
              </w:rPr>
            </w:pPr>
          </w:p>
        </w:tc>
        <w:tc>
          <w:tcPr>
            <w:tcW w:w="1066" w:type="dxa"/>
            <w:vAlign w:val="center"/>
          </w:tcPr>
          <w:p w14:paraId="604070DF">
            <w:pPr>
              <w:adjustRightInd w:val="0"/>
              <w:snapToGrid w:val="0"/>
              <w:spacing w:line="240" w:lineRule="auto"/>
              <w:jc w:val="center"/>
              <w:rPr>
                <w:i w:val="0"/>
                <w:iCs w:val="0"/>
                <w:color w:val="auto"/>
                <w:szCs w:val="21"/>
                <w:highlight w:val="none"/>
              </w:rPr>
            </w:pPr>
          </w:p>
        </w:tc>
        <w:tc>
          <w:tcPr>
            <w:tcW w:w="947" w:type="dxa"/>
            <w:vAlign w:val="center"/>
          </w:tcPr>
          <w:p w14:paraId="45B52869">
            <w:pPr>
              <w:adjustRightInd w:val="0"/>
              <w:snapToGrid w:val="0"/>
              <w:spacing w:line="240" w:lineRule="auto"/>
              <w:jc w:val="center"/>
              <w:rPr>
                <w:i w:val="0"/>
                <w:iCs w:val="0"/>
                <w:color w:val="auto"/>
                <w:szCs w:val="21"/>
                <w:highlight w:val="none"/>
              </w:rPr>
            </w:pPr>
          </w:p>
        </w:tc>
      </w:tr>
      <w:tr w14:paraId="102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47A33D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3</w:t>
            </w:r>
          </w:p>
        </w:tc>
        <w:tc>
          <w:tcPr>
            <w:tcW w:w="3720" w:type="dxa"/>
            <w:vAlign w:val="center"/>
          </w:tcPr>
          <w:p w14:paraId="7605B56B">
            <w:pPr>
              <w:adjustRightInd w:val="0"/>
              <w:snapToGrid w:val="0"/>
              <w:spacing w:line="240" w:lineRule="auto"/>
              <w:jc w:val="center"/>
              <w:rPr>
                <w:i w:val="0"/>
                <w:iCs w:val="0"/>
                <w:color w:val="auto"/>
                <w:szCs w:val="21"/>
                <w:highlight w:val="none"/>
              </w:rPr>
            </w:pPr>
          </w:p>
        </w:tc>
        <w:tc>
          <w:tcPr>
            <w:tcW w:w="1065" w:type="dxa"/>
            <w:vAlign w:val="center"/>
          </w:tcPr>
          <w:p w14:paraId="2DB12A28">
            <w:pPr>
              <w:adjustRightInd w:val="0"/>
              <w:snapToGrid w:val="0"/>
              <w:spacing w:line="240" w:lineRule="auto"/>
              <w:jc w:val="center"/>
              <w:rPr>
                <w:i w:val="0"/>
                <w:iCs w:val="0"/>
                <w:color w:val="auto"/>
                <w:szCs w:val="21"/>
                <w:highlight w:val="none"/>
              </w:rPr>
            </w:pPr>
          </w:p>
        </w:tc>
        <w:tc>
          <w:tcPr>
            <w:tcW w:w="1065" w:type="dxa"/>
            <w:vAlign w:val="center"/>
          </w:tcPr>
          <w:p w14:paraId="317BFF74">
            <w:pPr>
              <w:adjustRightInd w:val="0"/>
              <w:snapToGrid w:val="0"/>
              <w:spacing w:line="240" w:lineRule="auto"/>
              <w:jc w:val="center"/>
              <w:rPr>
                <w:i w:val="0"/>
                <w:iCs w:val="0"/>
                <w:color w:val="auto"/>
                <w:szCs w:val="21"/>
                <w:highlight w:val="none"/>
              </w:rPr>
            </w:pPr>
          </w:p>
        </w:tc>
        <w:tc>
          <w:tcPr>
            <w:tcW w:w="1066" w:type="dxa"/>
            <w:vAlign w:val="center"/>
          </w:tcPr>
          <w:p w14:paraId="4B6F17D3">
            <w:pPr>
              <w:adjustRightInd w:val="0"/>
              <w:snapToGrid w:val="0"/>
              <w:spacing w:line="240" w:lineRule="auto"/>
              <w:jc w:val="center"/>
              <w:rPr>
                <w:i w:val="0"/>
                <w:iCs w:val="0"/>
                <w:color w:val="auto"/>
                <w:szCs w:val="21"/>
                <w:highlight w:val="none"/>
              </w:rPr>
            </w:pPr>
          </w:p>
        </w:tc>
        <w:tc>
          <w:tcPr>
            <w:tcW w:w="947" w:type="dxa"/>
            <w:vAlign w:val="center"/>
          </w:tcPr>
          <w:p w14:paraId="1E8ED10E">
            <w:pPr>
              <w:adjustRightInd w:val="0"/>
              <w:snapToGrid w:val="0"/>
              <w:spacing w:line="240" w:lineRule="auto"/>
              <w:jc w:val="center"/>
              <w:rPr>
                <w:i w:val="0"/>
                <w:iCs w:val="0"/>
                <w:color w:val="auto"/>
                <w:szCs w:val="21"/>
                <w:highlight w:val="none"/>
              </w:rPr>
            </w:pPr>
          </w:p>
        </w:tc>
      </w:tr>
      <w:tr w14:paraId="353CE9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BB358B2">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4</w:t>
            </w:r>
          </w:p>
        </w:tc>
        <w:tc>
          <w:tcPr>
            <w:tcW w:w="3720" w:type="dxa"/>
            <w:vAlign w:val="center"/>
          </w:tcPr>
          <w:p w14:paraId="0B0031F2">
            <w:pPr>
              <w:adjustRightInd w:val="0"/>
              <w:snapToGrid w:val="0"/>
              <w:spacing w:line="240" w:lineRule="auto"/>
              <w:jc w:val="center"/>
              <w:rPr>
                <w:i w:val="0"/>
                <w:iCs w:val="0"/>
                <w:color w:val="auto"/>
                <w:szCs w:val="21"/>
                <w:highlight w:val="none"/>
              </w:rPr>
            </w:pPr>
          </w:p>
        </w:tc>
        <w:tc>
          <w:tcPr>
            <w:tcW w:w="1065" w:type="dxa"/>
            <w:vAlign w:val="center"/>
          </w:tcPr>
          <w:p w14:paraId="1A9AB905">
            <w:pPr>
              <w:adjustRightInd w:val="0"/>
              <w:snapToGrid w:val="0"/>
              <w:spacing w:line="240" w:lineRule="auto"/>
              <w:jc w:val="center"/>
              <w:rPr>
                <w:i w:val="0"/>
                <w:iCs w:val="0"/>
                <w:color w:val="auto"/>
                <w:szCs w:val="21"/>
                <w:highlight w:val="none"/>
              </w:rPr>
            </w:pPr>
          </w:p>
        </w:tc>
        <w:tc>
          <w:tcPr>
            <w:tcW w:w="1065" w:type="dxa"/>
            <w:vAlign w:val="center"/>
          </w:tcPr>
          <w:p w14:paraId="20C40B8C">
            <w:pPr>
              <w:adjustRightInd w:val="0"/>
              <w:snapToGrid w:val="0"/>
              <w:spacing w:line="240" w:lineRule="auto"/>
              <w:jc w:val="center"/>
              <w:rPr>
                <w:i w:val="0"/>
                <w:iCs w:val="0"/>
                <w:color w:val="auto"/>
                <w:szCs w:val="21"/>
                <w:highlight w:val="none"/>
              </w:rPr>
            </w:pPr>
          </w:p>
        </w:tc>
        <w:tc>
          <w:tcPr>
            <w:tcW w:w="1066" w:type="dxa"/>
            <w:vAlign w:val="center"/>
          </w:tcPr>
          <w:p w14:paraId="7FDFD679">
            <w:pPr>
              <w:adjustRightInd w:val="0"/>
              <w:snapToGrid w:val="0"/>
              <w:spacing w:line="240" w:lineRule="auto"/>
              <w:jc w:val="center"/>
              <w:rPr>
                <w:i w:val="0"/>
                <w:iCs w:val="0"/>
                <w:color w:val="auto"/>
                <w:szCs w:val="21"/>
                <w:highlight w:val="none"/>
              </w:rPr>
            </w:pPr>
          </w:p>
        </w:tc>
        <w:tc>
          <w:tcPr>
            <w:tcW w:w="947" w:type="dxa"/>
            <w:vAlign w:val="center"/>
          </w:tcPr>
          <w:p w14:paraId="3C259360">
            <w:pPr>
              <w:adjustRightInd w:val="0"/>
              <w:snapToGrid w:val="0"/>
              <w:spacing w:line="240" w:lineRule="auto"/>
              <w:jc w:val="center"/>
              <w:rPr>
                <w:i w:val="0"/>
                <w:iCs w:val="0"/>
                <w:color w:val="auto"/>
                <w:szCs w:val="21"/>
                <w:highlight w:val="none"/>
              </w:rPr>
            </w:pPr>
          </w:p>
        </w:tc>
      </w:tr>
      <w:tr w14:paraId="51C61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0ED2AC16">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5</w:t>
            </w:r>
          </w:p>
        </w:tc>
        <w:tc>
          <w:tcPr>
            <w:tcW w:w="3720" w:type="dxa"/>
            <w:vAlign w:val="center"/>
          </w:tcPr>
          <w:p w14:paraId="2B6E9910">
            <w:pPr>
              <w:adjustRightInd w:val="0"/>
              <w:snapToGrid w:val="0"/>
              <w:spacing w:line="240" w:lineRule="auto"/>
              <w:jc w:val="center"/>
              <w:rPr>
                <w:i w:val="0"/>
                <w:iCs w:val="0"/>
                <w:color w:val="auto"/>
                <w:szCs w:val="21"/>
                <w:highlight w:val="none"/>
              </w:rPr>
            </w:pPr>
          </w:p>
        </w:tc>
        <w:tc>
          <w:tcPr>
            <w:tcW w:w="1065" w:type="dxa"/>
            <w:vAlign w:val="center"/>
          </w:tcPr>
          <w:p w14:paraId="34E951A1">
            <w:pPr>
              <w:adjustRightInd w:val="0"/>
              <w:snapToGrid w:val="0"/>
              <w:spacing w:line="240" w:lineRule="auto"/>
              <w:jc w:val="center"/>
              <w:rPr>
                <w:i w:val="0"/>
                <w:iCs w:val="0"/>
                <w:color w:val="auto"/>
                <w:szCs w:val="21"/>
                <w:highlight w:val="none"/>
              </w:rPr>
            </w:pPr>
          </w:p>
        </w:tc>
        <w:tc>
          <w:tcPr>
            <w:tcW w:w="1065" w:type="dxa"/>
            <w:vAlign w:val="center"/>
          </w:tcPr>
          <w:p w14:paraId="5D9FC8D6">
            <w:pPr>
              <w:adjustRightInd w:val="0"/>
              <w:snapToGrid w:val="0"/>
              <w:spacing w:line="240" w:lineRule="auto"/>
              <w:jc w:val="center"/>
              <w:rPr>
                <w:i w:val="0"/>
                <w:iCs w:val="0"/>
                <w:color w:val="auto"/>
                <w:szCs w:val="21"/>
                <w:highlight w:val="none"/>
              </w:rPr>
            </w:pPr>
          </w:p>
        </w:tc>
        <w:tc>
          <w:tcPr>
            <w:tcW w:w="1066" w:type="dxa"/>
            <w:vAlign w:val="center"/>
          </w:tcPr>
          <w:p w14:paraId="7745BDE0">
            <w:pPr>
              <w:adjustRightInd w:val="0"/>
              <w:snapToGrid w:val="0"/>
              <w:spacing w:line="240" w:lineRule="auto"/>
              <w:jc w:val="center"/>
              <w:rPr>
                <w:i w:val="0"/>
                <w:iCs w:val="0"/>
                <w:color w:val="auto"/>
                <w:szCs w:val="21"/>
                <w:highlight w:val="none"/>
              </w:rPr>
            </w:pPr>
          </w:p>
        </w:tc>
        <w:tc>
          <w:tcPr>
            <w:tcW w:w="947" w:type="dxa"/>
            <w:vAlign w:val="center"/>
          </w:tcPr>
          <w:p w14:paraId="2F20BA25">
            <w:pPr>
              <w:adjustRightInd w:val="0"/>
              <w:snapToGrid w:val="0"/>
              <w:spacing w:line="240" w:lineRule="auto"/>
              <w:jc w:val="center"/>
              <w:rPr>
                <w:i w:val="0"/>
                <w:iCs w:val="0"/>
                <w:color w:val="auto"/>
                <w:szCs w:val="21"/>
                <w:highlight w:val="none"/>
              </w:rPr>
            </w:pPr>
          </w:p>
        </w:tc>
      </w:tr>
      <w:tr w14:paraId="054C0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469BF075">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6</w:t>
            </w:r>
          </w:p>
        </w:tc>
        <w:tc>
          <w:tcPr>
            <w:tcW w:w="3720" w:type="dxa"/>
            <w:vAlign w:val="center"/>
          </w:tcPr>
          <w:p w14:paraId="63E7761B">
            <w:pPr>
              <w:adjustRightInd w:val="0"/>
              <w:snapToGrid w:val="0"/>
              <w:spacing w:line="240" w:lineRule="auto"/>
              <w:jc w:val="center"/>
              <w:rPr>
                <w:i w:val="0"/>
                <w:iCs w:val="0"/>
                <w:color w:val="auto"/>
                <w:szCs w:val="21"/>
                <w:highlight w:val="none"/>
              </w:rPr>
            </w:pPr>
          </w:p>
        </w:tc>
        <w:tc>
          <w:tcPr>
            <w:tcW w:w="1065" w:type="dxa"/>
            <w:vAlign w:val="center"/>
          </w:tcPr>
          <w:p w14:paraId="3BA61A9A">
            <w:pPr>
              <w:adjustRightInd w:val="0"/>
              <w:snapToGrid w:val="0"/>
              <w:spacing w:line="240" w:lineRule="auto"/>
              <w:jc w:val="center"/>
              <w:rPr>
                <w:i w:val="0"/>
                <w:iCs w:val="0"/>
                <w:color w:val="auto"/>
                <w:szCs w:val="21"/>
                <w:highlight w:val="none"/>
              </w:rPr>
            </w:pPr>
          </w:p>
        </w:tc>
        <w:tc>
          <w:tcPr>
            <w:tcW w:w="1065" w:type="dxa"/>
            <w:vAlign w:val="center"/>
          </w:tcPr>
          <w:p w14:paraId="7DCA522F">
            <w:pPr>
              <w:adjustRightInd w:val="0"/>
              <w:snapToGrid w:val="0"/>
              <w:spacing w:line="240" w:lineRule="auto"/>
              <w:jc w:val="center"/>
              <w:rPr>
                <w:i w:val="0"/>
                <w:iCs w:val="0"/>
                <w:color w:val="auto"/>
                <w:szCs w:val="21"/>
                <w:highlight w:val="none"/>
              </w:rPr>
            </w:pPr>
          </w:p>
        </w:tc>
        <w:tc>
          <w:tcPr>
            <w:tcW w:w="1066" w:type="dxa"/>
            <w:vAlign w:val="center"/>
          </w:tcPr>
          <w:p w14:paraId="68A27993">
            <w:pPr>
              <w:adjustRightInd w:val="0"/>
              <w:snapToGrid w:val="0"/>
              <w:spacing w:line="240" w:lineRule="auto"/>
              <w:jc w:val="center"/>
              <w:rPr>
                <w:i w:val="0"/>
                <w:iCs w:val="0"/>
                <w:color w:val="auto"/>
                <w:szCs w:val="21"/>
                <w:highlight w:val="none"/>
              </w:rPr>
            </w:pPr>
          </w:p>
        </w:tc>
        <w:tc>
          <w:tcPr>
            <w:tcW w:w="947" w:type="dxa"/>
            <w:vAlign w:val="center"/>
          </w:tcPr>
          <w:p w14:paraId="33A904F9">
            <w:pPr>
              <w:adjustRightInd w:val="0"/>
              <w:snapToGrid w:val="0"/>
              <w:spacing w:line="240" w:lineRule="auto"/>
              <w:jc w:val="center"/>
              <w:rPr>
                <w:i w:val="0"/>
                <w:iCs w:val="0"/>
                <w:color w:val="auto"/>
                <w:szCs w:val="21"/>
                <w:highlight w:val="none"/>
              </w:rPr>
            </w:pPr>
          </w:p>
        </w:tc>
      </w:tr>
      <w:tr w14:paraId="57BA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68C27991">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7</w:t>
            </w:r>
          </w:p>
        </w:tc>
        <w:tc>
          <w:tcPr>
            <w:tcW w:w="3720" w:type="dxa"/>
            <w:vAlign w:val="center"/>
          </w:tcPr>
          <w:p w14:paraId="7864625B">
            <w:pPr>
              <w:adjustRightInd w:val="0"/>
              <w:snapToGrid w:val="0"/>
              <w:spacing w:line="240" w:lineRule="auto"/>
              <w:jc w:val="center"/>
              <w:rPr>
                <w:i w:val="0"/>
                <w:iCs w:val="0"/>
                <w:color w:val="auto"/>
                <w:szCs w:val="21"/>
                <w:highlight w:val="none"/>
              </w:rPr>
            </w:pPr>
          </w:p>
        </w:tc>
        <w:tc>
          <w:tcPr>
            <w:tcW w:w="1065" w:type="dxa"/>
            <w:vAlign w:val="center"/>
          </w:tcPr>
          <w:p w14:paraId="2B4D906C">
            <w:pPr>
              <w:adjustRightInd w:val="0"/>
              <w:snapToGrid w:val="0"/>
              <w:spacing w:line="240" w:lineRule="auto"/>
              <w:jc w:val="center"/>
              <w:rPr>
                <w:i w:val="0"/>
                <w:iCs w:val="0"/>
                <w:color w:val="auto"/>
                <w:szCs w:val="21"/>
                <w:highlight w:val="none"/>
              </w:rPr>
            </w:pPr>
          </w:p>
        </w:tc>
        <w:tc>
          <w:tcPr>
            <w:tcW w:w="1065" w:type="dxa"/>
            <w:vAlign w:val="center"/>
          </w:tcPr>
          <w:p w14:paraId="6A8DF27F">
            <w:pPr>
              <w:adjustRightInd w:val="0"/>
              <w:snapToGrid w:val="0"/>
              <w:spacing w:line="240" w:lineRule="auto"/>
              <w:jc w:val="center"/>
              <w:rPr>
                <w:i w:val="0"/>
                <w:iCs w:val="0"/>
                <w:color w:val="auto"/>
                <w:szCs w:val="21"/>
                <w:highlight w:val="none"/>
              </w:rPr>
            </w:pPr>
          </w:p>
        </w:tc>
        <w:tc>
          <w:tcPr>
            <w:tcW w:w="1066" w:type="dxa"/>
            <w:vAlign w:val="center"/>
          </w:tcPr>
          <w:p w14:paraId="54C5FBF7">
            <w:pPr>
              <w:adjustRightInd w:val="0"/>
              <w:snapToGrid w:val="0"/>
              <w:spacing w:line="240" w:lineRule="auto"/>
              <w:jc w:val="center"/>
              <w:rPr>
                <w:i w:val="0"/>
                <w:iCs w:val="0"/>
                <w:color w:val="auto"/>
                <w:szCs w:val="21"/>
                <w:highlight w:val="none"/>
              </w:rPr>
            </w:pPr>
          </w:p>
        </w:tc>
        <w:tc>
          <w:tcPr>
            <w:tcW w:w="947" w:type="dxa"/>
            <w:vAlign w:val="center"/>
          </w:tcPr>
          <w:p w14:paraId="2690F475">
            <w:pPr>
              <w:adjustRightInd w:val="0"/>
              <w:snapToGrid w:val="0"/>
              <w:spacing w:line="240" w:lineRule="auto"/>
              <w:jc w:val="center"/>
              <w:rPr>
                <w:i w:val="0"/>
                <w:iCs w:val="0"/>
                <w:color w:val="auto"/>
                <w:szCs w:val="21"/>
                <w:highlight w:val="none"/>
              </w:rPr>
            </w:pPr>
          </w:p>
        </w:tc>
      </w:tr>
      <w:tr w14:paraId="27FCBB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F06304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8</w:t>
            </w:r>
          </w:p>
        </w:tc>
        <w:tc>
          <w:tcPr>
            <w:tcW w:w="3720" w:type="dxa"/>
            <w:vAlign w:val="center"/>
          </w:tcPr>
          <w:p w14:paraId="7C3908AC">
            <w:pPr>
              <w:adjustRightInd w:val="0"/>
              <w:snapToGrid w:val="0"/>
              <w:spacing w:line="240" w:lineRule="auto"/>
              <w:jc w:val="center"/>
              <w:rPr>
                <w:i w:val="0"/>
                <w:iCs w:val="0"/>
                <w:color w:val="auto"/>
                <w:szCs w:val="21"/>
                <w:highlight w:val="none"/>
              </w:rPr>
            </w:pPr>
          </w:p>
        </w:tc>
        <w:tc>
          <w:tcPr>
            <w:tcW w:w="1065" w:type="dxa"/>
            <w:vAlign w:val="center"/>
          </w:tcPr>
          <w:p w14:paraId="362E8E82">
            <w:pPr>
              <w:adjustRightInd w:val="0"/>
              <w:snapToGrid w:val="0"/>
              <w:spacing w:line="240" w:lineRule="auto"/>
              <w:jc w:val="center"/>
              <w:rPr>
                <w:i w:val="0"/>
                <w:iCs w:val="0"/>
                <w:color w:val="auto"/>
                <w:szCs w:val="21"/>
                <w:highlight w:val="none"/>
              </w:rPr>
            </w:pPr>
          </w:p>
        </w:tc>
        <w:tc>
          <w:tcPr>
            <w:tcW w:w="1065" w:type="dxa"/>
            <w:vAlign w:val="center"/>
          </w:tcPr>
          <w:p w14:paraId="6F2704AB">
            <w:pPr>
              <w:adjustRightInd w:val="0"/>
              <w:snapToGrid w:val="0"/>
              <w:spacing w:line="240" w:lineRule="auto"/>
              <w:jc w:val="center"/>
              <w:rPr>
                <w:i w:val="0"/>
                <w:iCs w:val="0"/>
                <w:color w:val="auto"/>
                <w:szCs w:val="21"/>
                <w:highlight w:val="none"/>
              </w:rPr>
            </w:pPr>
          </w:p>
        </w:tc>
        <w:tc>
          <w:tcPr>
            <w:tcW w:w="1066" w:type="dxa"/>
            <w:vAlign w:val="center"/>
          </w:tcPr>
          <w:p w14:paraId="79394E0B">
            <w:pPr>
              <w:adjustRightInd w:val="0"/>
              <w:snapToGrid w:val="0"/>
              <w:spacing w:line="240" w:lineRule="auto"/>
              <w:jc w:val="center"/>
              <w:rPr>
                <w:i w:val="0"/>
                <w:iCs w:val="0"/>
                <w:color w:val="auto"/>
                <w:szCs w:val="21"/>
                <w:highlight w:val="none"/>
              </w:rPr>
            </w:pPr>
          </w:p>
        </w:tc>
        <w:tc>
          <w:tcPr>
            <w:tcW w:w="947" w:type="dxa"/>
            <w:vAlign w:val="center"/>
          </w:tcPr>
          <w:p w14:paraId="5A8DCEE1">
            <w:pPr>
              <w:adjustRightInd w:val="0"/>
              <w:snapToGrid w:val="0"/>
              <w:spacing w:line="240" w:lineRule="auto"/>
              <w:jc w:val="center"/>
              <w:rPr>
                <w:i w:val="0"/>
                <w:iCs w:val="0"/>
                <w:color w:val="auto"/>
                <w:szCs w:val="21"/>
                <w:highlight w:val="none"/>
              </w:rPr>
            </w:pPr>
          </w:p>
        </w:tc>
      </w:tr>
      <w:tr w14:paraId="2D0B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shd w:val="clear" w:color="auto" w:fill="auto"/>
            <w:vAlign w:val="center"/>
          </w:tcPr>
          <w:p w14:paraId="36B30C90">
            <w:pPr>
              <w:adjustRightInd w:val="0"/>
              <w:snapToGrid w:val="0"/>
              <w:spacing w:line="240" w:lineRule="auto"/>
              <w:jc w:val="center"/>
              <w:rPr>
                <w:rFonts w:ascii="宋体" w:hAnsi="宋体" w:eastAsia="宋体" w:cs="宋体"/>
                <w:i w:val="0"/>
                <w:iCs w:val="0"/>
                <w:color w:val="auto"/>
                <w:kern w:val="2"/>
                <w:sz w:val="24"/>
                <w:szCs w:val="21"/>
                <w:highlight w:val="none"/>
                <w:lang w:val="en-US" w:eastAsia="zh-CN" w:bidi="ar-SA"/>
              </w:rPr>
            </w:pPr>
            <w:r>
              <w:rPr>
                <w:rFonts w:hint="eastAsia"/>
                <w:i w:val="0"/>
                <w:iCs w:val="0"/>
                <w:color w:val="auto"/>
                <w:szCs w:val="21"/>
                <w:highlight w:val="none"/>
              </w:rPr>
              <w:t>……</w:t>
            </w:r>
          </w:p>
        </w:tc>
        <w:tc>
          <w:tcPr>
            <w:tcW w:w="3720" w:type="dxa"/>
            <w:shd w:val="clear" w:color="auto" w:fill="auto"/>
            <w:vAlign w:val="center"/>
          </w:tcPr>
          <w:p w14:paraId="547CA859">
            <w:pPr>
              <w:adjustRightInd w:val="0"/>
              <w:snapToGrid w:val="0"/>
              <w:spacing w:line="240" w:lineRule="auto"/>
              <w:jc w:val="center"/>
              <w:rPr>
                <w:rFonts w:ascii="宋体" w:hAnsi="宋体" w:eastAsia="宋体" w:cs="宋体"/>
                <w:i w:val="0"/>
                <w:iCs w:val="0"/>
                <w:color w:val="auto"/>
                <w:kern w:val="2"/>
                <w:sz w:val="24"/>
                <w:szCs w:val="21"/>
                <w:highlight w:val="none"/>
                <w:lang w:val="en-US" w:eastAsia="zh-CN" w:bidi="ar-SA"/>
              </w:rPr>
            </w:pPr>
            <w:r>
              <w:rPr>
                <w:rFonts w:hint="eastAsia"/>
                <w:i w:val="0"/>
                <w:iCs w:val="0"/>
                <w:color w:val="auto"/>
                <w:szCs w:val="21"/>
                <w:highlight w:val="none"/>
              </w:rPr>
              <w:t>……</w:t>
            </w:r>
          </w:p>
        </w:tc>
        <w:tc>
          <w:tcPr>
            <w:tcW w:w="1065" w:type="dxa"/>
            <w:vAlign w:val="center"/>
          </w:tcPr>
          <w:p w14:paraId="7B9DBE1E">
            <w:pPr>
              <w:adjustRightInd w:val="0"/>
              <w:snapToGrid w:val="0"/>
              <w:spacing w:line="240" w:lineRule="auto"/>
              <w:jc w:val="center"/>
              <w:rPr>
                <w:i w:val="0"/>
                <w:iCs w:val="0"/>
                <w:color w:val="auto"/>
                <w:szCs w:val="21"/>
                <w:highlight w:val="none"/>
              </w:rPr>
            </w:pPr>
          </w:p>
        </w:tc>
        <w:tc>
          <w:tcPr>
            <w:tcW w:w="1065" w:type="dxa"/>
            <w:vAlign w:val="center"/>
          </w:tcPr>
          <w:p w14:paraId="6851C226">
            <w:pPr>
              <w:adjustRightInd w:val="0"/>
              <w:snapToGrid w:val="0"/>
              <w:spacing w:line="240" w:lineRule="auto"/>
              <w:jc w:val="center"/>
              <w:rPr>
                <w:i w:val="0"/>
                <w:iCs w:val="0"/>
                <w:color w:val="auto"/>
                <w:szCs w:val="21"/>
                <w:highlight w:val="none"/>
              </w:rPr>
            </w:pPr>
          </w:p>
        </w:tc>
        <w:tc>
          <w:tcPr>
            <w:tcW w:w="1066" w:type="dxa"/>
            <w:vAlign w:val="center"/>
          </w:tcPr>
          <w:p w14:paraId="39505459">
            <w:pPr>
              <w:adjustRightInd w:val="0"/>
              <w:snapToGrid w:val="0"/>
              <w:spacing w:line="240" w:lineRule="auto"/>
              <w:jc w:val="center"/>
              <w:rPr>
                <w:i w:val="0"/>
                <w:iCs w:val="0"/>
                <w:color w:val="auto"/>
                <w:szCs w:val="21"/>
                <w:highlight w:val="none"/>
              </w:rPr>
            </w:pPr>
          </w:p>
        </w:tc>
        <w:tc>
          <w:tcPr>
            <w:tcW w:w="947" w:type="dxa"/>
            <w:vAlign w:val="center"/>
          </w:tcPr>
          <w:p w14:paraId="14D910E3">
            <w:pPr>
              <w:adjustRightInd w:val="0"/>
              <w:snapToGrid w:val="0"/>
              <w:spacing w:line="240" w:lineRule="auto"/>
              <w:jc w:val="center"/>
              <w:rPr>
                <w:i w:val="0"/>
                <w:iCs w:val="0"/>
                <w:color w:val="auto"/>
                <w:szCs w:val="21"/>
                <w:highlight w:val="none"/>
              </w:rPr>
            </w:pPr>
          </w:p>
        </w:tc>
      </w:tr>
      <w:tr w14:paraId="0CAB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39727E85">
            <w:pPr>
              <w:adjustRightInd w:val="0"/>
              <w:snapToGrid w:val="0"/>
              <w:spacing w:line="240" w:lineRule="auto"/>
              <w:jc w:val="center"/>
              <w:rPr>
                <w:i w:val="0"/>
                <w:iCs w:val="0"/>
                <w:color w:val="auto"/>
                <w:szCs w:val="21"/>
                <w:highlight w:val="none"/>
              </w:rPr>
            </w:pPr>
          </w:p>
        </w:tc>
        <w:tc>
          <w:tcPr>
            <w:tcW w:w="3720" w:type="dxa"/>
            <w:vAlign w:val="center"/>
          </w:tcPr>
          <w:p w14:paraId="6E3D4C24">
            <w:pPr>
              <w:adjustRightInd w:val="0"/>
              <w:snapToGrid w:val="0"/>
              <w:spacing w:line="240" w:lineRule="auto"/>
              <w:jc w:val="center"/>
              <w:rPr>
                <w:i w:val="0"/>
                <w:iCs w:val="0"/>
                <w:color w:val="auto"/>
                <w:szCs w:val="21"/>
                <w:highlight w:val="none"/>
              </w:rPr>
            </w:pPr>
            <w:r>
              <w:rPr>
                <w:rFonts w:hint="eastAsia" w:ascii="等线" w:hAnsi="等线" w:eastAsia="等线"/>
                <w:i w:val="0"/>
                <w:iCs w:val="0"/>
                <w:color w:val="auto"/>
                <w:highlight w:val="none"/>
              </w:rPr>
              <w:t>其他费用</w:t>
            </w:r>
          </w:p>
        </w:tc>
        <w:tc>
          <w:tcPr>
            <w:tcW w:w="1065" w:type="dxa"/>
            <w:vAlign w:val="center"/>
          </w:tcPr>
          <w:p w14:paraId="34269FA2">
            <w:pPr>
              <w:adjustRightInd w:val="0"/>
              <w:snapToGrid w:val="0"/>
              <w:spacing w:line="240" w:lineRule="auto"/>
              <w:jc w:val="center"/>
              <w:rPr>
                <w:i w:val="0"/>
                <w:iCs w:val="0"/>
                <w:color w:val="auto"/>
                <w:szCs w:val="21"/>
                <w:highlight w:val="none"/>
              </w:rPr>
            </w:pPr>
          </w:p>
        </w:tc>
        <w:tc>
          <w:tcPr>
            <w:tcW w:w="1065" w:type="dxa"/>
            <w:vAlign w:val="center"/>
          </w:tcPr>
          <w:p w14:paraId="646717F9">
            <w:pPr>
              <w:adjustRightInd w:val="0"/>
              <w:snapToGrid w:val="0"/>
              <w:spacing w:line="240" w:lineRule="auto"/>
              <w:jc w:val="center"/>
              <w:rPr>
                <w:i w:val="0"/>
                <w:iCs w:val="0"/>
                <w:color w:val="auto"/>
                <w:szCs w:val="21"/>
                <w:highlight w:val="none"/>
              </w:rPr>
            </w:pPr>
          </w:p>
        </w:tc>
        <w:tc>
          <w:tcPr>
            <w:tcW w:w="1066" w:type="dxa"/>
            <w:vAlign w:val="center"/>
          </w:tcPr>
          <w:p w14:paraId="61629B6A">
            <w:pPr>
              <w:adjustRightInd w:val="0"/>
              <w:snapToGrid w:val="0"/>
              <w:spacing w:line="240" w:lineRule="auto"/>
              <w:jc w:val="center"/>
              <w:rPr>
                <w:i w:val="0"/>
                <w:iCs w:val="0"/>
                <w:color w:val="auto"/>
                <w:szCs w:val="21"/>
                <w:highlight w:val="none"/>
              </w:rPr>
            </w:pPr>
          </w:p>
        </w:tc>
        <w:tc>
          <w:tcPr>
            <w:tcW w:w="947" w:type="dxa"/>
            <w:vAlign w:val="center"/>
          </w:tcPr>
          <w:p w14:paraId="7F337C52">
            <w:pPr>
              <w:adjustRightInd w:val="0"/>
              <w:snapToGrid w:val="0"/>
              <w:spacing w:line="240" w:lineRule="auto"/>
              <w:jc w:val="center"/>
              <w:rPr>
                <w:i w:val="0"/>
                <w:iCs w:val="0"/>
                <w:color w:val="auto"/>
                <w:szCs w:val="21"/>
                <w:highlight w:val="none"/>
              </w:rPr>
            </w:pPr>
          </w:p>
        </w:tc>
      </w:tr>
      <w:tr w14:paraId="209E8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065" w:type="dxa"/>
            <w:vAlign w:val="center"/>
          </w:tcPr>
          <w:p w14:paraId="2C355F28">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3720" w:type="dxa"/>
            <w:vAlign w:val="center"/>
          </w:tcPr>
          <w:p w14:paraId="5D4BF5AE">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w:t>
            </w:r>
          </w:p>
        </w:tc>
        <w:tc>
          <w:tcPr>
            <w:tcW w:w="1065" w:type="dxa"/>
            <w:vAlign w:val="center"/>
          </w:tcPr>
          <w:p w14:paraId="3E6B6F32">
            <w:pPr>
              <w:adjustRightInd w:val="0"/>
              <w:snapToGrid w:val="0"/>
              <w:spacing w:line="240" w:lineRule="auto"/>
              <w:jc w:val="center"/>
              <w:rPr>
                <w:i w:val="0"/>
                <w:iCs w:val="0"/>
                <w:color w:val="auto"/>
                <w:szCs w:val="21"/>
                <w:highlight w:val="none"/>
              </w:rPr>
            </w:pPr>
          </w:p>
        </w:tc>
        <w:tc>
          <w:tcPr>
            <w:tcW w:w="1065" w:type="dxa"/>
            <w:vAlign w:val="center"/>
          </w:tcPr>
          <w:p w14:paraId="02B6CE3C">
            <w:pPr>
              <w:adjustRightInd w:val="0"/>
              <w:snapToGrid w:val="0"/>
              <w:spacing w:line="240" w:lineRule="auto"/>
              <w:jc w:val="center"/>
              <w:rPr>
                <w:i w:val="0"/>
                <w:iCs w:val="0"/>
                <w:color w:val="auto"/>
                <w:szCs w:val="21"/>
                <w:highlight w:val="none"/>
              </w:rPr>
            </w:pPr>
          </w:p>
        </w:tc>
        <w:tc>
          <w:tcPr>
            <w:tcW w:w="1066" w:type="dxa"/>
            <w:vAlign w:val="center"/>
          </w:tcPr>
          <w:p w14:paraId="15025601">
            <w:pPr>
              <w:adjustRightInd w:val="0"/>
              <w:snapToGrid w:val="0"/>
              <w:spacing w:line="240" w:lineRule="auto"/>
              <w:jc w:val="center"/>
              <w:rPr>
                <w:i w:val="0"/>
                <w:iCs w:val="0"/>
                <w:color w:val="auto"/>
                <w:szCs w:val="21"/>
                <w:highlight w:val="none"/>
              </w:rPr>
            </w:pPr>
          </w:p>
        </w:tc>
        <w:tc>
          <w:tcPr>
            <w:tcW w:w="947" w:type="dxa"/>
            <w:vAlign w:val="center"/>
          </w:tcPr>
          <w:p w14:paraId="39116035">
            <w:pPr>
              <w:adjustRightInd w:val="0"/>
              <w:snapToGrid w:val="0"/>
              <w:spacing w:line="240" w:lineRule="auto"/>
              <w:jc w:val="center"/>
              <w:rPr>
                <w:i w:val="0"/>
                <w:iCs w:val="0"/>
                <w:color w:val="auto"/>
                <w:szCs w:val="21"/>
                <w:highlight w:val="none"/>
              </w:rPr>
            </w:pPr>
          </w:p>
        </w:tc>
      </w:tr>
      <w:tr w14:paraId="16F60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6915" w:type="dxa"/>
            <w:gridSpan w:val="4"/>
            <w:vAlign w:val="center"/>
          </w:tcPr>
          <w:p w14:paraId="0EDD5DA9">
            <w:pPr>
              <w:adjustRightInd w:val="0"/>
              <w:snapToGrid w:val="0"/>
              <w:spacing w:line="240" w:lineRule="auto"/>
              <w:jc w:val="center"/>
              <w:rPr>
                <w:i w:val="0"/>
                <w:iCs w:val="0"/>
                <w:color w:val="auto"/>
                <w:szCs w:val="21"/>
                <w:highlight w:val="none"/>
              </w:rPr>
            </w:pPr>
            <w:r>
              <w:rPr>
                <w:rFonts w:hint="eastAsia"/>
                <w:i w:val="0"/>
                <w:iCs w:val="0"/>
                <w:color w:val="auto"/>
                <w:szCs w:val="21"/>
                <w:highlight w:val="none"/>
              </w:rPr>
              <w:t>报价合计（元）</w:t>
            </w:r>
          </w:p>
        </w:tc>
        <w:tc>
          <w:tcPr>
            <w:tcW w:w="2013" w:type="dxa"/>
            <w:gridSpan w:val="2"/>
            <w:vAlign w:val="center"/>
          </w:tcPr>
          <w:p w14:paraId="0609C717">
            <w:pPr>
              <w:adjustRightInd w:val="0"/>
              <w:snapToGrid w:val="0"/>
              <w:spacing w:line="240" w:lineRule="auto"/>
              <w:jc w:val="center"/>
              <w:rPr>
                <w:i w:val="0"/>
                <w:iCs w:val="0"/>
                <w:color w:val="auto"/>
                <w:szCs w:val="21"/>
                <w:highlight w:val="none"/>
              </w:rPr>
            </w:pPr>
          </w:p>
        </w:tc>
      </w:tr>
    </w:tbl>
    <w:p w14:paraId="76D9FA12">
      <w:pPr>
        <w:pStyle w:val="15"/>
        <w:rPr>
          <w:rFonts w:hint="eastAsia"/>
          <w:b w:val="0"/>
          <w:bCs/>
          <w:i w:val="0"/>
          <w:iCs w:val="0"/>
          <w:color w:val="auto"/>
          <w:szCs w:val="21"/>
          <w:highlight w:val="none"/>
          <w:u w:val="single"/>
          <w:lang w:val="zh-CN"/>
        </w:rPr>
      </w:pPr>
    </w:p>
    <w:p w14:paraId="4ADE4675">
      <w:pPr>
        <w:spacing w:line="300" w:lineRule="auto"/>
        <w:rPr>
          <w:rFonts w:ascii="Arial" w:hAnsi="Arial" w:cs="Arial"/>
          <w:i w:val="0"/>
          <w:iCs w:val="0"/>
          <w:color w:val="auto"/>
          <w:szCs w:val="21"/>
          <w:highlight w:val="none"/>
        </w:rPr>
      </w:pPr>
    </w:p>
    <w:p w14:paraId="7856DF79">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10A8DB8">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F99A5A5">
      <w:pPr>
        <w:spacing w:line="300" w:lineRule="auto"/>
        <w:rPr>
          <w:rFonts w:ascii="Arial" w:hAnsi="Arial" w:cs="Arial"/>
          <w:i w:val="0"/>
          <w:iCs w:val="0"/>
          <w:color w:val="auto"/>
          <w:szCs w:val="21"/>
          <w:highlight w:val="none"/>
        </w:rPr>
      </w:pPr>
    </w:p>
    <w:p w14:paraId="19373AA9">
      <w:pPr>
        <w:spacing w:line="360" w:lineRule="auto"/>
        <w:rPr>
          <w:rFonts w:hint="eastAsia" w:ascii="宋体" w:hAnsi="宋体" w:eastAsia="宋体" w:cs="宋体"/>
          <w:b/>
          <w:i w:val="0"/>
          <w:iCs w:val="0"/>
          <w:color w:val="auto"/>
          <w:sz w:val="21"/>
          <w:szCs w:val="21"/>
          <w:highlight w:val="none"/>
          <w:lang w:eastAsia="zh-CN"/>
        </w:rPr>
      </w:pPr>
      <w:r>
        <w:rPr>
          <w:rFonts w:hint="eastAsia" w:ascii="宋体" w:hAnsi="宋体" w:eastAsia="宋体" w:cs="宋体"/>
          <w:b/>
          <w:i w:val="0"/>
          <w:iCs w:val="0"/>
          <w:color w:val="auto"/>
          <w:sz w:val="21"/>
          <w:szCs w:val="21"/>
          <w:highlight w:val="none"/>
          <w:lang w:eastAsia="zh-CN"/>
        </w:rPr>
        <w:t>注：</w:t>
      </w:r>
    </w:p>
    <w:p w14:paraId="4681585F">
      <w:pPr>
        <w:spacing w:line="360" w:lineRule="auto"/>
        <w:ind w:firstLine="435"/>
        <w:rPr>
          <w:rFonts w:hint="default" w:ascii="宋体" w:hAnsi="宋体" w:eastAsia="宋体" w:cs="宋体"/>
          <w:i w:val="0"/>
          <w:iCs w:val="0"/>
          <w:color w:val="auto"/>
          <w:sz w:val="21"/>
          <w:szCs w:val="21"/>
          <w:highlight w:val="none"/>
          <w:lang w:val="en-US" w:eastAsia="zh-CN"/>
        </w:rPr>
      </w:pPr>
      <w:r>
        <w:rPr>
          <w:rFonts w:hint="eastAsia" w:ascii="宋体" w:hAnsi="宋体" w:eastAsia="宋体" w:cs="宋体"/>
          <w:i w:val="0"/>
          <w:iCs w:val="0"/>
          <w:color w:val="auto"/>
          <w:sz w:val="21"/>
          <w:szCs w:val="21"/>
          <w:highlight w:val="none"/>
          <w:lang w:val="en-US" w:eastAsia="zh-CN"/>
        </w:rPr>
        <w:t>1.</w:t>
      </w:r>
      <w:r>
        <w:rPr>
          <w:rFonts w:hint="default" w:ascii="宋体" w:hAnsi="宋体" w:eastAsia="宋体" w:cs="宋体"/>
          <w:i w:val="0"/>
          <w:iCs w:val="0"/>
          <w:color w:val="auto"/>
          <w:sz w:val="21"/>
          <w:szCs w:val="21"/>
          <w:highlight w:val="none"/>
          <w:lang w:val="en-US" w:eastAsia="zh-CN"/>
        </w:rPr>
        <w:t>按照本表填写的各项目的报价合计填写到</w:t>
      </w:r>
      <w:r>
        <w:rPr>
          <w:rFonts w:hint="eastAsia" w:ascii="宋体" w:hAnsi="宋体" w:eastAsia="宋体" w:cs="宋体"/>
          <w:i w:val="0"/>
          <w:iCs w:val="0"/>
          <w:color w:val="auto"/>
          <w:sz w:val="21"/>
          <w:szCs w:val="21"/>
          <w:highlight w:val="none"/>
          <w:lang w:val="en-US" w:eastAsia="zh-CN"/>
        </w:rPr>
        <w:t>“</w:t>
      </w:r>
      <w:r>
        <w:rPr>
          <w:rFonts w:hint="eastAsia" w:cs="宋体"/>
          <w:i w:val="0"/>
          <w:iCs w:val="0"/>
          <w:color w:val="auto"/>
          <w:sz w:val="21"/>
          <w:szCs w:val="21"/>
          <w:highlight w:val="none"/>
          <w:lang w:val="en-US" w:eastAsia="zh-CN"/>
        </w:rPr>
        <w:t>报价</w:t>
      </w:r>
      <w:r>
        <w:rPr>
          <w:rFonts w:hint="eastAsia" w:ascii="宋体" w:hAnsi="宋体" w:eastAsia="宋体" w:cs="宋体"/>
          <w:i w:val="0"/>
          <w:iCs w:val="0"/>
          <w:color w:val="auto"/>
          <w:sz w:val="21"/>
          <w:szCs w:val="21"/>
          <w:highlight w:val="none"/>
          <w:lang w:val="en-US" w:eastAsia="zh-CN"/>
        </w:rPr>
        <w:t>一览表”</w:t>
      </w:r>
      <w:r>
        <w:rPr>
          <w:rFonts w:hint="default" w:ascii="宋体" w:hAnsi="宋体" w:eastAsia="宋体" w:cs="宋体"/>
          <w:i w:val="0"/>
          <w:iCs w:val="0"/>
          <w:color w:val="auto"/>
          <w:sz w:val="21"/>
          <w:szCs w:val="21"/>
          <w:highlight w:val="none"/>
          <w:lang w:val="en-US" w:eastAsia="zh-CN"/>
        </w:rPr>
        <w:t>中对应的</w:t>
      </w:r>
      <w:r>
        <w:rPr>
          <w:rFonts w:hint="eastAsia" w:cs="宋体"/>
          <w:i w:val="0"/>
          <w:iCs w:val="0"/>
          <w:color w:val="auto"/>
          <w:sz w:val="21"/>
          <w:szCs w:val="21"/>
          <w:highlight w:val="none"/>
          <w:lang w:val="en-US" w:eastAsia="zh-CN"/>
        </w:rPr>
        <w:t>“磋商报价”</w:t>
      </w:r>
      <w:r>
        <w:rPr>
          <w:rFonts w:hint="default" w:ascii="宋体" w:hAnsi="宋体" w:eastAsia="宋体" w:cs="宋体"/>
          <w:i w:val="0"/>
          <w:iCs w:val="0"/>
          <w:color w:val="auto"/>
          <w:sz w:val="21"/>
          <w:szCs w:val="21"/>
          <w:highlight w:val="none"/>
          <w:lang w:val="en-US" w:eastAsia="zh-CN"/>
        </w:rPr>
        <w:t>栏中。</w:t>
      </w:r>
    </w:p>
    <w:p w14:paraId="6B43AF2E">
      <w:pPr>
        <w:spacing w:line="360" w:lineRule="auto"/>
        <w:ind w:firstLine="435"/>
        <w:rPr>
          <w:rFonts w:hint="eastAsia" w:ascii="宋体" w:hAnsi="宋体" w:eastAsia="宋体" w:cs="宋体"/>
          <w:i w:val="0"/>
          <w:iCs w:val="0"/>
          <w:color w:val="auto"/>
          <w:sz w:val="21"/>
          <w:szCs w:val="21"/>
          <w:highlight w:val="none"/>
        </w:rPr>
      </w:pPr>
      <w:r>
        <w:rPr>
          <w:rFonts w:hint="eastAsia" w:cs="宋体"/>
          <w:i w:val="0"/>
          <w:iCs w:val="0"/>
          <w:color w:val="auto"/>
          <w:sz w:val="21"/>
          <w:szCs w:val="21"/>
          <w:highlight w:val="none"/>
          <w:lang w:val="en-US" w:eastAsia="zh-CN"/>
        </w:rPr>
        <w:t>2</w:t>
      </w:r>
      <w:r>
        <w:rPr>
          <w:rFonts w:hint="eastAsia" w:ascii="宋体" w:hAnsi="宋体" w:eastAsia="宋体" w:cs="宋体"/>
          <w:i w:val="0"/>
          <w:iCs w:val="0"/>
          <w:color w:val="auto"/>
          <w:sz w:val="21"/>
          <w:szCs w:val="21"/>
          <w:highlight w:val="none"/>
        </w:rPr>
        <w:t>.所列服务为对应本项目需求的全部服务内容。如有漏项或缺项，</w:t>
      </w:r>
      <w:r>
        <w:rPr>
          <w:rFonts w:hint="eastAsia" w:cs="宋体"/>
          <w:i w:val="0"/>
          <w:iCs w:val="0"/>
          <w:color w:val="auto"/>
          <w:sz w:val="21"/>
          <w:szCs w:val="21"/>
          <w:highlight w:val="none"/>
          <w:lang w:val="en-US" w:eastAsia="zh-CN"/>
        </w:rPr>
        <w:t>供应商</w:t>
      </w:r>
      <w:r>
        <w:rPr>
          <w:rFonts w:hint="eastAsia" w:ascii="宋体" w:hAnsi="宋体" w:eastAsia="宋体" w:cs="宋体"/>
          <w:i w:val="0"/>
          <w:iCs w:val="0"/>
          <w:color w:val="auto"/>
          <w:sz w:val="21"/>
          <w:szCs w:val="21"/>
          <w:highlight w:val="none"/>
        </w:rPr>
        <w:t>承担全部责任。</w:t>
      </w:r>
    </w:p>
    <w:p w14:paraId="4A59D451">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7B71C0B3">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sectPr>
          <w:pgSz w:w="11906" w:h="16838"/>
          <w:pgMar w:top="1440" w:right="1800" w:bottom="1440" w:left="1800" w:header="851" w:footer="992" w:gutter="0"/>
          <w:pgNumType w:fmt="numberInDash"/>
          <w:cols w:space="425" w:num="1"/>
          <w:docGrid w:type="lines" w:linePitch="312" w:charSpace="0"/>
        </w:sectPr>
      </w:pPr>
    </w:p>
    <w:p w14:paraId="2C323B69">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color w:val="auto"/>
          <w:kern w:val="2"/>
          <w:sz w:val="32"/>
          <w:szCs w:val="32"/>
          <w:highlight w:val="none"/>
          <w:lang w:val="en-US" w:eastAsia="zh-CN" w:bidi="ar-SA"/>
        </w:rPr>
      </w:pPr>
      <w:bookmarkStart w:id="676" w:name="_Toc10600"/>
      <w:bookmarkStart w:id="677" w:name="_Toc4379"/>
      <w:r>
        <w:rPr>
          <w:rFonts w:hint="eastAsia" w:cs="宋体"/>
          <w:b/>
          <w:bCs/>
          <w:color w:val="auto"/>
          <w:kern w:val="2"/>
          <w:sz w:val="32"/>
          <w:szCs w:val="32"/>
          <w:highlight w:val="none"/>
          <w:lang w:val="en-US" w:eastAsia="zh-CN" w:bidi="ar-SA"/>
        </w:rPr>
        <w:t>三、关于符合本国产品标准的声明函或财政部规定的其他</w:t>
      </w:r>
      <w:bookmarkEnd w:id="676"/>
    </w:p>
    <w:p w14:paraId="478C52C4">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color w:val="auto"/>
          <w:kern w:val="2"/>
          <w:sz w:val="32"/>
          <w:szCs w:val="32"/>
          <w:highlight w:val="none"/>
          <w:lang w:val="en-US" w:eastAsia="zh-CN" w:bidi="ar-SA"/>
        </w:rPr>
      </w:pPr>
      <w:bookmarkStart w:id="678" w:name="_Toc12759"/>
      <w:r>
        <w:rPr>
          <w:rFonts w:hint="eastAsia" w:cs="宋体"/>
          <w:b/>
          <w:bCs/>
          <w:color w:val="auto"/>
          <w:kern w:val="2"/>
          <w:sz w:val="32"/>
          <w:szCs w:val="32"/>
          <w:highlight w:val="none"/>
          <w:lang w:val="en-US" w:eastAsia="zh-CN" w:bidi="ar-SA"/>
        </w:rPr>
        <w:t>证明文件</w:t>
      </w:r>
      <w:bookmarkEnd w:id="677"/>
      <w:bookmarkEnd w:id="678"/>
    </w:p>
    <w:p w14:paraId="6FF3AA7F">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附件1</w:t>
      </w:r>
    </w:p>
    <w:p w14:paraId="5676474C">
      <w:pPr>
        <w:keepNext w:val="0"/>
        <w:keepLines w:val="0"/>
        <w:widowControl/>
        <w:suppressLineNumbers w:val="0"/>
        <w:ind w:firstLine="482" w:firstLineChars="200"/>
        <w:jc w:val="center"/>
        <w:rPr>
          <w:rFonts w:hint="eastAsia" w:ascii="宋体" w:hAnsi="宋体" w:eastAsia="宋体" w:cs="宋体"/>
          <w:color w:val="auto"/>
          <w:kern w:val="0"/>
          <w:sz w:val="24"/>
          <w:szCs w:val="24"/>
          <w:highlight w:val="none"/>
          <w:lang w:val="en-US" w:eastAsia="zh-CN"/>
        </w:rPr>
      </w:pPr>
      <w:r>
        <w:rPr>
          <w:rFonts w:hint="eastAsia" w:cs="宋体"/>
          <w:b/>
          <w:bCs/>
          <w:color w:val="auto"/>
          <w:kern w:val="0"/>
          <w:sz w:val="24"/>
          <w:szCs w:val="24"/>
          <w:highlight w:val="none"/>
          <w:lang w:val="en-US" w:eastAsia="zh-CN"/>
        </w:rPr>
        <w:t>（一）</w:t>
      </w:r>
      <w:r>
        <w:rPr>
          <w:rFonts w:hint="eastAsia" w:ascii="宋体" w:hAnsi="宋体" w:eastAsia="宋体" w:cs="宋体"/>
          <w:b/>
          <w:bCs/>
          <w:color w:val="auto"/>
          <w:kern w:val="0"/>
          <w:sz w:val="24"/>
          <w:szCs w:val="24"/>
          <w:highlight w:val="none"/>
          <w:lang w:val="en-US" w:eastAsia="zh-CN"/>
        </w:rPr>
        <w:t>关于符合本国产品标准的声明函</w:t>
      </w:r>
    </w:p>
    <w:p w14:paraId="4E43082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本公司（单位）郑重声明，根据《国务院办公厅关于在政府采购中实施本国产品标准及相关政策的通知》（国办发〔2025〕34号）的规定，本公司（单位）提供的以下产品属于本国产品。具体情况如下：</w:t>
      </w:r>
    </w:p>
    <w:p w14:paraId="57EC3BE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1.</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1，生产厂为</w:t>
      </w:r>
      <w:r>
        <w:rPr>
          <w:rFonts w:hint="eastAsia" w:ascii="宋体" w:hAnsi="宋体" w:eastAsia="宋体" w:cs="宋体"/>
          <w:color w:val="auto"/>
          <w:kern w:val="0"/>
          <w:sz w:val="21"/>
          <w:szCs w:val="21"/>
          <w:highlight w:val="none"/>
          <w:u w:val="single"/>
          <w:lang w:val="en-US" w:eastAsia="zh-CN"/>
        </w:rPr>
        <w:t>（厂名）</w:t>
      </w:r>
      <w:r>
        <w:rPr>
          <w:rFonts w:hint="eastAsia" w:ascii="宋体" w:hAnsi="宋体" w:eastAsia="宋体" w:cs="宋体"/>
          <w:color w:val="auto"/>
          <w:kern w:val="0"/>
          <w:sz w:val="21"/>
          <w:szCs w:val="21"/>
          <w:highlight w:val="none"/>
          <w:lang w:val="en-US" w:eastAsia="zh-CN"/>
        </w:rPr>
        <w:t>2，厂址为</w:t>
      </w:r>
      <w:r>
        <w:rPr>
          <w:rFonts w:hint="eastAsia" w:ascii="宋体" w:hAnsi="宋体" w:eastAsia="宋体" w:cs="宋体"/>
          <w:color w:val="auto"/>
          <w:kern w:val="0"/>
          <w:sz w:val="21"/>
          <w:szCs w:val="21"/>
          <w:highlight w:val="none"/>
          <w:u w:val="single"/>
          <w:lang w:val="en-US" w:eastAsia="zh-CN"/>
        </w:rPr>
        <w:t>（生产厂址）</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的中国境内生产的组件成本占比≥</w:t>
      </w:r>
      <w:r>
        <w:rPr>
          <w:rFonts w:hint="eastAsia" w:ascii="宋体" w:hAnsi="宋体" w:eastAsia="宋体" w:cs="宋体"/>
          <w:color w:val="auto"/>
          <w:kern w:val="0"/>
          <w:sz w:val="21"/>
          <w:szCs w:val="21"/>
          <w:highlight w:val="none"/>
          <w:u w:val="single"/>
          <w:lang w:val="en-US" w:eastAsia="zh-CN"/>
        </w:rPr>
        <w:t>（规定比例）</w:t>
      </w:r>
      <w:r>
        <w:rPr>
          <w:rFonts w:hint="eastAsia" w:ascii="宋体" w:hAnsi="宋体" w:eastAsia="宋体" w:cs="宋体"/>
          <w:color w:val="auto"/>
          <w:kern w:val="0"/>
          <w:sz w:val="21"/>
          <w:szCs w:val="21"/>
          <w:highlight w:val="none"/>
          <w:lang w:val="en-US" w:eastAsia="zh-CN"/>
        </w:rPr>
        <w:t>3。</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（关键组件）</w:t>
      </w:r>
      <w:r>
        <w:rPr>
          <w:rFonts w:hint="eastAsia" w:ascii="宋体" w:hAnsi="宋体" w:eastAsia="宋体" w:cs="宋体"/>
          <w:color w:val="auto"/>
          <w:kern w:val="0"/>
          <w:sz w:val="21"/>
          <w:szCs w:val="21"/>
          <w:highlight w:val="none"/>
          <w:lang w:val="en-US" w:eastAsia="zh-CN"/>
        </w:rPr>
        <w:t>4在中国境内生产。</w:t>
      </w:r>
      <w:r>
        <w:rPr>
          <w:rFonts w:hint="eastAsia" w:ascii="宋体" w:hAnsi="宋体" w:eastAsia="宋体" w:cs="宋体"/>
          <w:color w:val="auto"/>
          <w:kern w:val="0"/>
          <w:sz w:val="21"/>
          <w:szCs w:val="21"/>
          <w:highlight w:val="none"/>
          <w:u w:val="single"/>
          <w:lang w:val="en-US" w:eastAsia="zh-CN"/>
        </w:rPr>
        <w:t>（产品名称1）</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（关键工序）</w:t>
      </w:r>
      <w:r>
        <w:rPr>
          <w:rFonts w:hint="eastAsia" w:ascii="宋体" w:hAnsi="宋体" w:eastAsia="宋体" w:cs="宋体"/>
          <w:color w:val="auto"/>
          <w:kern w:val="0"/>
          <w:sz w:val="21"/>
          <w:szCs w:val="21"/>
          <w:highlight w:val="none"/>
          <w:lang w:val="en-US" w:eastAsia="zh-CN"/>
        </w:rPr>
        <w:t>5在中国境内完成。</w:t>
      </w:r>
    </w:p>
    <w:p w14:paraId="3167887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，生产厂为</w:t>
      </w:r>
      <w:r>
        <w:rPr>
          <w:rFonts w:hint="eastAsia" w:ascii="宋体" w:hAnsi="宋体" w:eastAsia="宋体" w:cs="宋体"/>
          <w:color w:val="auto"/>
          <w:kern w:val="0"/>
          <w:sz w:val="21"/>
          <w:szCs w:val="21"/>
          <w:highlight w:val="none"/>
          <w:u w:val="single"/>
          <w:lang w:val="en-US" w:eastAsia="zh-CN"/>
        </w:rPr>
        <w:t>（厂名）</w:t>
      </w:r>
      <w:r>
        <w:rPr>
          <w:rFonts w:hint="eastAsia" w:ascii="宋体" w:hAnsi="宋体" w:eastAsia="宋体" w:cs="宋体"/>
          <w:color w:val="auto"/>
          <w:kern w:val="0"/>
          <w:sz w:val="21"/>
          <w:szCs w:val="21"/>
          <w:highlight w:val="none"/>
          <w:lang w:val="en-US" w:eastAsia="zh-CN"/>
        </w:rPr>
        <w:t>，厂址为</w:t>
      </w:r>
      <w:r>
        <w:rPr>
          <w:rFonts w:hint="eastAsia" w:ascii="宋体" w:hAnsi="宋体" w:eastAsia="宋体" w:cs="宋体"/>
          <w:color w:val="auto"/>
          <w:kern w:val="0"/>
          <w:sz w:val="21"/>
          <w:szCs w:val="21"/>
          <w:highlight w:val="none"/>
          <w:u w:val="single"/>
          <w:lang w:val="en-US" w:eastAsia="zh-CN"/>
        </w:rPr>
        <w:t>（生产厂址）</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的中国境内生产的组件成本占比≥</w:t>
      </w:r>
      <w:r>
        <w:rPr>
          <w:rFonts w:hint="eastAsia" w:ascii="宋体" w:hAnsi="宋体" w:eastAsia="宋体" w:cs="宋体"/>
          <w:color w:val="auto"/>
          <w:kern w:val="0"/>
          <w:sz w:val="21"/>
          <w:szCs w:val="21"/>
          <w:highlight w:val="none"/>
          <w:u w:val="single"/>
          <w:lang w:val="en-US" w:eastAsia="zh-CN"/>
        </w:rPr>
        <w:t>（规定比例）</w:t>
      </w:r>
      <w:r>
        <w:rPr>
          <w:rFonts w:hint="eastAsia" w:ascii="宋体" w:hAnsi="宋体" w:eastAsia="宋体" w:cs="宋体"/>
          <w:color w:val="auto"/>
          <w:kern w:val="0"/>
          <w:sz w:val="21"/>
          <w:szCs w:val="21"/>
          <w:highlight w:val="none"/>
          <w:lang w:val="en-US" w:eastAsia="zh-CN"/>
        </w:rPr>
        <w:t>。</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w:t>
      </w:r>
      <w:r>
        <w:rPr>
          <w:rFonts w:hint="eastAsia" w:ascii="宋体" w:hAnsi="宋体" w:eastAsia="宋体" w:cs="宋体"/>
          <w:color w:val="auto"/>
          <w:kern w:val="0"/>
          <w:sz w:val="21"/>
          <w:szCs w:val="21"/>
          <w:highlight w:val="none"/>
          <w:u w:val="single"/>
          <w:lang w:val="en-US" w:eastAsia="zh-CN"/>
        </w:rPr>
        <w:t>（关键组件）</w:t>
      </w:r>
      <w:r>
        <w:rPr>
          <w:rFonts w:hint="eastAsia" w:ascii="宋体" w:hAnsi="宋体" w:eastAsia="宋体" w:cs="宋体"/>
          <w:color w:val="auto"/>
          <w:kern w:val="0"/>
          <w:sz w:val="21"/>
          <w:szCs w:val="21"/>
          <w:highlight w:val="none"/>
          <w:lang w:val="en-US" w:eastAsia="zh-CN"/>
        </w:rPr>
        <w:t>在中国境内生产。</w:t>
      </w:r>
      <w:r>
        <w:rPr>
          <w:rFonts w:hint="eastAsia" w:ascii="宋体" w:hAnsi="宋体" w:eastAsia="宋体" w:cs="宋体"/>
          <w:color w:val="auto"/>
          <w:kern w:val="0"/>
          <w:sz w:val="21"/>
          <w:szCs w:val="21"/>
          <w:highlight w:val="none"/>
          <w:u w:val="single"/>
          <w:lang w:val="en-US" w:eastAsia="zh-CN"/>
        </w:rPr>
        <w:t>（产品名称2）</w:t>
      </w:r>
      <w:r>
        <w:rPr>
          <w:rFonts w:hint="eastAsia" w:ascii="宋体" w:hAnsi="宋体" w:eastAsia="宋体" w:cs="宋体"/>
          <w:color w:val="auto"/>
          <w:kern w:val="0"/>
          <w:sz w:val="21"/>
          <w:szCs w:val="21"/>
          <w:highlight w:val="none"/>
          <w:lang w:val="en-US" w:eastAsia="zh-CN"/>
        </w:rPr>
        <w:t>的（关键工序）在中国境内完成。</w:t>
      </w:r>
    </w:p>
    <w:p w14:paraId="39D5F96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w:t>
      </w:r>
    </w:p>
    <w:p w14:paraId="0D9C897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本公司（单位）对上述声明内容的真实性负责。如有虚假，愿承担相应法律责任。</w:t>
      </w:r>
    </w:p>
    <w:p w14:paraId="1ADA7C7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0BFACF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公司（单位）名称（盖章）：　        </w:t>
      </w:r>
    </w:p>
    <w:p w14:paraId="7EB9AE85">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日期：　     年　  月　  日         </w:t>
      </w:r>
    </w:p>
    <w:p w14:paraId="72A84A28">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p>
    <w:p w14:paraId="3C20D06F">
      <w:pPr>
        <w:keepNext w:val="0"/>
        <w:keepLines w:val="0"/>
        <w:widowControl/>
        <w:suppressLineNumbers w:val="0"/>
        <w:jc w:val="left"/>
        <w:rPr>
          <w:rFonts w:hint="eastAsia" w:ascii="宋体" w:hAnsi="宋体" w:eastAsia="宋体" w:cs="宋体"/>
          <w:color w:val="auto"/>
          <w:kern w:val="0"/>
          <w:sz w:val="21"/>
          <w:szCs w:val="21"/>
          <w:highlight w:val="none"/>
          <w:lang w:val="en-US" w:eastAsia="zh-CN"/>
        </w:rPr>
      </w:pPr>
      <w:r>
        <w:rPr>
          <w:rFonts w:hint="eastAsia" w:cs="宋体"/>
          <w:b/>
          <w:bCs/>
          <w:color w:val="auto"/>
          <w:kern w:val="0"/>
          <w:sz w:val="21"/>
          <w:szCs w:val="21"/>
          <w:highlight w:val="none"/>
          <w:lang w:val="en-US" w:eastAsia="zh-CN"/>
        </w:rPr>
        <w:t>注：</w:t>
      </w:r>
      <w:r>
        <w:rPr>
          <w:rFonts w:hint="eastAsia" w:ascii="宋体" w:hAnsi="宋体" w:eastAsia="宋体" w:cs="宋体"/>
          <w:color w:val="auto"/>
          <w:kern w:val="0"/>
          <w:sz w:val="21"/>
          <w:szCs w:val="21"/>
          <w:highlight w:val="none"/>
          <w:lang w:val="en-US" w:eastAsia="zh-CN"/>
        </w:rPr>
        <w:t>1.产品如有型号，请在“产品名称”栏一并填写。</w:t>
      </w:r>
    </w:p>
    <w:p w14:paraId="78267413">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2.生产厂名与厂址应与生产厂营业执照载明的相关信息保持一致。</w:t>
      </w:r>
    </w:p>
    <w:p w14:paraId="497E7BB9">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3.该产品的中国境内生产的组件成本占比相关要求实施前，“规定比例”栏可不填，下同。</w:t>
      </w:r>
    </w:p>
    <w:p w14:paraId="509B4ACE">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4.该产品的关键组件要求实施前，“关键组件”栏可不填，下同。</w:t>
      </w:r>
    </w:p>
    <w:p w14:paraId="301AB172">
      <w:pPr>
        <w:keepNext w:val="0"/>
        <w:keepLines w:val="0"/>
        <w:widowControl/>
        <w:suppressLineNumbers w:val="0"/>
        <w:ind w:firstLine="420" w:firstLineChars="200"/>
        <w:jc w:val="left"/>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5.该产品的关键工序要求实施前，“关键工序”栏可不填，下同。</w:t>
      </w:r>
    </w:p>
    <w:p w14:paraId="4AE36C1C">
      <w:pPr>
        <w:rPr>
          <w:rFonts w:hint="eastAsia" w:ascii="宋体" w:hAnsi="宋体" w:eastAsia="宋体" w:cs="宋体"/>
          <w:b w:val="0"/>
          <w:bCs w:val="0"/>
          <w:i w:val="0"/>
          <w:iCs w:val="0"/>
          <w:color w:val="auto"/>
          <w:kern w:val="0"/>
          <w:sz w:val="21"/>
          <w:szCs w:val="21"/>
          <w:highlight w:val="none"/>
          <w:lang w:val="en-US" w:eastAsia="zh-CN"/>
        </w:rPr>
      </w:pPr>
      <w:r>
        <w:rPr>
          <w:rFonts w:hint="eastAsia" w:ascii="宋体" w:hAnsi="宋体" w:eastAsia="宋体" w:cs="宋体"/>
          <w:b w:val="0"/>
          <w:bCs w:val="0"/>
          <w:i w:val="0"/>
          <w:iCs w:val="0"/>
          <w:color w:val="auto"/>
          <w:kern w:val="0"/>
          <w:sz w:val="21"/>
          <w:szCs w:val="21"/>
          <w:highlight w:val="none"/>
          <w:lang w:val="en-US" w:eastAsia="zh-CN"/>
        </w:rPr>
        <w:br w:type="page"/>
      </w:r>
    </w:p>
    <w:p w14:paraId="0F8F4702">
      <w:pPr>
        <w:rPr>
          <w:rFonts w:hint="default" w:cs="宋体"/>
          <w:color w:val="auto"/>
          <w:spacing w:val="6"/>
          <w:sz w:val="21"/>
          <w:szCs w:val="21"/>
          <w:highlight w:val="none"/>
          <w:lang w:val="en-US" w:eastAsia="zh-CN"/>
        </w:rPr>
      </w:pPr>
      <w:r>
        <w:rPr>
          <w:rFonts w:hint="eastAsia" w:cs="宋体"/>
          <w:color w:val="auto"/>
          <w:spacing w:val="6"/>
          <w:sz w:val="21"/>
          <w:szCs w:val="21"/>
          <w:highlight w:val="none"/>
          <w:lang w:val="en-US" w:eastAsia="zh-CN"/>
        </w:rPr>
        <w:t>附件2</w:t>
      </w:r>
    </w:p>
    <w:p w14:paraId="6662B597">
      <w:pPr>
        <w:jc w:val="center"/>
        <w:rPr>
          <w:rFonts w:hint="eastAsia" w:ascii="宋体" w:hAnsi="宋体" w:eastAsia="宋体" w:cs="宋体"/>
          <w:b/>
          <w:bCs/>
          <w:color w:val="auto"/>
          <w:kern w:val="0"/>
          <w:sz w:val="24"/>
          <w:szCs w:val="24"/>
          <w:highlight w:val="none"/>
          <w:lang w:val="en-US" w:eastAsia="zh-CN"/>
        </w:rPr>
      </w:pPr>
      <w:r>
        <w:rPr>
          <w:rFonts w:hint="eastAsia" w:cs="宋体"/>
          <w:b/>
          <w:bCs/>
          <w:color w:val="auto"/>
          <w:kern w:val="0"/>
          <w:sz w:val="24"/>
          <w:szCs w:val="24"/>
          <w:highlight w:val="none"/>
          <w:lang w:val="en-US" w:eastAsia="zh-CN"/>
        </w:rPr>
        <w:t>（二）</w:t>
      </w:r>
      <w:r>
        <w:rPr>
          <w:rFonts w:hint="eastAsia" w:ascii="宋体" w:hAnsi="宋体" w:eastAsia="宋体" w:cs="宋体"/>
          <w:b/>
          <w:bCs/>
          <w:color w:val="auto"/>
          <w:kern w:val="0"/>
          <w:sz w:val="24"/>
          <w:szCs w:val="24"/>
          <w:highlight w:val="none"/>
          <w:lang w:val="en-US" w:eastAsia="zh-CN"/>
        </w:rPr>
        <w:t>本国产品成本占比承诺函</w:t>
      </w:r>
    </w:p>
    <w:p w14:paraId="1E46F03A">
      <w:pPr>
        <w:keepNext w:val="0"/>
        <w:keepLines w:val="0"/>
        <w:pageBreakBefore w:val="0"/>
        <w:widowControl w:val="0"/>
        <w:kinsoku/>
        <w:wordWrap/>
        <w:overflowPunct/>
        <w:topLinePunct w:val="0"/>
        <w:autoSpaceDE/>
        <w:autoSpaceDN/>
        <w:bidi w:val="0"/>
        <w:adjustRightInd/>
        <w:snapToGrid/>
        <w:spacing w:line="640" w:lineRule="exact"/>
        <w:textAlignment w:val="auto"/>
        <w:rPr>
          <w:rFonts w:hint="eastAsia"/>
          <w:color w:val="auto"/>
          <w:sz w:val="24"/>
          <w:szCs w:val="24"/>
          <w:highlight w:val="none"/>
        </w:rPr>
      </w:pPr>
    </w:p>
    <w:p w14:paraId="58B0E73F">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致:[采购人/采购代理机构名称]</w:t>
      </w:r>
    </w:p>
    <w:p w14:paraId="35665E38">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本单位就参与[项目名称      、编号      ]政府采购项目，郑重承诺如下:</w:t>
      </w:r>
    </w:p>
    <w:p w14:paraId="2F0FA20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本单位为该项目(或采购包)提供的符合本国产品标准的产品成本之和，占所提供全部产品成本之和的比例为</w:t>
      </w:r>
      <w:r>
        <w:rPr>
          <w:rFonts w:hint="eastAsia" w:cs="宋体"/>
          <w:color w:val="auto"/>
          <w:kern w:val="0"/>
          <w:sz w:val="21"/>
          <w:szCs w:val="21"/>
          <w:highlight w:val="none"/>
          <w:u w:val="single"/>
          <w:lang w:val="en-US" w:eastAsia="zh-CN"/>
        </w:rPr>
        <w:t xml:space="preserve">     </w:t>
      </w:r>
      <w:r>
        <w:rPr>
          <w:rFonts w:hint="eastAsia" w:ascii="宋体" w:hAnsi="宋体" w:eastAsia="宋体" w:cs="宋体"/>
          <w:color w:val="auto"/>
          <w:kern w:val="0"/>
          <w:sz w:val="21"/>
          <w:szCs w:val="21"/>
          <w:highlight w:val="none"/>
          <w:lang w:val="en-US" w:eastAsia="zh-CN"/>
        </w:rPr>
        <w:t>%。本承诺内容真实有效，若存在虚假承诺，愿意承担相应法律责任，放弃中标(成交)资格，并接受政府采购监管部门处罚。</w:t>
      </w:r>
    </w:p>
    <w:p w14:paraId="2FEAB4C6">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23191A52">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承诺人(供应商公章):</w:t>
      </w:r>
    </w:p>
    <w:p w14:paraId="492D49F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法定代表人或授权代表签字:</w:t>
      </w:r>
    </w:p>
    <w:p w14:paraId="28BE864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kern w:val="0"/>
          <w:sz w:val="21"/>
          <w:szCs w:val="21"/>
          <w:highlight w:val="none"/>
          <w:lang w:val="en-US" w:eastAsia="zh-CN"/>
        </w:rPr>
        <w:t>日期:  年  月  日</w:t>
      </w:r>
    </w:p>
    <w:p w14:paraId="62B3730C">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49A0CD8B">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4B4300D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47ADD6E">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E91AD67">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C1085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ED9EEAD">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1B57883A">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0CC4D55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23C5A329">
      <w:pPr>
        <w:keepNext w:val="0"/>
        <w:keepLines w:val="0"/>
        <w:widowControl/>
        <w:suppressLineNumbers w:val="0"/>
        <w:ind w:firstLine="420" w:firstLineChars="200"/>
        <w:jc w:val="both"/>
        <w:rPr>
          <w:rFonts w:hint="eastAsia" w:ascii="宋体" w:hAnsi="宋体" w:eastAsia="宋体" w:cs="宋体"/>
          <w:color w:val="auto"/>
          <w:kern w:val="0"/>
          <w:sz w:val="21"/>
          <w:szCs w:val="21"/>
          <w:highlight w:val="none"/>
          <w:lang w:val="en-US" w:eastAsia="zh-CN"/>
        </w:rPr>
      </w:pPr>
    </w:p>
    <w:p w14:paraId="5E3FA7A7">
      <w:pPr>
        <w:keepNext w:val="0"/>
        <w:keepLines w:val="0"/>
        <w:widowControl/>
        <w:suppressLineNumbers w:val="0"/>
        <w:jc w:val="both"/>
        <w:rPr>
          <w:rFonts w:hint="default" w:cs="宋体"/>
          <w:color w:val="auto"/>
          <w:kern w:val="0"/>
          <w:sz w:val="21"/>
          <w:szCs w:val="21"/>
          <w:highlight w:val="none"/>
          <w:lang w:val="en-US" w:eastAsia="zh-CN"/>
        </w:rPr>
        <w:sectPr>
          <w:pgSz w:w="11906" w:h="16838"/>
          <w:pgMar w:top="1440" w:right="1803" w:bottom="1440" w:left="1803" w:header="851" w:footer="992" w:gutter="0"/>
          <w:pgBorders>
            <w:top w:val="none" w:sz="0" w:space="0"/>
            <w:left w:val="none" w:sz="0" w:space="0"/>
            <w:bottom w:val="none" w:sz="0" w:space="0"/>
            <w:right w:val="none" w:sz="0" w:space="0"/>
          </w:pgBorders>
          <w:pgNumType w:fmt="numberInDash"/>
          <w:cols w:space="0" w:num="1"/>
          <w:rtlGutter w:val="0"/>
          <w:docGrid w:type="lines" w:linePitch="332" w:charSpace="0"/>
        </w:sectPr>
      </w:pPr>
      <w:r>
        <w:rPr>
          <w:rFonts w:hint="eastAsia" w:ascii="宋体" w:hAnsi="宋体" w:eastAsia="宋体" w:cs="宋体"/>
          <w:b/>
          <w:bCs/>
          <w:color w:val="auto"/>
          <w:kern w:val="0"/>
          <w:sz w:val="21"/>
          <w:szCs w:val="21"/>
          <w:highlight w:val="none"/>
          <w:lang w:val="en-US" w:eastAsia="zh-CN"/>
        </w:rPr>
        <w:t>注：</w:t>
      </w:r>
      <w:r>
        <w:rPr>
          <w:rFonts w:hint="eastAsia" w:ascii="宋体" w:hAnsi="宋体" w:eastAsia="宋体" w:cs="宋体"/>
          <w:color w:val="auto"/>
          <w:kern w:val="0"/>
          <w:sz w:val="21"/>
          <w:szCs w:val="21"/>
          <w:highlight w:val="none"/>
          <w:lang w:val="en-US" w:eastAsia="zh-CN"/>
        </w:rPr>
        <w:t>若供应商所投产品均符合本国产品标准，且已提供《声明函》，可不填写《承诺函》。</w:t>
      </w:r>
    </w:p>
    <w:p w14:paraId="67C90F6E">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8E1306B">
      <w:pPr>
        <w:pStyle w:val="65"/>
        <w:keepNext w:val="0"/>
        <w:keepLines w:val="0"/>
        <w:pageBreakBefore w:val="0"/>
        <w:widowControl/>
        <w:shd w:val="clear" w:color="auto" w:fill="auto"/>
        <w:kinsoku/>
        <w:wordWrap/>
        <w:overflowPunct/>
        <w:topLinePunct w:val="0"/>
        <w:autoSpaceDE/>
        <w:autoSpaceDN/>
        <w:bidi w:val="0"/>
        <w:adjustRightInd/>
        <w:snapToGrid/>
        <w:spacing w:afterAutospacing="0" w:line="360" w:lineRule="exact"/>
        <w:textAlignment w:val="auto"/>
        <w:rPr>
          <w:rFonts w:hint="eastAsia" w:ascii="宋体" w:hAnsi="宋体" w:eastAsia="宋体" w:cs="宋体"/>
          <w:b/>
          <w:bCs/>
          <w:i w:val="0"/>
          <w:iCs w:val="0"/>
          <w:color w:val="auto"/>
          <w:highlight w:val="none"/>
          <w:lang w:val="en-US" w:eastAsia="zh-CN"/>
        </w:rPr>
      </w:pPr>
    </w:p>
    <w:p w14:paraId="164FB4B2">
      <w:pPr>
        <w:ind w:firstLine="480" w:firstLineChars="200"/>
        <w:rPr>
          <w:rFonts w:cs="仿宋_GB2312"/>
          <w:i w:val="0"/>
          <w:iCs w:val="0"/>
          <w:color w:val="auto"/>
          <w:szCs w:val="24"/>
          <w:highlight w:val="none"/>
          <w:lang w:val="zh-CN"/>
        </w:rPr>
      </w:pPr>
      <w:r>
        <w:rPr>
          <w:rFonts w:hint="eastAsia" w:cs="仿宋_GB2312"/>
          <w:i w:val="0"/>
          <w:iCs w:val="0"/>
          <w:color w:val="auto"/>
          <w:szCs w:val="24"/>
          <w:highlight w:val="none"/>
          <w:lang w:val="zh-CN"/>
        </w:rPr>
        <w:t>封面：</w:t>
      </w:r>
    </w:p>
    <w:p w14:paraId="5EC829F4">
      <w:pPr>
        <w:autoSpaceDE w:val="0"/>
        <w:autoSpaceDN w:val="0"/>
        <w:adjustRightInd w:val="0"/>
        <w:rPr>
          <w:i w:val="0"/>
          <w:iCs w:val="0"/>
          <w:color w:val="auto"/>
          <w:sz w:val="21"/>
          <w:szCs w:val="24"/>
          <w:highlight w:val="none"/>
        </w:rPr>
      </w:pPr>
    </w:p>
    <w:p w14:paraId="0D39B890">
      <w:pPr>
        <w:autoSpaceDE w:val="0"/>
        <w:autoSpaceDN w:val="0"/>
        <w:adjustRightInd w:val="0"/>
        <w:rPr>
          <w:i w:val="0"/>
          <w:iCs w:val="0"/>
          <w:color w:val="auto"/>
          <w:sz w:val="21"/>
          <w:szCs w:val="24"/>
          <w:highlight w:val="none"/>
        </w:rPr>
      </w:pPr>
    </w:p>
    <w:p w14:paraId="2314362E">
      <w:pPr>
        <w:autoSpaceDE w:val="0"/>
        <w:autoSpaceDN w:val="0"/>
        <w:adjustRightInd w:val="0"/>
        <w:jc w:val="center"/>
        <w:rPr>
          <w:i w:val="0"/>
          <w:iCs w:val="0"/>
          <w:color w:val="auto"/>
          <w:sz w:val="21"/>
          <w:szCs w:val="24"/>
          <w:highlight w:val="none"/>
        </w:rPr>
      </w:pPr>
    </w:p>
    <w:p w14:paraId="6E0AECFB">
      <w:pPr>
        <w:pStyle w:val="5"/>
        <w:bidi w:val="0"/>
        <w:rPr>
          <w:rFonts w:hint="eastAsia"/>
          <w:color w:val="auto"/>
          <w:sz w:val="72"/>
          <w:szCs w:val="72"/>
          <w:highlight w:val="none"/>
          <w:lang w:val="en-US" w:eastAsia="zh-CN"/>
        </w:rPr>
      </w:pPr>
      <w:bookmarkStart w:id="679" w:name="_Toc2066"/>
      <w:r>
        <w:rPr>
          <w:rFonts w:hint="eastAsia"/>
          <w:color w:val="auto"/>
          <w:sz w:val="72"/>
          <w:szCs w:val="72"/>
          <w:highlight w:val="none"/>
          <w:lang w:val="en-US" w:eastAsia="zh-CN"/>
        </w:rPr>
        <w:t>响 应 文 件</w:t>
      </w:r>
      <w:bookmarkEnd w:id="679"/>
    </w:p>
    <w:p w14:paraId="4AF2D630">
      <w:pPr>
        <w:pStyle w:val="5"/>
        <w:bidi w:val="0"/>
        <w:rPr>
          <w:rFonts w:hint="eastAsia"/>
          <w:color w:val="auto"/>
          <w:sz w:val="72"/>
          <w:szCs w:val="72"/>
          <w:highlight w:val="none"/>
          <w:lang w:val="en-US" w:eastAsia="zh-CN"/>
        </w:rPr>
      </w:pPr>
      <w:bookmarkStart w:id="680" w:name="_Toc32251"/>
      <w:r>
        <w:rPr>
          <w:rFonts w:hint="eastAsia"/>
          <w:color w:val="auto"/>
          <w:sz w:val="72"/>
          <w:szCs w:val="72"/>
          <w:highlight w:val="none"/>
          <w:lang w:val="en-US" w:eastAsia="zh-CN"/>
        </w:rPr>
        <w:t>商务技术文件</w:t>
      </w:r>
      <w:bookmarkEnd w:id="680"/>
    </w:p>
    <w:p w14:paraId="69CDC1D3">
      <w:pPr>
        <w:autoSpaceDE w:val="0"/>
        <w:autoSpaceDN w:val="0"/>
        <w:adjustRightInd w:val="0"/>
        <w:jc w:val="center"/>
        <w:rPr>
          <w:rFonts w:hint="eastAsia" w:eastAsia="宋体"/>
          <w:i w:val="0"/>
          <w:iCs w:val="0"/>
          <w:color w:val="auto"/>
          <w:sz w:val="36"/>
          <w:szCs w:val="36"/>
          <w:highlight w:val="none"/>
          <w:lang w:eastAsia="zh-CN"/>
        </w:rPr>
      </w:pPr>
      <w:r>
        <w:rPr>
          <w:rFonts w:hint="eastAsia"/>
          <w:i w:val="0"/>
          <w:iCs w:val="0"/>
          <w:color w:val="auto"/>
          <w:sz w:val="36"/>
          <w:szCs w:val="36"/>
          <w:highlight w:val="none"/>
          <w:lang w:val="en-US" w:eastAsia="zh-CN"/>
        </w:rPr>
        <w:t>（第XX包</w:t>
      </w:r>
      <w:r>
        <w:rPr>
          <w:rFonts w:hint="eastAsia"/>
          <w:i w:val="0"/>
          <w:iCs w:val="0"/>
          <w:color w:val="auto"/>
          <w:sz w:val="36"/>
          <w:szCs w:val="36"/>
          <w:highlight w:val="none"/>
          <w:lang w:eastAsia="zh-CN"/>
        </w:rPr>
        <w:t>）【</w:t>
      </w:r>
      <w:r>
        <w:rPr>
          <w:rFonts w:hint="eastAsia"/>
          <w:i w:val="0"/>
          <w:iCs w:val="0"/>
          <w:color w:val="auto"/>
          <w:sz w:val="36"/>
          <w:szCs w:val="36"/>
          <w:highlight w:val="none"/>
          <w:lang w:val="en-US" w:eastAsia="zh-CN"/>
        </w:rPr>
        <w:t>如不分包，请删去本行</w:t>
      </w:r>
      <w:r>
        <w:rPr>
          <w:rFonts w:hint="eastAsia"/>
          <w:i w:val="0"/>
          <w:iCs w:val="0"/>
          <w:color w:val="auto"/>
          <w:sz w:val="36"/>
          <w:szCs w:val="36"/>
          <w:highlight w:val="none"/>
          <w:lang w:eastAsia="zh-CN"/>
        </w:rPr>
        <w:t>】</w:t>
      </w:r>
    </w:p>
    <w:p w14:paraId="4C52C730">
      <w:pPr>
        <w:pStyle w:val="6"/>
        <w:rPr>
          <w:i w:val="0"/>
          <w:iCs w:val="0"/>
          <w:color w:val="auto"/>
          <w:sz w:val="21"/>
          <w:szCs w:val="21"/>
          <w:highlight w:val="none"/>
        </w:rPr>
      </w:pPr>
    </w:p>
    <w:p w14:paraId="14C1B3A8">
      <w:pPr>
        <w:rPr>
          <w:i w:val="0"/>
          <w:iCs w:val="0"/>
          <w:color w:val="auto"/>
          <w:sz w:val="21"/>
          <w:szCs w:val="21"/>
          <w:highlight w:val="none"/>
        </w:rPr>
      </w:pPr>
    </w:p>
    <w:p w14:paraId="15227E06">
      <w:pPr>
        <w:rPr>
          <w:i w:val="0"/>
          <w:iCs w:val="0"/>
          <w:color w:val="auto"/>
          <w:highlight w:val="none"/>
        </w:rPr>
      </w:pPr>
    </w:p>
    <w:p w14:paraId="41D881B8">
      <w:pPr>
        <w:autoSpaceDE w:val="0"/>
        <w:autoSpaceDN w:val="0"/>
        <w:adjustRightInd w:val="0"/>
        <w:rPr>
          <w:i w:val="0"/>
          <w:iCs w:val="0"/>
          <w:color w:val="auto"/>
          <w:sz w:val="21"/>
          <w:szCs w:val="21"/>
          <w:highlight w:val="none"/>
        </w:rPr>
      </w:pPr>
    </w:p>
    <w:p w14:paraId="1C7F5439">
      <w:pPr>
        <w:autoSpaceDE w:val="0"/>
        <w:autoSpaceDN w:val="0"/>
        <w:adjustRightInd w:val="0"/>
        <w:rPr>
          <w:i w:val="0"/>
          <w:iCs w:val="0"/>
          <w:color w:val="auto"/>
          <w:sz w:val="21"/>
          <w:szCs w:val="21"/>
          <w:highlight w:val="none"/>
        </w:rPr>
      </w:pPr>
    </w:p>
    <w:p w14:paraId="037029E5">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项目编号</w:t>
      </w:r>
      <w:r>
        <w:rPr>
          <w:rFonts w:hint="eastAsia" w:ascii="宋体" w:hAnsi="宋体" w:eastAsia="宋体" w:cs="宋体"/>
          <w:i w:val="0"/>
          <w:iCs w:val="0"/>
          <w:color w:val="auto"/>
          <w:sz w:val="36"/>
          <w:szCs w:val="36"/>
          <w:highlight w:val="none"/>
          <w:lang w:val="en-US" w:eastAsia="zh-CN"/>
        </w:rPr>
        <w:t>/包号</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0538909E">
      <w:pPr>
        <w:ind w:left="420" w:leftChars="175"/>
        <w:rPr>
          <w:rFonts w:hint="eastAsia" w:ascii="宋体" w:hAnsi="宋体" w:eastAsia="宋体" w:cs="宋体"/>
          <w:i w:val="0"/>
          <w:iCs w:val="0"/>
          <w:color w:val="auto"/>
          <w:sz w:val="36"/>
          <w:szCs w:val="36"/>
          <w:highlight w:val="none"/>
        </w:rPr>
      </w:pPr>
      <w:r>
        <w:rPr>
          <w:rFonts w:hint="eastAsia" w:ascii="宋体" w:hAnsi="宋体" w:eastAsia="宋体" w:cs="宋体"/>
          <w:i w:val="0"/>
          <w:iCs w:val="0"/>
          <w:color w:val="auto"/>
          <w:sz w:val="36"/>
          <w:szCs w:val="36"/>
          <w:highlight w:val="none"/>
        </w:rPr>
        <w:t>项目名称：</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6D86FB53">
      <w:pPr>
        <w:ind w:left="420" w:leftChars="175"/>
        <w:rPr>
          <w:rFonts w:hint="eastAsia" w:ascii="宋体" w:hAnsi="宋体" w:eastAsia="宋体" w:cs="宋体"/>
          <w:i w:val="0"/>
          <w:iCs w:val="0"/>
          <w:color w:val="auto"/>
          <w:sz w:val="36"/>
          <w:szCs w:val="36"/>
          <w:highlight w:val="none"/>
        </w:rPr>
      </w:pPr>
      <w:r>
        <w:rPr>
          <w:rFonts w:hint="eastAsia" w:cs="宋体"/>
          <w:i w:val="0"/>
          <w:iCs w:val="0"/>
          <w:color w:val="auto"/>
          <w:sz w:val="36"/>
          <w:szCs w:val="36"/>
          <w:highlight w:val="none"/>
          <w:lang w:val="en-US" w:eastAsia="zh-CN"/>
        </w:rPr>
        <w:t>供 应 商</w:t>
      </w:r>
      <w:r>
        <w:rPr>
          <w:rFonts w:hint="eastAsia" w:ascii="宋体" w:hAnsi="宋体" w:eastAsia="宋体" w:cs="宋体"/>
          <w:i w:val="0"/>
          <w:iCs w:val="0"/>
          <w:color w:val="auto"/>
          <w:sz w:val="36"/>
          <w:szCs w:val="36"/>
          <w:highlight w:val="none"/>
        </w:rPr>
        <w:t>：</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r>
        <w:rPr>
          <w:rFonts w:hint="eastAsia" w:ascii="宋体" w:hAnsi="宋体" w:eastAsia="宋体" w:cs="宋体"/>
          <w:i w:val="0"/>
          <w:iCs w:val="0"/>
          <w:color w:val="auto"/>
          <w:sz w:val="36"/>
          <w:szCs w:val="36"/>
          <w:highlight w:val="none"/>
          <w:u w:val="single"/>
          <w:lang w:val="en-US" w:eastAsia="zh-CN"/>
        </w:rPr>
        <w:t xml:space="preserve"> </w:t>
      </w:r>
      <w:r>
        <w:rPr>
          <w:rFonts w:hint="eastAsia" w:ascii="宋体" w:hAnsi="宋体" w:eastAsia="宋体" w:cs="宋体"/>
          <w:i w:val="0"/>
          <w:iCs w:val="0"/>
          <w:color w:val="auto"/>
          <w:sz w:val="36"/>
          <w:szCs w:val="36"/>
          <w:highlight w:val="none"/>
          <w:u w:val="single"/>
        </w:rPr>
        <w:t xml:space="preserve">              </w:t>
      </w:r>
    </w:p>
    <w:p w14:paraId="7C5E0224">
      <w:pPr>
        <w:jc w:val="center"/>
        <w:rPr>
          <w:rFonts w:ascii="黑体" w:hAnsi="黑体" w:eastAsia="黑体"/>
          <w:i w:val="0"/>
          <w:iCs w:val="0"/>
          <w:color w:val="auto"/>
          <w:sz w:val="32"/>
          <w:szCs w:val="32"/>
          <w:highlight w:val="none"/>
        </w:rPr>
      </w:pPr>
    </w:p>
    <w:p w14:paraId="77AC50DC">
      <w:pPr>
        <w:jc w:val="center"/>
        <w:rPr>
          <w:rFonts w:ascii="黑体" w:hAnsi="黑体" w:eastAsia="黑体"/>
          <w:i w:val="0"/>
          <w:iCs w:val="0"/>
          <w:color w:val="auto"/>
          <w:sz w:val="32"/>
          <w:szCs w:val="32"/>
          <w:highlight w:val="none"/>
        </w:rPr>
      </w:pPr>
    </w:p>
    <w:p w14:paraId="5C2AEB63">
      <w:pPr>
        <w:rPr>
          <w:i w:val="0"/>
          <w:iCs w:val="0"/>
          <w:color w:val="auto"/>
          <w:highlight w:val="none"/>
          <w:lang w:val="zh-CN"/>
        </w:rPr>
      </w:pPr>
      <w:r>
        <w:rPr>
          <w:i w:val="0"/>
          <w:iCs w:val="0"/>
          <w:color w:val="auto"/>
          <w:highlight w:val="none"/>
          <w:lang w:val="zh-CN"/>
        </w:rPr>
        <w:br w:type="page"/>
      </w:r>
    </w:p>
    <w:p w14:paraId="5A56E26E">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81" w:name="_Toc7399"/>
      <w:bookmarkStart w:id="682" w:name="_Toc109899908"/>
      <w:bookmarkStart w:id="683" w:name="_Toc155185921"/>
      <w:bookmarkStart w:id="684" w:name="_Toc163492915"/>
      <w:bookmarkStart w:id="685" w:name="_Toc109899489"/>
      <w:bookmarkStart w:id="686" w:name="_Toc109900327"/>
      <w:bookmarkStart w:id="687" w:name="_Toc25402"/>
      <w:bookmarkStart w:id="688" w:name="_Toc140132831"/>
      <w:bookmarkStart w:id="689" w:name="_Toc3577"/>
      <w:r>
        <w:rPr>
          <w:rFonts w:hint="eastAsia" w:ascii="等线 Light" w:hAnsi="等线 Light" w:eastAsia="宋体" w:cs="宋体"/>
          <w:b/>
          <w:bCs/>
          <w:i w:val="0"/>
          <w:iCs w:val="0"/>
          <w:color w:val="auto"/>
          <w:kern w:val="2"/>
          <w:sz w:val="32"/>
          <w:szCs w:val="32"/>
          <w:highlight w:val="none"/>
          <w:lang w:val="en-US" w:eastAsia="zh-CN" w:bidi="ar-SA"/>
        </w:rPr>
        <w:t>一、</w:t>
      </w:r>
      <w:r>
        <w:rPr>
          <w:rFonts w:hint="eastAsia" w:cs="宋体"/>
          <w:b/>
          <w:bCs/>
          <w:i w:val="0"/>
          <w:iCs w:val="0"/>
          <w:color w:val="auto"/>
          <w:kern w:val="2"/>
          <w:sz w:val="32"/>
          <w:szCs w:val="32"/>
          <w:highlight w:val="none"/>
          <w:lang w:val="en-US" w:eastAsia="zh-CN" w:bidi="ar-SA"/>
        </w:rPr>
        <w:t>响应</w:t>
      </w:r>
      <w:r>
        <w:rPr>
          <w:rFonts w:hint="eastAsia" w:ascii="等线 Light" w:hAnsi="等线 Light" w:eastAsia="宋体" w:cs="宋体"/>
          <w:b/>
          <w:bCs/>
          <w:i w:val="0"/>
          <w:iCs w:val="0"/>
          <w:color w:val="auto"/>
          <w:kern w:val="2"/>
          <w:sz w:val="32"/>
          <w:szCs w:val="32"/>
          <w:highlight w:val="none"/>
          <w:lang w:val="en-US" w:eastAsia="zh-CN" w:bidi="ar-SA"/>
        </w:rPr>
        <w:t>函</w:t>
      </w:r>
      <w:bookmarkEnd w:id="681"/>
      <w:bookmarkEnd w:id="682"/>
      <w:bookmarkEnd w:id="683"/>
      <w:bookmarkEnd w:id="684"/>
      <w:bookmarkEnd w:id="685"/>
      <w:bookmarkEnd w:id="686"/>
      <w:bookmarkEnd w:id="687"/>
      <w:bookmarkEnd w:id="688"/>
      <w:bookmarkEnd w:id="689"/>
    </w:p>
    <w:p w14:paraId="69ABB720">
      <w:pPr>
        <w:rPr>
          <w:i w:val="0"/>
          <w:iCs w:val="0"/>
          <w:color w:val="auto"/>
          <w:highlight w:val="none"/>
        </w:rPr>
      </w:pPr>
      <w:r>
        <w:rPr>
          <w:rFonts w:hint="eastAsia"/>
          <w:i w:val="0"/>
          <w:iCs w:val="0"/>
          <w:color w:val="auto"/>
          <w:highlight w:val="none"/>
        </w:rPr>
        <w:t>致：（采购人）</w:t>
      </w:r>
    </w:p>
    <w:p w14:paraId="35C4266A">
      <w:pPr>
        <w:ind w:firstLine="480" w:firstLineChars="200"/>
        <w:rPr>
          <w:rFonts w:cs="仿宋_GB2312"/>
          <w:b/>
          <w:bCs/>
          <w:i w:val="0"/>
          <w:iCs w:val="0"/>
          <w:color w:val="auto"/>
          <w:szCs w:val="24"/>
          <w:highlight w:val="none"/>
        </w:rPr>
      </w:pPr>
      <w:r>
        <w:rPr>
          <w:rFonts w:hint="eastAsia" w:cs="仿宋_GB2312"/>
          <w:i w:val="0"/>
          <w:iCs w:val="0"/>
          <w:color w:val="auto"/>
          <w:szCs w:val="24"/>
          <w:highlight w:val="none"/>
        </w:rPr>
        <w:t>根据贵方</w:t>
      </w:r>
      <w:r>
        <w:rPr>
          <w:rFonts w:hint="eastAsia" w:cs="仿宋_GB2312"/>
          <w:i w:val="0"/>
          <w:iCs w:val="0"/>
          <w:color w:val="auto"/>
          <w:szCs w:val="24"/>
          <w:highlight w:val="none"/>
          <w:u w:val="single"/>
        </w:rPr>
        <w:t>（项目名称）（项目编号</w:t>
      </w:r>
      <w:r>
        <w:rPr>
          <w:rFonts w:hint="eastAsia" w:cs="仿宋_GB2312"/>
          <w:i w:val="0"/>
          <w:iCs w:val="0"/>
          <w:color w:val="auto"/>
          <w:szCs w:val="24"/>
          <w:highlight w:val="none"/>
          <w:u w:val="single"/>
          <w:lang w:val="en-US" w:eastAsia="zh-CN"/>
        </w:rPr>
        <w:t>/包号</w:t>
      </w:r>
      <w:r>
        <w:rPr>
          <w:rFonts w:hint="eastAsia" w:cs="仿宋_GB2312"/>
          <w:i w:val="0"/>
          <w:iCs w:val="0"/>
          <w:color w:val="auto"/>
          <w:szCs w:val="24"/>
          <w:highlight w:val="none"/>
          <w:u w:val="single"/>
        </w:rPr>
        <w:t>）</w:t>
      </w:r>
      <w:r>
        <w:rPr>
          <w:rFonts w:hint="eastAsia" w:cs="仿宋_GB2312"/>
          <w:i w:val="0"/>
          <w:iCs w:val="0"/>
          <w:color w:val="auto"/>
          <w:szCs w:val="24"/>
          <w:highlight w:val="none"/>
          <w:lang w:val="en-US" w:eastAsia="zh-CN"/>
        </w:rPr>
        <w:t>项目</w:t>
      </w:r>
      <w:r>
        <w:rPr>
          <w:rFonts w:hint="eastAsia" w:cs="仿宋_GB2312"/>
          <w:i w:val="0"/>
          <w:iCs w:val="0"/>
          <w:color w:val="auto"/>
          <w:szCs w:val="24"/>
          <w:highlight w:val="none"/>
        </w:rPr>
        <w:t>的</w:t>
      </w:r>
      <w:r>
        <w:rPr>
          <w:rFonts w:hint="eastAsia" w:cs="仿宋_GB2312"/>
          <w:i w:val="0"/>
          <w:iCs w:val="0"/>
          <w:color w:val="auto"/>
          <w:szCs w:val="24"/>
          <w:highlight w:val="none"/>
          <w:lang w:val="en-US" w:eastAsia="zh-CN"/>
        </w:rPr>
        <w:t>竞争性磋商公告</w:t>
      </w:r>
      <w:r>
        <w:rPr>
          <w:rFonts w:hint="eastAsia" w:cs="仿宋_GB2312"/>
          <w:i w:val="0"/>
          <w:iCs w:val="0"/>
          <w:color w:val="auto"/>
          <w:szCs w:val="24"/>
          <w:highlight w:val="none"/>
        </w:rPr>
        <w:t>，签字代表</w:t>
      </w:r>
      <w:r>
        <w:rPr>
          <w:rFonts w:hint="eastAsia" w:cs="仿宋_GB2312"/>
          <w:i w:val="0"/>
          <w:iCs w:val="0"/>
          <w:color w:val="auto"/>
          <w:szCs w:val="24"/>
          <w:highlight w:val="none"/>
          <w:u w:val="single"/>
        </w:rPr>
        <w:t>（姓名、职务）</w:t>
      </w:r>
      <w:r>
        <w:rPr>
          <w:rFonts w:hint="eastAsia" w:cs="仿宋_GB2312"/>
          <w:i w:val="0"/>
          <w:iCs w:val="0"/>
          <w:color w:val="auto"/>
          <w:szCs w:val="24"/>
          <w:highlight w:val="none"/>
        </w:rPr>
        <w:t>经正式授权并代表</w:t>
      </w:r>
      <w:r>
        <w:rPr>
          <w:rFonts w:hint="eastAsia" w:cs="仿宋_GB2312"/>
          <w:i w:val="0"/>
          <w:iCs w:val="0"/>
          <w:color w:val="auto"/>
          <w:szCs w:val="24"/>
          <w:highlight w:val="none"/>
          <w:lang w:val="en-US" w:eastAsia="zh-CN"/>
        </w:rPr>
        <w:t>供应商</w:t>
      </w:r>
      <w:r>
        <w:rPr>
          <w:rFonts w:hint="eastAsia" w:cs="仿宋_GB2312"/>
          <w:i w:val="0"/>
          <w:iCs w:val="0"/>
          <w:color w:val="auto"/>
          <w:szCs w:val="24"/>
          <w:highlight w:val="none"/>
          <w:u w:val="single"/>
        </w:rPr>
        <w:t>（</w:t>
      </w:r>
      <w:r>
        <w:rPr>
          <w:rFonts w:hint="eastAsia" w:cs="仿宋_GB2312"/>
          <w:i w:val="0"/>
          <w:iCs w:val="0"/>
          <w:color w:val="auto"/>
          <w:szCs w:val="24"/>
          <w:highlight w:val="none"/>
          <w:u w:val="single"/>
          <w:lang w:val="en-US" w:eastAsia="zh-CN"/>
        </w:rPr>
        <w:t>供应商</w:t>
      </w:r>
      <w:r>
        <w:rPr>
          <w:rFonts w:hint="eastAsia" w:cs="仿宋_GB2312"/>
          <w:i w:val="0"/>
          <w:iCs w:val="0"/>
          <w:color w:val="auto"/>
          <w:szCs w:val="24"/>
          <w:highlight w:val="none"/>
          <w:u w:val="single"/>
        </w:rPr>
        <w:t>名称、地址）</w:t>
      </w:r>
      <w:r>
        <w:rPr>
          <w:rFonts w:hint="eastAsia" w:cs="仿宋_GB2312"/>
          <w:i w:val="0"/>
          <w:iCs w:val="0"/>
          <w:color w:val="auto"/>
          <w:szCs w:val="24"/>
          <w:highlight w:val="none"/>
        </w:rPr>
        <w:t>提交下述文件</w:t>
      </w:r>
      <w:r>
        <w:rPr>
          <w:rFonts w:hint="eastAsia" w:cs="仿宋_GB2312"/>
          <w:b/>
          <w:bCs/>
          <w:i w:val="0"/>
          <w:iCs w:val="0"/>
          <w:color w:val="auto"/>
          <w:szCs w:val="24"/>
          <w:highlight w:val="none"/>
        </w:rPr>
        <w:t>：</w:t>
      </w:r>
    </w:p>
    <w:p w14:paraId="31DE4B23">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1.资格证明文件；</w:t>
      </w:r>
    </w:p>
    <w:p w14:paraId="7E086E9D">
      <w:pPr>
        <w:spacing w:line="324" w:lineRule="auto"/>
        <w:ind w:firstLine="480" w:firstLineChars="200"/>
        <w:rPr>
          <w:rFonts w:hint="eastAsia" w:cs="Arial"/>
          <w:i w:val="0"/>
          <w:iCs w:val="0"/>
          <w:color w:val="auto"/>
          <w:szCs w:val="24"/>
          <w:highlight w:val="none"/>
          <w:lang w:val="en-US" w:eastAsia="zh-CN"/>
        </w:rPr>
      </w:pPr>
      <w:r>
        <w:rPr>
          <w:rFonts w:hint="eastAsia" w:cs="Arial"/>
          <w:i w:val="0"/>
          <w:iCs w:val="0"/>
          <w:color w:val="auto"/>
          <w:szCs w:val="24"/>
          <w:highlight w:val="none"/>
          <w:lang w:val="en-US" w:eastAsia="zh-CN"/>
        </w:rPr>
        <w:t>2.报价文件；</w:t>
      </w:r>
    </w:p>
    <w:p w14:paraId="7C008F28">
      <w:pPr>
        <w:numPr>
          <w:ilvl w:val="0"/>
          <w:numId w:val="0"/>
        </w:numPr>
        <w:spacing w:line="324" w:lineRule="auto"/>
        <w:ind w:firstLine="480" w:firstLineChars="200"/>
        <w:jc w:val="both"/>
        <w:rPr>
          <w:rFonts w:cs="Arial"/>
          <w:i w:val="0"/>
          <w:iCs w:val="0"/>
          <w:color w:val="auto"/>
          <w:szCs w:val="24"/>
          <w:highlight w:val="none"/>
        </w:rPr>
      </w:pPr>
      <w:r>
        <w:rPr>
          <w:rFonts w:hint="eastAsia" w:cs="Arial"/>
          <w:i w:val="0"/>
          <w:iCs w:val="0"/>
          <w:color w:val="auto"/>
          <w:szCs w:val="24"/>
          <w:highlight w:val="none"/>
          <w:lang w:val="en-US" w:eastAsia="zh-CN"/>
        </w:rPr>
        <w:t>3.商务技术文件</w:t>
      </w:r>
      <w:r>
        <w:rPr>
          <w:rFonts w:cs="Arial"/>
          <w:i w:val="0"/>
          <w:iCs w:val="0"/>
          <w:color w:val="auto"/>
          <w:szCs w:val="24"/>
          <w:highlight w:val="none"/>
        </w:rPr>
        <w:t>。</w:t>
      </w:r>
    </w:p>
    <w:p w14:paraId="2038C573">
      <w:pPr>
        <w:spacing w:line="324" w:lineRule="auto"/>
        <w:ind w:firstLine="480" w:firstLineChars="200"/>
        <w:rPr>
          <w:rFonts w:cs="Arial"/>
          <w:i w:val="0"/>
          <w:iCs w:val="0"/>
          <w:color w:val="auto"/>
          <w:szCs w:val="24"/>
          <w:highlight w:val="none"/>
        </w:rPr>
      </w:pPr>
      <w:r>
        <w:rPr>
          <w:rFonts w:cs="Arial"/>
          <w:i w:val="0"/>
          <w:iCs w:val="0"/>
          <w:color w:val="auto"/>
          <w:szCs w:val="24"/>
          <w:highlight w:val="none"/>
        </w:rPr>
        <w:t>根据此函，签字代表宣布同意如下：</w:t>
      </w:r>
    </w:p>
    <w:p w14:paraId="7021F25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1.</w:t>
      </w:r>
      <w:r>
        <w:rPr>
          <w:rFonts w:cs="Arial"/>
          <w:i w:val="0"/>
          <w:iCs w:val="0"/>
          <w:color w:val="auto"/>
          <w:szCs w:val="24"/>
          <w:highlight w:val="none"/>
        </w:rPr>
        <w:t>所附</w:t>
      </w:r>
      <w:r>
        <w:rPr>
          <w:rFonts w:hint="eastAsia" w:cs="Arial"/>
          <w:i w:val="0"/>
          <w:iCs w:val="0"/>
          <w:color w:val="auto"/>
          <w:szCs w:val="24"/>
          <w:highlight w:val="none"/>
          <w:lang w:val="en-US" w:eastAsia="zh-CN"/>
        </w:rPr>
        <w:t>报价一览</w:t>
      </w:r>
      <w:r>
        <w:rPr>
          <w:rFonts w:cs="Arial"/>
          <w:i w:val="0"/>
          <w:iCs w:val="0"/>
          <w:color w:val="auto"/>
          <w:szCs w:val="24"/>
          <w:highlight w:val="none"/>
        </w:rPr>
        <w:t>表中规定的应提交和交付的服务和</w:t>
      </w:r>
      <w:r>
        <w:rPr>
          <w:rFonts w:hint="eastAsia"/>
          <w:i w:val="0"/>
          <w:iCs w:val="0"/>
          <w:color w:val="auto"/>
          <w:szCs w:val="24"/>
          <w:highlight w:val="none"/>
          <w:lang w:val="en-US" w:eastAsia="zh-CN"/>
        </w:rPr>
        <w:t>包含的</w:t>
      </w:r>
      <w:r>
        <w:rPr>
          <w:rFonts w:hint="eastAsia" w:cs="Arial"/>
          <w:i w:val="0"/>
          <w:iCs w:val="0"/>
          <w:color w:val="auto"/>
          <w:szCs w:val="24"/>
          <w:highlight w:val="none"/>
        </w:rPr>
        <w:t>货物（如有）</w:t>
      </w:r>
      <w:r>
        <w:rPr>
          <w:rFonts w:cs="Arial"/>
          <w:i w:val="0"/>
          <w:iCs w:val="0"/>
          <w:color w:val="auto"/>
          <w:szCs w:val="24"/>
          <w:highlight w:val="none"/>
        </w:rPr>
        <w:t>的</w:t>
      </w:r>
      <w:r>
        <w:rPr>
          <w:rFonts w:hint="eastAsia" w:cs="Arial"/>
          <w:i w:val="0"/>
          <w:iCs w:val="0"/>
          <w:color w:val="auto"/>
          <w:szCs w:val="24"/>
          <w:highlight w:val="none"/>
        </w:rPr>
        <w:t>报价</w:t>
      </w:r>
      <w:r>
        <w:rPr>
          <w:rFonts w:cs="Arial"/>
          <w:i w:val="0"/>
          <w:iCs w:val="0"/>
          <w:color w:val="auto"/>
          <w:szCs w:val="24"/>
          <w:highlight w:val="none"/>
        </w:rPr>
        <w:t>为</w:t>
      </w:r>
      <w:r>
        <w:rPr>
          <w:rFonts w:hint="eastAsia" w:cs="Arial"/>
          <w:i w:val="0"/>
          <w:iCs w:val="0"/>
          <w:color w:val="auto"/>
          <w:szCs w:val="24"/>
          <w:highlight w:val="none"/>
        </w:rPr>
        <w:t xml:space="preserve"> </w:t>
      </w:r>
      <w:r>
        <w:rPr>
          <w:rFonts w:hint="eastAsia" w:cs="Arial"/>
          <w:i w:val="0"/>
          <w:iCs w:val="0"/>
          <w:color w:val="auto"/>
          <w:szCs w:val="24"/>
          <w:highlight w:val="none"/>
          <w:u w:val="single"/>
        </w:rPr>
        <w:t xml:space="preserve">                  </w:t>
      </w:r>
      <w:r>
        <w:rPr>
          <w:rFonts w:cs="Arial"/>
          <w:i w:val="0"/>
          <w:iCs w:val="0"/>
          <w:color w:val="auto"/>
          <w:szCs w:val="24"/>
          <w:highlight w:val="none"/>
        </w:rPr>
        <w:t>。</w:t>
      </w:r>
    </w:p>
    <w:p w14:paraId="3FF1B405">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2.</w:t>
      </w:r>
      <w:r>
        <w:rPr>
          <w:rFonts w:hint="eastAsia" w:cs="Arial"/>
          <w:i w:val="0"/>
          <w:iCs w:val="0"/>
          <w:color w:val="auto"/>
          <w:szCs w:val="24"/>
          <w:highlight w:val="none"/>
        </w:rPr>
        <w:t>我方</w:t>
      </w:r>
      <w:r>
        <w:rPr>
          <w:rFonts w:cs="Arial"/>
          <w:i w:val="0"/>
          <w:iCs w:val="0"/>
          <w:color w:val="auto"/>
          <w:szCs w:val="24"/>
          <w:highlight w:val="none"/>
        </w:rPr>
        <w:t>将按</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文件的规定履行合同责任和义务。</w:t>
      </w:r>
    </w:p>
    <w:p w14:paraId="464D767C">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3.</w:t>
      </w:r>
      <w:r>
        <w:rPr>
          <w:rFonts w:hint="eastAsia" w:cs="Arial"/>
          <w:i w:val="0"/>
          <w:iCs w:val="0"/>
          <w:color w:val="auto"/>
          <w:szCs w:val="24"/>
          <w:highlight w:val="none"/>
        </w:rPr>
        <w:t>我方</w:t>
      </w:r>
      <w:r>
        <w:rPr>
          <w:rFonts w:cs="Arial"/>
          <w:i w:val="0"/>
          <w:iCs w:val="0"/>
          <w:color w:val="auto"/>
          <w:szCs w:val="24"/>
          <w:highlight w:val="none"/>
        </w:rPr>
        <w:t>已详细审查全部</w:t>
      </w:r>
      <w:r>
        <w:rPr>
          <w:rFonts w:hint="eastAsia" w:cs="仿宋_GB2312"/>
          <w:i w:val="0"/>
          <w:iCs w:val="0"/>
          <w:color w:val="auto"/>
          <w:szCs w:val="24"/>
          <w:highlight w:val="none"/>
          <w:lang w:val="en-US" w:eastAsia="zh-CN"/>
        </w:rPr>
        <w:t>竞争性磋商</w:t>
      </w:r>
      <w:r>
        <w:rPr>
          <w:rFonts w:cs="Arial"/>
          <w:i w:val="0"/>
          <w:iCs w:val="0"/>
          <w:color w:val="auto"/>
          <w:szCs w:val="24"/>
          <w:highlight w:val="none"/>
        </w:rPr>
        <w:t>文件，包括第</w:t>
      </w:r>
      <w:r>
        <w:rPr>
          <w:rFonts w:cs="Arial"/>
          <w:i w:val="0"/>
          <w:iCs w:val="0"/>
          <w:color w:val="auto"/>
          <w:szCs w:val="24"/>
          <w:highlight w:val="none"/>
          <w:u w:val="single"/>
        </w:rPr>
        <w:t>（编号、补遗书）（如果有的话）</w:t>
      </w:r>
      <w:r>
        <w:rPr>
          <w:rFonts w:cs="Arial"/>
          <w:i w:val="0"/>
          <w:iCs w:val="0"/>
          <w:color w:val="auto"/>
          <w:szCs w:val="24"/>
          <w:highlight w:val="none"/>
        </w:rPr>
        <w:t>。我</w:t>
      </w:r>
      <w:r>
        <w:rPr>
          <w:rFonts w:hint="eastAsia" w:cs="Arial"/>
          <w:i w:val="0"/>
          <w:iCs w:val="0"/>
          <w:color w:val="auto"/>
          <w:szCs w:val="24"/>
          <w:highlight w:val="none"/>
        </w:rPr>
        <w:t>方</w:t>
      </w:r>
      <w:r>
        <w:rPr>
          <w:rFonts w:cs="Arial"/>
          <w:i w:val="0"/>
          <w:iCs w:val="0"/>
          <w:color w:val="auto"/>
          <w:szCs w:val="24"/>
          <w:highlight w:val="none"/>
        </w:rPr>
        <w:t>完全理解并同意放弃对这方面有不明及误解的权力。</w:t>
      </w:r>
    </w:p>
    <w:p w14:paraId="70CAE828">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4.</w:t>
      </w:r>
      <w:r>
        <w:rPr>
          <w:rFonts w:hint="eastAsia" w:cs="Arial"/>
          <w:i w:val="0"/>
          <w:iCs w:val="0"/>
          <w:color w:val="auto"/>
          <w:szCs w:val="24"/>
          <w:highlight w:val="none"/>
        </w:rPr>
        <w:t>响应有效期为自提交响应文件的截止之日起</w:t>
      </w:r>
      <w:r>
        <w:rPr>
          <w:rFonts w:hint="eastAsia" w:cs="Arial"/>
          <w:i w:val="0"/>
          <w:iCs w:val="0"/>
          <w:color w:val="auto"/>
          <w:szCs w:val="24"/>
          <w:highlight w:val="none"/>
          <w:u w:val="single"/>
        </w:rPr>
        <w:t xml:space="preserve"> （由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填写）</w:t>
      </w:r>
      <w:r>
        <w:rPr>
          <w:rFonts w:cs="Arial"/>
          <w:i w:val="0"/>
          <w:iCs w:val="0"/>
          <w:color w:val="auto"/>
          <w:szCs w:val="24"/>
          <w:highlight w:val="none"/>
        </w:rPr>
        <w:t>个日历天。</w:t>
      </w:r>
    </w:p>
    <w:p w14:paraId="52EDF2A7">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5.</w:t>
      </w:r>
      <w:r>
        <w:rPr>
          <w:rFonts w:hint="eastAsia" w:cs="Arial"/>
          <w:i w:val="0"/>
          <w:iCs w:val="0"/>
          <w:color w:val="auto"/>
          <w:szCs w:val="24"/>
          <w:highlight w:val="none"/>
        </w:rPr>
        <w:t>我方</w:t>
      </w:r>
      <w:r>
        <w:rPr>
          <w:rFonts w:cs="Arial"/>
          <w:i w:val="0"/>
          <w:iCs w:val="0"/>
          <w:color w:val="auto"/>
          <w:szCs w:val="24"/>
          <w:highlight w:val="none"/>
        </w:rPr>
        <w:t>同意提供按照贵方</w:t>
      </w:r>
      <w:r>
        <w:rPr>
          <w:rFonts w:hint="eastAsia" w:cs="Arial"/>
          <w:i w:val="0"/>
          <w:iCs w:val="0"/>
          <w:color w:val="auto"/>
          <w:szCs w:val="24"/>
          <w:highlight w:val="none"/>
          <w:lang w:val="en-US" w:eastAsia="zh-CN"/>
        </w:rPr>
        <w:t>竞争性磋商</w:t>
      </w:r>
      <w:r>
        <w:rPr>
          <w:rFonts w:hint="eastAsia" w:cs="Arial"/>
          <w:i w:val="0"/>
          <w:iCs w:val="0"/>
          <w:color w:val="auto"/>
          <w:szCs w:val="24"/>
          <w:highlight w:val="none"/>
        </w:rPr>
        <w:t>文件</w:t>
      </w:r>
      <w:r>
        <w:rPr>
          <w:rFonts w:cs="Arial"/>
          <w:i w:val="0"/>
          <w:iCs w:val="0"/>
          <w:color w:val="auto"/>
          <w:szCs w:val="24"/>
          <w:highlight w:val="none"/>
        </w:rPr>
        <w:t>要求的与其</w:t>
      </w:r>
      <w:r>
        <w:rPr>
          <w:rFonts w:hint="eastAsia" w:cs="Arial"/>
          <w:i w:val="0"/>
          <w:iCs w:val="0"/>
          <w:color w:val="auto"/>
          <w:szCs w:val="24"/>
          <w:highlight w:val="none"/>
          <w:lang w:val="en-US" w:eastAsia="zh-CN"/>
        </w:rPr>
        <w:t>磋商响应</w:t>
      </w:r>
      <w:r>
        <w:rPr>
          <w:rFonts w:cs="Arial"/>
          <w:i w:val="0"/>
          <w:iCs w:val="0"/>
          <w:color w:val="auto"/>
          <w:szCs w:val="24"/>
          <w:highlight w:val="none"/>
        </w:rPr>
        <w:t>有关的一切数据或资料，</w:t>
      </w:r>
      <w:r>
        <w:rPr>
          <w:rFonts w:hint="eastAsia" w:cs="Arial"/>
          <w:i w:val="0"/>
          <w:iCs w:val="0"/>
          <w:color w:val="auto"/>
          <w:szCs w:val="24"/>
          <w:highlight w:val="none"/>
        </w:rPr>
        <w:t>采用综合评分法时，我方</w:t>
      </w:r>
      <w:r>
        <w:rPr>
          <w:rFonts w:cs="Arial"/>
          <w:i w:val="0"/>
          <w:iCs w:val="0"/>
          <w:color w:val="auto"/>
          <w:szCs w:val="24"/>
          <w:highlight w:val="none"/>
        </w:rPr>
        <w:t>完全理解贵方不一定接受最低价的</w:t>
      </w:r>
      <w:r>
        <w:rPr>
          <w:rFonts w:hint="eastAsia" w:cs="Arial"/>
          <w:i w:val="0"/>
          <w:iCs w:val="0"/>
          <w:color w:val="auto"/>
          <w:szCs w:val="24"/>
          <w:highlight w:val="none"/>
          <w:lang w:val="en-US" w:eastAsia="zh-CN"/>
        </w:rPr>
        <w:t>响应</w:t>
      </w:r>
      <w:r>
        <w:rPr>
          <w:rFonts w:cs="Arial"/>
          <w:i w:val="0"/>
          <w:iCs w:val="0"/>
          <w:color w:val="auto"/>
          <w:szCs w:val="24"/>
          <w:highlight w:val="none"/>
        </w:rPr>
        <w:t>。</w:t>
      </w:r>
    </w:p>
    <w:p w14:paraId="3CF5A666">
      <w:pPr>
        <w:numPr>
          <w:ilvl w:val="0"/>
          <w:numId w:val="0"/>
        </w:numPr>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6.</w:t>
      </w:r>
      <w:r>
        <w:rPr>
          <w:rFonts w:hint="eastAsia" w:cs="Arial"/>
          <w:i w:val="0"/>
          <w:iCs w:val="0"/>
          <w:color w:val="auto"/>
          <w:szCs w:val="24"/>
          <w:highlight w:val="none"/>
        </w:rPr>
        <w:t>本项目如由</w:t>
      </w:r>
      <w:r>
        <w:rPr>
          <w:rFonts w:hint="eastAsia" w:cs="Arial"/>
          <w:i w:val="0"/>
          <w:iCs w:val="0"/>
          <w:color w:val="auto"/>
          <w:szCs w:val="24"/>
          <w:highlight w:val="none"/>
          <w:lang w:val="en-US" w:eastAsia="zh-CN"/>
        </w:rPr>
        <w:t>成交</w:t>
      </w:r>
      <w:r>
        <w:rPr>
          <w:rFonts w:hint="eastAsia" w:cs="Arial"/>
          <w:i w:val="0"/>
          <w:iCs w:val="0"/>
          <w:color w:val="auto"/>
          <w:szCs w:val="24"/>
          <w:highlight w:val="none"/>
        </w:rPr>
        <w:t>人支付采购代理服务费，我方同意按</w:t>
      </w:r>
      <w:r>
        <w:rPr>
          <w:rFonts w:hint="eastAsia" w:cs="Arial"/>
          <w:i w:val="0"/>
          <w:iCs w:val="0"/>
          <w:color w:val="auto"/>
          <w:szCs w:val="24"/>
          <w:highlight w:val="none"/>
          <w:lang w:val="en-US" w:eastAsia="zh-CN"/>
        </w:rPr>
        <w:t>供应商</w:t>
      </w:r>
      <w:r>
        <w:rPr>
          <w:rFonts w:hint="eastAsia" w:cs="Arial"/>
          <w:i w:val="0"/>
          <w:iCs w:val="0"/>
          <w:color w:val="auto"/>
          <w:szCs w:val="24"/>
          <w:highlight w:val="none"/>
        </w:rPr>
        <w:t>须知前附表中规定向采购代理机构支付采购代理服务费。</w:t>
      </w:r>
    </w:p>
    <w:p w14:paraId="6A150207">
      <w:pPr>
        <w:numPr>
          <w:ilvl w:val="0"/>
          <w:numId w:val="0"/>
        </w:numPr>
        <w:snapToGrid w:val="0"/>
        <w:spacing w:line="324" w:lineRule="auto"/>
        <w:ind w:firstLine="480" w:firstLineChars="200"/>
        <w:jc w:val="both"/>
        <w:rPr>
          <w:rFonts w:cs="Arial"/>
          <w:i w:val="0"/>
          <w:iCs w:val="0"/>
          <w:color w:val="auto"/>
          <w:szCs w:val="24"/>
          <w:highlight w:val="none"/>
        </w:rPr>
      </w:pPr>
      <w:r>
        <w:rPr>
          <w:rFonts w:hint="eastAsia" w:ascii="宋体" w:hAnsi="宋体" w:eastAsia="宋体" w:cs="Arial"/>
          <w:i w:val="0"/>
          <w:iCs w:val="0"/>
          <w:color w:val="auto"/>
          <w:kern w:val="2"/>
          <w:sz w:val="24"/>
          <w:szCs w:val="24"/>
          <w:highlight w:val="none"/>
          <w:lang w:val="en-US" w:eastAsia="zh-CN" w:bidi="ar-SA"/>
        </w:rPr>
        <w:t>7.</w:t>
      </w:r>
      <w:r>
        <w:rPr>
          <w:rFonts w:hint="eastAsia" w:cs="Arial"/>
          <w:i w:val="0"/>
          <w:iCs w:val="0"/>
          <w:color w:val="auto"/>
          <w:szCs w:val="24"/>
          <w:highlight w:val="none"/>
        </w:rPr>
        <w:t>重要声明：</w:t>
      </w:r>
    </w:p>
    <w:p w14:paraId="40AFB77A">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1）与我方单位负责人为同一人的其他单位名称：</w:t>
      </w:r>
    </w:p>
    <w:p w14:paraId="409D2F71">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无；</w:t>
      </w:r>
      <w:r>
        <w:rPr>
          <w:rFonts w:hint="eastAsia"/>
          <w:i w:val="0"/>
          <w:iCs w:val="0"/>
          <w:color w:val="auto"/>
          <w:szCs w:val="24"/>
          <w:highlight w:val="none"/>
          <w:lang w:eastAsia="zh-CN"/>
        </w:rPr>
        <w:t>□</w:t>
      </w:r>
      <w:r>
        <w:rPr>
          <w:rFonts w:hint="eastAsia"/>
          <w:i w:val="0"/>
          <w:iCs w:val="0"/>
          <w:color w:val="auto"/>
          <w:szCs w:val="24"/>
          <w:highlight w:val="none"/>
        </w:rPr>
        <w:t>有，具体单位名称为：</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0B2F52C6">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2）与我方存在控股、管理关系的其他单位的名称：</w:t>
      </w:r>
    </w:p>
    <w:p w14:paraId="3BE8BBB8">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无；□有，具体单位名称为：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1103F8A2">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3）参与本项目采购活动前，是否为本项目前期准备提供过整体设计、规范编制或者项目管理、监理、检测等服务：</w:t>
      </w:r>
    </w:p>
    <w:p w14:paraId="73BE978C">
      <w:pPr>
        <w:snapToGrid w:val="0"/>
        <w:spacing w:line="324" w:lineRule="auto"/>
        <w:ind w:left="456" w:leftChars="190" w:firstLine="355" w:firstLineChars="148"/>
        <w:rPr>
          <w:i w:val="0"/>
          <w:iCs w:val="0"/>
          <w:color w:val="auto"/>
          <w:szCs w:val="24"/>
          <w:highlight w:val="none"/>
        </w:rPr>
      </w:pPr>
      <w:r>
        <w:rPr>
          <w:rFonts w:hint="eastAsia"/>
          <w:i w:val="0"/>
          <w:iCs w:val="0"/>
          <w:color w:val="auto"/>
          <w:szCs w:val="24"/>
          <w:highlight w:val="none"/>
          <w:lang w:eastAsia="zh-CN"/>
        </w:rPr>
        <w:t>□</w:t>
      </w:r>
      <w:r>
        <w:rPr>
          <w:rFonts w:hint="eastAsia"/>
          <w:i w:val="0"/>
          <w:iCs w:val="0"/>
          <w:color w:val="auto"/>
          <w:szCs w:val="24"/>
          <w:highlight w:val="none"/>
        </w:rPr>
        <w:t xml:space="preserve">无；□有，已提供的具体服务内容为： </w:t>
      </w:r>
      <w:r>
        <w:rPr>
          <w:rFonts w:hint="eastAsia" w:cs="Arial"/>
          <w:i w:val="0"/>
          <w:iCs w:val="0"/>
          <w:color w:val="auto"/>
          <w:szCs w:val="24"/>
          <w:highlight w:val="none"/>
          <w:u w:val="single"/>
        </w:rPr>
        <w:t>（由</w:t>
      </w:r>
      <w:r>
        <w:rPr>
          <w:rFonts w:hint="eastAsia" w:cs="Arial"/>
          <w:i w:val="0"/>
          <w:iCs w:val="0"/>
          <w:color w:val="auto"/>
          <w:szCs w:val="24"/>
          <w:highlight w:val="none"/>
          <w:u w:val="single"/>
          <w:lang w:val="en-US" w:eastAsia="zh-CN"/>
        </w:rPr>
        <w:t>供应商</w:t>
      </w:r>
      <w:r>
        <w:rPr>
          <w:rFonts w:hint="eastAsia" w:cs="Arial"/>
          <w:i w:val="0"/>
          <w:iCs w:val="0"/>
          <w:color w:val="auto"/>
          <w:szCs w:val="24"/>
          <w:highlight w:val="none"/>
          <w:u w:val="single"/>
        </w:rPr>
        <w:t>如实填写）</w:t>
      </w:r>
      <w:r>
        <w:rPr>
          <w:rFonts w:hint="eastAsia"/>
          <w:i w:val="0"/>
          <w:iCs w:val="0"/>
          <w:color w:val="auto"/>
          <w:szCs w:val="24"/>
          <w:highlight w:val="none"/>
        </w:rPr>
        <w:t>。</w:t>
      </w:r>
    </w:p>
    <w:p w14:paraId="4FC84088">
      <w:pPr>
        <w:spacing w:line="324" w:lineRule="auto"/>
        <w:ind w:firstLine="480" w:firstLineChars="200"/>
        <w:rPr>
          <w:i w:val="0"/>
          <w:iCs w:val="0"/>
          <w:color w:val="auto"/>
          <w:szCs w:val="24"/>
          <w:highlight w:val="none"/>
        </w:rPr>
      </w:pPr>
      <w:r>
        <w:rPr>
          <w:rFonts w:hint="eastAsia"/>
          <w:i w:val="0"/>
          <w:iCs w:val="0"/>
          <w:color w:val="auto"/>
          <w:szCs w:val="24"/>
          <w:highlight w:val="none"/>
        </w:rPr>
        <w:t>（备注：以上</w:t>
      </w:r>
      <w:r>
        <w:rPr>
          <w:i w:val="0"/>
          <w:iCs w:val="0"/>
          <w:color w:val="auto"/>
          <w:szCs w:val="24"/>
          <w:highlight w:val="none"/>
        </w:rPr>
        <w:t>3</w:t>
      </w:r>
      <w:r>
        <w:rPr>
          <w:rFonts w:hint="eastAsia"/>
          <w:i w:val="0"/>
          <w:iCs w:val="0"/>
          <w:color w:val="auto"/>
          <w:szCs w:val="24"/>
          <w:highlight w:val="none"/>
        </w:rPr>
        <w:t>项声明，必须如实选择，选中项用</w:t>
      </w:r>
      <w:r>
        <w:rPr>
          <w:rFonts w:hint="eastAsia"/>
          <w:i w:val="0"/>
          <w:iCs w:val="0"/>
          <w:color w:val="auto"/>
          <w:szCs w:val="24"/>
          <w:highlight w:val="none"/>
          <w:lang w:eastAsia="zh-CN"/>
        </w:rPr>
        <w:t>☑</w:t>
      </w:r>
      <w:r>
        <w:rPr>
          <w:rFonts w:hint="eastAsia"/>
          <w:i w:val="0"/>
          <w:iCs w:val="0"/>
          <w:color w:val="auto"/>
          <w:szCs w:val="24"/>
          <w:highlight w:val="none"/>
        </w:rPr>
        <w:t>表示，未选中项用□表示。①“单位负责人”是指单位法定代表人或者法律、行政法规规定代表单位行使职权的主要负责人。②本条所规定的控股、管理关系仅限于直接控股、直接管理关系，不包括间接的控股或管理关系。③供应商如未如实填报，视为提供虚假材料谋取中标，应承担相应法律责任。）</w:t>
      </w:r>
    </w:p>
    <w:p w14:paraId="19A44DC4">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4）我方在本</w:t>
      </w:r>
      <w:r>
        <w:rPr>
          <w:rFonts w:hint="eastAsia"/>
          <w:i w:val="0"/>
          <w:iCs w:val="0"/>
          <w:color w:val="auto"/>
          <w:szCs w:val="24"/>
          <w:highlight w:val="none"/>
          <w:lang w:val="en-US" w:eastAsia="zh-CN"/>
        </w:rPr>
        <w:t>响应</w:t>
      </w:r>
      <w:r>
        <w:rPr>
          <w:rFonts w:hint="eastAsia"/>
          <w:i w:val="0"/>
          <w:iCs w:val="0"/>
          <w:color w:val="auto"/>
          <w:szCs w:val="24"/>
          <w:highlight w:val="none"/>
        </w:rPr>
        <w:t>文件中所提供的全部资料均真实有效，我方承诺对其真实性负责并承担相应后果。</w:t>
      </w:r>
    </w:p>
    <w:p w14:paraId="5FB2607B">
      <w:pPr>
        <w:snapToGrid w:val="0"/>
        <w:spacing w:line="324" w:lineRule="auto"/>
        <w:ind w:firstLine="480" w:firstLineChars="200"/>
        <w:rPr>
          <w:i w:val="0"/>
          <w:iCs w:val="0"/>
          <w:color w:val="auto"/>
          <w:szCs w:val="24"/>
          <w:highlight w:val="none"/>
        </w:rPr>
      </w:pPr>
      <w:r>
        <w:rPr>
          <w:rFonts w:hint="eastAsia"/>
          <w:i w:val="0"/>
          <w:iCs w:val="0"/>
          <w:color w:val="auto"/>
          <w:szCs w:val="24"/>
          <w:highlight w:val="none"/>
        </w:rPr>
        <w:t>5）我方承诺本《</w:t>
      </w:r>
      <w:r>
        <w:rPr>
          <w:rFonts w:hint="eastAsia"/>
          <w:i w:val="0"/>
          <w:iCs w:val="0"/>
          <w:color w:val="auto"/>
          <w:szCs w:val="24"/>
          <w:highlight w:val="none"/>
          <w:lang w:val="en-US" w:eastAsia="zh-CN"/>
        </w:rPr>
        <w:t>响应</w:t>
      </w:r>
      <w:r>
        <w:rPr>
          <w:rFonts w:hint="eastAsia"/>
          <w:i w:val="0"/>
          <w:iCs w:val="0"/>
          <w:color w:val="auto"/>
          <w:szCs w:val="24"/>
          <w:highlight w:val="none"/>
        </w:rPr>
        <w:t>函》的签章对本</w:t>
      </w:r>
      <w:r>
        <w:rPr>
          <w:rFonts w:hint="eastAsia"/>
          <w:i w:val="0"/>
          <w:iCs w:val="0"/>
          <w:color w:val="auto"/>
          <w:szCs w:val="24"/>
          <w:highlight w:val="none"/>
          <w:lang w:val="en-US" w:eastAsia="zh-CN"/>
        </w:rPr>
        <w:t>响应</w:t>
      </w:r>
      <w:r>
        <w:rPr>
          <w:rFonts w:hint="eastAsia"/>
          <w:i w:val="0"/>
          <w:iCs w:val="0"/>
          <w:color w:val="auto"/>
          <w:szCs w:val="24"/>
          <w:highlight w:val="none"/>
        </w:rPr>
        <w:t>文件全部内容具有约束力并承担法律责任。</w:t>
      </w:r>
    </w:p>
    <w:p w14:paraId="2A195747">
      <w:pPr>
        <w:spacing w:line="300" w:lineRule="auto"/>
        <w:rPr>
          <w:rFonts w:cs="Arial"/>
          <w:i w:val="0"/>
          <w:iCs w:val="0"/>
          <w:color w:val="auto"/>
          <w:szCs w:val="24"/>
          <w:highlight w:val="none"/>
        </w:rPr>
      </w:pPr>
    </w:p>
    <w:p w14:paraId="3F664789">
      <w:pPr>
        <w:spacing w:line="300" w:lineRule="auto"/>
        <w:rPr>
          <w:rFonts w:cs="Arial"/>
          <w:i w:val="0"/>
          <w:iCs w:val="0"/>
          <w:color w:val="auto"/>
          <w:szCs w:val="24"/>
          <w:highlight w:val="none"/>
        </w:rPr>
      </w:pPr>
    </w:p>
    <w:p w14:paraId="6C365FF0">
      <w:pPr>
        <w:spacing w:line="300" w:lineRule="auto"/>
        <w:rPr>
          <w:rFonts w:cs="Arial"/>
          <w:i w:val="0"/>
          <w:iCs w:val="0"/>
          <w:color w:val="auto"/>
          <w:szCs w:val="24"/>
          <w:highlight w:val="none"/>
        </w:rPr>
      </w:pPr>
    </w:p>
    <w:p w14:paraId="42CE30DE">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lang w:val="en-US" w:eastAsia="zh-CN"/>
        </w:rPr>
        <w:t>供应商名称</w:t>
      </w:r>
      <w:r>
        <w:rPr>
          <w:rFonts w:hint="eastAsia" w:cs="宋体"/>
          <w:i w:val="0"/>
          <w:iCs w:val="0"/>
          <w:color w:val="auto"/>
          <w:highlight w:val="none"/>
        </w:rPr>
        <w:t>（公章）：</w:t>
      </w:r>
    </w:p>
    <w:p w14:paraId="1186FA25">
      <w:pPr>
        <w:autoSpaceDE w:val="0"/>
        <w:autoSpaceDN w:val="0"/>
        <w:adjustRightInd w:val="0"/>
        <w:snapToGrid w:val="0"/>
        <w:ind w:firstLine="480" w:firstLineChars="200"/>
        <w:rPr>
          <w:rFonts w:hint="eastAsia" w:cs="宋体"/>
          <w:i w:val="0"/>
          <w:iCs w:val="0"/>
          <w:color w:val="auto"/>
          <w:highlight w:val="none"/>
          <w:lang w:val="en-US" w:eastAsia="zh-CN"/>
        </w:rPr>
      </w:pPr>
      <w:r>
        <w:rPr>
          <w:rFonts w:hint="eastAsia" w:cs="宋体"/>
          <w:i w:val="0"/>
          <w:iCs w:val="0"/>
          <w:color w:val="auto"/>
          <w:highlight w:val="none"/>
          <w:lang w:val="en-US" w:eastAsia="zh-CN"/>
        </w:rPr>
        <w:t>法定代表人或授权代表（签字或印章）：</w:t>
      </w:r>
    </w:p>
    <w:p w14:paraId="1ADA86FC">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通  讯  地  址：</w:t>
      </w:r>
    </w:p>
    <w:p w14:paraId="336D3074">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 xml:space="preserve">传       </w:t>
      </w:r>
      <w:r>
        <w:rPr>
          <w:rFonts w:cs="宋体"/>
          <w:i w:val="0"/>
          <w:iCs w:val="0"/>
          <w:color w:val="auto"/>
          <w:highlight w:val="none"/>
        </w:rPr>
        <w:t xml:space="preserve">   </w:t>
      </w:r>
      <w:r>
        <w:rPr>
          <w:rFonts w:hint="eastAsia" w:cs="宋体"/>
          <w:i w:val="0"/>
          <w:iCs w:val="0"/>
          <w:color w:val="auto"/>
          <w:highlight w:val="none"/>
        </w:rPr>
        <w:t>真：</w:t>
      </w:r>
    </w:p>
    <w:p w14:paraId="3362611B">
      <w:pPr>
        <w:autoSpaceDE w:val="0"/>
        <w:autoSpaceDN w:val="0"/>
        <w:adjustRightInd w:val="0"/>
        <w:snapToGrid w:val="0"/>
        <w:ind w:firstLine="480" w:firstLineChars="200"/>
        <w:rPr>
          <w:rFonts w:cs="宋体"/>
          <w:i w:val="0"/>
          <w:iCs w:val="0"/>
          <w:color w:val="auto"/>
          <w:highlight w:val="none"/>
        </w:rPr>
      </w:pPr>
      <w:r>
        <w:rPr>
          <w:rFonts w:hint="eastAsia" w:cs="宋体"/>
          <w:i w:val="0"/>
          <w:iCs w:val="0"/>
          <w:color w:val="auto"/>
          <w:highlight w:val="none"/>
        </w:rPr>
        <w:t>电          话：</w:t>
      </w:r>
    </w:p>
    <w:p w14:paraId="63C92097">
      <w:pPr>
        <w:ind w:firstLine="480" w:firstLineChars="200"/>
        <w:rPr>
          <w:rFonts w:cs="Arial"/>
          <w:i w:val="0"/>
          <w:iCs w:val="0"/>
          <w:color w:val="auto"/>
          <w:szCs w:val="24"/>
          <w:highlight w:val="none"/>
        </w:rPr>
      </w:pPr>
      <w:r>
        <w:rPr>
          <w:rFonts w:hint="eastAsia" w:cs="宋体"/>
          <w:i w:val="0"/>
          <w:iCs w:val="0"/>
          <w:color w:val="auto"/>
          <w:highlight w:val="none"/>
        </w:rPr>
        <w:t xml:space="preserve">日    </w:t>
      </w:r>
      <w:r>
        <w:rPr>
          <w:rFonts w:cs="宋体"/>
          <w:i w:val="0"/>
          <w:iCs w:val="0"/>
          <w:color w:val="auto"/>
          <w:highlight w:val="none"/>
        </w:rPr>
        <w:t xml:space="preserve">  </w:t>
      </w:r>
      <w:r>
        <w:rPr>
          <w:rFonts w:hint="eastAsia" w:cs="宋体"/>
          <w:i w:val="0"/>
          <w:iCs w:val="0"/>
          <w:color w:val="auto"/>
          <w:highlight w:val="none"/>
        </w:rPr>
        <w:t xml:space="preserve">    期：</w:t>
      </w:r>
    </w:p>
    <w:p w14:paraId="6674502E">
      <w:pPr>
        <w:rPr>
          <w:rFonts w:cs="Arial"/>
          <w:i w:val="0"/>
          <w:iCs w:val="0"/>
          <w:color w:val="auto"/>
          <w:szCs w:val="24"/>
          <w:highlight w:val="none"/>
          <w:u w:val="single"/>
        </w:rPr>
      </w:pPr>
    </w:p>
    <w:p w14:paraId="478BFBB8">
      <w:pPr>
        <w:rPr>
          <w:rFonts w:cs="Arial"/>
          <w:i w:val="0"/>
          <w:iCs w:val="0"/>
          <w:color w:val="auto"/>
          <w:szCs w:val="24"/>
          <w:highlight w:val="none"/>
          <w:u w:val="single"/>
        </w:rPr>
      </w:pPr>
      <w:r>
        <w:rPr>
          <w:rFonts w:cs="Arial"/>
          <w:i w:val="0"/>
          <w:iCs w:val="0"/>
          <w:color w:val="auto"/>
          <w:szCs w:val="24"/>
          <w:highlight w:val="none"/>
          <w:u w:val="single"/>
        </w:rPr>
        <w:br w:type="page"/>
      </w:r>
    </w:p>
    <w:p w14:paraId="24B4BD65">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0" w:name="_Toc163492918"/>
      <w:bookmarkStart w:id="691" w:name="_Toc155185924"/>
      <w:bookmarkStart w:id="692" w:name="_Toc16089"/>
      <w:r>
        <w:rPr>
          <w:rFonts w:hint="eastAsia" w:cs="宋体"/>
          <w:b/>
          <w:bCs/>
          <w:i w:val="0"/>
          <w:iCs w:val="0"/>
          <w:color w:val="auto"/>
          <w:kern w:val="2"/>
          <w:sz w:val="32"/>
          <w:szCs w:val="32"/>
          <w:highlight w:val="none"/>
          <w:lang w:val="en-US" w:eastAsia="zh-CN" w:bidi="ar-SA"/>
        </w:rPr>
        <w:t>二</w:t>
      </w:r>
      <w:r>
        <w:rPr>
          <w:rFonts w:hint="eastAsia" w:ascii="等线 Light" w:hAnsi="等线 Light" w:eastAsia="宋体" w:cs="宋体"/>
          <w:b/>
          <w:bCs/>
          <w:i w:val="0"/>
          <w:iCs w:val="0"/>
          <w:color w:val="auto"/>
          <w:kern w:val="2"/>
          <w:sz w:val="32"/>
          <w:szCs w:val="32"/>
          <w:highlight w:val="none"/>
          <w:lang w:val="en-US" w:eastAsia="zh-CN" w:bidi="ar-SA"/>
        </w:rPr>
        <w:t>、法定代表人（单位负责人）身份证明</w:t>
      </w:r>
      <w:bookmarkEnd w:id="690"/>
      <w:bookmarkEnd w:id="691"/>
      <w:bookmarkEnd w:id="692"/>
    </w:p>
    <w:p w14:paraId="46CF1AA3">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致：（采购人或采购代理机构） </w:t>
      </w:r>
    </w:p>
    <w:p w14:paraId="3DE52D6F">
      <w:pPr>
        <w:spacing w:line="480" w:lineRule="auto"/>
        <w:ind w:firstLine="960" w:firstLineChars="4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兹证明， </w:t>
      </w:r>
    </w:p>
    <w:p w14:paraId="1D36B9E0">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姓名：____性别：____年龄：____职务：____ </w:t>
      </w:r>
    </w:p>
    <w:p w14:paraId="38746EB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系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lang w:val="en-US" w:eastAsia="zh-CN"/>
        </w:rPr>
        <w:t xml:space="preserve">（供应商名称）的法定代表人（单位负责人）。 </w:t>
      </w:r>
    </w:p>
    <w:p w14:paraId="3B002BC6">
      <w:pPr>
        <w:spacing w:line="480" w:lineRule="auto"/>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附：法定代表人（单位负责人）身份证、护照等身份证明文件电子件： </w:t>
      </w:r>
    </w:p>
    <w:p w14:paraId="60A8C36F">
      <w:pPr>
        <w:spacing w:line="480" w:lineRule="auto"/>
        <w:ind w:firstLine="480" w:firstLineChars="200"/>
        <w:rPr>
          <w:rFonts w:cs="仿宋_GB2312"/>
          <w:i w:val="0"/>
          <w:iCs w:val="0"/>
          <w:color w:val="auto"/>
          <w:szCs w:val="24"/>
          <w:highlight w:val="none"/>
        </w:rPr>
      </w:pPr>
    </w:p>
    <w:p w14:paraId="473563CD">
      <w:pPr>
        <w:rPr>
          <w:rFonts w:cs="Arial"/>
          <w:i w:val="0"/>
          <w:iCs w:val="0"/>
          <w:color w:val="auto"/>
          <w:sz w:val="21"/>
          <w:szCs w:val="21"/>
          <w:highlight w:val="none"/>
        </w:rPr>
      </w:pP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2D4F4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1" w:hRule="atLeast"/>
        </w:trPr>
        <w:tc>
          <w:tcPr>
            <w:tcW w:w="8527" w:type="dxa"/>
          </w:tcPr>
          <w:p w14:paraId="4B7B7E19">
            <w:pPr>
              <w:rPr>
                <w:rFonts w:cs="Arial"/>
                <w:i w:val="0"/>
                <w:iCs w:val="0"/>
                <w:color w:val="auto"/>
                <w:highlight w:val="none"/>
              </w:rPr>
            </w:pPr>
          </w:p>
        </w:tc>
      </w:tr>
    </w:tbl>
    <w:p w14:paraId="76B5C725">
      <w:pPr>
        <w:ind w:firstLine="840" w:firstLineChars="350"/>
        <w:jc w:val="center"/>
        <w:rPr>
          <w:rFonts w:cs="Arial"/>
          <w:i w:val="0"/>
          <w:iCs w:val="0"/>
          <w:color w:val="auto"/>
          <w:highlight w:val="none"/>
        </w:rPr>
      </w:pPr>
    </w:p>
    <w:p w14:paraId="4AD74708">
      <w:pPr>
        <w:keepNext w:val="0"/>
        <w:keepLines w:val="0"/>
        <w:widowControl/>
        <w:suppressLineNumbers w:val="0"/>
        <w:jc w:val="left"/>
        <w:rPr>
          <w:i w:val="0"/>
          <w:iCs w:val="0"/>
          <w:color w:val="auto"/>
          <w:highlight w:val="none"/>
        </w:rPr>
      </w:pPr>
      <w:r>
        <w:rPr>
          <w:rFonts w:hint="eastAsia" w:cs="宋体"/>
          <w:i w:val="0"/>
          <w:iCs w:val="0"/>
          <w:color w:val="auto"/>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名称（加盖公章）：</w:t>
      </w:r>
      <w:r>
        <w:rPr>
          <w:rFonts w:ascii="DejaVuSans" w:hAnsi="DejaVuSans" w:eastAsia="DejaVuSans" w:cs="DejaVuSans"/>
          <w:i w:val="0"/>
          <w:iCs w:val="0"/>
          <w:color w:val="auto"/>
          <w:kern w:val="0"/>
          <w:sz w:val="24"/>
          <w:szCs w:val="24"/>
          <w:highlight w:val="none"/>
          <w:lang w:val="en-US" w:eastAsia="zh-CN"/>
        </w:rPr>
        <w:t xml:space="preserve">________________ </w:t>
      </w:r>
    </w:p>
    <w:p w14:paraId="364A1245">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法定代表人（单位负责人）（签字或签章）：</w:t>
      </w:r>
      <w:r>
        <w:rPr>
          <w:rFonts w:hint="default" w:ascii="DejaVuSans" w:hAnsi="DejaVuSans" w:eastAsia="DejaVuSans" w:cs="DejaVuSans"/>
          <w:i w:val="0"/>
          <w:iCs w:val="0"/>
          <w:color w:val="auto"/>
          <w:kern w:val="0"/>
          <w:sz w:val="24"/>
          <w:szCs w:val="24"/>
          <w:highlight w:val="none"/>
          <w:lang w:val="en-US" w:eastAsia="zh-CN"/>
        </w:rPr>
        <w:t xml:space="preserve">_______ </w:t>
      </w:r>
    </w:p>
    <w:p w14:paraId="10B3C29F">
      <w:pPr>
        <w:keepNext w:val="0"/>
        <w:keepLines w:val="0"/>
        <w:widowControl/>
        <w:suppressLineNumbers w:val="0"/>
        <w:jc w:val="left"/>
        <w:rPr>
          <w:rFonts w:hint="eastAsia" w:ascii="宋体" w:hAnsi="宋体" w:eastAsia="宋体" w:cs="宋体"/>
          <w:i w:val="0"/>
          <w:iCs w:val="0"/>
          <w:color w:val="auto"/>
          <w:kern w:val="0"/>
          <w:sz w:val="24"/>
          <w:szCs w:val="24"/>
          <w:highlight w:val="none"/>
          <w:lang w:val="en-US" w:eastAsia="zh-CN"/>
        </w:rPr>
      </w:pPr>
    </w:p>
    <w:p w14:paraId="7239FE13">
      <w:pPr>
        <w:keepNext w:val="0"/>
        <w:keepLines w:val="0"/>
        <w:widowControl/>
        <w:suppressLineNumbers w:val="0"/>
        <w:jc w:val="left"/>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日期：</w:t>
      </w:r>
      <w:r>
        <w:rPr>
          <w:rFonts w:hint="default" w:ascii="DejaVuSans" w:hAnsi="DejaVuSans" w:eastAsia="DejaVuSans" w:cs="DejaVuSans"/>
          <w:i w:val="0"/>
          <w:iCs w:val="0"/>
          <w:color w:val="auto"/>
          <w:kern w:val="0"/>
          <w:sz w:val="24"/>
          <w:szCs w:val="24"/>
          <w:highlight w:val="none"/>
          <w:lang w:val="en-US" w:eastAsia="zh-CN"/>
        </w:rPr>
        <w:t>_____</w:t>
      </w:r>
      <w:r>
        <w:rPr>
          <w:rFonts w:hint="eastAsia" w:ascii="宋体" w:hAnsi="宋体" w:eastAsia="宋体" w:cs="宋体"/>
          <w:i w:val="0"/>
          <w:iCs w:val="0"/>
          <w:color w:val="auto"/>
          <w:kern w:val="0"/>
          <w:sz w:val="24"/>
          <w:szCs w:val="24"/>
          <w:highlight w:val="none"/>
          <w:lang w:val="en-US" w:eastAsia="zh-CN"/>
        </w:rPr>
        <w:t>年</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月</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日</w:t>
      </w:r>
    </w:p>
    <w:p w14:paraId="6948CD78">
      <w:pPr>
        <w:rPr>
          <w:b/>
          <w:i w:val="0"/>
          <w:iCs w:val="0"/>
          <w:color w:val="auto"/>
          <w:sz w:val="28"/>
          <w:szCs w:val="28"/>
          <w:highlight w:val="none"/>
        </w:rPr>
      </w:pPr>
    </w:p>
    <w:p w14:paraId="04FDD702">
      <w:pPr>
        <w:rPr>
          <w:b/>
          <w:i w:val="0"/>
          <w:iCs w:val="0"/>
          <w:color w:val="auto"/>
          <w:sz w:val="28"/>
          <w:szCs w:val="28"/>
          <w:highlight w:val="none"/>
        </w:rPr>
      </w:pPr>
      <w:r>
        <w:rPr>
          <w:b/>
          <w:i w:val="0"/>
          <w:iCs w:val="0"/>
          <w:color w:val="auto"/>
          <w:sz w:val="28"/>
          <w:szCs w:val="28"/>
          <w:highlight w:val="none"/>
        </w:rPr>
        <w:br w:type="page"/>
      </w:r>
    </w:p>
    <w:p w14:paraId="0EEE8A23">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3" w:name="_Toc6864"/>
      <w:bookmarkStart w:id="694" w:name="_Toc155185925"/>
      <w:bookmarkStart w:id="695" w:name="_Toc163492919"/>
      <w:r>
        <w:rPr>
          <w:rFonts w:hint="eastAsia" w:cs="宋体"/>
          <w:b/>
          <w:bCs/>
          <w:i w:val="0"/>
          <w:iCs w:val="0"/>
          <w:color w:val="auto"/>
          <w:kern w:val="2"/>
          <w:sz w:val="32"/>
          <w:szCs w:val="32"/>
          <w:highlight w:val="none"/>
          <w:lang w:val="en-US" w:eastAsia="zh-CN" w:bidi="ar-SA"/>
        </w:rPr>
        <w:t>三</w:t>
      </w:r>
      <w:r>
        <w:rPr>
          <w:rFonts w:hint="eastAsia" w:ascii="等线 Light" w:hAnsi="等线 Light" w:eastAsia="宋体" w:cs="宋体"/>
          <w:b/>
          <w:bCs/>
          <w:i w:val="0"/>
          <w:iCs w:val="0"/>
          <w:color w:val="auto"/>
          <w:kern w:val="2"/>
          <w:sz w:val="32"/>
          <w:szCs w:val="32"/>
          <w:highlight w:val="none"/>
          <w:lang w:val="en-US" w:eastAsia="zh-CN" w:bidi="ar-SA"/>
        </w:rPr>
        <w:t>、授权委托书</w:t>
      </w:r>
      <w:bookmarkEnd w:id="693"/>
      <w:bookmarkEnd w:id="694"/>
      <w:bookmarkEnd w:id="695"/>
    </w:p>
    <w:p w14:paraId="593F068D">
      <w:pPr>
        <w:ind w:firstLine="480" w:firstLineChars="200"/>
        <w:rPr>
          <w:rFonts w:cs="仿宋_GB2312"/>
          <w:i w:val="0"/>
          <w:iCs w:val="0"/>
          <w:color w:val="auto"/>
          <w:szCs w:val="24"/>
          <w:highlight w:val="none"/>
        </w:rPr>
      </w:pPr>
      <w:r>
        <w:rPr>
          <w:rFonts w:hint="eastAsia" w:cs="仿宋_GB2312"/>
          <w:i w:val="0"/>
          <w:iCs w:val="0"/>
          <w:color w:val="auto"/>
          <w:szCs w:val="24"/>
          <w:highlight w:val="none"/>
        </w:rPr>
        <w:t>本人</w:t>
      </w:r>
      <w:r>
        <w:rPr>
          <w:rFonts w:cs="仿宋_GB2312"/>
          <w:i w:val="0"/>
          <w:iCs w:val="0"/>
          <w:color w:val="auto"/>
          <w:szCs w:val="24"/>
          <w:highlight w:val="none"/>
          <w:u w:val="single"/>
        </w:rPr>
        <w:t xml:space="preserve">     </w:t>
      </w:r>
      <w:r>
        <w:rPr>
          <w:rFonts w:hint="eastAsia" w:cs="仿宋_GB2312"/>
          <w:i w:val="0"/>
          <w:iCs w:val="0"/>
          <w:color w:val="auto"/>
          <w:szCs w:val="24"/>
          <w:highlight w:val="none"/>
          <w:u w:val="none"/>
        </w:rPr>
        <w:t>（姓名）</w:t>
      </w:r>
      <w:r>
        <w:rPr>
          <w:rFonts w:hint="eastAsia" w:cs="仿宋_GB2312"/>
          <w:i w:val="0"/>
          <w:iCs w:val="0"/>
          <w:color w:val="auto"/>
          <w:szCs w:val="24"/>
          <w:highlight w:val="none"/>
        </w:rPr>
        <w:t>系</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none"/>
        </w:rPr>
        <w:t>（</w:t>
      </w:r>
      <w:r>
        <w:rPr>
          <w:rFonts w:hint="eastAsia" w:cs="仿宋_GB2312"/>
          <w:i w:val="0"/>
          <w:iCs w:val="0"/>
          <w:color w:val="auto"/>
          <w:szCs w:val="24"/>
          <w:highlight w:val="none"/>
          <w:u w:val="none"/>
          <w:lang w:val="en-US" w:eastAsia="zh-CN"/>
        </w:rPr>
        <w:t>供应商</w:t>
      </w:r>
      <w:r>
        <w:rPr>
          <w:rFonts w:hint="eastAsia" w:cs="仿宋_GB2312"/>
          <w:i w:val="0"/>
          <w:iCs w:val="0"/>
          <w:color w:val="auto"/>
          <w:szCs w:val="24"/>
          <w:highlight w:val="none"/>
          <w:u w:val="none"/>
        </w:rPr>
        <w:t>名称）</w:t>
      </w:r>
      <w:r>
        <w:rPr>
          <w:rFonts w:hint="eastAsia" w:cs="仿宋_GB2312"/>
          <w:i w:val="0"/>
          <w:iCs w:val="0"/>
          <w:color w:val="auto"/>
          <w:szCs w:val="24"/>
          <w:highlight w:val="none"/>
        </w:rPr>
        <w:t>的法定代表人</w:t>
      </w:r>
      <w:r>
        <w:rPr>
          <w:rFonts w:hint="eastAsia"/>
          <w:i w:val="0"/>
          <w:iCs w:val="0"/>
          <w:color w:val="auto"/>
          <w:highlight w:val="none"/>
        </w:rPr>
        <w:t>（</w:t>
      </w:r>
      <w:r>
        <w:rPr>
          <w:rFonts w:hint="eastAsia"/>
          <w:i w:val="0"/>
          <w:iCs w:val="0"/>
          <w:color w:val="auto"/>
          <w:highlight w:val="none"/>
          <w:lang w:val="en-US" w:eastAsia="zh-CN"/>
        </w:rPr>
        <w:t>单位</w:t>
      </w:r>
      <w:r>
        <w:rPr>
          <w:rFonts w:hint="eastAsia"/>
          <w:i w:val="0"/>
          <w:iCs w:val="0"/>
          <w:color w:val="auto"/>
          <w:highlight w:val="none"/>
        </w:rPr>
        <w:t>负责人）</w:t>
      </w:r>
      <w:r>
        <w:rPr>
          <w:rFonts w:hint="eastAsia" w:cs="仿宋_GB2312"/>
          <w:i w:val="0"/>
          <w:iCs w:val="0"/>
          <w:color w:val="auto"/>
          <w:szCs w:val="24"/>
          <w:highlight w:val="none"/>
        </w:rPr>
        <w:t>，现委托</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（姓名）为我方代理人。代理人根据授权，以我方名义签署、澄清</w:t>
      </w:r>
      <w:r>
        <w:rPr>
          <w:rFonts w:hint="eastAsia" w:cs="仿宋_GB2312"/>
          <w:i w:val="0"/>
          <w:iCs w:val="0"/>
          <w:color w:val="auto"/>
          <w:szCs w:val="24"/>
          <w:highlight w:val="none"/>
          <w:lang w:val="en-US" w:eastAsia="zh-CN"/>
        </w:rPr>
        <w:t>确认</w:t>
      </w:r>
      <w:r>
        <w:rPr>
          <w:rFonts w:hint="eastAsia" w:cs="仿宋_GB2312"/>
          <w:i w:val="0"/>
          <w:iCs w:val="0"/>
          <w:color w:val="auto"/>
          <w:szCs w:val="24"/>
          <w:highlight w:val="none"/>
        </w:rPr>
        <w:t>、说明、补正、递交、撤回、修改</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u w:val="single"/>
          <w:lang w:val="en-US" w:eastAsia="zh-CN"/>
        </w:rPr>
        <w:t xml:space="preserve">      </w:t>
      </w:r>
      <w:r>
        <w:rPr>
          <w:rFonts w:hint="eastAsia" w:cs="仿宋_GB2312"/>
          <w:i w:val="0"/>
          <w:iCs w:val="0"/>
          <w:color w:val="auto"/>
          <w:szCs w:val="24"/>
          <w:highlight w:val="none"/>
          <w:u w:val="single"/>
        </w:rPr>
        <w:t xml:space="preserve">  </w:t>
      </w:r>
      <w:r>
        <w:rPr>
          <w:rFonts w:hint="eastAsia" w:cs="仿宋_GB2312"/>
          <w:i w:val="0"/>
          <w:iCs w:val="0"/>
          <w:color w:val="auto"/>
          <w:szCs w:val="24"/>
          <w:highlight w:val="none"/>
        </w:rPr>
        <w:t>（项目名称）</w:t>
      </w:r>
      <w:r>
        <w:rPr>
          <w:rFonts w:hint="eastAsia" w:cs="仿宋_GB2312"/>
          <w:i w:val="0"/>
          <w:iCs w:val="0"/>
          <w:color w:val="auto"/>
          <w:szCs w:val="24"/>
          <w:highlight w:val="none"/>
          <w:lang w:val="en-US" w:eastAsia="zh-CN"/>
        </w:rPr>
        <w:t>响应</w:t>
      </w:r>
      <w:r>
        <w:rPr>
          <w:rFonts w:hint="eastAsia" w:cs="仿宋_GB2312"/>
          <w:i w:val="0"/>
          <w:iCs w:val="0"/>
          <w:color w:val="auto"/>
          <w:szCs w:val="24"/>
          <w:highlight w:val="none"/>
        </w:rPr>
        <w:t>文件、签订合同和处理有关事宜，其法律后果由我方承担。</w:t>
      </w:r>
    </w:p>
    <w:p w14:paraId="56B80D1C">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rPr>
        <w:t>委托期限：</w:t>
      </w:r>
      <w:r>
        <w:rPr>
          <w:rFonts w:hint="eastAsia" w:cs="仿宋_GB2312"/>
          <w:i w:val="0"/>
          <w:iCs w:val="0"/>
          <w:color w:val="auto"/>
          <w:szCs w:val="24"/>
          <w:highlight w:val="none"/>
          <w:lang w:val="en-US" w:eastAsia="zh-CN"/>
        </w:rPr>
        <w:t>自本授权委托书签署之日起至响应文件有效期届满之日止。</w:t>
      </w:r>
    </w:p>
    <w:p w14:paraId="0A605ABE">
      <w:pPr>
        <w:ind w:firstLine="480" w:firstLineChars="200"/>
        <w:rPr>
          <w:rFonts w:cs="仿宋_GB2312"/>
          <w:i w:val="0"/>
          <w:iCs w:val="0"/>
          <w:color w:val="auto"/>
          <w:szCs w:val="24"/>
          <w:highlight w:val="none"/>
        </w:rPr>
      </w:pPr>
      <w:r>
        <w:rPr>
          <w:rFonts w:hint="eastAsia" w:cs="仿宋_GB2312"/>
          <w:i w:val="0"/>
          <w:iCs w:val="0"/>
          <w:color w:val="auto"/>
          <w:szCs w:val="24"/>
          <w:highlight w:val="none"/>
        </w:rPr>
        <w:t>代理人无转委托权。</w:t>
      </w:r>
    </w:p>
    <w:p w14:paraId="03C5EAD4">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rPr>
      </w:pPr>
    </w:p>
    <w:p w14:paraId="27333291">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cs="宋体"/>
          <w:i w:val="0"/>
          <w:iCs w:val="0"/>
          <w:color w:val="auto"/>
          <w:kern w:val="0"/>
          <w:sz w:val="24"/>
          <w:szCs w:val="24"/>
          <w:highlight w:val="none"/>
          <w:lang w:val="en-US" w:eastAsia="zh-CN"/>
        </w:rPr>
        <w:t>供应商</w:t>
      </w:r>
      <w:r>
        <w:rPr>
          <w:rFonts w:hint="eastAsia" w:ascii="宋体" w:hAnsi="宋体" w:eastAsia="宋体" w:cs="宋体"/>
          <w:i w:val="0"/>
          <w:iCs w:val="0"/>
          <w:color w:val="auto"/>
          <w:kern w:val="0"/>
          <w:sz w:val="24"/>
          <w:szCs w:val="24"/>
          <w:highlight w:val="none"/>
          <w:lang w:val="en-US" w:eastAsia="zh-CN"/>
        </w:rPr>
        <w:t>名称（加盖公章）：</w:t>
      </w:r>
      <w:r>
        <w:rPr>
          <w:rFonts w:ascii="DejaVuSans" w:hAnsi="DejaVuSans" w:eastAsia="DejaVuSans" w:cs="DejaVuSans"/>
          <w:i w:val="0"/>
          <w:iCs w:val="0"/>
          <w:color w:val="auto"/>
          <w:kern w:val="0"/>
          <w:sz w:val="24"/>
          <w:szCs w:val="24"/>
          <w:highlight w:val="none"/>
          <w:lang w:val="en-US" w:eastAsia="zh-CN"/>
        </w:rPr>
        <w:t xml:space="preserve">________________ </w:t>
      </w:r>
    </w:p>
    <w:p w14:paraId="4CD5B2EF">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法定代表人（单位负责人）（签字或签章）：</w:t>
      </w:r>
      <w:r>
        <w:rPr>
          <w:rFonts w:hint="default" w:ascii="DejaVuSans" w:hAnsi="DejaVuSans" w:eastAsia="DejaVuSans" w:cs="DejaVuSans"/>
          <w:i w:val="0"/>
          <w:iCs w:val="0"/>
          <w:color w:val="auto"/>
          <w:kern w:val="0"/>
          <w:sz w:val="24"/>
          <w:szCs w:val="24"/>
          <w:highlight w:val="none"/>
          <w:lang w:val="en-US" w:eastAsia="zh-CN"/>
        </w:rPr>
        <w:t xml:space="preserve">________________ </w:t>
      </w:r>
    </w:p>
    <w:p w14:paraId="77AA3C36">
      <w:pPr>
        <w:keepNext w:val="0"/>
        <w:keepLines w:val="0"/>
        <w:pageBreakBefore w:val="0"/>
        <w:widowControl/>
        <w:suppressLineNumbers w:val="0"/>
        <w:kinsoku/>
        <w:wordWrap/>
        <w:overflowPunct/>
        <w:topLinePunct w:val="0"/>
        <w:autoSpaceDE/>
        <w:autoSpaceDN/>
        <w:bidi w:val="0"/>
        <w:adjustRightInd/>
        <w:snapToGrid/>
        <w:jc w:val="left"/>
        <w:textAlignment w:val="auto"/>
        <w:rPr>
          <w:rFonts w:hint="default"/>
          <w:i w:val="0"/>
          <w:iCs w:val="0"/>
          <w:color w:val="auto"/>
          <w:highlight w:val="none"/>
          <w:u w:val="single"/>
          <w:lang w:val="en-US"/>
        </w:rPr>
      </w:pPr>
      <w:r>
        <w:rPr>
          <w:rFonts w:hint="eastAsia" w:ascii="宋体" w:hAnsi="宋体" w:eastAsia="宋体" w:cs="宋体"/>
          <w:i w:val="0"/>
          <w:iCs w:val="0"/>
          <w:color w:val="auto"/>
          <w:kern w:val="0"/>
          <w:sz w:val="24"/>
          <w:szCs w:val="24"/>
          <w:highlight w:val="none"/>
          <w:lang w:val="en-US" w:eastAsia="zh-CN"/>
        </w:rPr>
        <w:t>委托代理人（签字或签章）：</w:t>
      </w:r>
      <w:r>
        <w:rPr>
          <w:rFonts w:hint="default" w:ascii="DejaVuSans" w:hAnsi="DejaVuSans" w:eastAsia="DejaVuSans" w:cs="DejaVuSans"/>
          <w:i w:val="0"/>
          <w:iCs w:val="0"/>
          <w:color w:val="auto"/>
          <w:kern w:val="0"/>
          <w:sz w:val="24"/>
          <w:szCs w:val="24"/>
          <w:highlight w:val="none"/>
          <w:lang w:val="en-US" w:eastAsia="zh-CN"/>
        </w:rPr>
        <w:t xml:space="preserve">________________ </w:t>
      </w:r>
      <w:r>
        <w:rPr>
          <w:rFonts w:hint="eastAsia" w:ascii="DejaVuSans" w:hAnsi="DejaVuSans" w:eastAsia="DejaVuSans" w:cs="DejaVuSans"/>
          <w:i w:val="0"/>
          <w:iCs w:val="0"/>
          <w:color w:val="auto"/>
          <w:kern w:val="0"/>
          <w:sz w:val="24"/>
          <w:szCs w:val="24"/>
          <w:highlight w:val="none"/>
          <w:lang w:val="en-US" w:eastAsia="zh-CN"/>
        </w:rPr>
        <w:t xml:space="preserve">  联系电话：</w:t>
      </w:r>
      <w:r>
        <w:rPr>
          <w:rFonts w:hint="eastAsia" w:ascii="DejaVuSans" w:hAnsi="DejaVuSans" w:eastAsia="DejaVuSans" w:cs="DejaVuSans"/>
          <w:i w:val="0"/>
          <w:iCs w:val="0"/>
          <w:color w:val="auto"/>
          <w:kern w:val="0"/>
          <w:sz w:val="24"/>
          <w:szCs w:val="24"/>
          <w:highlight w:val="none"/>
          <w:u w:val="single"/>
          <w:lang w:val="en-US" w:eastAsia="zh-CN"/>
        </w:rPr>
        <w:t xml:space="preserve">              </w:t>
      </w:r>
    </w:p>
    <w:p w14:paraId="4FD66B4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日期：</w:t>
      </w:r>
      <w:r>
        <w:rPr>
          <w:rFonts w:hint="default" w:ascii="DejaVuSans" w:hAnsi="DejaVuSans" w:eastAsia="DejaVuSans" w:cs="DejaVuSans"/>
          <w:i w:val="0"/>
          <w:iCs w:val="0"/>
          <w:color w:val="auto"/>
          <w:kern w:val="0"/>
          <w:sz w:val="24"/>
          <w:szCs w:val="24"/>
          <w:highlight w:val="none"/>
          <w:lang w:val="en-US" w:eastAsia="zh-CN"/>
        </w:rPr>
        <w:t>_____</w:t>
      </w:r>
      <w:r>
        <w:rPr>
          <w:rFonts w:hint="eastAsia" w:ascii="宋体" w:hAnsi="宋体" w:eastAsia="宋体" w:cs="宋体"/>
          <w:i w:val="0"/>
          <w:iCs w:val="0"/>
          <w:color w:val="auto"/>
          <w:kern w:val="0"/>
          <w:sz w:val="24"/>
          <w:szCs w:val="24"/>
          <w:highlight w:val="none"/>
          <w:lang w:val="en-US" w:eastAsia="zh-CN"/>
        </w:rPr>
        <w:t>年</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月</w:t>
      </w:r>
      <w:r>
        <w:rPr>
          <w:rFonts w:hint="default" w:ascii="DejaVuSans" w:hAnsi="DejaVuSans" w:eastAsia="DejaVuSans" w:cs="DejaVuSans"/>
          <w:i w:val="0"/>
          <w:iCs w:val="0"/>
          <w:color w:val="auto"/>
          <w:kern w:val="0"/>
          <w:sz w:val="24"/>
          <w:szCs w:val="24"/>
          <w:highlight w:val="none"/>
          <w:lang w:val="en-US" w:eastAsia="zh-CN"/>
        </w:rPr>
        <w:t>______</w:t>
      </w:r>
      <w:r>
        <w:rPr>
          <w:rFonts w:hint="eastAsia" w:ascii="宋体" w:hAnsi="宋体" w:eastAsia="宋体" w:cs="宋体"/>
          <w:i w:val="0"/>
          <w:iCs w:val="0"/>
          <w:color w:val="auto"/>
          <w:kern w:val="0"/>
          <w:sz w:val="24"/>
          <w:szCs w:val="24"/>
          <w:highlight w:val="none"/>
          <w:lang w:val="en-US" w:eastAsia="zh-CN"/>
        </w:rPr>
        <w:t xml:space="preserve">日 </w:t>
      </w:r>
    </w:p>
    <w:p w14:paraId="0D7E210D">
      <w:pPr>
        <w:keepNext w:val="0"/>
        <w:keepLines w:val="0"/>
        <w:pageBreakBefore w:val="0"/>
        <w:widowControl w:val="0"/>
        <w:kinsoku/>
        <w:wordWrap/>
        <w:overflowPunct/>
        <w:topLinePunct w:val="0"/>
        <w:autoSpaceDE/>
        <w:autoSpaceDN/>
        <w:bidi w:val="0"/>
        <w:adjustRightInd/>
        <w:snapToGrid/>
        <w:spacing w:line="240" w:lineRule="exact"/>
        <w:ind w:firstLine="480" w:firstLineChars="200"/>
        <w:textAlignment w:val="auto"/>
        <w:rPr>
          <w:rFonts w:hint="eastAsia" w:cs="仿宋_GB2312"/>
          <w:i w:val="0"/>
          <w:iCs w:val="0"/>
          <w:color w:val="auto"/>
          <w:szCs w:val="24"/>
          <w:highlight w:val="none"/>
          <w:lang w:val="en-US" w:eastAsia="zh-CN"/>
        </w:rPr>
      </w:pPr>
    </w:p>
    <w:p w14:paraId="7CE346A7">
      <w:pPr>
        <w:keepNext w:val="0"/>
        <w:keepLines w:val="0"/>
        <w:pageBreakBefore w:val="0"/>
        <w:widowControl/>
        <w:suppressLineNumbers w:val="0"/>
        <w:kinsoku/>
        <w:wordWrap/>
        <w:overflowPunct/>
        <w:topLinePunct w:val="0"/>
        <w:autoSpaceDE/>
        <w:autoSpaceDN/>
        <w:bidi w:val="0"/>
        <w:adjustRightInd/>
        <w:snapToGrid/>
        <w:jc w:val="left"/>
        <w:textAlignment w:val="auto"/>
        <w:rPr>
          <w:i w:val="0"/>
          <w:iCs w:val="0"/>
          <w:color w:val="auto"/>
          <w:highlight w:val="none"/>
        </w:rPr>
      </w:pPr>
      <w:r>
        <w:rPr>
          <w:rFonts w:hint="eastAsia" w:ascii="宋体" w:hAnsi="宋体" w:eastAsia="宋体" w:cs="宋体"/>
          <w:i w:val="0"/>
          <w:iCs w:val="0"/>
          <w:color w:val="auto"/>
          <w:kern w:val="0"/>
          <w:sz w:val="24"/>
          <w:szCs w:val="24"/>
          <w:highlight w:val="none"/>
          <w:lang w:val="en-US" w:eastAsia="zh-CN"/>
        </w:rPr>
        <w:t xml:space="preserve">附：法定代表人及委托代理人身份证明文件电子件： </w:t>
      </w:r>
    </w:p>
    <w:tbl>
      <w:tblPr>
        <w:tblStyle w:val="30"/>
        <w:tblW w:w="85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7"/>
      </w:tblGrid>
      <w:tr w14:paraId="6A575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1" w:hRule="atLeast"/>
        </w:trPr>
        <w:tc>
          <w:tcPr>
            <w:tcW w:w="8527" w:type="dxa"/>
          </w:tcPr>
          <w:p w14:paraId="66EBC6FA">
            <w:pPr>
              <w:rPr>
                <w:rFonts w:cs="Arial"/>
                <w:i w:val="0"/>
                <w:iCs w:val="0"/>
                <w:color w:val="auto"/>
                <w:highlight w:val="none"/>
              </w:rPr>
            </w:pPr>
          </w:p>
        </w:tc>
      </w:tr>
    </w:tbl>
    <w:p w14:paraId="003FC2D7">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说明： </w:t>
      </w:r>
    </w:p>
    <w:p w14:paraId="6A6FAC65">
      <w:pPr>
        <w:ind w:firstLine="480" w:firstLineChars="200"/>
        <w:rPr>
          <w:rFonts w:hint="eastAsia" w:cs="仿宋_GB2312"/>
          <w:i w:val="0"/>
          <w:iCs w:val="0"/>
          <w:color w:val="auto"/>
          <w:szCs w:val="24"/>
          <w:highlight w:val="none"/>
        </w:rPr>
      </w:pPr>
      <w:r>
        <w:rPr>
          <w:rFonts w:hint="eastAsia" w:cs="仿宋_GB2312"/>
          <w:i w:val="0"/>
          <w:iCs w:val="0"/>
          <w:color w:val="auto"/>
          <w:szCs w:val="24"/>
          <w:highlight w:val="none"/>
          <w:lang w:val="en-US" w:eastAsia="zh-CN"/>
        </w:rPr>
        <w:t xml:space="preserve">1.若供应商为事业单位或其他组织或分支机构，则法定代表人（单位负责人）处的签署人可为单位负责人。 </w:t>
      </w:r>
    </w:p>
    <w:p w14:paraId="7579C425">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2.</w:t>
      </w:r>
      <w:r>
        <w:rPr>
          <w:rFonts w:hint="eastAsia" w:cs="仿宋_GB2312"/>
          <w:i w:val="0"/>
          <w:iCs w:val="0"/>
          <w:color w:val="auto"/>
          <w:szCs w:val="24"/>
          <w:highlight w:val="none"/>
          <w:lang w:val="en-US" w:eastAsia="zh-CN"/>
        </w:rPr>
        <w:t xml:space="preserve">若响应文件中签字之处均为法定代表人（单位负责人）本人签署，则可不提供本《授权委托书》，但须提供《法定代表人（单位负责人）身份证明》。 </w:t>
      </w:r>
    </w:p>
    <w:p w14:paraId="7D81952A">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3.</w:t>
      </w:r>
      <w:r>
        <w:rPr>
          <w:rFonts w:hint="eastAsia" w:cs="仿宋_GB2312"/>
          <w:i w:val="0"/>
          <w:iCs w:val="0"/>
          <w:color w:val="auto"/>
          <w:szCs w:val="24"/>
          <w:highlight w:val="none"/>
          <w:lang w:val="en-US" w:eastAsia="zh-CN"/>
        </w:rPr>
        <w:t xml:space="preserve">供应商为自然人的情形，可不提供本《授权委托书》。 </w:t>
      </w:r>
    </w:p>
    <w:p w14:paraId="16E91B57">
      <w:pPr>
        <w:ind w:firstLine="480" w:firstLineChars="200"/>
        <w:rPr>
          <w:rFonts w:hint="eastAsia" w:cs="仿宋_GB2312"/>
          <w:i w:val="0"/>
          <w:iCs w:val="0"/>
          <w:color w:val="auto"/>
          <w:szCs w:val="24"/>
          <w:highlight w:val="none"/>
        </w:rPr>
      </w:pPr>
      <w:r>
        <w:rPr>
          <w:rFonts w:hint="default" w:cs="仿宋_GB2312"/>
          <w:i w:val="0"/>
          <w:iCs w:val="0"/>
          <w:color w:val="auto"/>
          <w:szCs w:val="24"/>
          <w:highlight w:val="none"/>
          <w:lang w:val="en-US" w:eastAsia="zh-CN"/>
        </w:rPr>
        <w:t>4.</w:t>
      </w:r>
      <w:r>
        <w:rPr>
          <w:rFonts w:hint="eastAsia" w:cs="仿宋_GB2312"/>
          <w:i w:val="0"/>
          <w:iCs w:val="0"/>
          <w:color w:val="auto"/>
          <w:szCs w:val="24"/>
          <w:highlight w:val="none"/>
          <w:lang w:val="en-US" w:eastAsia="zh-CN"/>
        </w:rPr>
        <w:t>供应商应随本《授权委托书》同时提供法定代表人（单位负责人）及委托代理人的有效的身份证、护照等身份证明文件电子件。提供身份证的，应同时提供身份证</w:t>
      </w:r>
      <w:r>
        <w:rPr>
          <w:rFonts w:hint="eastAsia" w:cs="仿宋_GB2312"/>
          <w:b/>
          <w:bCs/>
          <w:i w:val="0"/>
          <w:iCs w:val="0"/>
          <w:color w:val="auto"/>
          <w:szCs w:val="24"/>
          <w:highlight w:val="none"/>
          <w:lang w:val="en-US" w:eastAsia="zh-CN"/>
        </w:rPr>
        <w:t>双面</w:t>
      </w:r>
      <w:r>
        <w:rPr>
          <w:rFonts w:hint="eastAsia" w:cs="仿宋_GB2312"/>
          <w:i w:val="0"/>
          <w:iCs w:val="0"/>
          <w:color w:val="auto"/>
          <w:szCs w:val="24"/>
          <w:highlight w:val="none"/>
          <w:lang w:val="en-US" w:eastAsia="zh-CN"/>
        </w:rPr>
        <w:t>电子件。</w:t>
      </w:r>
    </w:p>
    <w:p w14:paraId="0B2EBA16">
      <w:pPr>
        <w:rPr>
          <w:i w:val="0"/>
          <w:iCs w:val="0"/>
          <w:color w:val="auto"/>
          <w:highlight w:val="none"/>
        </w:rPr>
      </w:pPr>
      <w:r>
        <w:rPr>
          <w:i w:val="0"/>
          <w:iCs w:val="0"/>
          <w:color w:val="auto"/>
          <w:highlight w:val="none"/>
        </w:rPr>
        <w:br w:type="page"/>
      </w:r>
    </w:p>
    <w:p w14:paraId="63CF304C">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696" w:name="_Toc163492928"/>
      <w:bookmarkStart w:id="697" w:name="_Toc155185934"/>
      <w:bookmarkStart w:id="698" w:name="_Toc18359"/>
      <w:bookmarkStart w:id="699" w:name="_Toc163492929"/>
      <w:r>
        <w:rPr>
          <w:rFonts w:hint="eastAsia" w:cs="宋体"/>
          <w:b/>
          <w:bCs/>
          <w:i w:val="0"/>
          <w:iCs w:val="0"/>
          <w:color w:val="auto"/>
          <w:kern w:val="2"/>
          <w:sz w:val="32"/>
          <w:szCs w:val="32"/>
          <w:highlight w:val="none"/>
          <w:lang w:val="en-US" w:eastAsia="zh-CN" w:bidi="ar-SA"/>
        </w:rPr>
        <w:t>四</w:t>
      </w:r>
      <w:r>
        <w:rPr>
          <w:rFonts w:hint="eastAsia" w:ascii="等线 Light" w:hAnsi="等线 Light" w:eastAsia="宋体" w:cs="宋体"/>
          <w:b/>
          <w:bCs/>
          <w:i w:val="0"/>
          <w:iCs w:val="0"/>
          <w:color w:val="auto"/>
          <w:kern w:val="2"/>
          <w:sz w:val="32"/>
          <w:szCs w:val="32"/>
          <w:highlight w:val="none"/>
          <w:lang w:val="en-US" w:eastAsia="zh-CN" w:bidi="ar-SA"/>
        </w:rPr>
        <w:t>、</w:t>
      </w:r>
      <w:bookmarkEnd w:id="696"/>
      <w:bookmarkEnd w:id="697"/>
      <w:r>
        <w:rPr>
          <w:rFonts w:hint="eastAsia" w:ascii="等线 Light" w:hAnsi="等线 Light" w:eastAsia="宋体" w:cs="宋体"/>
          <w:b/>
          <w:bCs/>
          <w:i w:val="0"/>
          <w:iCs w:val="0"/>
          <w:color w:val="auto"/>
          <w:kern w:val="2"/>
          <w:sz w:val="32"/>
          <w:szCs w:val="32"/>
          <w:highlight w:val="none"/>
          <w:lang w:val="zh-CN" w:eastAsia="zh-CN" w:bidi="ar-SA"/>
        </w:rPr>
        <w:t>政府采购供应商廉洁自律承诺书</w:t>
      </w:r>
      <w:bookmarkEnd w:id="698"/>
    </w:p>
    <w:p w14:paraId="1993A163">
      <w:pPr>
        <w:pStyle w:val="15"/>
        <w:rPr>
          <w:i w:val="0"/>
          <w:iCs w:val="0"/>
          <w:color w:val="auto"/>
          <w:highlight w:val="none"/>
        </w:rPr>
      </w:pPr>
    </w:p>
    <w:p w14:paraId="2CE177B4">
      <w:pPr>
        <w:snapToGrid w:val="0"/>
        <w:spacing w:line="360" w:lineRule="auto"/>
        <w:rPr>
          <w:rFonts w:ascii="宋体" w:hAnsi="宋体" w:cs="宋体"/>
          <w:i w:val="0"/>
          <w:iCs w:val="0"/>
          <w:color w:val="auto"/>
          <w:kern w:val="0"/>
          <w:sz w:val="24"/>
          <w:szCs w:val="24"/>
          <w:highlight w:val="none"/>
        </w:rPr>
      </w:pPr>
      <w:r>
        <w:rPr>
          <w:rFonts w:hint="eastAsia" w:ascii="宋体" w:hAnsi="宋体" w:cs="宋体"/>
          <w:i w:val="0"/>
          <w:iCs w:val="0"/>
          <w:color w:val="auto"/>
          <w:sz w:val="24"/>
          <w:szCs w:val="24"/>
          <w:highlight w:val="none"/>
        </w:rPr>
        <w:t>（采购人）、（采购代理机构）</w:t>
      </w:r>
      <w:r>
        <w:rPr>
          <w:rFonts w:hint="eastAsia" w:ascii="宋体" w:hAnsi="宋体" w:cs="宋体"/>
          <w:i w:val="0"/>
          <w:iCs w:val="0"/>
          <w:color w:val="auto"/>
          <w:kern w:val="0"/>
          <w:sz w:val="24"/>
          <w:szCs w:val="24"/>
          <w:highlight w:val="none"/>
          <w:lang w:val="zh-CN"/>
        </w:rPr>
        <w:t>：</w:t>
      </w:r>
    </w:p>
    <w:p w14:paraId="2139BFB4">
      <w:pPr>
        <w:autoSpaceDE w:val="0"/>
        <w:autoSpaceDN w:val="0"/>
        <w:spacing w:line="360" w:lineRule="auto"/>
        <w:ind w:left="2" w:leftChars="1" w:firstLine="480" w:firstLineChars="200"/>
        <w:jc w:val="left"/>
        <w:rPr>
          <w:rFonts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我单位响应你</w:t>
      </w:r>
      <w:r>
        <w:rPr>
          <w:rFonts w:hint="eastAsia" w:ascii="宋体" w:hAnsi="宋体" w:cs="宋体"/>
          <w:i w:val="0"/>
          <w:iCs w:val="0"/>
          <w:color w:val="auto"/>
          <w:sz w:val="24"/>
          <w:szCs w:val="24"/>
          <w:highlight w:val="none"/>
        </w:rPr>
        <w:t>单位</w:t>
      </w:r>
      <w:r>
        <w:rPr>
          <w:rFonts w:hint="eastAsia" w:ascii="宋体" w:hAnsi="宋体" w:cs="宋体"/>
          <w:i w:val="0"/>
          <w:iCs w:val="0"/>
          <w:color w:val="auto"/>
          <w:kern w:val="0"/>
          <w:sz w:val="24"/>
          <w:szCs w:val="24"/>
          <w:highlight w:val="none"/>
          <w:lang w:val="zh-CN"/>
        </w:rPr>
        <w:t>项目</w:t>
      </w:r>
      <w:r>
        <w:rPr>
          <w:rFonts w:hint="eastAsia" w:cs="宋体"/>
          <w:i w:val="0"/>
          <w:iCs w:val="0"/>
          <w:color w:val="auto"/>
          <w:kern w:val="0"/>
          <w:sz w:val="24"/>
          <w:szCs w:val="24"/>
          <w:highlight w:val="none"/>
          <w:lang w:val="en-US" w:eastAsia="zh-CN"/>
        </w:rPr>
        <w:t>竞争性磋商</w:t>
      </w:r>
      <w:r>
        <w:rPr>
          <w:rFonts w:hint="eastAsia" w:ascii="宋体" w:hAnsi="宋体" w:cs="宋体"/>
          <w:i w:val="0"/>
          <w:iCs w:val="0"/>
          <w:color w:val="auto"/>
          <w:kern w:val="0"/>
          <w:sz w:val="24"/>
          <w:szCs w:val="24"/>
          <w:highlight w:val="none"/>
          <w:lang w:val="en-US" w:eastAsia="zh-CN"/>
        </w:rPr>
        <w:t>文件</w:t>
      </w:r>
      <w:r>
        <w:rPr>
          <w:rFonts w:hint="eastAsia" w:ascii="宋体" w:hAnsi="宋体" w:cs="宋体"/>
          <w:i w:val="0"/>
          <w:iCs w:val="0"/>
          <w:color w:val="auto"/>
          <w:kern w:val="0"/>
          <w:sz w:val="24"/>
          <w:szCs w:val="24"/>
          <w:highlight w:val="none"/>
          <w:lang w:val="zh-CN"/>
        </w:rPr>
        <w:t>要求参加</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。在这次</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过程中和</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后，我们将严格遵守国家法律法规要求，并郑重承诺：</w:t>
      </w:r>
    </w:p>
    <w:p w14:paraId="2B87D13C">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一、不向项目有关人员及部门赠送礼金礼物、有价证券、回扣以及中介费、介绍费、咨询费等好处费； </w:t>
      </w:r>
    </w:p>
    <w:p w14:paraId="063D62B4">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二、不为项目有关人员及部门报销应由你方单位或个人支付的费用； </w:t>
      </w:r>
    </w:p>
    <w:p w14:paraId="5ADDE615">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三、不向项目有关人员及部门提供有可能影响公正的宴请和健身娱乐等活动；</w:t>
      </w:r>
    </w:p>
    <w:p w14:paraId="6B70337F">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四、不为项目有关人员及部门出国（境）、旅游等提供方便；</w:t>
      </w:r>
    </w:p>
    <w:p w14:paraId="6421E616">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五、不为项目有关人员个人装修住房、婚丧嫁娶、配偶子女工作安排等提供好处；</w:t>
      </w:r>
    </w:p>
    <w:p w14:paraId="663761CE">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 xml:space="preserve">六、严格遵守《中华人民共和国政府采购法》《中华人民共和国招标投标法》《中华人民共和国民法典》等法律法规，诚实守信，合法经营，坚决抵制各种违法违纪行为。 </w:t>
      </w:r>
    </w:p>
    <w:p w14:paraId="5C8FD2B8">
      <w:pPr>
        <w:autoSpaceDE w:val="0"/>
        <w:autoSpaceDN w:val="0"/>
        <w:spacing w:line="360" w:lineRule="auto"/>
        <w:ind w:left="2" w:leftChars="1" w:firstLine="480" w:firstLineChars="200"/>
        <w:jc w:val="left"/>
        <w:rPr>
          <w:rFonts w:hint="eastAsia" w:ascii="宋体" w:hAnsi="宋体" w:cs="宋体"/>
          <w:i w:val="0"/>
          <w:iCs w:val="0"/>
          <w:color w:val="auto"/>
          <w:kern w:val="0"/>
          <w:sz w:val="24"/>
          <w:szCs w:val="24"/>
          <w:highlight w:val="none"/>
          <w:lang w:val="zh-CN"/>
        </w:rPr>
      </w:pPr>
      <w:r>
        <w:rPr>
          <w:rFonts w:hint="eastAsia" w:ascii="宋体" w:hAnsi="宋体" w:cs="宋体"/>
          <w:i w:val="0"/>
          <w:iCs w:val="0"/>
          <w:color w:val="auto"/>
          <w:kern w:val="0"/>
          <w:sz w:val="24"/>
          <w:szCs w:val="24"/>
          <w:highlight w:val="none"/>
          <w:lang w:val="zh-CN"/>
        </w:rPr>
        <w:t>如违反上述承诺，你单位有权立即取消我单位</w:t>
      </w:r>
      <w:r>
        <w:rPr>
          <w:rFonts w:hint="eastAsia" w:cs="宋体"/>
          <w:i w:val="0"/>
          <w:iCs w:val="0"/>
          <w:color w:val="auto"/>
          <w:kern w:val="0"/>
          <w:sz w:val="24"/>
          <w:szCs w:val="24"/>
          <w:highlight w:val="none"/>
          <w:lang w:val="en-US" w:eastAsia="zh-CN"/>
        </w:rPr>
        <w:t>磋商响应</w:t>
      </w:r>
      <w:r>
        <w:rPr>
          <w:rFonts w:hint="eastAsia" w:ascii="宋体" w:hAnsi="宋体" w:cs="宋体"/>
          <w:i w:val="0"/>
          <w:iCs w:val="0"/>
          <w:color w:val="auto"/>
          <w:kern w:val="0"/>
          <w:sz w:val="24"/>
          <w:szCs w:val="24"/>
          <w:highlight w:val="none"/>
          <w:lang w:val="zh-CN"/>
        </w:rPr>
        <w:t>、</w:t>
      </w:r>
      <w:r>
        <w:rPr>
          <w:rFonts w:hint="eastAsia" w:cs="宋体"/>
          <w:i w:val="0"/>
          <w:iCs w:val="0"/>
          <w:color w:val="auto"/>
          <w:kern w:val="0"/>
          <w:sz w:val="24"/>
          <w:szCs w:val="24"/>
          <w:highlight w:val="none"/>
          <w:lang w:val="en-US" w:eastAsia="zh-CN"/>
        </w:rPr>
        <w:t>成交</w:t>
      </w:r>
      <w:r>
        <w:rPr>
          <w:rFonts w:hint="eastAsia" w:ascii="宋体" w:hAnsi="宋体" w:cs="宋体"/>
          <w:i w:val="0"/>
          <w:iCs w:val="0"/>
          <w:color w:val="auto"/>
          <w:kern w:val="0"/>
          <w:sz w:val="24"/>
          <w:szCs w:val="24"/>
          <w:highlight w:val="none"/>
          <w:lang w:val="zh-CN"/>
        </w:rPr>
        <w:t>或在建项目的建设资格，有权拒绝我单位在一定时期内进入你单位进行项目建设或其他经营活动，并通报财政</w:t>
      </w:r>
      <w:r>
        <w:rPr>
          <w:rFonts w:hint="eastAsia" w:cs="宋体"/>
          <w:i w:val="0"/>
          <w:iCs w:val="0"/>
          <w:color w:val="auto"/>
          <w:kern w:val="0"/>
          <w:sz w:val="24"/>
          <w:szCs w:val="24"/>
          <w:highlight w:val="none"/>
          <w:lang w:val="en-US" w:eastAsia="zh-CN"/>
        </w:rPr>
        <w:t>厅</w:t>
      </w:r>
      <w:r>
        <w:rPr>
          <w:rFonts w:hint="eastAsia" w:ascii="宋体" w:hAnsi="宋体" w:cs="宋体"/>
          <w:i w:val="0"/>
          <w:iCs w:val="0"/>
          <w:color w:val="auto"/>
          <w:kern w:val="0"/>
          <w:sz w:val="24"/>
          <w:szCs w:val="24"/>
          <w:highlight w:val="none"/>
          <w:lang w:val="zh-CN"/>
        </w:rPr>
        <w:t>。由此引起的相应损失均由我单位承担。</w:t>
      </w:r>
    </w:p>
    <w:p w14:paraId="5E22ECB4">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914ACDE">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02E01AF0">
      <w:pPr>
        <w:autoSpaceDE w:val="0"/>
        <w:autoSpaceDN w:val="0"/>
        <w:spacing w:line="360" w:lineRule="auto"/>
        <w:ind w:left="2"/>
        <w:jc w:val="left"/>
        <w:rPr>
          <w:rFonts w:ascii="宋体" w:hAnsi="宋体" w:cs="宋体"/>
          <w:i w:val="0"/>
          <w:iCs w:val="0"/>
          <w:color w:val="auto"/>
          <w:kern w:val="0"/>
          <w:sz w:val="24"/>
          <w:szCs w:val="24"/>
          <w:highlight w:val="none"/>
          <w:lang w:val="zh-CN"/>
        </w:rPr>
      </w:pPr>
    </w:p>
    <w:p w14:paraId="3EA46769">
      <w:pPr>
        <w:autoSpaceDE w:val="0"/>
        <w:autoSpaceDN w:val="0"/>
        <w:spacing w:line="360" w:lineRule="auto"/>
        <w:ind w:left="2" w:leftChars="1" w:right="1120" w:firstLine="4560" w:firstLineChars="1900"/>
        <w:jc w:val="left"/>
        <w:rPr>
          <w:rFonts w:ascii="宋体" w:hAnsi="宋体" w:cs="宋体"/>
          <w:i w:val="0"/>
          <w:iCs w:val="0"/>
          <w:color w:val="auto"/>
          <w:kern w:val="0"/>
          <w:sz w:val="24"/>
          <w:szCs w:val="24"/>
          <w:highlight w:val="none"/>
          <w:lang w:val="zh-CN"/>
        </w:rPr>
      </w:pPr>
      <w:r>
        <w:rPr>
          <w:rFonts w:hint="eastAsia" w:cs="宋体"/>
          <w:i w:val="0"/>
          <w:iCs w:val="0"/>
          <w:color w:val="auto"/>
          <w:kern w:val="0"/>
          <w:sz w:val="24"/>
          <w:szCs w:val="24"/>
          <w:highlight w:val="none"/>
          <w:lang w:val="en-US" w:eastAsia="zh-CN"/>
        </w:rPr>
        <w:t>供应商</w:t>
      </w:r>
      <w:r>
        <w:rPr>
          <w:rFonts w:hint="eastAsia" w:ascii="宋体" w:hAnsi="宋体" w:cs="宋体"/>
          <w:i w:val="0"/>
          <w:iCs w:val="0"/>
          <w:color w:val="auto"/>
          <w:kern w:val="0"/>
          <w:sz w:val="24"/>
          <w:szCs w:val="24"/>
          <w:highlight w:val="none"/>
          <w:lang w:val="zh-CN"/>
        </w:rPr>
        <w:t>名称（</w:t>
      </w:r>
      <w:r>
        <w:rPr>
          <w:rFonts w:hint="eastAsia" w:cs="宋体"/>
          <w:i w:val="0"/>
          <w:iCs w:val="0"/>
          <w:color w:val="auto"/>
          <w:sz w:val="24"/>
          <w:szCs w:val="24"/>
          <w:highlight w:val="none"/>
          <w:lang w:eastAsia="zh-CN"/>
        </w:rPr>
        <w:t>公章</w:t>
      </w:r>
      <w:r>
        <w:rPr>
          <w:rFonts w:hint="eastAsia" w:ascii="宋体" w:hAnsi="宋体" w:cs="宋体"/>
          <w:i w:val="0"/>
          <w:iCs w:val="0"/>
          <w:color w:val="auto"/>
          <w:kern w:val="0"/>
          <w:sz w:val="24"/>
          <w:szCs w:val="24"/>
          <w:highlight w:val="none"/>
          <w:lang w:val="zh-CN"/>
        </w:rPr>
        <w:t xml:space="preserve">）：                                                                                                                                                                                                               </w:t>
      </w:r>
    </w:p>
    <w:p w14:paraId="0FD8A2DC">
      <w:pPr>
        <w:ind w:firstLine="4560" w:firstLineChars="1900"/>
        <w:rPr>
          <w:rFonts w:hint="eastAsia" w:ascii="等线 Light" w:hAnsi="等线 Light" w:eastAsia="宋体" w:cs="宋体"/>
          <w:b/>
          <w:bCs/>
          <w:i w:val="0"/>
          <w:iCs w:val="0"/>
          <w:color w:val="auto"/>
          <w:kern w:val="2"/>
          <w:sz w:val="24"/>
          <w:szCs w:val="24"/>
          <w:highlight w:val="none"/>
          <w:lang w:val="en-US" w:eastAsia="zh-CN" w:bidi="ar-SA"/>
        </w:rPr>
      </w:pPr>
      <w:r>
        <w:rPr>
          <w:rFonts w:hint="eastAsia" w:ascii="宋体" w:hAnsi="宋体" w:cs="宋体"/>
          <w:i w:val="0"/>
          <w:iCs w:val="0"/>
          <w:color w:val="auto"/>
          <w:kern w:val="0"/>
          <w:sz w:val="24"/>
          <w:szCs w:val="24"/>
          <w:highlight w:val="none"/>
          <w:lang w:val="zh-CN"/>
        </w:rPr>
        <w:t>日期</w:t>
      </w:r>
      <w:r>
        <w:rPr>
          <w:rFonts w:hint="eastAsia" w:ascii="宋体" w:hAnsi="宋体" w:cs="宋体"/>
          <w:i w:val="0"/>
          <w:iCs w:val="0"/>
          <w:color w:val="auto"/>
          <w:kern w:val="0"/>
          <w:sz w:val="24"/>
          <w:szCs w:val="24"/>
          <w:highlight w:val="none"/>
        </w:rPr>
        <w:t>：</w:t>
      </w:r>
      <w:r>
        <w:rPr>
          <w:rFonts w:hint="eastAsia" w:ascii="宋体" w:hAnsi="宋体" w:cs="宋体"/>
          <w:i w:val="0"/>
          <w:iCs w:val="0"/>
          <w:color w:val="auto"/>
          <w:kern w:val="0"/>
          <w:sz w:val="24"/>
          <w:szCs w:val="24"/>
          <w:highlight w:val="none"/>
          <w:lang w:val="zh-CN"/>
        </w:rPr>
        <w:t xml:space="preserve">   年   月   日</w:t>
      </w:r>
    </w:p>
    <w:p w14:paraId="5AA40BF9">
      <w:pPr>
        <w:rPr>
          <w:rFonts w:hint="eastAsia" w:ascii="等线 Light" w:hAnsi="等线 Light" w:eastAsia="宋体" w:cs="宋体"/>
          <w:b/>
          <w:bCs/>
          <w:i w:val="0"/>
          <w:iCs w:val="0"/>
          <w:color w:val="auto"/>
          <w:kern w:val="2"/>
          <w:sz w:val="24"/>
          <w:szCs w:val="24"/>
          <w:highlight w:val="none"/>
          <w:lang w:val="en-US" w:eastAsia="zh-CN" w:bidi="ar-SA"/>
        </w:rPr>
      </w:pPr>
    </w:p>
    <w:p w14:paraId="2917743B">
      <w:pPr>
        <w:pStyle w:val="15"/>
        <w:rPr>
          <w:rFonts w:hint="eastAsia" w:ascii="等线 Light" w:hAnsi="等线 Light" w:eastAsia="宋体" w:cs="宋体"/>
          <w:b/>
          <w:bCs/>
          <w:i w:val="0"/>
          <w:iCs w:val="0"/>
          <w:color w:val="auto"/>
          <w:kern w:val="2"/>
          <w:sz w:val="24"/>
          <w:szCs w:val="24"/>
          <w:highlight w:val="none"/>
          <w:lang w:val="en-US" w:eastAsia="zh-CN" w:bidi="ar-SA"/>
        </w:rPr>
      </w:pPr>
    </w:p>
    <w:p w14:paraId="2CC927CA">
      <w:pPr>
        <w:pStyle w:val="15"/>
        <w:rPr>
          <w:rFonts w:hint="eastAsia" w:ascii="等线 Light" w:hAnsi="等线 Light" w:eastAsia="宋体" w:cs="宋体"/>
          <w:b/>
          <w:bCs/>
          <w:i w:val="0"/>
          <w:iCs w:val="0"/>
          <w:color w:val="auto"/>
          <w:kern w:val="2"/>
          <w:sz w:val="24"/>
          <w:szCs w:val="24"/>
          <w:highlight w:val="none"/>
          <w:lang w:val="en-US" w:eastAsia="zh-CN" w:bidi="ar-SA"/>
        </w:rPr>
      </w:pPr>
    </w:p>
    <w:p w14:paraId="59BFE13A">
      <w:pPr>
        <w:pStyle w:val="15"/>
        <w:rPr>
          <w:rFonts w:hint="eastAsia" w:ascii="等线 Light" w:hAnsi="等线 Light" w:eastAsia="宋体" w:cs="宋体"/>
          <w:b/>
          <w:bCs/>
          <w:i w:val="0"/>
          <w:iCs w:val="0"/>
          <w:color w:val="auto"/>
          <w:kern w:val="2"/>
          <w:sz w:val="24"/>
          <w:szCs w:val="24"/>
          <w:highlight w:val="none"/>
          <w:lang w:val="en-US" w:eastAsia="zh-CN" w:bidi="ar-SA"/>
        </w:rPr>
      </w:pPr>
    </w:p>
    <w:p w14:paraId="7CB54CC5">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color w:val="auto"/>
          <w:kern w:val="2"/>
          <w:sz w:val="32"/>
          <w:szCs w:val="32"/>
          <w:highlight w:val="none"/>
          <w:lang w:val="en-US" w:eastAsia="zh-CN" w:bidi="ar-SA"/>
        </w:rPr>
      </w:pPr>
      <w:bookmarkStart w:id="700" w:name="_Toc11276"/>
      <w:r>
        <w:rPr>
          <w:rFonts w:hint="eastAsia" w:ascii="等线 Light" w:hAnsi="等线 Light" w:eastAsia="宋体" w:cs="宋体"/>
          <w:b/>
          <w:bCs/>
          <w:color w:val="auto"/>
          <w:kern w:val="2"/>
          <w:sz w:val="32"/>
          <w:szCs w:val="32"/>
          <w:highlight w:val="none"/>
          <w:lang w:val="en-US" w:eastAsia="zh-CN" w:bidi="ar-SA"/>
        </w:rPr>
        <w:t>五、实质性响应一览表</w:t>
      </w:r>
      <w:r>
        <w:rPr>
          <w:rFonts w:hint="eastAsia" w:ascii="等线 Light" w:hAnsi="等线 Light" w:eastAsia="宋体" w:cs="宋体"/>
          <w:b/>
          <w:bCs/>
          <w:color w:val="auto"/>
          <w:kern w:val="2"/>
          <w:sz w:val="32"/>
          <w:szCs w:val="32"/>
          <w:highlight w:val="none"/>
          <w:lang w:val="zh-CN" w:eastAsia="zh-CN" w:bidi="ar-SA"/>
        </w:rPr>
        <w:t>【</w:t>
      </w:r>
      <w:r>
        <w:rPr>
          <w:rFonts w:hint="eastAsia" w:ascii="等线 Light" w:hAnsi="等线 Light" w:eastAsia="宋体" w:cs="宋体"/>
          <w:b/>
          <w:bCs/>
          <w:color w:val="auto"/>
          <w:kern w:val="2"/>
          <w:sz w:val="32"/>
          <w:szCs w:val="32"/>
          <w:highlight w:val="none"/>
          <w:lang w:val="en-US" w:eastAsia="zh-CN" w:bidi="ar-SA"/>
        </w:rPr>
        <w:t>本表须与第四章的一致】</w:t>
      </w:r>
      <w:bookmarkEnd w:id="700"/>
    </w:p>
    <w:p w14:paraId="1A00EE72">
      <w:pPr>
        <w:shd w:val="clear" w:color="auto" w:fill="FFFFFF"/>
        <w:tabs>
          <w:tab w:val="left" w:pos="3045"/>
        </w:tabs>
        <w:autoSpaceDE w:val="0"/>
        <w:autoSpaceDN w:val="0"/>
        <w:adjustRightInd w:val="0"/>
        <w:snapToGrid w:val="0"/>
        <w:spacing w:line="360" w:lineRule="exact"/>
        <w:jc w:val="center"/>
        <w:rPr>
          <w:rFonts w:hint="eastAsia" w:ascii="宋体" w:hAnsi="宋体" w:cs="宋体"/>
          <w:b/>
          <w:i w:val="0"/>
          <w:iCs w:val="0"/>
          <w:color w:val="auto"/>
          <w:sz w:val="24"/>
          <w:highlight w:val="none"/>
        </w:rPr>
      </w:pPr>
      <w:r>
        <w:rPr>
          <w:rFonts w:hint="eastAsia" w:ascii="宋体" w:hAnsi="宋体" w:cs="宋体"/>
          <w:b w:val="0"/>
          <w:bCs/>
          <w:i w:val="0"/>
          <w:iCs w:val="0"/>
          <w:color w:val="auto"/>
          <w:sz w:val="24"/>
          <w:highlight w:val="none"/>
        </w:rPr>
        <w:t>（供应商须对本附表所有内容逐条响应且无负偏离，否则</w:t>
      </w:r>
      <w:r>
        <w:rPr>
          <w:rFonts w:hint="eastAsia" w:cs="宋体"/>
          <w:b w:val="0"/>
          <w:bCs/>
          <w:i w:val="0"/>
          <w:iCs w:val="0"/>
          <w:color w:val="auto"/>
          <w:sz w:val="24"/>
          <w:highlight w:val="none"/>
          <w:lang w:val="en-US" w:eastAsia="zh-CN"/>
        </w:rPr>
        <w:t>其</w:t>
      </w:r>
      <w:r>
        <w:rPr>
          <w:rFonts w:hint="eastAsia" w:cs="宋体"/>
          <w:b/>
          <w:i w:val="0"/>
          <w:iCs w:val="0"/>
          <w:color w:val="auto"/>
          <w:sz w:val="24"/>
          <w:highlight w:val="none"/>
          <w:lang w:val="en-US" w:eastAsia="zh-CN"/>
        </w:rPr>
        <w:t>响应</w:t>
      </w:r>
      <w:r>
        <w:rPr>
          <w:rFonts w:hint="eastAsia" w:ascii="宋体" w:hAnsi="宋体" w:cs="宋体"/>
          <w:b/>
          <w:i w:val="0"/>
          <w:iCs w:val="0"/>
          <w:color w:val="auto"/>
          <w:sz w:val="24"/>
          <w:highlight w:val="none"/>
        </w:rPr>
        <w:t>无效</w:t>
      </w:r>
      <w:r>
        <w:rPr>
          <w:rFonts w:hint="eastAsia" w:ascii="宋体" w:hAnsi="宋体" w:cs="宋体"/>
          <w:b w:val="0"/>
          <w:bCs/>
          <w:i w:val="0"/>
          <w:iCs w:val="0"/>
          <w:color w:val="auto"/>
          <w:sz w:val="24"/>
          <w:highlight w:val="none"/>
        </w:rPr>
        <w:t>）</w:t>
      </w:r>
    </w:p>
    <w:p w14:paraId="597D85C2">
      <w:pPr>
        <w:pStyle w:val="23"/>
        <w:rPr>
          <w:rFonts w:hint="eastAsia" w:ascii="宋体" w:hAnsi="宋体" w:cs="宋体"/>
          <w:i w:val="0"/>
          <w:iCs w:val="0"/>
          <w:color w:val="auto"/>
          <w:highlight w:val="none"/>
        </w:rPr>
      </w:pPr>
    </w:p>
    <w:tbl>
      <w:tblPr>
        <w:tblStyle w:val="30"/>
        <w:tblW w:w="5590" w:type="pct"/>
        <w:tblInd w:w="-50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3"/>
        <w:gridCol w:w="2496"/>
        <w:gridCol w:w="3671"/>
        <w:gridCol w:w="1957"/>
        <w:gridCol w:w="732"/>
      </w:tblGrid>
      <w:tr w14:paraId="5636CC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Merge w:val="restart"/>
            <w:vAlign w:val="center"/>
          </w:tcPr>
          <w:p w14:paraId="70DEA68C">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序号</w:t>
            </w:r>
          </w:p>
        </w:tc>
        <w:tc>
          <w:tcPr>
            <w:tcW w:w="3235" w:type="pct"/>
            <w:gridSpan w:val="2"/>
            <w:vAlign w:val="center"/>
          </w:tcPr>
          <w:p w14:paraId="7BD88E5A">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lang w:eastAsia="zh-CN"/>
              </w:rPr>
              <w:t>磋商</w:t>
            </w:r>
            <w:r>
              <w:rPr>
                <w:rFonts w:hint="eastAsia" w:ascii="宋体" w:hAnsi="宋体" w:cs="宋体"/>
                <w:i w:val="0"/>
                <w:iCs w:val="0"/>
                <w:color w:val="auto"/>
                <w:sz w:val="24"/>
                <w:highlight w:val="none"/>
              </w:rPr>
              <w:t>文件要求的实质性响应内容</w:t>
            </w:r>
          </w:p>
        </w:tc>
        <w:tc>
          <w:tcPr>
            <w:tcW w:w="1026" w:type="pct"/>
            <w:vMerge w:val="restart"/>
            <w:vAlign w:val="center"/>
          </w:tcPr>
          <w:p w14:paraId="2598EDF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cs="宋体"/>
                <w:i w:val="0"/>
                <w:iCs w:val="0"/>
                <w:color w:val="auto"/>
                <w:sz w:val="24"/>
                <w:highlight w:val="none"/>
                <w:lang w:eastAsia="zh-CN"/>
              </w:rPr>
              <w:t>响应</w:t>
            </w:r>
            <w:r>
              <w:rPr>
                <w:rFonts w:hint="eastAsia" w:ascii="宋体" w:hAnsi="宋体" w:cs="宋体"/>
                <w:i w:val="0"/>
                <w:iCs w:val="0"/>
                <w:color w:val="auto"/>
                <w:sz w:val="24"/>
                <w:highlight w:val="none"/>
              </w:rPr>
              <w:t>文件具体</w:t>
            </w:r>
            <w:r>
              <w:rPr>
                <w:rFonts w:hint="eastAsia" w:cs="宋体"/>
                <w:i w:val="0"/>
                <w:iCs w:val="0"/>
                <w:color w:val="auto"/>
                <w:sz w:val="24"/>
                <w:highlight w:val="none"/>
                <w:lang w:val="en-US" w:eastAsia="zh-CN"/>
              </w:rPr>
              <w:t>的</w:t>
            </w:r>
            <w:r>
              <w:rPr>
                <w:rFonts w:hint="eastAsia" w:ascii="宋体" w:hAnsi="宋体" w:cs="宋体"/>
                <w:i w:val="0"/>
                <w:iCs w:val="0"/>
                <w:color w:val="auto"/>
                <w:sz w:val="24"/>
                <w:highlight w:val="none"/>
              </w:rPr>
              <w:t>响应内容</w:t>
            </w:r>
          </w:p>
        </w:tc>
        <w:tc>
          <w:tcPr>
            <w:tcW w:w="384" w:type="pct"/>
            <w:vMerge w:val="restart"/>
            <w:vAlign w:val="center"/>
          </w:tcPr>
          <w:p w14:paraId="0E80A1FB">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rPr>
            </w:pPr>
            <w:r>
              <w:rPr>
                <w:rFonts w:hint="eastAsia" w:ascii="宋体" w:hAnsi="宋体" w:cs="宋体"/>
                <w:i w:val="0"/>
                <w:iCs w:val="0"/>
                <w:color w:val="auto"/>
                <w:sz w:val="24"/>
                <w:highlight w:val="none"/>
              </w:rPr>
              <w:t>备注</w:t>
            </w:r>
          </w:p>
        </w:tc>
      </w:tr>
      <w:tr w14:paraId="22BA3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Merge w:val="continue"/>
            <w:vAlign w:val="center"/>
          </w:tcPr>
          <w:p w14:paraId="788F1149">
            <w:pPr>
              <w:keepNext w:val="0"/>
              <w:keepLines w:val="0"/>
              <w:pageBreakBefore w:val="0"/>
              <w:widowControl w:val="0"/>
              <w:kinsoku/>
              <w:wordWrap/>
              <w:overflowPunct/>
              <w:topLinePunct w:val="0"/>
              <w:bidi w:val="0"/>
              <w:adjustRightInd/>
              <w:snapToGrid/>
              <w:spacing w:line="360" w:lineRule="exact"/>
              <w:jc w:val="center"/>
              <w:textAlignment w:val="auto"/>
              <w:rPr>
                <w:i w:val="0"/>
                <w:iCs w:val="0"/>
                <w:color w:val="auto"/>
                <w:highlight w:val="none"/>
              </w:rPr>
            </w:pPr>
          </w:p>
        </w:tc>
        <w:tc>
          <w:tcPr>
            <w:tcW w:w="1309" w:type="pct"/>
            <w:vAlign w:val="center"/>
          </w:tcPr>
          <w:p w14:paraId="5B941D5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实质性要求</w:t>
            </w:r>
          </w:p>
        </w:tc>
        <w:tc>
          <w:tcPr>
            <w:tcW w:w="1926" w:type="pct"/>
            <w:vAlign w:val="center"/>
          </w:tcPr>
          <w:p w14:paraId="1887A7EA">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cs="宋体"/>
                <w:i w:val="0"/>
                <w:iCs w:val="0"/>
                <w:color w:val="auto"/>
                <w:sz w:val="24"/>
                <w:highlight w:val="none"/>
                <w:lang w:val="en-US" w:eastAsia="zh-CN"/>
              </w:rPr>
            </w:pPr>
            <w:r>
              <w:rPr>
                <w:rFonts w:hint="eastAsia" w:cs="宋体"/>
                <w:i w:val="0"/>
                <w:iCs w:val="0"/>
                <w:color w:val="auto"/>
                <w:sz w:val="24"/>
                <w:highlight w:val="none"/>
                <w:lang w:val="en-US" w:eastAsia="zh-CN"/>
              </w:rPr>
              <w:t>磋商文件中的规定</w:t>
            </w:r>
          </w:p>
        </w:tc>
        <w:tc>
          <w:tcPr>
            <w:tcW w:w="1026" w:type="pct"/>
            <w:vMerge w:val="continue"/>
            <w:vAlign w:val="center"/>
          </w:tcPr>
          <w:p w14:paraId="5FF6F466">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c>
          <w:tcPr>
            <w:tcW w:w="384" w:type="pct"/>
            <w:vMerge w:val="continue"/>
            <w:vAlign w:val="center"/>
          </w:tcPr>
          <w:p w14:paraId="231BB2B8">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eastAsia="zh-CN"/>
              </w:rPr>
            </w:pPr>
          </w:p>
        </w:tc>
      </w:tr>
      <w:tr w14:paraId="19EB2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30499CF5">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1</w:t>
            </w:r>
          </w:p>
        </w:tc>
        <w:tc>
          <w:tcPr>
            <w:tcW w:w="1309" w:type="pct"/>
            <w:vAlign w:val="center"/>
          </w:tcPr>
          <w:p w14:paraId="1710CDD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63B0DE90">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cs="宋体"/>
                <w:i w:val="0"/>
                <w:iCs w:val="0"/>
                <w:color w:val="auto"/>
                <w:sz w:val="24"/>
                <w:highlight w:val="none"/>
              </w:rPr>
            </w:pPr>
          </w:p>
        </w:tc>
        <w:tc>
          <w:tcPr>
            <w:tcW w:w="1026" w:type="pct"/>
            <w:vAlign w:val="center"/>
          </w:tcPr>
          <w:p w14:paraId="0B1E2F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259753B0">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78B0F7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4CBD69A7">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2</w:t>
            </w:r>
          </w:p>
        </w:tc>
        <w:tc>
          <w:tcPr>
            <w:tcW w:w="1309" w:type="pct"/>
            <w:vAlign w:val="center"/>
          </w:tcPr>
          <w:p w14:paraId="07A7760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5649ACF6">
            <w:pPr>
              <w:keepNext w:val="0"/>
              <w:keepLines w:val="0"/>
              <w:pageBreakBefore w:val="0"/>
              <w:widowControl w:val="0"/>
              <w:shd w:val="clear" w:color="auto" w:fill="FFFFFF"/>
              <w:kinsoku/>
              <w:wordWrap/>
              <w:overflowPunct/>
              <w:topLinePunct w:val="0"/>
              <w:autoSpaceDE w:val="0"/>
              <w:autoSpaceDN w:val="0"/>
              <w:bidi w:val="0"/>
              <w:adjustRightInd/>
              <w:snapToGrid/>
              <w:spacing w:line="360" w:lineRule="exact"/>
              <w:textAlignment w:val="auto"/>
              <w:rPr>
                <w:rFonts w:hint="eastAsia" w:ascii="宋体" w:hAnsi="宋体" w:eastAsia="宋体" w:cs="宋体"/>
                <w:i w:val="0"/>
                <w:iCs w:val="0"/>
                <w:color w:val="auto"/>
                <w:sz w:val="24"/>
                <w:highlight w:val="none"/>
                <w:lang w:eastAsia="zh-CN"/>
              </w:rPr>
            </w:pPr>
          </w:p>
        </w:tc>
        <w:tc>
          <w:tcPr>
            <w:tcW w:w="1026" w:type="pct"/>
            <w:vAlign w:val="center"/>
          </w:tcPr>
          <w:p w14:paraId="4746B94F">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6627A9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970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3B9948B9">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3</w:t>
            </w:r>
          </w:p>
        </w:tc>
        <w:tc>
          <w:tcPr>
            <w:tcW w:w="1309" w:type="pct"/>
            <w:vAlign w:val="center"/>
          </w:tcPr>
          <w:p w14:paraId="3EA4601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vAlign w:val="center"/>
          </w:tcPr>
          <w:p w14:paraId="62EC5B93">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仿宋_GB2312" w:hAnsi="宋体" w:eastAsia="宋体"/>
                <w:i w:val="0"/>
                <w:iCs w:val="0"/>
                <w:color w:val="auto"/>
                <w:kern w:val="0"/>
                <w:sz w:val="31"/>
                <w:szCs w:val="20"/>
                <w:highlight w:val="none"/>
                <w:lang w:val="en-US" w:eastAsia="zh-CN" w:bidi="ar-SA"/>
              </w:rPr>
            </w:pPr>
          </w:p>
        </w:tc>
        <w:tc>
          <w:tcPr>
            <w:tcW w:w="1026" w:type="pct"/>
            <w:vAlign w:val="center"/>
          </w:tcPr>
          <w:p w14:paraId="0A9F8338">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8E089DB">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C6FC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08F70755">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4</w:t>
            </w:r>
          </w:p>
        </w:tc>
        <w:tc>
          <w:tcPr>
            <w:tcW w:w="1309" w:type="pct"/>
            <w:vAlign w:val="center"/>
          </w:tcPr>
          <w:p w14:paraId="695BCC8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kern w:val="2"/>
                <w:sz w:val="24"/>
                <w:szCs w:val="24"/>
                <w:highlight w:val="none"/>
                <w:lang w:val="en-US" w:eastAsia="zh-CN" w:bidi="ar-SA"/>
              </w:rPr>
            </w:pPr>
          </w:p>
        </w:tc>
        <w:tc>
          <w:tcPr>
            <w:tcW w:w="1926" w:type="pct"/>
            <w:vAlign w:val="center"/>
          </w:tcPr>
          <w:p w14:paraId="7AA3A6EB">
            <w:pPr>
              <w:keepNext w:val="0"/>
              <w:keepLines w:val="0"/>
              <w:pageBreakBefore w:val="0"/>
              <w:widowControl w:val="0"/>
              <w:kinsoku/>
              <w:wordWrap/>
              <w:overflowPunct/>
              <w:topLinePunct w:val="0"/>
              <w:bidi w:val="0"/>
              <w:adjustRightInd/>
              <w:snapToGrid/>
              <w:spacing w:line="360" w:lineRule="exact"/>
              <w:textAlignment w:val="auto"/>
              <w:rPr>
                <w:rFonts w:hint="default" w:ascii="宋体" w:hAnsi="宋体" w:cs="宋体"/>
                <w:i w:val="0"/>
                <w:iCs w:val="0"/>
                <w:color w:val="auto"/>
                <w:kern w:val="2"/>
                <w:sz w:val="24"/>
                <w:szCs w:val="24"/>
                <w:highlight w:val="none"/>
                <w:lang w:val="en-US" w:eastAsia="zh-CN" w:bidi="ar-SA"/>
              </w:rPr>
            </w:pPr>
          </w:p>
        </w:tc>
        <w:tc>
          <w:tcPr>
            <w:tcW w:w="1026" w:type="pct"/>
            <w:vAlign w:val="center"/>
          </w:tcPr>
          <w:p w14:paraId="0F2477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7E099895">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1BAED3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01C20FB8">
            <w:pPr>
              <w:keepNext w:val="0"/>
              <w:keepLines w:val="0"/>
              <w:pageBreakBefore w:val="0"/>
              <w:widowControl w:val="0"/>
              <w:kinsoku/>
              <w:wordWrap/>
              <w:overflowPunct/>
              <w:topLinePunct w:val="0"/>
              <w:bidi w:val="0"/>
              <w:adjustRightInd/>
              <w:snapToGrid/>
              <w:spacing w:line="360" w:lineRule="exact"/>
              <w:jc w:val="center"/>
              <w:textAlignment w:val="auto"/>
              <w:rPr>
                <w:rFonts w:hint="default" w:ascii="宋体" w:hAnsi="宋体" w:eastAsia="宋体" w:cs="宋体"/>
                <w:i w:val="0"/>
                <w:iCs w:val="0"/>
                <w:color w:val="auto"/>
                <w:sz w:val="24"/>
                <w:highlight w:val="none"/>
                <w:lang w:val="en-US" w:eastAsia="zh-CN"/>
              </w:rPr>
            </w:pPr>
            <w:r>
              <w:rPr>
                <w:rFonts w:hint="eastAsia" w:cs="宋体"/>
                <w:i w:val="0"/>
                <w:iCs w:val="0"/>
                <w:color w:val="auto"/>
                <w:sz w:val="24"/>
                <w:highlight w:val="none"/>
                <w:lang w:val="en-US" w:eastAsia="zh-CN"/>
              </w:rPr>
              <w:t>5</w:t>
            </w:r>
          </w:p>
        </w:tc>
        <w:tc>
          <w:tcPr>
            <w:tcW w:w="1309" w:type="pct"/>
            <w:vAlign w:val="center"/>
          </w:tcPr>
          <w:p w14:paraId="6450B6FD">
            <w:pPr>
              <w:pStyle w:val="67"/>
              <w:keepNext w:val="0"/>
              <w:keepLines w:val="0"/>
              <w:pageBreakBefore w:val="0"/>
              <w:widowControl w:val="0"/>
              <w:shd w:val="clear" w:color="auto" w:fill="FFFFFF"/>
              <w:kinsoku/>
              <w:wordWrap/>
              <w:overflowPunct/>
              <w:topLinePunct w:val="0"/>
              <w:bidi w:val="0"/>
              <w:adjustRightInd/>
              <w:snapToGrid/>
              <w:spacing w:line="360" w:lineRule="exact"/>
              <w:ind w:firstLine="0" w:firstLineChars="0"/>
              <w:textAlignment w:val="auto"/>
              <w:rPr>
                <w:rFonts w:hint="eastAsia" w:ascii="宋体" w:eastAsia="宋体" w:cs="宋体"/>
                <w:i w:val="0"/>
                <w:iCs w:val="0"/>
                <w:color w:val="auto"/>
                <w:sz w:val="24"/>
                <w:szCs w:val="24"/>
                <w:highlight w:val="none"/>
                <w:lang w:val="en-US" w:eastAsia="zh-CN"/>
              </w:rPr>
            </w:pPr>
          </w:p>
        </w:tc>
        <w:tc>
          <w:tcPr>
            <w:tcW w:w="1926" w:type="pct"/>
            <w:vAlign w:val="center"/>
          </w:tcPr>
          <w:p w14:paraId="76FAB450">
            <w:pPr>
              <w:keepNext w:val="0"/>
              <w:keepLines w:val="0"/>
              <w:pageBreakBefore w:val="0"/>
              <w:widowControl w:val="0"/>
              <w:shd w:val="clear" w:color="auto" w:fill="FFFFFF"/>
              <w:kinsoku/>
              <w:wordWrap/>
              <w:overflowPunct/>
              <w:topLinePunct w:val="0"/>
              <w:autoSpaceDE/>
              <w:autoSpaceDN/>
              <w:bidi w:val="0"/>
              <w:adjustRightInd/>
              <w:snapToGrid/>
              <w:spacing w:line="400" w:lineRule="atLeast"/>
              <w:textAlignment w:val="auto"/>
              <w:rPr>
                <w:rFonts w:hint="eastAsia" w:ascii="宋体" w:hAnsi="宋体" w:eastAsia="宋体" w:cs="宋体"/>
                <w:i w:val="0"/>
                <w:iCs w:val="0"/>
                <w:color w:val="auto"/>
                <w:sz w:val="24"/>
                <w:highlight w:val="none"/>
                <w:lang w:val="en-US" w:eastAsia="zh-CN"/>
              </w:rPr>
            </w:pPr>
          </w:p>
        </w:tc>
        <w:tc>
          <w:tcPr>
            <w:tcW w:w="1026" w:type="pct"/>
            <w:vAlign w:val="center"/>
          </w:tcPr>
          <w:p w14:paraId="07DA94E9">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07E6D393">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27D30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4F43B457">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6</w:t>
            </w:r>
          </w:p>
        </w:tc>
        <w:tc>
          <w:tcPr>
            <w:tcW w:w="1309" w:type="pct"/>
            <w:vAlign w:val="center"/>
          </w:tcPr>
          <w:p w14:paraId="369ABC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3A38EA74">
            <w:pPr>
              <w:keepNext w:val="0"/>
              <w:keepLines w:val="0"/>
              <w:pageBreakBefore w:val="0"/>
              <w:widowControl w:val="0"/>
              <w:shd w:val="clear" w:color="auto" w:fill="FFFFFF"/>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vAlign w:val="center"/>
          </w:tcPr>
          <w:p w14:paraId="24EE6A9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1ABD1D6E">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01639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6E2F1659">
            <w:pPr>
              <w:keepNext w:val="0"/>
              <w:keepLines w:val="0"/>
              <w:pageBreakBefore w:val="0"/>
              <w:widowControl w:val="0"/>
              <w:kinsoku/>
              <w:wordWrap/>
              <w:overflowPunct/>
              <w:topLinePunct w:val="0"/>
              <w:bidi w:val="0"/>
              <w:adjustRightInd/>
              <w:snapToGrid/>
              <w:spacing w:line="360" w:lineRule="exact"/>
              <w:jc w:val="center"/>
              <w:textAlignment w:val="auto"/>
              <w:rPr>
                <w:rFonts w:hint="default" w:cs="宋体"/>
                <w:i w:val="0"/>
                <w:iCs w:val="0"/>
                <w:color w:val="auto"/>
                <w:sz w:val="24"/>
                <w:highlight w:val="none"/>
                <w:lang w:val="en-US" w:eastAsia="zh-CN"/>
              </w:rPr>
            </w:pPr>
            <w:r>
              <w:rPr>
                <w:rFonts w:hint="eastAsia" w:cs="宋体"/>
                <w:i w:val="0"/>
                <w:iCs w:val="0"/>
                <w:color w:val="auto"/>
                <w:sz w:val="24"/>
                <w:highlight w:val="none"/>
                <w:lang w:val="en-US" w:eastAsia="zh-CN"/>
              </w:rPr>
              <w:t>7</w:t>
            </w:r>
          </w:p>
        </w:tc>
        <w:tc>
          <w:tcPr>
            <w:tcW w:w="1309" w:type="pct"/>
            <w:vAlign w:val="center"/>
          </w:tcPr>
          <w:p w14:paraId="317CE50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1926" w:type="pct"/>
            <w:vAlign w:val="center"/>
          </w:tcPr>
          <w:p w14:paraId="678C199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rPr>
            </w:pPr>
          </w:p>
        </w:tc>
        <w:tc>
          <w:tcPr>
            <w:tcW w:w="1026" w:type="pct"/>
            <w:vAlign w:val="center"/>
          </w:tcPr>
          <w:p w14:paraId="63C11E7C">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168EE7BD">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r w14:paraId="50134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trPr>
        <w:tc>
          <w:tcPr>
            <w:tcW w:w="353" w:type="pct"/>
            <w:vAlign w:val="center"/>
          </w:tcPr>
          <w:p w14:paraId="65574B31">
            <w:pPr>
              <w:keepNext w:val="0"/>
              <w:keepLines w:val="0"/>
              <w:pageBreakBefore w:val="0"/>
              <w:widowControl w:val="0"/>
              <w:kinsoku/>
              <w:wordWrap/>
              <w:overflowPunct/>
              <w:topLinePunct w:val="0"/>
              <w:bidi w:val="0"/>
              <w:adjustRightInd/>
              <w:snapToGrid/>
              <w:spacing w:line="360" w:lineRule="exact"/>
              <w:jc w:val="center"/>
              <w:textAlignment w:val="auto"/>
              <w:rPr>
                <w:rFonts w:hint="eastAsia" w:ascii="宋体" w:hAnsi="宋体" w:cs="宋体"/>
                <w:i w:val="0"/>
                <w:iCs w:val="0"/>
                <w:color w:val="auto"/>
                <w:sz w:val="24"/>
                <w:highlight w:val="none"/>
                <w:lang w:val="en-US" w:eastAsia="zh-CN"/>
              </w:rPr>
            </w:pPr>
          </w:p>
        </w:tc>
        <w:tc>
          <w:tcPr>
            <w:tcW w:w="1309" w:type="pct"/>
            <w:shd w:val="clear" w:color="auto" w:fill="auto"/>
            <w:vAlign w:val="center"/>
          </w:tcPr>
          <w:p w14:paraId="4892F810">
            <w:pPr>
              <w:pStyle w:val="47"/>
              <w:rPr>
                <w:rFonts w:hint="eastAsia" w:ascii="宋体" w:hAnsi="宋体" w:eastAsia="宋体" w:cs="宋体"/>
                <w:i w:val="0"/>
                <w:iCs w:val="0"/>
                <w:color w:val="auto"/>
                <w:kern w:val="2"/>
                <w:sz w:val="24"/>
                <w:szCs w:val="22"/>
                <w:highlight w:val="none"/>
                <w:lang w:val="zh-CN" w:eastAsia="zh-CN" w:bidi="ar-SA"/>
              </w:rPr>
            </w:pPr>
            <w:r>
              <w:rPr>
                <w:rFonts w:hint="default" w:ascii="Arial" w:hAnsi="Arial" w:cs="Arial"/>
                <w:i w:val="0"/>
                <w:iCs w:val="0"/>
                <w:color w:val="auto"/>
                <w:highlight w:val="none"/>
                <w:lang w:val="zh-CN"/>
              </w:rPr>
              <w:t>……</w:t>
            </w:r>
          </w:p>
        </w:tc>
        <w:tc>
          <w:tcPr>
            <w:tcW w:w="1926" w:type="pct"/>
            <w:vAlign w:val="center"/>
          </w:tcPr>
          <w:p w14:paraId="6EE49605">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宋体" w:hAnsi="宋体" w:cs="宋体"/>
                <w:i w:val="0"/>
                <w:iCs w:val="0"/>
                <w:color w:val="auto"/>
                <w:sz w:val="24"/>
                <w:highlight w:val="none"/>
                <w:lang w:eastAsia="zh-CN"/>
              </w:rPr>
            </w:pPr>
          </w:p>
        </w:tc>
        <w:tc>
          <w:tcPr>
            <w:tcW w:w="1026" w:type="pct"/>
            <w:vAlign w:val="center"/>
          </w:tcPr>
          <w:p w14:paraId="5A390DA1">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c>
          <w:tcPr>
            <w:tcW w:w="384" w:type="pct"/>
            <w:vAlign w:val="center"/>
          </w:tcPr>
          <w:p w14:paraId="639F5956">
            <w:pPr>
              <w:keepNext w:val="0"/>
              <w:keepLines w:val="0"/>
              <w:pageBreakBefore w:val="0"/>
              <w:widowControl w:val="0"/>
              <w:kinsoku/>
              <w:wordWrap/>
              <w:overflowPunct/>
              <w:topLinePunct w:val="0"/>
              <w:bidi w:val="0"/>
              <w:adjustRightInd/>
              <w:snapToGrid/>
              <w:spacing w:line="360" w:lineRule="exact"/>
              <w:textAlignment w:val="auto"/>
              <w:rPr>
                <w:rFonts w:hint="eastAsia" w:ascii="宋体" w:hAnsi="宋体" w:cs="宋体"/>
                <w:i w:val="0"/>
                <w:iCs w:val="0"/>
                <w:color w:val="auto"/>
                <w:sz w:val="24"/>
                <w:highlight w:val="none"/>
              </w:rPr>
            </w:pPr>
          </w:p>
        </w:tc>
      </w:tr>
    </w:tbl>
    <w:p w14:paraId="26B97350">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cs="宋体"/>
          <w:b/>
          <w:bCs/>
          <w:i w:val="0"/>
          <w:iCs w:val="0"/>
          <w:color w:val="auto"/>
          <w:kern w:val="2"/>
          <w:sz w:val="32"/>
          <w:szCs w:val="32"/>
          <w:highlight w:val="none"/>
          <w:lang w:val="en-US" w:eastAsia="zh-CN" w:bidi="ar-SA"/>
        </w:rPr>
      </w:pPr>
    </w:p>
    <w:p w14:paraId="7ECC9349">
      <w:pPr>
        <w:rPr>
          <w:rFonts w:hint="eastAsia" w:cs="宋体"/>
          <w:b/>
          <w:bCs/>
          <w:i w:val="0"/>
          <w:iCs w:val="0"/>
          <w:color w:val="auto"/>
          <w:kern w:val="2"/>
          <w:sz w:val="32"/>
          <w:szCs w:val="32"/>
          <w:highlight w:val="none"/>
          <w:lang w:val="en-US" w:eastAsia="zh-CN" w:bidi="ar-SA"/>
        </w:rPr>
      </w:pPr>
    </w:p>
    <w:p w14:paraId="479C11F3">
      <w:pPr>
        <w:rPr>
          <w:rFonts w:hint="eastAsia" w:cs="宋体"/>
          <w:b/>
          <w:bCs/>
          <w:i w:val="0"/>
          <w:iCs w:val="0"/>
          <w:color w:val="auto"/>
          <w:kern w:val="2"/>
          <w:sz w:val="32"/>
          <w:szCs w:val="32"/>
          <w:highlight w:val="none"/>
          <w:lang w:val="en-US" w:eastAsia="zh-CN" w:bidi="ar-SA"/>
        </w:rPr>
      </w:pPr>
    </w:p>
    <w:p w14:paraId="626EF50E">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1" w:name="_Toc30110"/>
      <w:r>
        <w:rPr>
          <w:rFonts w:hint="eastAsia" w:cs="宋体"/>
          <w:b/>
          <w:bCs/>
          <w:i w:val="0"/>
          <w:iCs w:val="0"/>
          <w:color w:val="auto"/>
          <w:kern w:val="2"/>
          <w:sz w:val="32"/>
          <w:szCs w:val="32"/>
          <w:highlight w:val="none"/>
          <w:lang w:val="en-US" w:eastAsia="zh-CN" w:bidi="ar-SA"/>
        </w:rPr>
        <w:t>六</w:t>
      </w:r>
      <w:r>
        <w:rPr>
          <w:rFonts w:hint="eastAsia" w:ascii="等线 Light" w:hAnsi="等线 Light" w:eastAsia="宋体" w:cs="宋体"/>
          <w:b/>
          <w:bCs/>
          <w:i w:val="0"/>
          <w:iCs w:val="0"/>
          <w:color w:val="auto"/>
          <w:kern w:val="2"/>
          <w:sz w:val="32"/>
          <w:szCs w:val="32"/>
          <w:highlight w:val="none"/>
          <w:lang w:val="en-US" w:eastAsia="zh-CN" w:bidi="ar-SA"/>
        </w:rPr>
        <w:t>、商务响应偏离表</w:t>
      </w:r>
      <w:bookmarkEnd w:id="699"/>
      <w:bookmarkEnd w:id="701"/>
    </w:p>
    <w:p w14:paraId="6755E4D1">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0424C095">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b w:val="0"/>
          <w:bCs/>
          <w:i w:val="0"/>
          <w:iCs w:val="0"/>
          <w:color w:val="auto"/>
          <w:szCs w:val="21"/>
          <w:highlight w:val="none"/>
          <w:lang w:val="en-US" w:eastAsia="zh-CN"/>
        </w:rPr>
        <w:t>/</w:t>
      </w:r>
      <w:r>
        <w:rPr>
          <w:rFonts w:hint="eastAsia"/>
          <w:b w:val="0"/>
          <w:bCs/>
          <w:i w:val="0"/>
          <w:iCs w:val="0"/>
          <w:color w:val="auto"/>
          <w:szCs w:val="21"/>
          <w:highlight w:val="none"/>
          <w:lang w:val="zh-CN"/>
        </w:rPr>
        <w:t>包号</w:t>
      </w:r>
      <w:r>
        <w:rPr>
          <w:rFonts w:hint="eastAsia" w:cs="仿宋_GB2312"/>
          <w:i w:val="0"/>
          <w:iCs w:val="0"/>
          <w:color w:val="auto"/>
          <w:szCs w:val="24"/>
          <w:highlight w:val="none"/>
        </w:rPr>
        <w:t xml:space="preserve">：        </w:t>
      </w:r>
    </w:p>
    <w:tbl>
      <w:tblPr>
        <w:tblStyle w:val="30"/>
        <w:tblW w:w="5032"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1"/>
        <w:gridCol w:w="2394"/>
        <w:gridCol w:w="1720"/>
        <w:gridCol w:w="1871"/>
        <w:gridCol w:w="1871"/>
      </w:tblGrid>
      <w:tr w14:paraId="16BE7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8" w:hRule="atLeast"/>
        </w:trPr>
        <w:tc>
          <w:tcPr>
            <w:tcW w:w="420" w:type="pct"/>
            <w:vAlign w:val="center"/>
          </w:tcPr>
          <w:p w14:paraId="1A4BE3A9">
            <w:pPr>
              <w:pStyle w:val="47"/>
              <w:jc w:val="center"/>
              <w:rPr>
                <w:i w:val="0"/>
                <w:iCs w:val="0"/>
                <w:color w:val="auto"/>
                <w:highlight w:val="none"/>
              </w:rPr>
            </w:pPr>
            <w:r>
              <w:rPr>
                <w:rFonts w:hint="eastAsia"/>
                <w:i w:val="0"/>
                <w:iCs w:val="0"/>
                <w:color w:val="auto"/>
                <w:highlight w:val="none"/>
              </w:rPr>
              <w:t>序号</w:t>
            </w:r>
          </w:p>
        </w:tc>
        <w:tc>
          <w:tcPr>
            <w:tcW w:w="1395" w:type="pct"/>
            <w:vAlign w:val="center"/>
          </w:tcPr>
          <w:p w14:paraId="7CB83CD6">
            <w:pPr>
              <w:pStyle w:val="47"/>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文件的商务条款</w:t>
            </w:r>
          </w:p>
        </w:tc>
        <w:tc>
          <w:tcPr>
            <w:tcW w:w="1002" w:type="pct"/>
            <w:vAlign w:val="center"/>
          </w:tcPr>
          <w:p w14:paraId="55A47B57">
            <w:pPr>
              <w:pStyle w:val="47"/>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文件的响应内容</w:t>
            </w:r>
          </w:p>
        </w:tc>
        <w:tc>
          <w:tcPr>
            <w:tcW w:w="1090" w:type="pct"/>
            <w:vAlign w:val="center"/>
          </w:tcPr>
          <w:p w14:paraId="2572E859">
            <w:pPr>
              <w:pStyle w:val="47"/>
              <w:jc w:val="center"/>
              <w:rPr>
                <w:i w:val="0"/>
                <w:iCs w:val="0"/>
                <w:color w:val="auto"/>
                <w:highlight w:val="none"/>
              </w:rPr>
            </w:pPr>
            <w:r>
              <w:rPr>
                <w:rFonts w:hint="eastAsia"/>
                <w:i w:val="0"/>
                <w:iCs w:val="0"/>
                <w:color w:val="auto"/>
                <w:highlight w:val="none"/>
              </w:rPr>
              <w:t>响应情况</w:t>
            </w:r>
          </w:p>
        </w:tc>
        <w:tc>
          <w:tcPr>
            <w:tcW w:w="1090" w:type="pct"/>
            <w:vAlign w:val="center"/>
          </w:tcPr>
          <w:p w14:paraId="7884F206">
            <w:pPr>
              <w:pStyle w:val="47"/>
              <w:jc w:val="center"/>
              <w:rPr>
                <w:i w:val="0"/>
                <w:iCs w:val="0"/>
                <w:color w:val="auto"/>
                <w:highlight w:val="none"/>
              </w:rPr>
            </w:pPr>
            <w:r>
              <w:rPr>
                <w:rFonts w:hint="eastAsia"/>
                <w:i w:val="0"/>
                <w:iCs w:val="0"/>
                <w:color w:val="auto"/>
                <w:highlight w:val="none"/>
              </w:rPr>
              <w:t>说明及索引</w:t>
            </w:r>
          </w:p>
        </w:tc>
      </w:tr>
      <w:tr w14:paraId="0728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156411A">
            <w:pPr>
              <w:pStyle w:val="47"/>
              <w:jc w:val="center"/>
              <w:rPr>
                <w:i w:val="0"/>
                <w:iCs w:val="0"/>
                <w:color w:val="auto"/>
                <w:highlight w:val="none"/>
              </w:rPr>
            </w:pPr>
            <w:r>
              <w:rPr>
                <w:rFonts w:hint="eastAsia"/>
                <w:i w:val="0"/>
                <w:iCs w:val="0"/>
                <w:color w:val="auto"/>
                <w:highlight w:val="none"/>
              </w:rPr>
              <w:t>1</w:t>
            </w:r>
          </w:p>
        </w:tc>
        <w:tc>
          <w:tcPr>
            <w:tcW w:w="1395" w:type="pct"/>
            <w:vAlign w:val="center"/>
          </w:tcPr>
          <w:p w14:paraId="34566CA0">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1C6482B4">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1BBD0417">
            <w:pPr>
              <w:pStyle w:val="47"/>
              <w:jc w:val="center"/>
              <w:rPr>
                <w:i w:val="0"/>
                <w:iCs w:val="0"/>
                <w:color w:val="auto"/>
                <w:highlight w:val="none"/>
              </w:rPr>
            </w:pPr>
            <w:r>
              <w:rPr>
                <w:rFonts w:hint="eastAsia"/>
                <w:i w:val="0"/>
                <w:iCs w:val="0"/>
                <w:color w:val="auto"/>
                <w:highlight w:val="none"/>
              </w:rPr>
              <w:t>响应</w:t>
            </w:r>
            <w:r>
              <w:rPr>
                <w:i w:val="0"/>
                <w:iCs w:val="0"/>
                <w:color w:val="auto"/>
                <w:highlight w:val="none"/>
              </w:rPr>
              <w:t>/偏离</w:t>
            </w:r>
          </w:p>
        </w:tc>
        <w:tc>
          <w:tcPr>
            <w:tcW w:w="1090" w:type="pct"/>
            <w:vAlign w:val="center"/>
          </w:tcPr>
          <w:p w14:paraId="1A90E39C">
            <w:pPr>
              <w:pStyle w:val="47"/>
              <w:jc w:val="center"/>
              <w:rPr>
                <w:i w:val="0"/>
                <w:iCs w:val="0"/>
                <w:color w:val="auto"/>
                <w:highlight w:val="none"/>
              </w:rPr>
            </w:pPr>
          </w:p>
        </w:tc>
      </w:tr>
      <w:tr w14:paraId="7C8328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05821036">
            <w:pPr>
              <w:pStyle w:val="47"/>
              <w:jc w:val="center"/>
              <w:rPr>
                <w:i w:val="0"/>
                <w:iCs w:val="0"/>
                <w:color w:val="auto"/>
                <w:highlight w:val="none"/>
              </w:rPr>
            </w:pPr>
            <w:r>
              <w:rPr>
                <w:rFonts w:hint="eastAsia"/>
                <w:i w:val="0"/>
                <w:iCs w:val="0"/>
                <w:color w:val="auto"/>
                <w:highlight w:val="none"/>
              </w:rPr>
              <w:t>2</w:t>
            </w:r>
          </w:p>
        </w:tc>
        <w:tc>
          <w:tcPr>
            <w:tcW w:w="1395" w:type="pct"/>
            <w:vAlign w:val="center"/>
          </w:tcPr>
          <w:p w14:paraId="2A717A55">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20EC7575">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923E58D">
            <w:pPr>
              <w:pStyle w:val="47"/>
              <w:jc w:val="center"/>
              <w:rPr>
                <w:i w:val="0"/>
                <w:iCs w:val="0"/>
                <w:color w:val="auto"/>
                <w:highlight w:val="none"/>
              </w:rPr>
            </w:pPr>
          </w:p>
        </w:tc>
        <w:tc>
          <w:tcPr>
            <w:tcW w:w="1090" w:type="pct"/>
            <w:vAlign w:val="center"/>
          </w:tcPr>
          <w:p w14:paraId="59C2C317">
            <w:pPr>
              <w:pStyle w:val="47"/>
              <w:jc w:val="center"/>
              <w:rPr>
                <w:i w:val="0"/>
                <w:iCs w:val="0"/>
                <w:color w:val="auto"/>
                <w:highlight w:val="none"/>
              </w:rPr>
            </w:pPr>
          </w:p>
        </w:tc>
      </w:tr>
      <w:tr w14:paraId="64353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6D563CA4">
            <w:pPr>
              <w:pStyle w:val="47"/>
              <w:jc w:val="center"/>
              <w:rPr>
                <w:i w:val="0"/>
                <w:iCs w:val="0"/>
                <w:color w:val="auto"/>
                <w:highlight w:val="none"/>
              </w:rPr>
            </w:pPr>
            <w:r>
              <w:rPr>
                <w:rFonts w:hint="eastAsia"/>
                <w:i w:val="0"/>
                <w:iCs w:val="0"/>
                <w:color w:val="auto"/>
                <w:highlight w:val="none"/>
              </w:rPr>
              <w:t>3</w:t>
            </w:r>
          </w:p>
        </w:tc>
        <w:tc>
          <w:tcPr>
            <w:tcW w:w="1395" w:type="pct"/>
            <w:vAlign w:val="center"/>
          </w:tcPr>
          <w:p w14:paraId="595245DB">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02" w:type="pct"/>
            <w:vAlign w:val="center"/>
          </w:tcPr>
          <w:p w14:paraId="0A16B4B6">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090" w:type="pct"/>
            <w:vAlign w:val="center"/>
          </w:tcPr>
          <w:p w14:paraId="58535F72">
            <w:pPr>
              <w:pStyle w:val="47"/>
              <w:jc w:val="center"/>
              <w:rPr>
                <w:i w:val="0"/>
                <w:iCs w:val="0"/>
                <w:color w:val="auto"/>
                <w:highlight w:val="none"/>
              </w:rPr>
            </w:pPr>
          </w:p>
        </w:tc>
        <w:tc>
          <w:tcPr>
            <w:tcW w:w="1090" w:type="pct"/>
            <w:vAlign w:val="center"/>
          </w:tcPr>
          <w:p w14:paraId="50AB520B">
            <w:pPr>
              <w:pStyle w:val="47"/>
              <w:jc w:val="center"/>
              <w:rPr>
                <w:i w:val="0"/>
                <w:iCs w:val="0"/>
                <w:color w:val="auto"/>
                <w:highlight w:val="none"/>
              </w:rPr>
            </w:pPr>
          </w:p>
        </w:tc>
      </w:tr>
      <w:tr w14:paraId="669EA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74127D5E">
            <w:pPr>
              <w:pStyle w:val="47"/>
              <w:jc w:val="center"/>
              <w:rPr>
                <w:i w:val="0"/>
                <w:iCs w:val="0"/>
                <w:color w:val="auto"/>
                <w:highlight w:val="none"/>
              </w:rPr>
            </w:pPr>
          </w:p>
        </w:tc>
        <w:tc>
          <w:tcPr>
            <w:tcW w:w="1395" w:type="pct"/>
            <w:vAlign w:val="center"/>
          </w:tcPr>
          <w:p w14:paraId="14968038">
            <w:pPr>
              <w:pStyle w:val="47"/>
              <w:jc w:val="center"/>
              <w:rPr>
                <w:i w:val="0"/>
                <w:iCs w:val="0"/>
                <w:color w:val="auto"/>
                <w:highlight w:val="none"/>
              </w:rPr>
            </w:pPr>
          </w:p>
        </w:tc>
        <w:tc>
          <w:tcPr>
            <w:tcW w:w="1002" w:type="pct"/>
            <w:vAlign w:val="center"/>
          </w:tcPr>
          <w:p w14:paraId="10A6B59E">
            <w:pPr>
              <w:pStyle w:val="47"/>
              <w:jc w:val="center"/>
              <w:rPr>
                <w:i w:val="0"/>
                <w:iCs w:val="0"/>
                <w:color w:val="auto"/>
                <w:highlight w:val="none"/>
              </w:rPr>
            </w:pPr>
          </w:p>
        </w:tc>
        <w:tc>
          <w:tcPr>
            <w:tcW w:w="1090" w:type="pct"/>
            <w:vAlign w:val="center"/>
          </w:tcPr>
          <w:p w14:paraId="61702DF6">
            <w:pPr>
              <w:pStyle w:val="47"/>
              <w:jc w:val="center"/>
              <w:rPr>
                <w:i w:val="0"/>
                <w:iCs w:val="0"/>
                <w:color w:val="auto"/>
                <w:highlight w:val="none"/>
              </w:rPr>
            </w:pPr>
          </w:p>
        </w:tc>
        <w:tc>
          <w:tcPr>
            <w:tcW w:w="1090" w:type="pct"/>
            <w:vAlign w:val="center"/>
          </w:tcPr>
          <w:p w14:paraId="0CC18FC2">
            <w:pPr>
              <w:pStyle w:val="47"/>
              <w:jc w:val="center"/>
              <w:rPr>
                <w:i w:val="0"/>
                <w:iCs w:val="0"/>
                <w:color w:val="auto"/>
                <w:highlight w:val="none"/>
              </w:rPr>
            </w:pPr>
          </w:p>
        </w:tc>
      </w:tr>
      <w:tr w14:paraId="57F34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4561F269">
            <w:pPr>
              <w:pStyle w:val="47"/>
              <w:jc w:val="center"/>
              <w:rPr>
                <w:i w:val="0"/>
                <w:iCs w:val="0"/>
                <w:color w:val="auto"/>
                <w:highlight w:val="none"/>
              </w:rPr>
            </w:pPr>
          </w:p>
        </w:tc>
        <w:tc>
          <w:tcPr>
            <w:tcW w:w="1395" w:type="pct"/>
            <w:vAlign w:val="center"/>
          </w:tcPr>
          <w:p w14:paraId="5DDD9937">
            <w:pPr>
              <w:pStyle w:val="47"/>
              <w:jc w:val="center"/>
              <w:rPr>
                <w:i w:val="0"/>
                <w:iCs w:val="0"/>
                <w:color w:val="auto"/>
                <w:highlight w:val="none"/>
              </w:rPr>
            </w:pPr>
          </w:p>
        </w:tc>
        <w:tc>
          <w:tcPr>
            <w:tcW w:w="1002" w:type="pct"/>
            <w:vAlign w:val="center"/>
          </w:tcPr>
          <w:p w14:paraId="0B29A018">
            <w:pPr>
              <w:pStyle w:val="47"/>
              <w:jc w:val="center"/>
              <w:rPr>
                <w:i w:val="0"/>
                <w:iCs w:val="0"/>
                <w:color w:val="auto"/>
                <w:highlight w:val="none"/>
              </w:rPr>
            </w:pPr>
          </w:p>
        </w:tc>
        <w:tc>
          <w:tcPr>
            <w:tcW w:w="1090" w:type="pct"/>
            <w:vAlign w:val="center"/>
          </w:tcPr>
          <w:p w14:paraId="1FA693DE">
            <w:pPr>
              <w:pStyle w:val="47"/>
              <w:jc w:val="center"/>
              <w:rPr>
                <w:i w:val="0"/>
                <w:iCs w:val="0"/>
                <w:color w:val="auto"/>
                <w:highlight w:val="none"/>
              </w:rPr>
            </w:pPr>
          </w:p>
        </w:tc>
        <w:tc>
          <w:tcPr>
            <w:tcW w:w="1090" w:type="pct"/>
            <w:vAlign w:val="center"/>
          </w:tcPr>
          <w:p w14:paraId="3D633AB6">
            <w:pPr>
              <w:pStyle w:val="47"/>
              <w:jc w:val="center"/>
              <w:rPr>
                <w:i w:val="0"/>
                <w:iCs w:val="0"/>
                <w:color w:val="auto"/>
                <w:highlight w:val="none"/>
              </w:rPr>
            </w:pPr>
          </w:p>
        </w:tc>
      </w:tr>
      <w:tr w14:paraId="12449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59A5171A">
            <w:pPr>
              <w:pStyle w:val="47"/>
              <w:jc w:val="center"/>
              <w:rPr>
                <w:i w:val="0"/>
                <w:iCs w:val="0"/>
                <w:color w:val="auto"/>
                <w:highlight w:val="none"/>
              </w:rPr>
            </w:pPr>
          </w:p>
        </w:tc>
        <w:tc>
          <w:tcPr>
            <w:tcW w:w="1395" w:type="pct"/>
            <w:vAlign w:val="center"/>
          </w:tcPr>
          <w:p w14:paraId="014A297F">
            <w:pPr>
              <w:pStyle w:val="47"/>
              <w:jc w:val="center"/>
              <w:rPr>
                <w:i w:val="0"/>
                <w:iCs w:val="0"/>
                <w:color w:val="auto"/>
                <w:highlight w:val="none"/>
              </w:rPr>
            </w:pPr>
          </w:p>
        </w:tc>
        <w:tc>
          <w:tcPr>
            <w:tcW w:w="1002" w:type="pct"/>
            <w:vAlign w:val="center"/>
          </w:tcPr>
          <w:p w14:paraId="51467013">
            <w:pPr>
              <w:pStyle w:val="47"/>
              <w:jc w:val="center"/>
              <w:rPr>
                <w:i w:val="0"/>
                <w:iCs w:val="0"/>
                <w:color w:val="auto"/>
                <w:highlight w:val="none"/>
              </w:rPr>
            </w:pPr>
          </w:p>
        </w:tc>
        <w:tc>
          <w:tcPr>
            <w:tcW w:w="1090" w:type="pct"/>
            <w:vAlign w:val="center"/>
          </w:tcPr>
          <w:p w14:paraId="011E40CA">
            <w:pPr>
              <w:pStyle w:val="47"/>
              <w:jc w:val="center"/>
              <w:rPr>
                <w:i w:val="0"/>
                <w:iCs w:val="0"/>
                <w:color w:val="auto"/>
                <w:highlight w:val="none"/>
              </w:rPr>
            </w:pPr>
          </w:p>
        </w:tc>
        <w:tc>
          <w:tcPr>
            <w:tcW w:w="1090" w:type="pct"/>
            <w:vAlign w:val="center"/>
          </w:tcPr>
          <w:p w14:paraId="7062C313">
            <w:pPr>
              <w:pStyle w:val="47"/>
              <w:jc w:val="center"/>
              <w:rPr>
                <w:i w:val="0"/>
                <w:iCs w:val="0"/>
                <w:color w:val="auto"/>
                <w:highlight w:val="none"/>
              </w:rPr>
            </w:pPr>
          </w:p>
        </w:tc>
      </w:tr>
      <w:tr w14:paraId="7994B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0B6F410">
            <w:pPr>
              <w:pStyle w:val="47"/>
              <w:jc w:val="center"/>
              <w:rPr>
                <w:i w:val="0"/>
                <w:iCs w:val="0"/>
                <w:color w:val="auto"/>
                <w:highlight w:val="none"/>
              </w:rPr>
            </w:pPr>
          </w:p>
        </w:tc>
        <w:tc>
          <w:tcPr>
            <w:tcW w:w="1395" w:type="pct"/>
            <w:vAlign w:val="center"/>
          </w:tcPr>
          <w:p w14:paraId="010A1BB0">
            <w:pPr>
              <w:pStyle w:val="47"/>
              <w:jc w:val="center"/>
              <w:rPr>
                <w:i w:val="0"/>
                <w:iCs w:val="0"/>
                <w:color w:val="auto"/>
                <w:highlight w:val="none"/>
              </w:rPr>
            </w:pPr>
          </w:p>
        </w:tc>
        <w:tc>
          <w:tcPr>
            <w:tcW w:w="1002" w:type="pct"/>
            <w:vAlign w:val="center"/>
          </w:tcPr>
          <w:p w14:paraId="1EE22C75">
            <w:pPr>
              <w:pStyle w:val="47"/>
              <w:jc w:val="center"/>
              <w:rPr>
                <w:i w:val="0"/>
                <w:iCs w:val="0"/>
                <w:color w:val="auto"/>
                <w:highlight w:val="none"/>
              </w:rPr>
            </w:pPr>
          </w:p>
        </w:tc>
        <w:tc>
          <w:tcPr>
            <w:tcW w:w="1090" w:type="pct"/>
            <w:vAlign w:val="center"/>
          </w:tcPr>
          <w:p w14:paraId="3C86F2CC">
            <w:pPr>
              <w:pStyle w:val="47"/>
              <w:jc w:val="center"/>
              <w:rPr>
                <w:i w:val="0"/>
                <w:iCs w:val="0"/>
                <w:color w:val="auto"/>
                <w:highlight w:val="none"/>
              </w:rPr>
            </w:pPr>
          </w:p>
        </w:tc>
        <w:tc>
          <w:tcPr>
            <w:tcW w:w="1090" w:type="pct"/>
            <w:vAlign w:val="center"/>
          </w:tcPr>
          <w:p w14:paraId="515EA04E">
            <w:pPr>
              <w:pStyle w:val="47"/>
              <w:jc w:val="center"/>
              <w:rPr>
                <w:i w:val="0"/>
                <w:iCs w:val="0"/>
                <w:color w:val="auto"/>
                <w:highlight w:val="none"/>
              </w:rPr>
            </w:pPr>
          </w:p>
        </w:tc>
      </w:tr>
      <w:tr w14:paraId="2D75C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7EFA1E0">
            <w:pPr>
              <w:pStyle w:val="47"/>
              <w:jc w:val="center"/>
              <w:rPr>
                <w:i w:val="0"/>
                <w:iCs w:val="0"/>
                <w:color w:val="auto"/>
                <w:highlight w:val="none"/>
              </w:rPr>
            </w:pPr>
          </w:p>
        </w:tc>
        <w:tc>
          <w:tcPr>
            <w:tcW w:w="1395" w:type="pct"/>
            <w:vAlign w:val="center"/>
          </w:tcPr>
          <w:p w14:paraId="1C7A6406">
            <w:pPr>
              <w:pStyle w:val="47"/>
              <w:jc w:val="center"/>
              <w:rPr>
                <w:i w:val="0"/>
                <w:iCs w:val="0"/>
                <w:color w:val="auto"/>
                <w:highlight w:val="none"/>
              </w:rPr>
            </w:pPr>
          </w:p>
        </w:tc>
        <w:tc>
          <w:tcPr>
            <w:tcW w:w="1002" w:type="pct"/>
            <w:vAlign w:val="center"/>
          </w:tcPr>
          <w:p w14:paraId="7F774DAF">
            <w:pPr>
              <w:pStyle w:val="47"/>
              <w:jc w:val="center"/>
              <w:rPr>
                <w:i w:val="0"/>
                <w:iCs w:val="0"/>
                <w:color w:val="auto"/>
                <w:highlight w:val="none"/>
              </w:rPr>
            </w:pPr>
          </w:p>
        </w:tc>
        <w:tc>
          <w:tcPr>
            <w:tcW w:w="1090" w:type="pct"/>
            <w:vAlign w:val="center"/>
          </w:tcPr>
          <w:p w14:paraId="66A55C54">
            <w:pPr>
              <w:pStyle w:val="47"/>
              <w:jc w:val="center"/>
              <w:rPr>
                <w:i w:val="0"/>
                <w:iCs w:val="0"/>
                <w:color w:val="auto"/>
                <w:highlight w:val="none"/>
              </w:rPr>
            </w:pPr>
          </w:p>
        </w:tc>
        <w:tc>
          <w:tcPr>
            <w:tcW w:w="1090" w:type="pct"/>
            <w:vAlign w:val="center"/>
          </w:tcPr>
          <w:p w14:paraId="6FC3A7DB">
            <w:pPr>
              <w:pStyle w:val="47"/>
              <w:jc w:val="center"/>
              <w:rPr>
                <w:i w:val="0"/>
                <w:iCs w:val="0"/>
                <w:color w:val="auto"/>
                <w:highlight w:val="none"/>
              </w:rPr>
            </w:pPr>
          </w:p>
        </w:tc>
      </w:tr>
      <w:tr w14:paraId="2B937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trPr>
        <w:tc>
          <w:tcPr>
            <w:tcW w:w="420" w:type="pct"/>
            <w:vAlign w:val="center"/>
          </w:tcPr>
          <w:p w14:paraId="3D84A230">
            <w:pPr>
              <w:pStyle w:val="47"/>
              <w:jc w:val="center"/>
              <w:rPr>
                <w:i w:val="0"/>
                <w:iCs w:val="0"/>
                <w:color w:val="auto"/>
                <w:highlight w:val="none"/>
              </w:rPr>
            </w:pPr>
          </w:p>
        </w:tc>
        <w:tc>
          <w:tcPr>
            <w:tcW w:w="1395" w:type="pct"/>
            <w:vAlign w:val="center"/>
          </w:tcPr>
          <w:p w14:paraId="5A1690B5">
            <w:pPr>
              <w:pStyle w:val="47"/>
              <w:jc w:val="center"/>
              <w:rPr>
                <w:i w:val="0"/>
                <w:iCs w:val="0"/>
                <w:color w:val="auto"/>
                <w:highlight w:val="none"/>
              </w:rPr>
            </w:pPr>
          </w:p>
        </w:tc>
        <w:tc>
          <w:tcPr>
            <w:tcW w:w="1002" w:type="pct"/>
            <w:vAlign w:val="center"/>
          </w:tcPr>
          <w:p w14:paraId="735418C2">
            <w:pPr>
              <w:pStyle w:val="47"/>
              <w:jc w:val="center"/>
              <w:rPr>
                <w:i w:val="0"/>
                <w:iCs w:val="0"/>
                <w:color w:val="auto"/>
                <w:highlight w:val="none"/>
              </w:rPr>
            </w:pPr>
          </w:p>
        </w:tc>
        <w:tc>
          <w:tcPr>
            <w:tcW w:w="1090" w:type="pct"/>
            <w:vAlign w:val="center"/>
          </w:tcPr>
          <w:p w14:paraId="13F6671D">
            <w:pPr>
              <w:pStyle w:val="47"/>
              <w:jc w:val="center"/>
              <w:rPr>
                <w:i w:val="0"/>
                <w:iCs w:val="0"/>
                <w:color w:val="auto"/>
                <w:highlight w:val="none"/>
              </w:rPr>
            </w:pPr>
          </w:p>
        </w:tc>
        <w:tc>
          <w:tcPr>
            <w:tcW w:w="1090" w:type="pct"/>
            <w:vAlign w:val="center"/>
          </w:tcPr>
          <w:p w14:paraId="3DC0B3BB">
            <w:pPr>
              <w:pStyle w:val="47"/>
              <w:jc w:val="center"/>
              <w:rPr>
                <w:i w:val="0"/>
                <w:iCs w:val="0"/>
                <w:color w:val="auto"/>
                <w:highlight w:val="none"/>
              </w:rPr>
            </w:pPr>
          </w:p>
        </w:tc>
      </w:tr>
      <w:tr w14:paraId="79F3B2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20" w:type="pct"/>
            <w:vAlign w:val="center"/>
          </w:tcPr>
          <w:p w14:paraId="71E185D4">
            <w:pPr>
              <w:pStyle w:val="47"/>
              <w:jc w:val="center"/>
              <w:rPr>
                <w:i w:val="0"/>
                <w:iCs w:val="0"/>
                <w:color w:val="auto"/>
                <w:highlight w:val="none"/>
              </w:rPr>
            </w:pPr>
            <w:r>
              <w:rPr>
                <w:rFonts w:hint="eastAsia"/>
                <w:i w:val="0"/>
                <w:iCs w:val="0"/>
                <w:color w:val="auto"/>
                <w:highlight w:val="none"/>
              </w:rPr>
              <w:t>……</w:t>
            </w:r>
          </w:p>
        </w:tc>
        <w:tc>
          <w:tcPr>
            <w:tcW w:w="1395" w:type="pct"/>
            <w:vAlign w:val="center"/>
          </w:tcPr>
          <w:p w14:paraId="6324A49D">
            <w:pPr>
              <w:pStyle w:val="47"/>
              <w:jc w:val="center"/>
              <w:rPr>
                <w:i w:val="0"/>
                <w:iCs w:val="0"/>
                <w:color w:val="auto"/>
                <w:highlight w:val="none"/>
              </w:rPr>
            </w:pPr>
            <w:r>
              <w:rPr>
                <w:rFonts w:hint="eastAsia"/>
                <w:i w:val="0"/>
                <w:iCs w:val="0"/>
                <w:color w:val="auto"/>
                <w:highlight w:val="none"/>
              </w:rPr>
              <w:t>…………</w:t>
            </w:r>
          </w:p>
        </w:tc>
        <w:tc>
          <w:tcPr>
            <w:tcW w:w="1002" w:type="pct"/>
            <w:vAlign w:val="center"/>
          </w:tcPr>
          <w:p w14:paraId="0EE83785">
            <w:pPr>
              <w:pStyle w:val="47"/>
              <w:jc w:val="center"/>
              <w:rPr>
                <w:i w:val="0"/>
                <w:iCs w:val="0"/>
                <w:color w:val="auto"/>
                <w:highlight w:val="none"/>
              </w:rPr>
            </w:pPr>
            <w:r>
              <w:rPr>
                <w:rFonts w:hint="eastAsia"/>
                <w:i w:val="0"/>
                <w:iCs w:val="0"/>
                <w:color w:val="auto"/>
                <w:highlight w:val="none"/>
              </w:rPr>
              <w:t>…………</w:t>
            </w:r>
          </w:p>
        </w:tc>
        <w:tc>
          <w:tcPr>
            <w:tcW w:w="1090" w:type="pct"/>
            <w:vAlign w:val="center"/>
          </w:tcPr>
          <w:p w14:paraId="7A24BB2D">
            <w:pPr>
              <w:pStyle w:val="47"/>
              <w:jc w:val="center"/>
              <w:rPr>
                <w:i w:val="0"/>
                <w:iCs w:val="0"/>
                <w:color w:val="auto"/>
                <w:highlight w:val="none"/>
              </w:rPr>
            </w:pPr>
            <w:r>
              <w:rPr>
                <w:rFonts w:hint="eastAsia"/>
                <w:i w:val="0"/>
                <w:iCs w:val="0"/>
                <w:color w:val="auto"/>
                <w:highlight w:val="none"/>
              </w:rPr>
              <w:t>……</w:t>
            </w:r>
          </w:p>
        </w:tc>
        <w:tc>
          <w:tcPr>
            <w:tcW w:w="1090" w:type="pct"/>
            <w:vAlign w:val="center"/>
          </w:tcPr>
          <w:p w14:paraId="7CC08218">
            <w:pPr>
              <w:pStyle w:val="47"/>
              <w:jc w:val="center"/>
              <w:rPr>
                <w:i w:val="0"/>
                <w:iCs w:val="0"/>
                <w:color w:val="auto"/>
                <w:highlight w:val="none"/>
              </w:rPr>
            </w:pPr>
          </w:p>
        </w:tc>
      </w:tr>
    </w:tbl>
    <w:p w14:paraId="18714C0C">
      <w:pPr>
        <w:ind w:firstLine="480" w:firstLineChars="200"/>
        <w:rPr>
          <w:rFonts w:hint="eastAsia" w:cs="仿宋_GB2312"/>
          <w:i w:val="0"/>
          <w:iCs w:val="0"/>
          <w:color w:val="auto"/>
          <w:szCs w:val="24"/>
          <w:highlight w:val="none"/>
        </w:rPr>
      </w:pPr>
    </w:p>
    <w:p w14:paraId="5CB06622">
      <w:pPr>
        <w:ind w:firstLine="480" w:firstLineChars="200"/>
        <w:rPr>
          <w:rFonts w:cs="仿宋_GB2312"/>
          <w:i w:val="0"/>
          <w:iCs w:val="0"/>
          <w:color w:val="auto"/>
          <w:szCs w:val="24"/>
          <w:highlight w:val="none"/>
        </w:rPr>
      </w:pPr>
    </w:p>
    <w:p w14:paraId="05D78CF2">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25E73299">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72BF54C6">
      <w:pPr>
        <w:ind w:firstLine="420"/>
        <w:rPr>
          <w:rFonts w:cs="仿宋_GB2312"/>
          <w:i w:val="0"/>
          <w:iCs w:val="0"/>
          <w:color w:val="auto"/>
          <w:szCs w:val="24"/>
          <w:highlight w:val="none"/>
        </w:rPr>
      </w:pPr>
    </w:p>
    <w:p w14:paraId="3F428C59">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中的商务要求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16749689">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1.“竞争性磋商文件的商务条款”栏应详细列明竞争性磋商文件中的商务要求。 </w:t>
      </w:r>
    </w:p>
    <w:p w14:paraId="5CB91061">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2.“响应文件的响应内容”栏填写供应商对竞争性磋商文件提出的商务条款作出的明确响应，并列明具体响应数值或内容，只注明符合、满足等无具体内容表述的，将视为未实质性满足竞争性磋商文件要求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0F35024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5B002B53">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4.“说明及索引”栏可填写偏离情况的具体说明及索引。</w:t>
      </w:r>
    </w:p>
    <w:p w14:paraId="598C43A6">
      <w:pPr>
        <w:ind w:firstLine="420"/>
        <w:rPr>
          <w:rFonts w:cs="仿宋_GB2312"/>
          <w:i w:val="0"/>
          <w:iCs w:val="0"/>
          <w:color w:val="auto"/>
          <w:szCs w:val="24"/>
          <w:highlight w:val="none"/>
        </w:rPr>
      </w:pPr>
      <w:r>
        <w:rPr>
          <w:rFonts w:hint="eastAsia" w:cs="仿宋_GB2312"/>
          <w:color w:val="auto"/>
          <w:sz w:val="21"/>
          <w:szCs w:val="21"/>
          <w:highlight w:val="none"/>
          <w:lang w:val="en-US" w:eastAsia="zh-CN"/>
        </w:rPr>
        <w:t>5.对竞争性磋商文件中的所有商务要求，除本表所列明的所有偏离外，均视作供应商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Cs w:val="24"/>
          <w:highlight w:val="none"/>
        </w:rPr>
        <w:br w:type="page"/>
      </w:r>
    </w:p>
    <w:p w14:paraId="3BEF2EC6">
      <w:pPr>
        <w:keepNext w:val="0"/>
        <w:keepLines w:val="0"/>
        <w:pageBreakBefore w:val="0"/>
        <w:widowControl w:val="0"/>
        <w:kinsoku/>
        <w:wordWrap/>
        <w:overflowPunct/>
        <w:topLinePunct w:val="0"/>
        <w:autoSpaceDE/>
        <w:autoSpaceDN/>
        <w:bidi w:val="0"/>
        <w:adjustRightInd/>
        <w:snapToGrid/>
        <w:spacing w:line="500" w:lineRule="exact"/>
        <w:textAlignment w:val="auto"/>
        <w:rPr>
          <w:rFonts w:hint="eastAsia" w:ascii="等线 Light" w:hAnsi="等线 Light" w:eastAsia="宋体" w:cs="宋体"/>
          <w:b/>
          <w:bCs/>
          <w:i w:val="0"/>
          <w:iCs w:val="0"/>
          <w:color w:val="auto"/>
          <w:kern w:val="2"/>
          <w:sz w:val="28"/>
          <w:szCs w:val="28"/>
          <w:highlight w:val="none"/>
          <w:lang w:val="en-US" w:eastAsia="zh-CN" w:bidi="ar-SA"/>
        </w:rPr>
      </w:pPr>
      <w:bookmarkStart w:id="702" w:name="_Toc163492930"/>
    </w:p>
    <w:p w14:paraId="287724FC">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3" w:name="_Toc20003"/>
      <w:r>
        <w:rPr>
          <w:rFonts w:hint="eastAsia" w:cs="宋体"/>
          <w:b/>
          <w:bCs/>
          <w:i w:val="0"/>
          <w:iCs w:val="0"/>
          <w:color w:val="auto"/>
          <w:kern w:val="2"/>
          <w:sz w:val="32"/>
          <w:szCs w:val="32"/>
          <w:highlight w:val="none"/>
          <w:lang w:val="en-US" w:eastAsia="zh-CN" w:bidi="ar-SA"/>
        </w:rPr>
        <w:t>七</w:t>
      </w:r>
      <w:r>
        <w:rPr>
          <w:rFonts w:hint="eastAsia" w:ascii="等线 Light" w:hAnsi="等线 Light" w:eastAsia="宋体" w:cs="宋体"/>
          <w:b/>
          <w:bCs/>
          <w:i w:val="0"/>
          <w:iCs w:val="0"/>
          <w:color w:val="auto"/>
          <w:kern w:val="2"/>
          <w:sz w:val="32"/>
          <w:szCs w:val="32"/>
          <w:highlight w:val="none"/>
          <w:lang w:val="en-US" w:eastAsia="zh-CN" w:bidi="ar-SA"/>
        </w:rPr>
        <w:t>、业绩证明文件</w:t>
      </w:r>
      <w:bookmarkEnd w:id="702"/>
      <w:bookmarkEnd w:id="703"/>
    </w:p>
    <w:p w14:paraId="4541380C">
      <w:pPr>
        <w:rPr>
          <w:rFonts w:cs="仿宋_GB2312"/>
          <w:i w:val="0"/>
          <w:iCs w:val="0"/>
          <w:color w:val="auto"/>
          <w:szCs w:val="24"/>
          <w:highlight w:val="none"/>
        </w:rPr>
      </w:pPr>
      <w:r>
        <w:rPr>
          <w:rFonts w:cs="Arial"/>
          <w:bCs/>
          <w:i w:val="0"/>
          <w:iCs w:val="0"/>
          <w:color w:val="auto"/>
          <w:szCs w:val="21"/>
          <w:highlight w:val="none"/>
        </w:rPr>
        <w:fldChar w:fldCharType="begin"/>
      </w:r>
      <w:r>
        <w:rPr>
          <w:rFonts w:cs="Arial"/>
          <w:bCs/>
          <w:i w:val="0"/>
          <w:iCs w:val="0"/>
          <w:color w:val="auto"/>
          <w:szCs w:val="21"/>
          <w:highlight w:val="none"/>
        </w:rPr>
        <w:instrText xml:space="preserve"> LINK Word.Document.8 "D:\\音乐厅\\4通用设备\\招标文件\\音乐厅空调设备招标文件v1.0.doc" "OLE_LINK8" \r  \* MERGEFORMAT </w:instrText>
      </w:r>
      <w:r>
        <w:rPr>
          <w:rFonts w:cs="Arial"/>
          <w:bCs/>
          <w:i w:val="0"/>
          <w:iCs w:val="0"/>
          <w:color w:val="auto"/>
          <w:szCs w:val="21"/>
          <w:highlight w:val="none"/>
        </w:rPr>
        <w:fldChar w:fldCharType="separate"/>
      </w:r>
      <w:r>
        <w:rPr>
          <w:rFonts w:hint="eastAsia" w:cs="仿宋_GB2312"/>
          <w:i w:val="0"/>
          <w:iCs w:val="0"/>
          <w:color w:val="auto"/>
          <w:szCs w:val="24"/>
          <w:highlight w:val="none"/>
        </w:rPr>
        <w:t xml:space="preserve">项目名称：                                         </w:t>
      </w:r>
    </w:p>
    <w:p w14:paraId="159B24BA">
      <w:pPr>
        <w:rPr>
          <w:rFonts w:cs="Arial"/>
          <w:bCs/>
          <w:i w:val="0"/>
          <w:iCs w:val="0"/>
          <w:color w:val="auto"/>
          <w:szCs w:val="21"/>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/包号</w:t>
      </w:r>
      <w:r>
        <w:rPr>
          <w:rFonts w:hint="eastAsia" w:cs="仿宋_GB2312"/>
          <w:i w:val="0"/>
          <w:iCs w:val="0"/>
          <w:color w:val="auto"/>
          <w:szCs w:val="24"/>
          <w:highlight w:val="none"/>
        </w:rPr>
        <w:t xml:space="preserve">：      </w:t>
      </w:r>
      <w:r>
        <w:rPr>
          <w:rFonts w:cs="Arial"/>
          <w:bCs/>
          <w:i w:val="0"/>
          <w:iCs w:val="0"/>
          <w:color w:val="auto"/>
          <w:szCs w:val="21"/>
          <w:highlight w:val="none"/>
        </w:rPr>
        <w:fldChar w:fldCharType="end"/>
      </w:r>
    </w:p>
    <w:tbl>
      <w:tblPr>
        <w:tblStyle w:val="30"/>
        <w:tblW w:w="9037" w:type="dxa"/>
        <w:tblInd w:w="-34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1"/>
        <w:gridCol w:w="1277"/>
        <w:gridCol w:w="1317"/>
        <w:gridCol w:w="1543"/>
        <w:gridCol w:w="1540"/>
        <w:gridCol w:w="1530"/>
        <w:gridCol w:w="1019"/>
      </w:tblGrid>
      <w:tr w14:paraId="387D3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E9572F9">
            <w:pPr>
              <w:jc w:val="center"/>
              <w:rPr>
                <w:rFonts w:cs="仿宋_GB2312"/>
                <w:i w:val="0"/>
                <w:iCs w:val="0"/>
                <w:color w:val="auto"/>
                <w:sz w:val="24"/>
                <w:szCs w:val="24"/>
                <w:highlight w:val="none"/>
              </w:rPr>
            </w:pPr>
            <w:bookmarkStart w:id="704" w:name="_Hlk46779239"/>
            <w:r>
              <w:rPr>
                <w:rFonts w:hint="eastAsia" w:cs="仿宋_GB2312"/>
                <w:i w:val="0"/>
                <w:iCs w:val="0"/>
                <w:color w:val="auto"/>
                <w:sz w:val="24"/>
                <w:szCs w:val="24"/>
                <w:highlight w:val="none"/>
              </w:rPr>
              <w:t>序号</w:t>
            </w:r>
          </w:p>
        </w:tc>
        <w:tc>
          <w:tcPr>
            <w:tcW w:w="1277" w:type="dxa"/>
            <w:shd w:val="clear" w:color="auto" w:fill="auto"/>
            <w:vAlign w:val="center"/>
          </w:tcPr>
          <w:p w14:paraId="51F55A40">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rPr>
              <w:t>项目名称</w:t>
            </w:r>
          </w:p>
        </w:tc>
        <w:tc>
          <w:tcPr>
            <w:tcW w:w="1317" w:type="dxa"/>
            <w:shd w:val="clear" w:color="auto" w:fill="auto"/>
            <w:vAlign w:val="center"/>
          </w:tcPr>
          <w:p w14:paraId="4D5C38D5">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标的</w:t>
            </w:r>
            <w:r>
              <w:rPr>
                <w:rFonts w:hint="eastAsia" w:ascii="宋体" w:hAnsi="宋体" w:eastAsia="宋体" w:cs="宋体"/>
                <w:color w:val="auto"/>
                <w:sz w:val="21"/>
                <w:szCs w:val="21"/>
                <w:highlight w:val="none"/>
              </w:rPr>
              <w:t>内容</w:t>
            </w:r>
          </w:p>
        </w:tc>
        <w:tc>
          <w:tcPr>
            <w:tcW w:w="1543" w:type="dxa"/>
            <w:shd w:val="clear" w:color="auto" w:fill="auto"/>
            <w:vAlign w:val="center"/>
          </w:tcPr>
          <w:p w14:paraId="69717F2A">
            <w:pPr>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采购人</w:t>
            </w:r>
            <w:r>
              <w:rPr>
                <w:rFonts w:hint="eastAsia" w:ascii="宋体" w:hAnsi="宋体" w:eastAsia="宋体" w:cs="宋体"/>
                <w:color w:val="auto"/>
                <w:sz w:val="21"/>
                <w:szCs w:val="21"/>
                <w:highlight w:val="none"/>
              </w:rPr>
              <w:t>名称</w:t>
            </w:r>
          </w:p>
        </w:tc>
        <w:tc>
          <w:tcPr>
            <w:tcW w:w="1540" w:type="dxa"/>
            <w:shd w:val="clear" w:color="auto" w:fill="auto"/>
            <w:vAlign w:val="center"/>
          </w:tcPr>
          <w:p w14:paraId="57C35070">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中标（成交）金额</w:t>
            </w:r>
          </w:p>
        </w:tc>
        <w:tc>
          <w:tcPr>
            <w:tcW w:w="1530" w:type="dxa"/>
            <w:shd w:val="clear" w:color="auto" w:fill="auto"/>
            <w:vAlign w:val="center"/>
          </w:tcPr>
          <w:p w14:paraId="61EB4103">
            <w:pPr>
              <w:spacing w:line="240" w:lineRule="auto"/>
              <w:jc w:val="center"/>
              <w:rPr>
                <w:rFonts w:hint="eastAsia" w:ascii="宋体" w:hAnsi="宋体" w:eastAsia="宋体" w:cs="宋体"/>
                <w:color w:val="auto"/>
                <w:kern w:val="2"/>
                <w:sz w:val="21"/>
                <w:szCs w:val="21"/>
                <w:highlight w:val="none"/>
                <w:lang w:val="en-US" w:eastAsia="zh-CN" w:bidi="ar-SA"/>
              </w:rPr>
            </w:pPr>
            <w:r>
              <w:rPr>
                <w:rFonts w:hint="eastAsia" w:cs="宋体"/>
                <w:color w:val="auto"/>
                <w:kern w:val="2"/>
                <w:sz w:val="21"/>
                <w:szCs w:val="21"/>
                <w:highlight w:val="none"/>
                <w:lang w:val="en-US" w:eastAsia="zh-CN" w:bidi="ar-SA"/>
              </w:rPr>
              <w:t>采购合同签订时间</w:t>
            </w:r>
          </w:p>
        </w:tc>
        <w:tc>
          <w:tcPr>
            <w:tcW w:w="1019" w:type="dxa"/>
            <w:shd w:val="clear" w:color="auto" w:fill="auto"/>
            <w:vAlign w:val="center"/>
          </w:tcPr>
          <w:p w14:paraId="01352CB9">
            <w:pPr>
              <w:jc w:val="center"/>
              <w:rPr>
                <w:rFonts w:hint="eastAsia" w:ascii="宋体" w:hAnsi="宋体" w:eastAsia="宋体" w:cs="宋体"/>
                <w:color w:val="auto"/>
                <w:kern w:val="2"/>
                <w:sz w:val="21"/>
                <w:szCs w:val="21"/>
                <w:highlight w:val="none"/>
                <w:lang w:val="en-US" w:eastAsia="zh-CN" w:bidi="ar-SA"/>
              </w:rPr>
            </w:pPr>
            <w:r>
              <w:rPr>
                <w:rFonts w:hint="eastAsia" w:cs="宋体"/>
                <w:color w:val="auto"/>
                <w:sz w:val="21"/>
                <w:szCs w:val="21"/>
                <w:highlight w:val="none"/>
                <w:lang w:val="en-US" w:eastAsia="zh-CN"/>
              </w:rPr>
              <w:t>备注</w:t>
            </w:r>
          </w:p>
        </w:tc>
      </w:tr>
      <w:tr w14:paraId="25958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27508E81">
            <w:pPr>
              <w:jc w:val="center"/>
              <w:rPr>
                <w:rFonts w:cs="仿宋_GB2312"/>
                <w:i w:val="0"/>
                <w:iCs w:val="0"/>
                <w:color w:val="auto"/>
                <w:sz w:val="24"/>
                <w:szCs w:val="24"/>
                <w:highlight w:val="none"/>
              </w:rPr>
            </w:pPr>
            <w:r>
              <w:rPr>
                <w:rFonts w:hint="eastAsia" w:cs="仿宋_GB2312"/>
                <w:i w:val="0"/>
                <w:iCs w:val="0"/>
                <w:color w:val="auto"/>
                <w:sz w:val="24"/>
                <w:szCs w:val="24"/>
                <w:highlight w:val="none"/>
              </w:rPr>
              <w:t>1</w:t>
            </w:r>
          </w:p>
        </w:tc>
        <w:tc>
          <w:tcPr>
            <w:tcW w:w="1277" w:type="dxa"/>
            <w:vAlign w:val="center"/>
          </w:tcPr>
          <w:p w14:paraId="27562AF7">
            <w:pPr>
              <w:rPr>
                <w:rFonts w:cs="仿宋_GB2312"/>
                <w:i w:val="0"/>
                <w:iCs w:val="0"/>
                <w:color w:val="auto"/>
                <w:sz w:val="24"/>
                <w:szCs w:val="24"/>
                <w:highlight w:val="none"/>
              </w:rPr>
            </w:pPr>
          </w:p>
        </w:tc>
        <w:tc>
          <w:tcPr>
            <w:tcW w:w="1317" w:type="dxa"/>
            <w:vAlign w:val="center"/>
          </w:tcPr>
          <w:p w14:paraId="02799269">
            <w:pPr>
              <w:rPr>
                <w:rFonts w:cs="仿宋_GB2312"/>
                <w:i w:val="0"/>
                <w:iCs w:val="0"/>
                <w:color w:val="auto"/>
                <w:sz w:val="24"/>
                <w:szCs w:val="24"/>
                <w:highlight w:val="none"/>
              </w:rPr>
            </w:pPr>
          </w:p>
        </w:tc>
        <w:tc>
          <w:tcPr>
            <w:tcW w:w="1543" w:type="dxa"/>
            <w:vAlign w:val="center"/>
          </w:tcPr>
          <w:p w14:paraId="6449ADDF">
            <w:pPr>
              <w:rPr>
                <w:rFonts w:cs="仿宋_GB2312"/>
                <w:i w:val="0"/>
                <w:iCs w:val="0"/>
                <w:color w:val="auto"/>
                <w:sz w:val="24"/>
                <w:szCs w:val="24"/>
                <w:highlight w:val="none"/>
              </w:rPr>
            </w:pPr>
          </w:p>
        </w:tc>
        <w:tc>
          <w:tcPr>
            <w:tcW w:w="1540" w:type="dxa"/>
            <w:vAlign w:val="center"/>
          </w:tcPr>
          <w:p w14:paraId="183C0714">
            <w:pPr>
              <w:rPr>
                <w:rFonts w:cs="仿宋_GB2312"/>
                <w:i w:val="0"/>
                <w:iCs w:val="0"/>
                <w:color w:val="auto"/>
                <w:sz w:val="24"/>
                <w:szCs w:val="24"/>
                <w:highlight w:val="none"/>
              </w:rPr>
            </w:pPr>
          </w:p>
        </w:tc>
        <w:tc>
          <w:tcPr>
            <w:tcW w:w="1530" w:type="dxa"/>
            <w:vAlign w:val="center"/>
          </w:tcPr>
          <w:p w14:paraId="4F169081">
            <w:pPr>
              <w:rPr>
                <w:rFonts w:cs="仿宋_GB2312"/>
                <w:i w:val="0"/>
                <w:iCs w:val="0"/>
                <w:color w:val="auto"/>
                <w:sz w:val="24"/>
                <w:szCs w:val="24"/>
                <w:highlight w:val="none"/>
              </w:rPr>
            </w:pPr>
          </w:p>
        </w:tc>
        <w:tc>
          <w:tcPr>
            <w:tcW w:w="1019" w:type="dxa"/>
            <w:vAlign w:val="center"/>
          </w:tcPr>
          <w:p w14:paraId="2A8AB713">
            <w:pPr>
              <w:rPr>
                <w:rFonts w:cs="仿宋_GB2312"/>
                <w:i w:val="0"/>
                <w:iCs w:val="0"/>
                <w:color w:val="auto"/>
                <w:sz w:val="24"/>
                <w:szCs w:val="24"/>
                <w:highlight w:val="none"/>
              </w:rPr>
            </w:pPr>
          </w:p>
        </w:tc>
      </w:tr>
      <w:tr w14:paraId="79366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A21BB39">
            <w:pPr>
              <w:jc w:val="center"/>
              <w:rPr>
                <w:rFonts w:cs="仿宋_GB2312"/>
                <w:i w:val="0"/>
                <w:iCs w:val="0"/>
                <w:color w:val="auto"/>
                <w:sz w:val="24"/>
                <w:szCs w:val="24"/>
                <w:highlight w:val="none"/>
              </w:rPr>
            </w:pPr>
            <w:r>
              <w:rPr>
                <w:rFonts w:hint="eastAsia" w:cs="仿宋_GB2312"/>
                <w:i w:val="0"/>
                <w:iCs w:val="0"/>
                <w:color w:val="auto"/>
                <w:sz w:val="24"/>
                <w:szCs w:val="24"/>
                <w:highlight w:val="none"/>
              </w:rPr>
              <w:t>2</w:t>
            </w:r>
          </w:p>
        </w:tc>
        <w:tc>
          <w:tcPr>
            <w:tcW w:w="1277" w:type="dxa"/>
            <w:vAlign w:val="center"/>
          </w:tcPr>
          <w:p w14:paraId="7CA4B3F3">
            <w:pPr>
              <w:rPr>
                <w:rFonts w:cs="仿宋_GB2312"/>
                <w:i w:val="0"/>
                <w:iCs w:val="0"/>
                <w:color w:val="auto"/>
                <w:sz w:val="24"/>
                <w:szCs w:val="24"/>
                <w:highlight w:val="none"/>
              </w:rPr>
            </w:pPr>
          </w:p>
        </w:tc>
        <w:tc>
          <w:tcPr>
            <w:tcW w:w="1317" w:type="dxa"/>
            <w:vAlign w:val="center"/>
          </w:tcPr>
          <w:p w14:paraId="59CCECB1">
            <w:pPr>
              <w:rPr>
                <w:rFonts w:cs="仿宋_GB2312"/>
                <w:i w:val="0"/>
                <w:iCs w:val="0"/>
                <w:color w:val="auto"/>
                <w:sz w:val="24"/>
                <w:szCs w:val="24"/>
                <w:highlight w:val="none"/>
              </w:rPr>
            </w:pPr>
          </w:p>
        </w:tc>
        <w:tc>
          <w:tcPr>
            <w:tcW w:w="1543" w:type="dxa"/>
            <w:vAlign w:val="center"/>
          </w:tcPr>
          <w:p w14:paraId="4E8043C4">
            <w:pPr>
              <w:rPr>
                <w:rFonts w:cs="仿宋_GB2312"/>
                <w:i w:val="0"/>
                <w:iCs w:val="0"/>
                <w:color w:val="auto"/>
                <w:sz w:val="24"/>
                <w:szCs w:val="24"/>
                <w:highlight w:val="none"/>
              </w:rPr>
            </w:pPr>
          </w:p>
        </w:tc>
        <w:tc>
          <w:tcPr>
            <w:tcW w:w="1540" w:type="dxa"/>
            <w:vAlign w:val="center"/>
          </w:tcPr>
          <w:p w14:paraId="2E195778">
            <w:pPr>
              <w:rPr>
                <w:rFonts w:cs="仿宋_GB2312"/>
                <w:i w:val="0"/>
                <w:iCs w:val="0"/>
                <w:color w:val="auto"/>
                <w:sz w:val="24"/>
                <w:szCs w:val="24"/>
                <w:highlight w:val="none"/>
              </w:rPr>
            </w:pPr>
          </w:p>
        </w:tc>
        <w:tc>
          <w:tcPr>
            <w:tcW w:w="1530" w:type="dxa"/>
            <w:vAlign w:val="center"/>
          </w:tcPr>
          <w:p w14:paraId="49A8CC13">
            <w:pPr>
              <w:rPr>
                <w:rFonts w:cs="仿宋_GB2312"/>
                <w:i w:val="0"/>
                <w:iCs w:val="0"/>
                <w:color w:val="auto"/>
                <w:sz w:val="24"/>
                <w:szCs w:val="24"/>
                <w:highlight w:val="none"/>
              </w:rPr>
            </w:pPr>
          </w:p>
        </w:tc>
        <w:tc>
          <w:tcPr>
            <w:tcW w:w="1019" w:type="dxa"/>
            <w:vAlign w:val="center"/>
          </w:tcPr>
          <w:p w14:paraId="53112435">
            <w:pPr>
              <w:rPr>
                <w:rFonts w:cs="仿宋_GB2312"/>
                <w:i w:val="0"/>
                <w:iCs w:val="0"/>
                <w:color w:val="auto"/>
                <w:sz w:val="24"/>
                <w:szCs w:val="24"/>
                <w:highlight w:val="none"/>
              </w:rPr>
            </w:pPr>
          </w:p>
        </w:tc>
      </w:tr>
      <w:tr w14:paraId="624A4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4428D324">
            <w:pPr>
              <w:jc w:val="center"/>
              <w:rPr>
                <w:rFonts w:cs="仿宋_GB2312"/>
                <w:i w:val="0"/>
                <w:iCs w:val="0"/>
                <w:color w:val="auto"/>
                <w:sz w:val="24"/>
                <w:szCs w:val="24"/>
                <w:highlight w:val="none"/>
              </w:rPr>
            </w:pPr>
            <w:r>
              <w:rPr>
                <w:rFonts w:hint="eastAsia" w:cs="仿宋_GB2312"/>
                <w:i w:val="0"/>
                <w:iCs w:val="0"/>
                <w:color w:val="auto"/>
                <w:sz w:val="24"/>
                <w:szCs w:val="24"/>
                <w:highlight w:val="none"/>
              </w:rPr>
              <w:t>3</w:t>
            </w:r>
          </w:p>
        </w:tc>
        <w:tc>
          <w:tcPr>
            <w:tcW w:w="1277" w:type="dxa"/>
            <w:vAlign w:val="center"/>
          </w:tcPr>
          <w:p w14:paraId="46AEF6AC">
            <w:pPr>
              <w:rPr>
                <w:rFonts w:cs="仿宋_GB2312"/>
                <w:i w:val="0"/>
                <w:iCs w:val="0"/>
                <w:color w:val="auto"/>
                <w:sz w:val="24"/>
                <w:szCs w:val="24"/>
                <w:highlight w:val="none"/>
              </w:rPr>
            </w:pPr>
          </w:p>
        </w:tc>
        <w:tc>
          <w:tcPr>
            <w:tcW w:w="1317" w:type="dxa"/>
            <w:vAlign w:val="center"/>
          </w:tcPr>
          <w:p w14:paraId="601B0208">
            <w:pPr>
              <w:rPr>
                <w:rFonts w:cs="仿宋_GB2312"/>
                <w:i w:val="0"/>
                <w:iCs w:val="0"/>
                <w:color w:val="auto"/>
                <w:sz w:val="24"/>
                <w:szCs w:val="24"/>
                <w:highlight w:val="none"/>
              </w:rPr>
            </w:pPr>
          </w:p>
        </w:tc>
        <w:tc>
          <w:tcPr>
            <w:tcW w:w="1543" w:type="dxa"/>
            <w:vAlign w:val="center"/>
          </w:tcPr>
          <w:p w14:paraId="56885EE6">
            <w:pPr>
              <w:rPr>
                <w:rFonts w:cs="仿宋_GB2312"/>
                <w:i w:val="0"/>
                <w:iCs w:val="0"/>
                <w:color w:val="auto"/>
                <w:sz w:val="24"/>
                <w:szCs w:val="24"/>
                <w:highlight w:val="none"/>
              </w:rPr>
            </w:pPr>
          </w:p>
        </w:tc>
        <w:tc>
          <w:tcPr>
            <w:tcW w:w="1540" w:type="dxa"/>
            <w:vAlign w:val="center"/>
          </w:tcPr>
          <w:p w14:paraId="00552B19">
            <w:pPr>
              <w:rPr>
                <w:rFonts w:cs="仿宋_GB2312"/>
                <w:i w:val="0"/>
                <w:iCs w:val="0"/>
                <w:color w:val="auto"/>
                <w:sz w:val="24"/>
                <w:szCs w:val="24"/>
                <w:highlight w:val="none"/>
              </w:rPr>
            </w:pPr>
          </w:p>
        </w:tc>
        <w:tc>
          <w:tcPr>
            <w:tcW w:w="1530" w:type="dxa"/>
            <w:vAlign w:val="center"/>
          </w:tcPr>
          <w:p w14:paraId="77BC6128">
            <w:pPr>
              <w:rPr>
                <w:rFonts w:cs="仿宋_GB2312"/>
                <w:i w:val="0"/>
                <w:iCs w:val="0"/>
                <w:color w:val="auto"/>
                <w:sz w:val="24"/>
                <w:szCs w:val="24"/>
                <w:highlight w:val="none"/>
              </w:rPr>
            </w:pPr>
          </w:p>
        </w:tc>
        <w:tc>
          <w:tcPr>
            <w:tcW w:w="1019" w:type="dxa"/>
            <w:vAlign w:val="center"/>
          </w:tcPr>
          <w:p w14:paraId="67F6B017">
            <w:pPr>
              <w:rPr>
                <w:rFonts w:cs="仿宋_GB2312"/>
                <w:i w:val="0"/>
                <w:iCs w:val="0"/>
                <w:color w:val="auto"/>
                <w:sz w:val="24"/>
                <w:szCs w:val="24"/>
                <w:highlight w:val="none"/>
              </w:rPr>
            </w:pPr>
          </w:p>
        </w:tc>
      </w:tr>
      <w:tr w14:paraId="7BDD7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0B3A1FEF">
            <w:pPr>
              <w:jc w:val="center"/>
              <w:rPr>
                <w:rFonts w:hint="eastAsia" w:eastAsia="宋体" w:cs="仿宋_GB2312"/>
                <w:i w:val="0"/>
                <w:iCs w:val="0"/>
                <w:color w:val="auto"/>
                <w:sz w:val="24"/>
                <w:szCs w:val="24"/>
                <w:highlight w:val="none"/>
                <w:lang w:val="en-US" w:eastAsia="zh-CN"/>
              </w:rPr>
            </w:pPr>
            <w:r>
              <w:rPr>
                <w:rFonts w:hint="eastAsia" w:cs="仿宋_GB2312"/>
                <w:i w:val="0"/>
                <w:iCs w:val="0"/>
                <w:color w:val="auto"/>
                <w:sz w:val="24"/>
                <w:szCs w:val="24"/>
                <w:highlight w:val="none"/>
                <w:lang w:val="en-US" w:eastAsia="zh-CN"/>
              </w:rPr>
              <w:t>4</w:t>
            </w:r>
          </w:p>
        </w:tc>
        <w:tc>
          <w:tcPr>
            <w:tcW w:w="1277" w:type="dxa"/>
            <w:vAlign w:val="center"/>
          </w:tcPr>
          <w:p w14:paraId="65FA0920">
            <w:pPr>
              <w:rPr>
                <w:rFonts w:cs="仿宋_GB2312"/>
                <w:i w:val="0"/>
                <w:iCs w:val="0"/>
                <w:color w:val="auto"/>
                <w:sz w:val="24"/>
                <w:szCs w:val="24"/>
                <w:highlight w:val="none"/>
              </w:rPr>
            </w:pPr>
          </w:p>
        </w:tc>
        <w:tc>
          <w:tcPr>
            <w:tcW w:w="1317" w:type="dxa"/>
            <w:vAlign w:val="center"/>
          </w:tcPr>
          <w:p w14:paraId="6DD5DB71">
            <w:pPr>
              <w:rPr>
                <w:rFonts w:cs="仿宋_GB2312"/>
                <w:i w:val="0"/>
                <w:iCs w:val="0"/>
                <w:color w:val="auto"/>
                <w:sz w:val="24"/>
                <w:szCs w:val="24"/>
                <w:highlight w:val="none"/>
              </w:rPr>
            </w:pPr>
          </w:p>
        </w:tc>
        <w:tc>
          <w:tcPr>
            <w:tcW w:w="1543" w:type="dxa"/>
            <w:vAlign w:val="center"/>
          </w:tcPr>
          <w:p w14:paraId="398CC022">
            <w:pPr>
              <w:rPr>
                <w:rFonts w:cs="仿宋_GB2312"/>
                <w:i w:val="0"/>
                <w:iCs w:val="0"/>
                <w:color w:val="auto"/>
                <w:sz w:val="24"/>
                <w:szCs w:val="24"/>
                <w:highlight w:val="none"/>
              </w:rPr>
            </w:pPr>
          </w:p>
        </w:tc>
        <w:tc>
          <w:tcPr>
            <w:tcW w:w="1540" w:type="dxa"/>
            <w:vAlign w:val="center"/>
          </w:tcPr>
          <w:p w14:paraId="1A75EF0D">
            <w:pPr>
              <w:rPr>
                <w:rFonts w:cs="仿宋_GB2312"/>
                <w:i w:val="0"/>
                <w:iCs w:val="0"/>
                <w:color w:val="auto"/>
                <w:sz w:val="24"/>
                <w:szCs w:val="24"/>
                <w:highlight w:val="none"/>
              </w:rPr>
            </w:pPr>
          </w:p>
        </w:tc>
        <w:tc>
          <w:tcPr>
            <w:tcW w:w="1530" w:type="dxa"/>
            <w:vAlign w:val="center"/>
          </w:tcPr>
          <w:p w14:paraId="3EDBC798">
            <w:pPr>
              <w:rPr>
                <w:rFonts w:cs="仿宋_GB2312"/>
                <w:i w:val="0"/>
                <w:iCs w:val="0"/>
                <w:color w:val="auto"/>
                <w:sz w:val="24"/>
                <w:szCs w:val="24"/>
                <w:highlight w:val="none"/>
              </w:rPr>
            </w:pPr>
          </w:p>
        </w:tc>
        <w:tc>
          <w:tcPr>
            <w:tcW w:w="1019" w:type="dxa"/>
            <w:vAlign w:val="center"/>
          </w:tcPr>
          <w:p w14:paraId="35E8D0F8">
            <w:pPr>
              <w:rPr>
                <w:rFonts w:cs="仿宋_GB2312"/>
                <w:i w:val="0"/>
                <w:iCs w:val="0"/>
                <w:color w:val="auto"/>
                <w:sz w:val="24"/>
                <w:szCs w:val="24"/>
                <w:highlight w:val="none"/>
              </w:rPr>
            </w:pPr>
          </w:p>
        </w:tc>
      </w:tr>
      <w:tr w14:paraId="6D051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8" w:hRule="atLeast"/>
        </w:trPr>
        <w:tc>
          <w:tcPr>
            <w:tcW w:w="811" w:type="dxa"/>
            <w:vAlign w:val="center"/>
          </w:tcPr>
          <w:p w14:paraId="23616992">
            <w:pPr>
              <w:jc w:val="center"/>
              <w:rPr>
                <w:rFonts w:hint="default" w:cs="仿宋_GB2312"/>
                <w:i w:val="0"/>
                <w:iCs w:val="0"/>
                <w:color w:val="auto"/>
                <w:sz w:val="24"/>
                <w:szCs w:val="24"/>
                <w:highlight w:val="none"/>
                <w:lang w:val="en-US" w:eastAsia="zh-CN"/>
              </w:rPr>
            </w:pPr>
            <w:r>
              <w:rPr>
                <w:rFonts w:hint="eastAsia" w:cs="仿宋_GB2312"/>
                <w:i w:val="0"/>
                <w:iCs w:val="0"/>
                <w:color w:val="auto"/>
                <w:sz w:val="24"/>
                <w:szCs w:val="24"/>
                <w:highlight w:val="none"/>
                <w:lang w:val="en-US" w:eastAsia="zh-CN"/>
              </w:rPr>
              <w:t>5</w:t>
            </w:r>
          </w:p>
        </w:tc>
        <w:tc>
          <w:tcPr>
            <w:tcW w:w="1277" w:type="dxa"/>
            <w:vAlign w:val="center"/>
          </w:tcPr>
          <w:p w14:paraId="1C32D464">
            <w:pPr>
              <w:rPr>
                <w:rFonts w:cs="仿宋_GB2312"/>
                <w:i w:val="0"/>
                <w:iCs w:val="0"/>
                <w:color w:val="auto"/>
                <w:sz w:val="24"/>
                <w:szCs w:val="24"/>
                <w:highlight w:val="none"/>
              </w:rPr>
            </w:pPr>
          </w:p>
        </w:tc>
        <w:tc>
          <w:tcPr>
            <w:tcW w:w="1317" w:type="dxa"/>
            <w:vAlign w:val="center"/>
          </w:tcPr>
          <w:p w14:paraId="0AD8FA1A">
            <w:pPr>
              <w:rPr>
                <w:rFonts w:cs="仿宋_GB2312"/>
                <w:i w:val="0"/>
                <w:iCs w:val="0"/>
                <w:color w:val="auto"/>
                <w:sz w:val="24"/>
                <w:szCs w:val="24"/>
                <w:highlight w:val="none"/>
              </w:rPr>
            </w:pPr>
          </w:p>
        </w:tc>
        <w:tc>
          <w:tcPr>
            <w:tcW w:w="1543" w:type="dxa"/>
            <w:vAlign w:val="center"/>
          </w:tcPr>
          <w:p w14:paraId="6E68A726">
            <w:pPr>
              <w:rPr>
                <w:rFonts w:cs="仿宋_GB2312"/>
                <w:i w:val="0"/>
                <w:iCs w:val="0"/>
                <w:color w:val="auto"/>
                <w:sz w:val="24"/>
                <w:szCs w:val="24"/>
                <w:highlight w:val="none"/>
              </w:rPr>
            </w:pPr>
          </w:p>
        </w:tc>
        <w:tc>
          <w:tcPr>
            <w:tcW w:w="1540" w:type="dxa"/>
            <w:vAlign w:val="center"/>
          </w:tcPr>
          <w:p w14:paraId="07C0A548">
            <w:pPr>
              <w:rPr>
                <w:rFonts w:cs="仿宋_GB2312"/>
                <w:i w:val="0"/>
                <w:iCs w:val="0"/>
                <w:color w:val="auto"/>
                <w:sz w:val="24"/>
                <w:szCs w:val="24"/>
                <w:highlight w:val="none"/>
              </w:rPr>
            </w:pPr>
          </w:p>
        </w:tc>
        <w:tc>
          <w:tcPr>
            <w:tcW w:w="1530" w:type="dxa"/>
            <w:vAlign w:val="center"/>
          </w:tcPr>
          <w:p w14:paraId="5A62627A">
            <w:pPr>
              <w:rPr>
                <w:rFonts w:cs="仿宋_GB2312"/>
                <w:i w:val="0"/>
                <w:iCs w:val="0"/>
                <w:color w:val="auto"/>
                <w:sz w:val="24"/>
                <w:szCs w:val="24"/>
                <w:highlight w:val="none"/>
              </w:rPr>
            </w:pPr>
          </w:p>
        </w:tc>
        <w:tc>
          <w:tcPr>
            <w:tcW w:w="1019" w:type="dxa"/>
            <w:vAlign w:val="center"/>
          </w:tcPr>
          <w:p w14:paraId="7C946F20">
            <w:pPr>
              <w:rPr>
                <w:rFonts w:cs="仿宋_GB2312"/>
                <w:i w:val="0"/>
                <w:iCs w:val="0"/>
                <w:color w:val="auto"/>
                <w:sz w:val="24"/>
                <w:szCs w:val="24"/>
                <w:highlight w:val="none"/>
              </w:rPr>
            </w:pPr>
          </w:p>
        </w:tc>
      </w:tr>
      <w:tr w14:paraId="3BC233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2" w:hRule="atLeast"/>
        </w:trPr>
        <w:tc>
          <w:tcPr>
            <w:tcW w:w="811" w:type="dxa"/>
            <w:vAlign w:val="center"/>
          </w:tcPr>
          <w:p w14:paraId="433A34E7">
            <w:pPr>
              <w:jc w:val="center"/>
              <w:rPr>
                <w:rFonts w:cs="仿宋_GB2312"/>
                <w:i w:val="0"/>
                <w:iCs w:val="0"/>
                <w:color w:val="auto"/>
                <w:sz w:val="24"/>
                <w:szCs w:val="24"/>
                <w:highlight w:val="none"/>
              </w:rPr>
            </w:pPr>
            <w:r>
              <w:rPr>
                <w:rFonts w:hint="eastAsia" w:cs="仿宋_GB2312"/>
                <w:i w:val="0"/>
                <w:iCs w:val="0"/>
                <w:color w:val="auto"/>
                <w:sz w:val="24"/>
                <w:szCs w:val="24"/>
                <w:highlight w:val="none"/>
              </w:rPr>
              <w:t>…</w:t>
            </w:r>
          </w:p>
        </w:tc>
        <w:tc>
          <w:tcPr>
            <w:tcW w:w="1277" w:type="dxa"/>
            <w:vAlign w:val="center"/>
          </w:tcPr>
          <w:p w14:paraId="5D94CAA1">
            <w:pPr>
              <w:rPr>
                <w:rFonts w:cs="仿宋_GB2312"/>
                <w:i w:val="0"/>
                <w:iCs w:val="0"/>
                <w:color w:val="auto"/>
                <w:sz w:val="24"/>
                <w:szCs w:val="24"/>
                <w:highlight w:val="none"/>
              </w:rPr>
            </w:pPr>
          </w:p>
        </w:tc>
        <w:tc>
          <w:tcPr>
            <w:tcW w:w="1317" w:type="dxa"/>
            <w:vAlign w:val="center"/>
          </w:tcPr>
          <w:p w14:paraId="48AC7386">
            <w:pPr>
              <w:rPr>
                <w:rFonts w:cs="仿宋_GB2312"/>
                <w:i w:val="0"/>
                <w:iCs w:val="0"/>
                <w:color w:val="auto"/>
                <w:sz w:val="24"/>
                <w:szCs w:val="24"/>
                <w:highlight w:val="none"/>
              </w:rPr>
            </w:pPr>
          </w:p>
        </w:tc>
        <w:tc>
          <w:tcPr>
            <w:tcW w:w="1543" w:type="dxa"/>
            <w:vAlign w:val="center"/>
          </w:tcPr>
          <w:p w14:paraId="20172F35">
            <w:pPr>
              <w:rPr>
                <w:rFonts w:cs="仿宋_GB2312"/>
                <w:i w:val="0"/>
                <w:iCs w:val="0"/>
                <w:color w:val="auto"/>
                <w:sz w:val="24"/>
                <w:szCs w:val="24"/>
                <w:highlight w:val="none"/>
              </w:rPr>
            </w:pPr>
          </w:p>
        </w:tc>
        <w:tc>
          <w:tcPr>
            <w:tcW w:w="1540" w:type="dxa"/>
            <w:vAlign w:val="center"/>
          </w:tcPr>
          <w:p w14:paraId="75CF74D1">
            <w:pPr>
              <w:rPr>
                <w:rFonts w:cs="仿宋_GB2312"/>
                <w:i w:val="0"/>
                <w:iCs w:val="0"/>
                <w:color w:val="auto"/>
                <w:sz w:val="24"/>
                <w:szCs w:val="24"/>
                <w:highlight w:val="none"/>
              </w:rPr>
            </w:pPr>
          </w:p>
        </w:tc>
        <w:tc>
          <w:tcPr>
            <w:tcW w:w="1530" w:type="dxa"/>
            <w:vAlign w:val="center"/>
          </w:tcPr>
          <w:p w14:paraId="52CF4BF0">
            <w:pPr>
              <w:rPr>
                <w:rFonts w:cs="仿宋_GB2312"/>
                <w:i w:val="0"/>
                <w:iCs w:val="0"/>
                <w:color w:val="auto"/>
                <w:sz w:val="24"/>
                <w:szCs w:val="24"/>
                <w:highlight w:val="none"/>
              </w:rPr>
            </w:pPr>
          </w:p>
        </w:tc>
        <w:tc>
          <w:tcPr>
            <w:tcW w:w="1019" w:type="dxa"/>
            <w:vAlign w:val="center"/>
          </w:tcPr>
          <w:p w14:paraId="32DE863A">
            <w:pPr>
              <w:rPr>
                <w:rFonts w:cs="仿宋_GB2312"/>
                <w:i w:val="0"/>
                <w:iCs w:val="0"/>
                <w:color w:val="auto"/>
                <w:sz w:val="24"/>
                <w:szCs w:val="24"/>
                <w:highlight w:val="none"/>
              </w:rPr>
            </w:pPr>
          </w:p>
        </w:tc>
      </w:tr>
      <w:bookmarkEnd w:id="704"/>
    </w:tbl>
    <w:p w14:paraId="54630C10">
      <w:pPr>
        <w:rPr>
          <w:rFonts w:hint="eastAsia" w:cs="仿宋_GB2312"/>
          <w:i w:val="0"/>
          <w:iCs w:val="0"/>
          <w:color w:val="auto"/>
          <w:sz w:val="24"/>
          <w:szCs w:val="24"/>
          <w:highlight w:val="none"/>
        </w:rPr>
      </w:pPr>
    </w:p>
    <w:p w14:paraId="58FF379C">
      <w:pPr>
        <w:rPr>
          <w:rFonts w:cs="仿宋_GB2312"/>
          <w:i w:val="0"/>
          <w:iCs w:val="0"/>
          <w:color w:val="auto"/>
          <w:sz w:val="24"/>
          <w:szCs w:val="24"/>
          <w:highlight w:val="none"/>
        </w:rPr>
      </w:pPr>
      <w:r>
        <w:rPr>
          <w:rFonts w:hint="eastAsia" w:cs="仿宋_GB2312"/>
          <w:i w:val="0"/>
          <w:iCs w:val="0"/>
          <w:color w:val="auto"/>
          <w:sz w:val="24"/>
          <w:szCs w:val="24"/>
          <w:highlight w:val="none"/>
        </w:rPr>
        <w:t>注：</w:t>
      </w:r>
      <w:r>
        <w:rPr>
          <w:rFonts w:hint="eastAsia" w:cs="仿宋_GB2312"/>
          <w:i w:val="0"/>
          <w:iCs w:val="0"/>
          <w:color w:val="auto"/>
          <w:sz w:val="24"/>
          <w:szCs w:val="24"/>
          <w:highlight w:val="none"/>
          <w:lang w:val="en-US" w:eastAsia="zh-CN"/>
        </w:rPr>
        <w:t>供应商</w:t>
      </w:r>
      <w:r>
        <w:rPr>
          <w:rFonts w:hint="eastAsia" w:cs="仿宋_GB2312"/>
          <w:i w:val="0"/>
          <w:iCs w:val="0"/>
          <w:color w:val="auto"/>
          <w:sz w:val="24"/>
          <w:szCs w:val="24"/>
          <w:highlight w:val="none"/>
        </w:rPr>
        <w:t>须按</w:t>
      </w:r>
      <w:r>
        <w:rPr>
          <w:rFonts w:hint="eastAsia" w:cs="仿宋_GB2312"/>
          <w:i w:val="0"/>
          <w:iCs w:val="0"/>
          <w:color w:val="auto"/>
          <w:sz w:val="24"/>
          <w:szCs w:val="24"/>
          <w:highlight w:val="none"/>
          <w:lang w:val="en-US" w:eastAsia="zh-CN"/>
        </w:rPr>
        <w:t>评审办法业绩要求提供</w:t>
      </w:r>
      <w:r>
        <w:rPr>
          <w:rFonts w:hint="eastAsia" w:cs="仿宋_GB2312"/>
          <w:i w:val="0"/>
          <w:iCs w:val="0"/>
          <w:color w:val="auto"/>
          <w:sz w:val="24"/>
          <w:szCs w:val="24"/>
          <w:highlight w:val="none"/>
        </w:rPr>
        <w:t>证明资料。</w:t>
      </w:r>
    </w:p>
    <w:p w14:paraId="5DB99613">
      <w:pPr>
        <w:widowControl/>
        <w:spacing w:before="100" w:beforeAutospacing="1" w:after="100" w:afterAutospacing="1"/>
        <w:rPr>
          <w:rFonts w:cs="Arial"/>
          <w:i w:val="0"/>
          <w:iCs w:val="0"/>
          <w:color w:val="auto"/>
          <w:szCs w:val="21"/>
          <w:highlight w:val="none"/>
        </w:rPr>
      </w:pPr>
    </w:p>
    <w:p w14:paraId="15F467E4">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12381E01">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095105C8">
      <w:pPr>
        <w:ind w:firstLine="420"/>
        <w:rPr>
          <w:rFonts w:cs="仿宋_GB2312"/>
          <w:i w:val="0"/>
          <w:iCs w:val="0"/>
          <w:color w:val="auto"/>
          <w:szCs w:val="24"/>
          <w:highlight w:val="none"/>
        </w:rPr>
      </w:pPr>
      <w:r>
        <w:rPr>
          <w:rFonts w:cs="仿宋_GB2312"/>
          <w:i w:val="0"/>
          <w:iCs w:val="0"/>
          <w:color w:val="auto"/>
          <w:szCs w:val="24"/>
          <w:highlight w:val="none"/>
        </w:rPr>
        <w:br w:type="page"/>
      </w:r>
    </w:p>
    <w:p w14:paraId="4E924C81">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05" w:name="_Toc6673"/>
      <w:bookmarkStart w:id="706" w:name="_Toc163492931"/>
      <w:r>
        <w:rPr>
          <w:rFonts w:hint="eastAsia" w:cs="宋体"/>
          <w:b/>
          <w:bCs/>
          <w:i w:val="0"/>
          <w:iCs w:val="0"/>
          <w:color w:val="auto"/>
          <w:kern w:val="2"/>
          <w:sz w:val="32"/>
          <w:szCs w:val="32"/>
          <w:highlight w:val="none"/>
          <w:lang w:val="en-US" w:eastAsia="zh-CN" w:bidi="ar-SA"/>
        </w:rPr>
        <w:t>八</w:t>
      </w:r>
      <w:r>
        <w:rPr>
          <w:rFonts w:hint="eastAsia" w:ascii="等线 Light" w:hAnsi="等线 Light" w:eastAsia="宋体" w:cs="宋体"/>
          <w:b/>
          <w:bCs/>
          <w:i w:val="0"/>
          <w:iCs w:val="0"/>
          <w:color w:val="auto"/>
          <w:kern w:val="2"/>
          <w:sz w:val="32"/>
          <w:szCs w:val="32"/>
          <w:highlight w:val="none"/>
          <w:lang w:val="en-US" w:eastAsia="zh-CN" w:bidi="ar-SA"/>
        </w:rPr>
        <w:t>、拟派项目团队</w:t>
      </w:r>
      <w:bookmarkEnd w:id="705"/>
      <w:bookmarkEnd w:id="706"/>
    </w:p>
    <w:tbl>
      <w:tblPr>
        <w:tblStyle w:val="30"/>
        <w:tblW w:w="9162" w:type="dxa"/>
        <w:tblInd w:w="-31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73"/>
        <w:gridCol w:w="1143"/>
        <w:gridCol w:w="1334"/>
        <w:gridCol w:w="1188"/>
        <w:gridCol w:w="816"/>
        <w:gridCol w:w="1815"/>
        <w:gridCol w:w="1277"/>
        <w:gridCol w:w="816"/>
      </w:tblGrid>
      <w:tr w14:paraId="22A3F5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44" w:hRule="atLeast"/>
        </w:trPr>
        <w:tc>
          <w:tcPr>
            <w:tcW w:w="773" w:type="dxa"/>
            <w:vAlign w:val="center"/>
          </w:tcPr>
          <w:p w14:paraId="41373525">
            <w:pPr>
              <w:pStyle w:val="47"/>
              <w:jc w:val="center"/>
              <w:rPr>
                <w:i w:val="0"/>
                <w:iCs w:val="0"/>
                <w:color w:val="auto"/>
                <w:highlight w:val="none"/>
              </w:rPr>
            </w:pPr>
            <w:r>
              <w:rPr>
                <w:rFonts w:hint="eastAsia"/>
                <w:i w:val="0"/>
                <w:iCs w:val="0"/>
                <w:color w:val="auto"/>
                <w:highlight w:val="none"/>
              </w:rPr>
              <w:t>序号</w:t>
            </w:r>
          </w:p>
        </w:tc>
        <w:tc>
          <w:tcPr>
            <w:tcW w:w="1143" w:type="dxa"/>
            <w:vAlign w:val="center"/>
          </w:tcPr>
          <w:p w14:paraId="67AE9C3E">
            <w:pPr>
              <w:pStyle w:val="47"/>
              <w:jc w:val="center"/>
              <w:rPr>
                <w:i w:val="0"/>
                <w:iCs w:val="0"/>
                <w:color w:val="auto"/>
                <w:highlight w:val="none"/>
              </w:rPr>
            </w:pPr>
            <w:r>
              <w:rPr>
                <w:rFonts w:hint="eastAsia"/>
                <w:i w:val="0"/>
                <w:iCs w:val="0"/>
                <w:color w:val="auto"/>
                <w:highlight w:val="none"/>
                <w:lang w:val="en-US" w:eastAsia="zh-CN"/>
              </w:rPr>
              <w:t>团队成员</w:t>
            </w:r>
          </w:p>
          <w:p w14:paraId="369C3C13">
            <w:pPr>
              <w:pStyle w:val="47"/>
              <w:jc w:val="center"/>
              <w:rPr>
                <w:i w:val="0"/>
                <w:iCs w:val="0"/>
                <w:color w:val="auto"/>
                <w:highlight w:val="none"/>
              </w:rPr>
            </w:pPr>
            <w:r>
              <w:rPr>
                <w:rFonts w:hint="eastAsia"/>
                <w:i w:val="0"/>
                <w:iCs w:val="0"/>
                <w:color w:val="auto"/>
                <w:highlight w:val="none"/>
              </w:rPr>
              <w:t>姓名</w:t>
            </w:r>
          </w:p>
        </w:tc>
        <w:tc>
          <w:tcPr>
            <w:tcW w:w="1334" w:type="dxa"/>
            <w:tcBorders>
              <w:right w:val="single" w:color="auto" w:sz="4" w:space="0"/>
            </w:tcBorders>
            <w:vAlign w:val="center"/>
          </w:tcPr>
          <w:p w14:paraId="4EDFEBEF">
            <w:pPr>
              <w:pStyle w:val="47"/>
              <w:jc w:val="center"/>
              <w:rPr>
                <w:i w:val="0"/>
                <w:iCs w:val="0"/>
                <w:color w:val="auto"/>
                <w:highlight w:val="none"/>
              </w:rPr>
            </w:pPr>
            <w:r>
              <w:rPr>
                <w:rFonts w:hint="eastAsia"/>
                <w:i w:val="0"/>
                <w:iCs w:val="0"/>
                <w:color w:val="auto"/>
                <w:highlight w:val="none"/>
              </w:rPr>
              <w:t>工作单位</w:t>
            </w:r>
          </w:p>
        </w:tc>
        <w:tc>
          <w:tcPr>
            <w:tcW w:w="1188" w:type="dxa"/>
            <w:tcBorders>
              <w:left w:val="single" w:color="auto" w:sz="4" w:space="0"/>
            </w:tcBorders>
            <w:vAlign w:val="center"/>
          </w:tcPr>
          <w:p w14:paraId="1B50026D">
            <w:pPr>
              <w:pStyle w:val="47"/>
              <w:jc w:val="center"/>
              <w:rPr>
                <w:i w:val="0"/>
                <w:iCs w:val="0"/>
                <w:color w:val="auto"/>
                <w:highlight w:val="none"/>
              </w:rPr>
            </w:pPr>
            <w:r>
              <w:rPr>
                <w:rFonts w:hint="eastAsia"/>
                <w:i w:val="0"/>
                <w:iCs w:val="0"/>
                <w:color w:val="auto"/>
                <w:highlight w:val="none"/>
              </w:rPr>
              <w:t>身份证号</w:t>
            </w:r>
          </w:p>
        </w:tc>
        <w:tc>
          <w:tcPr>
            <w:tcW w:w="816" w:type="dxa"/>
            <w:tcBorders>
              <w:left w:val="single" w:color="auto" w:sz="4" w:space="0"/>
            </w:tcBorders>
            <w:vAlign w:val="center"/>
          </w:tcPr>
          <w:p w14:paraId="3601BB70">
            <w:pPr>
              <w:pStyle w:val="47"/>
              <w:jc w:val="center"/>
              <w:rPr>
                <w:i w:val="0"/>
                <w:iCs w:val="0"/>
                <w:color w:val="auto"/>
                <w:highlight w:val="none"/>
              </w:rPr>
            </w:pPr>
            <w:r>
              <w:rPr>
                <w:rFonts w:hint="eastAsia"/>
                <w:i w:val="0"/>
                <w:iCs w:val="0"/>
                <w:color w:val="auto"/>
                <w:highlight w:val="none"/>
              </w:rPr>
              <w:t>职称</w:t>
            </w:r>
          </w:p>
        </w:tc>
        <w:tc>
          <w:tcPr>
            <w:tcW w:w="1815" w:type="dxa"/>
            <w:vAlign w:val="center"/>
          </w:tcPr>
          <w:p w14:paraId="78C6ADBE">
            <w:pPr>
              <w:pStyle w:val="47"/>
              <w:jc w:val="center"/>
              <w:rPr>
                <w:rFonts w:hint="default" w:eastAsia="宋体"/>
                <w:i w:val="0"/>
                <w:iCs w:val="0"/>
                <w:color w:val="auto"/>
                <w:highlight w:val="none"/>
                <w:lang w:val="en-US" w:eastAsia="zh-CN"/>
              </w:rPr>
            </w:pPr>
            <w:r>
              <w:rPr>
                <w:rFonts w:hint="eastAsia"/>
                <w:i w:val="0"/>
                <w:iCs w:val="0"/>
                <w:color w:val="auto"/>
                <w:highlight w:val="none"/>
                <w:lang w:val="en-US" w:eastAsia="zh-CN"/>
              </w:rPr>
              <w:t>注册证书（岗位证书）名称及编号</w:t>
            </w:r>
          </w:p>
        </w:tc>
        <w:tc>
          <w:tcPr>
            <w:tcW w:w="1277" w:type="dxa"/>
            <w:vAlign w:val="center"/>
          </w:tcPr>
          <w:p w14:paraId="1D4FFB7A">
            <w:pPr>
              <w:pStyle w:val="47"/>
              <w:jc w:val="center"/>
              <w:rPr>
                <w:i w:val="0"/>
                <w:iCs w:val="0"/>
                <w:color w:val="auto"/>
                <w:highlight w:val="none"/>
              </w:rPr>
            </w:pPr>
            <w:r>
              <w:rPr>
                <w:rFonts w:hint="eastAsia" w:eastAsia="宋体"/>
                <w:i w:val="0"/>
                <w:iCs w:val="0"/>
                <w:color w:val="auto"/>
                <w:highlight w:val="none"/>
                <w:lang w:val="en-US" w:eastAsia="zh-CN"/>
              </w:rPr>
              <w:t>在团队中职务（岗位）</w:t>
            </w:r>
          </w:p>
        </w:tc>
        <w:tc>
          <w:tcPr>
            <w:tcW w:w="816" w:type="dxa"/>
            <w:vAlign w:val="center"/>
          </w:tcPr>
          <w:p w14:paraId="569D136E">
            <w:pPr>
              <w:pStyle w:val="47"/>
              <w:jc w:val="center"/>
              <w:rPr>
                <w:i w:val="0"/>
                <w:iCs w:val="0"/>
                <w:color w:val="auto"/>
                <w:highlight w:val="none"/>
              </w:rPr>
            </w:pPr>
            <w:r>
              <w:rPr>
                <w:rFonts w:hint="eastAsia"/>
                <w:i w:val="0"/>
                <w:iCs w:val="0"/>
                <w:color w:val="auto"/>
                <w:highlight w:val="none"/>
              </w:rPr>
              <w:t>自有</w:t>
            </w:r>
            <w:r>
              <w:rPr>
                <w:i w:val="0"/>
                <w:iCs w:val="0"/>
                <w:color w:val="auto"/>
                <w:highlight w:val="none"/>
              </w:rPr>
              <w:t>/外聘</w:t>
            </w:r>
          </w:p>
        </w:tc>
      </w:tr>
      <w:tr w14:paraId="2C939B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EE08FDE">
            <w:pPr>
              <w:pStyle w:val="47"/>
              <w:jc w:val="center"/>
              <w:rPr>
                <w:i w:val="0"/>
                <w:iCs w:val="0"/>
                <w:color w:val="auto"/>
                <w:highlight w:val="none"/>
              </w:rPr>
            </w:pPr>
            <w:bookmarkStart w:id="707" w:name="_Toc100090784"/>
            <w:bookmarkStart w:id="708" w:name="_Toc99533292"/>
            <w:r>
              <w:rPr>
                <w:rFonts w:hint="eastAsia"/>
                <w:i w:val="0"/>
                <w:iCs w:val="0"/>
                <w:color w:val="auto"/>
                <w:highlight w:val="none"/>
              </w:rPr>
              <w:t>1</w:t>
            </w:r>
            <w:bookmarkEnd w:id="707"/>
            <w:bookmarkEnd w:id="708"/>
          </w:p>
        </w:tc>
        <w:tc>
          <w:tcPr>
            <w:tcW w:w="1143" w:type="dxa"/>
            <w:vAlign w:val="center"/>
          </w:tcPr>
          <w:p w14:paraId="1297CF0F">
            <w:pPr>
              <w:pStyle w:val="47"/>
              <w:jc w:val="center"/>
              <w:rPr>
                <w:i w:val="0"/>
                <w:iCs w:val="0"/>
                <w:color w:val="auto"/>
                <w:highlight w:val="none"/>
              </w:rPr>
            </w:pPr>
          </w:p>
        </w:tc>
        <w:tc>
          <w:tcPr>
            <w:tcW w:w="1334" w:type="dxa"/>
            <w:tcBorders>
              <w:right w:val="single" w:color="auto" w:sz="4" w:space="0"/>
            </w:tcBorders>
            <w:vAlign w:val="center"/>
          </w:tcPr>
          <w:p w14:paraId="5504C4E8">
            <w:pPr>
              <w:pStyle w:val="47"/>
              <w:jc w:val="center"/>
              <w:rPr>
                <w:i w:val="0"/>
                <w:iCs w:val="0"/>
                <w:color w:val="auto"/>
                <w:highlight w:val="none"/>
              </w:rPr>
            </w:pPr>
          </w:p>
        </w:tc>
        <w:tc>
          <w:tcPr>
            <w:tcW w:w="1188" w:type="dxa"/>
            <w:tcBorders>
              <w:left w:val="single" w:color="auto" w:sz="4" w:space="0"/>
            </w:tcBorders>
            <w:vAlign w:val="center"/>
          </w:tcPr>
          <w:p w14:paraId="08D7DF2B">
            <w:pPr>
              <w:pStyle w:val="47"/>
              <w:jc w:val="center"/>
              <w:rPr>
                <w:i w:val="0"/>
                <w:iCs w:val="0"/>
                <w:color w:val="auto"/>
                <w:highlight w:val="none"/>
              </w:rPr>
            </w:pPr>
          </w:p>
        </w:tc>
        <w:tc>
          <w:tcPr>
            <w:tcW w:w="816" w:type="dxa"/>
            <w:tcBorders>
              <w:left w:val="single" w:color="auto" w:sz="4" w:space="0"/>
            </w:tcBorders>
            <w:vAlign w:val="center"/>
          </w:tcPr>
          <w:p w14:paraId="403C3C91">
            <w:pPr>
              <w:pStyle w:val="47"/>
              <w:jc w:val="center"/>
              <w:rPr>
                <w:i w:val="0"/>
                <w:iCs w:val="0"/>
                <w:color w:val="auto"/>
                <w:highlight w:val="none"/>
              </w:rPr>
            </w:pPr>
          </w:p>
        </w:tc>
        <w:tc>
          <w:tcPr>
            <w:tcW w:w="1815" w:type="dxa"/>
            <w:vAlign w:val="center"/>
          </w:tcPr>
          <w:p w14:paraId="3BDB609C">
            <w:pPr>
              <w:pStyle w:val="47"/>
              <w:jc w:val="center"/>
              <w:rPr>
                <w:i w:val="0"/>
                <w:iCs w:val="0"/>
                <w:color w:val="auto"/>
                <w:highlight w:val="none"/>
              </w:rPr>
            </w:pPr>
          </w:p>
        </w:tc>
        <w:tc>
          <w:tcPr>
            <w:tcW w:w="1277" w:type="dxa"/>
            <w:vAlign w:val="center"/>
          </w:tcPr>
          <w:p w14:paraId="09728172">
            <w:pPr>
              <w:pStyle w:val="47"/>
              <w:jc w:val="center"/>
              <w:rPr>
                <w:i w:val="0"/>
                <w:iCs w:val="0"/>
                <w:color w:val="auto"/>
                <w:highlight w:val="none"/>
              </w:rPr>
            </w:pPr>
          </w:p>
        </w:tc>
        <w:tc>
          <w:tcPr>
            <w:tcW w:w="816" w:type="dxa"/>
            <w:vAlign w:val="center"/>
          </w:tcPr>
          <w:p w14:paraId="76A768A0">
            <w:pPr>
              <w:pStyle w:val="47"/>
              <w:jc w:val="center"/>
              <w:rPr>
                <w:i w:val="0"/>
                <w:iCs w:val="0"/>
                <w:color w:val="auto"/>
                <w:highlight w:val="none"/>
              </w:rPr>
            </w:pPr>
          </w:p>
        </w:tc>
      </w:tr>
      <w:tr w14:paraId="1B745A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09E1F0BD">
            <w:pPr>
              <w:pStyle w:val="47"/>
              <w:jc w:val="center"/>
              <w:rPr>
                <w:i w:val="0"/>
                <w:iCs w:val="0"/>
                <w:color w:val="auto"/>
                <w:highlight w:val="none"/>
              </w:rPr>
            </w:pPr>
            <w:bookmarkStart w:id="709" w:name="_Toc100090785"/>
            <w:bookmarkStart w:id="710" w:name="_Toc99533293"/>
            <w:r>
              <w:rPr>
                <w:rFonts w:hint="eastAsia"/>
                <w:i w:val="0"/>
                <w:iCs w:val="0"/>
                <w:color w:val="auto"/>
                <w:highlight w:val="none"/>
              </w:rPr>
              <w:t>2</w:t>
            </w:r>
            <w:bookmarkEnd w:id="709"/>
            <w:bookmarkEnd w:id="710"/>
          </w:p>
        </w:tc>
        <w:tc>
          <w:tcPr>
            <w:tcW w:w="1143" w:type="dxa"/>
            <w:vAlign w:val="center"/>
          </w:tcPr>
          <w:p w14:paraId="6EAD4E38">
            <w:pPr>
              <w:pStyle w:val="47"/>
              <w:jc w:val="center"/>
              <w:rPr>
                <w:i w:val="0"/>
                <w:iCs w:val="0"/>
                <w:color w:val="auto"/>
                <w:highlight w:val="none"/>
              </w:rPr>
            </w:pPr>
          </w:p>
        </w:tc>
        <w:tc>
          <w:tcPr>
            <w:tcW w:w="1334" w:type="dxa"/>
            <w:tcBorders>
              <w:right w:val="single" w:color="auto" w:sz="4" w:space="0"/>
            </w:tcBorders>
            <w:vAlign w:val="center"/>
          </w:tcPr>
          <w:p w14:paraId="3CF94FE4">
            <w:pPr>
              <w:pStyle w:val="47"/>
              <w:jc w:val="center"/>
              <w:rPr>
                <w:i w:val="0"/>
                <w:iCs w:val="0"/>
                <w:color w:val="auto"/>
                <w:highlight w:val="none"/>
              </w:rPr>
            </w:pPr>
          </w:p>
        </w:tc>
        <w:tc>
          <w:tcPr>
            <w:tcW w:w="1188" w:type="dxa"/>
            <w:tcBorders>
              <w:left w:val="single" w:color="auto" w:sz="4" w:space="0"/>
            </w:tcBorders>
            <w:vAlign w:val="center"/>
          </w:tcPr>
          <w:p w14:paraId="194E0865">
            <w:pPr>
              <w:pStyle w:val="47"/>
              <w:jc w:val="center"/>
              <w:rPr>
                <w:i w:val="0"/>
                <w:iCs w:val="0"/>
                <w:color w:val="auto"/>
                <w:highlight w:val="none"/>
              </w:rPr>
            </w:pPr>
          </w:p>
        </w:tc>
        <w:tc>
          <w:tcPr>
            <w:tcW w:w="816" w:type="dxa"/>
            <w:tcBorders>
              <w:left w:val="single" w:color="auto" w:sz="4" w:space="0"/>
            </w:tcBorders>
            <w:vAlign w:val="center"/>
          </w:tcPr>
          <w:p w14:paraId="76D19FEB">
            <w:pPr>
              <w:pStyle w:val="47"/>
              <w:jc w:val="center"/>
              <w:rPr>
                <w:i w:val="0"/>
                <w:iCs w:val="0"/>
                <w:color w:val="auto"/>
                <w:highlight w:val="none"/>
              </w:rPr>
            </w:pPr>
          </w:p>
        </w:tc>
        <w:tc>
          <w:tcPr>
            <w:tcW w:w="1815" w:type="dxa"/>
            <w:vAlign w:val="center"/>
          </w:tcPr>
          <w:p w14:paraId="42875AB6">
            <w:pPr>
              <w:pStyle w:val="47"/>
              <w:jc w:val="center"/>
              <w:rPr>
                <w:i w:val="0"/>
                <w:iCs w:val="0"/>
                <w:color w:val="auto"/>
                <w:highlight w:val="none"/>
              </w:rPr>
            </w:pPr>
          </w:p>
        </w:tc>
        <w:tc>
          <w:tcPr>
            <w:tcW w:w="1277" w:type="dxa"/>
            <w:vAlign w:val="center"/>
          </w:tcPr>
          <w:p w14:paraId="5CD968CA">
            <w:pPr>
              <w:pStyle w:val="47"/>
              <w:jc w:val="center"/>
              <w:rPr>
                <w:i w:val="0"/>
                <w:iCs w:val="0"/>
                <w:color w:val="auto"/>
                <w:highlight w:val="none"/>
              </w:rPr>
            </w:pPr>
          </w:p>
        </w:tc>
        <w:tc>
          <w:tcPr>
            <w:tcW w:w="816" w:type="dxa"/>
            <w:vAlign w:val="center"/>
          </w:tcPr>
          <w:p w14:paraId="1528AD30">
            <w:pPr>
              <w:pStyle w:val="47"/>
              <w:jc w:val="center"/>
              <w:rPr>
                <w:i w:val="0"/>
                <w:iCs w:val="0"/>
                <w:color w:val="auto"/>
                <w:highlight w:val="none"/>
              </w:rPr>
            </w:pPr>
          </w:p>
        </w:tc>
      </w:tr>
      <w:tr w14:paraId="6E223F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9869B42">
            <w:pPr>
              <w:pStyle w:val="47"/>
              <w:jc w:val="center"/>
              <w:rPr>
                <w:i w:val="0"/>
                <w:iCs w:val="0"/>
                <w:color w:val="auto"/>
                <w:highlight w:val="none"/>
              </w:rPr>
            </w:pPr>
            <w:bookmarkStart w:id="711" w:name="_Toc100090786"/>
            <w:bookmarkStart w:id="712" w:name="_Toc99533294"/>
            <w:r>
              <w:rPr>
                <w:rFonts w:hint="eastAsia"/>
                <w:i w:val="0"/>
                <w:iCs w:val="0"/>
                <w:color w:val="auto"/>
                <w:highlight w:val="none"/>
              </w:rPr>
              <w:t>3</w:t>
            </w:r>
            <w:bookmarkEnd w:id="711"/>
            <w:bookmarkEnd w:id="712"/>
          </w:p>
        </w:tc>
        <w:tc>
          <w:tcPr>
            <w:tcW w:w="1143" w:type="dxa"/>
            <w:vAlign w:val="center"/>
          </w:tcPr>
          <w:p w14:paraId="4F647092">
            <w:pPr>
              <w:pStyle w:val="47"/>
              <w:jc w:val="center"/>
              <w:rPr>
                <w:i w:val="0"/>
                <w:iCs w:val="0"/>
                <w:color w:val="auto"/>
                <w:highlight w:val="none"/>
              </w:rPr>
            </w:pPr>
          </w:p>
        </w:tc>
        <w:tc>
          <w:tcPr>
            <w:tcW w:w="1334" w:type="dxa"/>
            <w:tcBorders>
              <w:right w:val="single" w:color="auto" w:sz="4" w:space="0"/>
            </w:tcBorders>
            <w:vAlign w:val="center"/>
          </w:tcPr>
          <w:p w14:paraId="721B9540">
            <w:pPr>
              <w:pStyle w:val="47"/>
              <w:jc w:val="center"/>
              <w:rPr>
                <w:i w:val="0"/>
                <w:iCs w:val="0"/>
                <w:color w:val="auto"/>
                <w:highlight w:val="none"/>
              </w:rPr>
            </w:pPr>
          </w:p>
        </w:tc>
        <w:tc>
          <w:tcPr>
            <w:tcW w:w="1188" w:type="dxa"/>
            <w:tcBorders>
              <w:left w:val="single" w:color="auto" w:sz="4" w:space="0"/>
            </w:tcBorders>
            <w:vAlign w:val="center"/>
          </w:tcPr>
          <w:p w14:paraId="070656BE">
            <w:pPr>
              <w:pStyle w:val="47"/>
              <w:jc w:val="center"/>
              <w:rPr>
                <w:i w:val="0"/>
                <w:iCs w:val="0"/>
                <w:color w:val="auto"/>
                <w:highlight w:val="none"/>
              </w:rPr>
            </w:pPr>
          </w:p>
        </w:tc>
        <w:tc>
          <w:tcPr>
            <w:tcW w:w="816" w:type="dxa"/>
            <w:tcBorders>
              <w:left w:val="single" w:color="auto" w:sz="4" w:space="0"/>
            </w:tcBorders>
            <w:vAlign w:val="center"/>
          </w:tcPr>
          <w:p w14:paraId="29C26F3A">
            <w:pPr>
              <w:pStyle w:val="47"/>
              <w:jc w:val="center"/>
              <w:rPr>
                <w:i w:val="0"/>
                <w:iCs w:val="0"/>
                <w:color w:val="auto"/>
                <w:highlight w:val="none"/>
              </w:rPr>
            </w:pPr>
          </w:p>
        </w:tc>
        <w:tc>
          <w:tcPr>
            <w:tcW w:w="1815" w:type="dxa"/>
            <w:vAlign w:val="center"/>
          </w:tcPr>
          <w:p w14:paraId="2A300911">
            <w:pPr>
              <w:pStyle w:val="47"/>
              <w:jc w:val="center"/>
              <w:rPr>
                <w:i w:val="0"/>
                <w:iCs w:val="0"/>
                <w:color w:val="auto"/>
                <w:highlight w:val="none"/>
              </w:rPr>
            </w:pPr>
          </w:p>
        </w:tc>
        <w:tc>
          <w:tcPr>
            <w:tcW w:w="1277" w:type="dxa"/>
            <w:vAlign w:val="center"/>
          </w:tcPr>
          <w:p w14:paraId="442A0B83">
            <w:pPr>
              <w:pStyle w:val="47"/>
              <w:jc w:val="center"/>
              <w:rPr>
                <w:i w:val="0"/>
                <w:iCs w:val="0"/>
                <w:color w:val="auto"/>
                <w:highlight w:val="none"/>
              </w:rPr>
            </w:pPr>
          </w:p>
        </w:tc>
        <w:tc>
          <w:tcPr>
            <w:tcW w:w="816" w:type="dxa"/>
            <w:vAlign w:val="center"/>
          </w:tcPr>
          <w:p w14:paraId="7425FCC3">
            <w:pPr>
              <w:pStyle w:val="47"/>
              <w:jc w:val="center"/>
              <w:rPr>
                <w:i w:val="0"/>
                <w:iCs w:val="0"/>
                <w:color w:val="auto"/>
                <w:highlight w:val="none"/>
              </w:rPr>
            </w:pPr>
          </w:p>
        </w:tc>
      </w:tr>
      <w:tr w14:paraId="6879E7E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18722BAC">
            <w:pPr>
              <w:pStyle w:val="47"/>
              <w:jc w:val="center"/>
              <w:rPr>
                <w:i w:val="0"/>
                <w:iCs w:val="0"/>
                <w:color w:val="auto"/>
                <w:highlight w:val="none"/>
              </w:rPr>
            </w:pPr>
            <w:bookmarkStart w:id="713" w:name="_Toc100090787"/>
            <w:bookmarkStart w:id="714" w:name="_Toc99533295"/>
            <w:r>
              <w:rPr>
                <w:rFonts w:hint="eastAsia"/>
                <w:i w:val="0"/>
                <w:iCs w:val="0"/>
                <w:color w:val="auto"/>
                <w:highlight w:val="none"/>
              </w:rPr>
              <w:t>4</w:t>
            </w:r>
            <w:bookmarkEnd w:id="713"/>
            <w:bookmarkEnd w:id="714"/>
          </w:p>
        </w:tc>
        <w:tc>
          <w:tcPr>
            <w:tcW w:w="1143" w:type="dxa"/>
            <w:vAlign w:val="center"/>
          </w:tcPr>
          <w:p w14:paraId="1B812309">
            <w:pPr>
              <w:pStyle w:val="47"/>
              <w:jc w:val="center"/>
              <w:rPr>
                <w:i w:val="0"/>
                <w:iCs w:val="0"/>
                <w:color w:val="auto"/>
                <w:highlight w:val="none"/>
              </w:rPr>
            </w:pPr>
          </w:p>
        </w:tc>
        <w:tc>
          <w:tcPr>
            <w:tcW w:w="1334" w:type="dxa"/>
            <w:tcBorders>
              <w:right w:val="single" w:color="auto" w:sz="4" w:space="0"/>
            </w:tcBorders>
            <w:vAlign w:val="center"/>
          </w:tcPr>
          <w:p w14:paraId="6BDFC0EC">
            <w:pPr>
              <w:pStyle w:val="47"/>
              <w:jc w:val="center"/>
              <w:rPr>
                <w:i w:val="0"/>
                <w:iCs w:val="0"/>
                <w:color w:val="auto"/>
                <w:highlight w:val="none"/>
              </w:rPr>
            </w:pPr>
          </w:p>
        </w:tc>
        <w:tc>
          <w:tcPr>
            <w:tcW w:w="1188" w:type="dxa"/>
            <w:tcBorders>
              <w:left w:val="single" w:color="auto" w:sz="4" w:space="0"/>
            </w:tcBorders>
            <w:vAlign w:val="center"/>
          </w:tcPr>
          <w:p w14:paraId="22C9E970">
            <w:pPr>
              <w:pStyle w:val="47"/>
              <w:jc w:val="center"/>
              <w:rPr>
                <w:i w:val="0"/>
                <w:iCs w:val="0"/>
                <w:color w:val="auto"/>
                <w:highlight w:val="none"/>
              </w:rPr>
            </w:pPr>
          </w:p>
        </w:tc>
        <w:tc>
          <w:tcPr>
            <w:tcW w:w="816" w:type="dxa"/>
            <w:tcBorders>
              <w:left w:val="single" w:color="auto" w:sz="4" w:space="0"/>
            </w:tcBorders>
            <w:vAlign w:val="center"/>
          </w:tcPr>
          <w:p w14:paraId="4C5CDD3D">
            <w:pPr>
              <w:pStyle w:val="47"/>
              <w:jc w:val="center"/>
              <w:rPr>
                <w:i w:val="0"/>
                <w:iCs w:val="0"/>
                <w:color w:val="auto"/>
                <w:highlight w:val="none"/>
              </w:rPr>
            </w:pPr>
          </w:p>
        </w:tc>
        <w:tc>
          <w:tcPr>
            <w:tcW w:w="1815" w:type="dxa"/>
            <w:vAlign w:val="center"/>
          </w:tcPr>
          <w:p w14:paraId="612FD0B4">
            <w:pPr>
              <w:pStyle w:val="47"/>
              <w:jc w:val="center"/>
              <w:rPr>
                <w:i w:val="0"/>
                <w:iCs w:val="0"/>
                <w:color w:val="auto"/>
                <w:highlight w:val="none"/>
              </w:rPr>
            </w:pPr>
          </w:p>
        </w:tc>
        <w:tc>
          <w:tcPr>
            <w:tcW w:w="1277" w:type="dxa"/>
            <w:vAlign w:val="center"/>
          </w:tcPr>
          <w:p w14:paraId="3178D2DA">
            <w:pPr>
              <w:pStyle w:val="47"/>
              <w:jc w:val="center"/>
              <w:rPr>
                <w:i w:val="0"/>
                <w:iCs w:val="0"/>
                <w:color w:val="auto"/>
                <w:highlight w:val="none"/>
              </w:rPr>
            </w:pPr>
          </w:p>
        </w:tc>
        <w:tc>
          <w:tcPr>
            <w:tcW w:w="816" w:type="dxa"/>
            <w:vAlign w:val="center"/>
          </w:tcPr>
          <w:p w14:paraId="6E00B346">
            <w:pPr>
              <w:pStyle w:val="47"/>
              <w:jc w:val="center"/>
              <w:rPr>
                <w:i w:val="0"/>
                <w:iCs w:val="0"/>
                <w:color w:val="auto"/>
                <w:highlight w:val="none"/>
              </w:rPr>
            </w:pPr>
          </w:p>
        </w:tc>
      </w:tr>
      <w:tr w14:paraId="5048B1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69852D11">
            <w:pPr>
              <w:pStyle w:val="47"/>
              <w:jc w:val="center"/>
              <w:rPr>
                <w:i w:val="0"/>
                <w:iCs w:val="0"/>
                <w:color w:val="auto"/>
                <w:highlight w:val="none"/>
              </w:rPr>
            </w:pPr>
            <w:bookmarkStart w:id="715" w:name="_Toc100090788"/>
            <w:bookmarkStart w:id="716" w:name="_Toc99533296"/>
            <w:r>
              <w:rPr>
                <w:rFonts w:hint="eastAsia"/>
                <w:i w:val="0"/>
                <w:iCs w:val="0"/>
                <w:color w:val="auto"/>
                <w:highlight w:val="none"/>
              </w:rPr>
              <w:t>5</w:t>
            </w:r>
            <w:bookmarkEnd w:id="715"/>
            <w:bookmarkEnd w:id="716"/>
          </w:p>
        </w:tc>
        <w:tc>
          <w:tcPr>
            <w:tcW w:w="1143" w:type="dxa"/>
            <w:vAlign w:val="center"/>
          </w:tcPr>
          <w:p w14:paraId="5B7E7829">
            <w:pPr>
              <w:pStyle w:val="47"/>
              <w:jc w:val="center"/>
              <w:rPr>
                <w:i w:val="0"/>
                <w:iCs w:val="0"/>
                <w:color w:val="auto"/>
                <w:highlight w:val="none"/>
              </w:rPr>
            </w:pPr>
          </w:p>
        </w:tc>
        <w:tc>
          <w:tcPr>
            <w:tcW w:w="1334" w:type="dxa"/>
            <w:tcBorders>
              <w:right w:val="single" w:color="auto" w:sz="4" w:space="0"/>
            </w:tcBorders>
            <w:vAlign w:val="center"/>
          </w:tcPr>
          <w:p w14:paraId="64924D06">
            <w:pPr>
              <w:pStyle w:val="47"/>
              <w:jc w:val="center"/>
              <w:rPr>
                <w:i w:val="0"/>
                <w:iCs w:val="0"/>
                <w:color w:val="auto"/>
                <w:highlight w:val="none"/>
              </w:rPr>
            </w:pPr>
          </w:p>
        </w:tc>
        <w:tc>
          <w:tcPr>
            <w:tcW w:w="1188" w:type="dxa"/>
            <w:tcBorders>
              <w:left w:val="single" w:color="auto" w:sz="4" w:space="0"/>
            </w:tcBorders>
            <w:vAlign w:val="center"/>
          </w:tcPr>
          <w:p w14:paraId="732FB5A2">
            <w:pPr>
              <w:pStyle w:val="47"/>
              <w:jc w:val="center"/>
              <w:rPr>
                <w:i w:val="0"/>
                <w:iCs w:val="0"/>
                <w:color w:val="auto"/>
                <w:highlight w:val="none"/>
              </w:rPr>
            </w:pPr>
          </w:p>
        </w:tc>
        <w:tc>
          <w:tcPr>
            <w:tcW w:w="816" w:type="dxa"/>
            <w:tcBorders>
              <w:left w:val="single" w:color="auto" w:sz="4" w:space="0"/>
            </w:tcBorders>
            <w:vAlign w:val="center"/>
          </w:tcPr>
          <w:p w14:paraId="1836A496">
            <w:pPr>
              <w:pStyle w:val="47"/>
              <w:jc w:val="center"/>
              <w:rPr>
                <w:i w:val="0"/>
                <w:iCs w:val="0"/>
                <w:color w:val="auto"/>
                <w:highlight w:val="none"/>
              </w:rPr>
            </w:pPr>
          </w:p>
        </w:tc>
        <w:tc>
          <w:tcPr>
            <w:tcW w:w="1815" w:type="dxa"/>
            <w:vAlign w:val="center"/>
          </w:tcPr>
          <w:p w14:paraId="1CA75C62">
            <w:pPr>
              <w:pStyle w:val="47"/>
              <w:jc w:val="center"/>
              <w:rPr>
                <w:i w:val="0"/>
                <w:iCs w:val="0"/>
                <w:color w:val="auto"/>
                <w:highlight w:val="none"/>
              </w:rPr>
            </w:pPr>
          </w:p>
        </w:tc>
        <w:tc>
          <w:tcPr>
            <w:tcW w:w="1277" w:type="dxa"/>
            <w:vAlign w:val="center"/>
          </w:tcPr>
          <w:p w14:paraId="1E804439">
            <w:pPr>
              <w:pStyle w:val="47"/>
              <w:jc w:val="center"/>
              <w:rPr>
                <w:i w:val="0"/>
                <w:iCs w:val="0"/>
                <w:color w:val="auto"/>
                <w:highlight w:val="none"/>
              </w:rPr>
            </w:pPr>
          </w:p>
        </w:tc>
        <w:tc>
          <w:tcPr>
            <w:tcW w:w="816" w:type="dxa"/>
            <w:vAlign w:val="center"/>
          </w:tcPr>
          <w:p w14:paraId="4C68F796">
            <w:pPr>
              <w:pStyle w:val="47"/>
              <w:jc w:val="center"/>
              <w:rPr>
                <w:i w:val="0"/>
                <w:iCs w:val="0"/>
                <w:color w:val="auto"/>
                <w:highlight w:val="none"/>
              </w:rPr>
            </w:pPr>
          </w:p>
        </w:tc>
      </w:tr>
      <w:tr w14:paraId="042AB9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51F692E2">
            <w:pPr>
              <w:pStyle w:val="47"/>
              <w:jc w:val="center"/>
              <w:rPr>
                <w:i w:val="0"/>
                <w:iCs w:val="0"/>
                <w:color w:val="auto"/>
                <w:highlight w:val="none"/>
              </w:rPr>
            </w:pPr>
            <w:bookmarkStart w:id="717" w:name="_Toc100090789"/>
            <w:bookmarkStart w:id="718" w:name="_Toc99533297"/>
            <w:r>
              <w:rPr>
                <w:rFonts w:hint="eastAsia"/>
                <w:i w:val="0"/>
                <w:iCs w:val="0"/>
                <w:color w:val="auto"/>
                <w:highlight w:val="none"/>
              </w:rPr>
              <w:t>6</w:t>
            </w:r>
            <w:bookmarkEnd w:id="717"/>
            <w:bookmarkEnd w:id="718"/>
          </w:p>
        </w:tc>
        <w:tc>
          <w:tcPr>
            <w:tcW w:w="1143" w:type="dxa"/>
            <w:vAlign w:val="center"/>
          </w:tcPr>
          <w:p w14:paraId="1DC128CC">
            <w:pPr>
              <w:pStyle w:val="47"/>
              <w:jc w:val="center"/>
              <w:rPr>
                <w:i w:val="0"/>
                <w:iCs w:val="0"/>
                <w:color w:val="auto"/>
                <w:highlight w:val="none"/>
              </w:rPr>
            </w:pPr>
          </w:p>
        </w:tc>
        <w:tc>
          <w:tcPr>
            <w:tcW w:w="1334" w:type="dxa"/>
            <w:tcBorders>
              <w:right w:val="single" w:color="auto" w:sz="4" w:space="0"/>
            </w:tcBorders>
            <w:vAlign w:val="center"/>
          </w:tcPr>
          <w:p w14:paraId="27634594">
            <w:pPr>
              <w:pStyle w:val="47"/>
              <w:jc w:val="center"/>
              <w:rPr>
                <w:i w:val="0"/>
                <w:iCs w:val="0"/>
                <w:color w:val="auto"/>
                <w:highlight w:val="none"/>
              </w:rPr>
            </w:pPr>
          </w:p>
        </w:tc>
        <w:tc>
          <w:tcPr>
            <w:tcW w:w="1188" w:type="dxa"/>
            <w:tcBorders>
              <w:left w:val="single" w:color="auto" w:sz="4" w:space="0"/>
            </w:tcBorders>
            <w:vAlign w:val="center"/>
          </w:tcPr>
          <w:p w14:paraId="3F600965">
            <w:pPr>
              <w:pStyle w:val="47"/>
              <w:jc w:val="center"/>
              <w:rPr>
                <w:i w:val="0"/>
                <w:iCs w:val="0"/>
                <w:color w:val="auto"/>
                <w:highlight w:val="none"/>
              </w:rPr>
            </w:pPr>
          </w:p>
        </w:tc>
        <w:tc>
          <w:tcPr>
            <w:tcW w:w="816" w:type="dxa"/>
            <w:tcBorders>
              <w:left w:val="single" w:color="auto" w:sz="4" w:space="0"/>
            </w:tcBorders>
            <w:vAlign w:val="center"/>
          </w:tcPr>
          <w:p w14:paraId="73FF140B">
            <w:pPr>
              <w:pStyle w:val="47"/>
              <w:jc w:val="center"/>
              <w:rPr>
                <w:i w:val="0"/>
                <w:iCs w:val="0"/>
                <w:color w:val="auto"/>
                <w:highlight w:val="none"/>
              </w:rPr>
            </w:pPr>
          </w:p>
        </w:tc>
        <w:tc>
          <w:tcPr>
            <w:tcW w:w="1815" w:type="dxa"/>
            <w:vAlign w:val="center"/>
          </w:tcPr>
          <w:p w14:paraId="302B578C">
            <w:pPr>
              <w:pStyle w:val="47"/>
              <w:jc w:val="center"/>
              <w:rPr>
                <w:i w:val="0"/>
                <w:iCs w:val="0"/>
                <w:color w:val="auto"/>
                <w:highlight w:val="none"/>
              </w:rPr>
            </w:pPr>
          </w:p>
        </w:tc>
        <w:tc>
          <w:tcPr>
            <w:tcW w:w="1277" w:type="dxa"/>
            <w:vAlign w:val="center"/>
          </w:tcPr>
          <w:p w14:paraId="7E2F7D57">
            <w:pPr>
              <w:pStyle w:val="47"/>
              <w:jc w:val="center"/>
              <w:rPr>
                <w:i w:val="0"/>
                <w:iCs w:val="0"/>
                <w:color w:val="auto"/>
                <w:highlight w:val="none"/>
              </w:rPr>
            </w:pPr>
          </w:p>
        </w:tc>
        <w:tc>
          <w:tcPr>
            <w:tcW w:w="816" w:type="dxa"/>
            <w:vAlign w:val="center"/>
          </w:tcPr>
          <w:p w14:paraId="5B9CE425">
            <w:pPr>
              <w:pStyle w:val="47"/>
              <w:jc w:val="center"/>
              <w:rPr>
                <w:i w:val="0"/>
                <w:iCs w:val="0"/>
                <w:color w:val="auto"/>
                <w:highlight w:val="none"/>
              </w:rPr>
            </w:pPr>
          </w:p>
        </w:tc>
      </w:tr>
      <w:tr w14:paraId="4356832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79AB3A64">
            <w:pPr>
              <w:pStyle w:val="47"/>
              <w:jc w:val="center"/>
              <w:rPr>
                <w:i w:val="0"/>
                <w:iCs w:val="0"/>
                <w:color w:val="auto"/>
                <w:highlight w:val="none"/>
              </w:rPr>
            </w:pPr>
            <w:bookmarkStart w:id="719" w:name="_Toc99533298"/>
            <w:bookmarkStart w:id="720" w:name="_Toc100090790"/>
            <w:r>
              <w:rPr>
                <w:rFonts w:hint="eastAsia"/>
                <w:i w:val="0"/>
                <w:iCs w:val="0"/>
                <w:color w:val="auto"/>
                <w:highlight w:val="none"/>
              </w:rPr>
              <w:t>7</w:t>
            </w:r>
            <w:bookmarkEnd w:id="719"/>
            <w:bookmarkEnd w:id="720"/>
          </w:p>
        </w:tc>
        <w:tc>
          <w:tcPr>
            <w:tcW w:w="1143" w:type="dxa"/>
            <w:vAlign w:val="center"/>
          </w:tcPr>
          <w:p w14:paraId="2E2305CD">
            <w:pPr>
              <w:pStyle w:val="47"/>
              <w:jc w:val="center"/>
              <w:rPr>
                <w:i w:val="0"/>
                <w:iCs w:val="0"/>
                <w:color w:val="auto"/>
                <w:highlight w:val="none"/>
              </w:rPr>
            </w:pPr>
          </w:p>
        </w:tc>
        <w:tc>
          <w:tcPr>
            <w:tcW w:w="1334" w:type="dxa"/>
            <w:tcBorders>
              <w:right w:val="single" w:color="auto" w:sz="4" w:space="0"/>
            </w:tcBorders>
            <w:vAlign w:val="center"/>
          </w:tcPr>
          <w:p w14:paraId="12C4C629">
            <w:pPr>
              <w:pStyle w:val="47"/>
              <w:jc w:val="center"/>
              <w:rPr>
                <w:i w:val="0"/>
                <w:iCs w:val="0"/>
                <w:color w:val="auto"/>
                <w:highlight w:val="none"/>
              </w:rPr>
            </w:pPr>
          </w:p>
        </w:tc>
        <w:tc>
          <w:tcPr>
            <w:tcW w:w="1188" w:type="dxa"/>
            <w:tcBorders>
              <w:left w:val="single" w:color="auto" w:sz="4" w:space="0"/>
            </w:tcBorders>
            <w:vAlign w:val="center"/>
          </w:tcPr>
          <w:p w14:paraId="12836729">
            <w:pPr>
              <w:pStyle w:val="47"/>
              <w:jc w:val="center"/>
              <w:rPr>
                <w:i w:val="0"/>
                <w:iCs w:val="0"/>
                <w:color w:val="auto"/>
                <w:highlight w:val="none"/>
              </w:rPr>
            </w:pPr>
          </w:p>
        </w:tc>
        <w:tc>
          <w:tcPr>
            <w:tcW w:w="816" w:type="dxa"/>
            <w:tcBorders>
              <w:left w:val="single" w:color="auto" w:sz="4" w:space="0"/>
            </w:tcBorders>
            <w:vAlign w:val="center"/>
          </w:tcPr>
          <w:p w14:paraId="3A761A55">
            <w:pPr>
              <w:pStyle w:val="47"/>
              <w:jc w:val="center"/>
              <w:rPr>
                <w:i w:val="0"/>
                <w:iCs w:val="0"/>
                <w:color w:val="auto"/>
                <w:highlight w:val="none"/>
              </w:rPr>
            </w:pPr>
          </w:p>
        </w:tc>
        <w:tc>
          <w:tcPr>
            <w:tcW w:w="1815" w:type="dxa"/>
            <w:vAlign w:val="center"/>
          </w:tcPr>
          <w:p w14:paraId="05A8DC40">
            <w:pPr>
              <w:pStyle w:val="47"/>
              <w:jc w:val="center"/>
              <w:rPr>
                <w:i w:val="0"/>
                <w:iCs w:val="0"/>
                <w:color w:val="auto"/>
                <w:highlight w:val="none"/>
              </w:rPr>
            </w:pPr>
          </w:p>
        </w:tc>
        <w:tc>
          <w:tcPr>
            <w:tcW w:w="1277" w:type="dxa"/>
            <w:vAlign w:val="center"/>
          </w:tcPr>
          <w:p w14:paraId="3829CE10">
            <w:pPr>
              <w:pStyle w:val="47"/>
              <w:jc w:val="center"/>
              <w:rPr>
                <w:i w:val="0"/>
                <w:iCs w:val="0"/>
                <w:color w:val="auto"/>
                <w:highlight w:val="none"/>
              </w:rPr>
            </w:pPr>
          </w:p>
        </w:tc>
        <w:tc>
          <w:tcPr>
            <w:tcW w:w="816" w:type="dxa"/>
            <w:vAlign w:val="center"/>
          </w:tcPr>
          <w:p w14:paraId="1DC19827">
            <w:pPr>
              <w:pStyle w:val="47"/>
              <w:jc w:val="center"/>
              <w:rPr>
                <w:i w:val="0"/>
                <w:iCs w:val="0"/>
                <w:color w:val="auto"/>
                <w:highlight w:val="none"/>
              </w:rPr>
            </w:pPr>
          </w:p>
        </w:tc>
      </w:tr>
      <w:tr w14:paraId="750A44C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3D81535E">
            <w:pPr>
              <w:pStyle w:val="47"/>
              <w:jc w:val="center"/>
              <w:rPr>
                <w:i w:val="0"/>
                <w:iCs w:val="0"/>
                <w:color w:val="auto"/>
                <w:highlight w:val="none"/>
              </w:rPr>
            </w:pPr>
            <w:bookmarkStart w:id="721" w:name="_Toc100090791"/>
            <w:bookmarkStart w:id="722" w:name="_Toc99533299"/>
            <w:r>
              <w:rPr>
                <w:rFonts w:hint="eastAsia"/>
                <w:i w:val="0"/>
                <w:iCs w:val="0"/>
                <w:color w:val="auto"/>
                <w:highlight w:val="none"/>
              </w:rPr>
              <w:t>8</w:t>
            </w:r>
            <w:bookmarkEnd w:id="721"/>
            <w:bookmarkEnd w:id="722"/>
          </w:p>
        </w:tc>
        <w:tc>
          <w:tcPr>
            <w:tcW w:w="1143" w:type="dxa"/>
            <w:vAlign w:val="center"/>
          </w:tcPr>
          <w:p w14:paraId="1DDFABCF">
            <w:pPr>
              <w:pStyle w:val="47"/>
              <w:jc w:val="center"/>
              <w:rPr>
                <w:i w:val="0"/>
                <w:iCs w:val="0"/>
                <w:color w:val="auto"/>
                <w:highlight w:val="none"/>
              </w:rPr>
            </w:pPr>
          </w:p>
        </w:tc>
        <w:tc>
          <w:tcPr>
            <w:tcW w:w="1334" w:type="dxa"/>
            <w:tcBorders>
              <w:right w:val="single" w:color="auto" w:sz="4" w:space="0"/>
            </w:tcBorders>
            <w:vAlign w:val="center"/>
          </w:tcPr>
          <w:p w14:paraId="5E162308">
            <w:pPr>
              <w:pStyle w:val="47"/>
              <w:jc w:val="center"/>
              <w:rPr>
                <w:i w:val="0"/>
                <w:iCs w:val="0"/>
                <w:color w:val="auto"/>
                <w:highlight w:val="none"/>
              </w:rPr>
            </w:pPr>
          </w:p>
        </w:tc>
        <w:tc>
          <w:tcPr>
            <w:tcW w:w="1188" w:type="dxa"/>
            <w:tcBorders>
              <w:left w:val="single" w:color="auto" w:sz="4" w:space="0"/>
            </w:tcBorders>
            <w:vAlign w:val="center"/>
          </w:tcPr>
          <w:p w14:paraId="20322021">
            <w:pPr>
              <w:pStyle w:val="47"/>
              <w:jc w:val="center"/>
              <w:rPr>
                <w:i w:val="0"/>
                <w:iCs w:val="0"/>
                <w:color w:val="auto"/>
                <w:highlight w:val="none"/>
              </w:rPr>
            </w:pPr>
          </w:p>
        </w:tc>
        <w:tc>
          <w:tcPr>
            <w:tcW w:w="816" w:type="dxa"/>
            <w:tcBorders>
              <w:left w:val="single" w:color="auto" w:sz="4" w:space="0"/>
            </w:tcBorders>
            <w:vAlign w:val="center"/>
          </w:tcPr>
          <w:p w14:paraId="72151533">
            <w:pPr>
              <w:pStyle w:val="47"/>
              <w:jc w:val="center"/>
              <w:rPr>
                <w:i w:val="0"/>
                <w:iCs w:val="0"/>
                <w:color w:val="auto"/>
                <w:highlight w:val="none"/>
              </w:rPr>
            </w:pPr>
          </w:p>
        </w:tc>
        <w:tc>
          <w:tcPr>
            <w:tcW w:w="1815" w:type="dxa"/>
            <w:vAlign w:val="center"/>
          </w:tcPr>
          <w:p w14:paraId="600DF6C8">
            <w:pPr>
              <w:pStyle w:val="47"/>
              <w:jc w:val="center"/>
              <w:rPr>
                <w:i w:val="0"/>
                <w:iCs w:val="0"/>
                <w:color w:val="auto"/>
                <w:highlight w:val="none"/>
              </w:rPr>
            </w:pPr>
          </w:p>
        </w:tc>
        <w:tc>
          <w:tcPr>
            <w:tcW w:w="1277" w:type="dxa"/>
            <w:vAlign w:val="center"/>
          </w:tcPr>
          <w:p w14:paraId="7A7B9A82">
            <w:pPr>
              <w:pStyle w:val="47"/>
              <w:jc w:val="center"/>
              <w:rPr>
                <w:i w:val="0"/>
                <w:iCs w:val="0"/>
                <w:color w:val="auto"/>
                <w:highlight w:val="none"/>
              </w:rPr>
            </w:pPr>
          </w:p>
        </w:tc>
        <w:tc>
          <w:tcPr>
            <w:tcW w:w="816" w:type="dxa"/>
            <w:vAlign w:val="center"/>
          </w:tcPr>
          <w:p w14:paraId="6C2614C0">
            <w:pPr>
              <w:pStyle w:val="47"/>
              <w:jc w:val="center"/>
              <w:rPr>
                <w:i w:val="0"/>
                <w:iCs w:val="0"/>
                <w:color w:val="auto"/>
                <w:highlight w:val="none"/>
              </w:rPr>
            </w:pPr>
          </w:p>
        </w:tc>
      </w:tr>
      <w:tr w14:paraId="101506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77" w:hRule="atLeast"/>
        </w:trPr>
        <w:tc>
          <w:tcPr>
            <w:tcW w:w="773" w:type="dxa"/>
            <w:vAlign w:val="center"/>
          </w:tcPr>
          <w:p w14:paraId="2F71A2D9">
            <w:pPr>
              <w:pStyle w:val="47"/>
              <w:jc w:val="center"/>
              <w:rPr>
                <w:i w:val="0"/>
                <w:iCs w:val="0"/>
                <w:color w:val="auto"/>
                <w:highlight w:val="none"/>
              </w:rPr>
            </w:pPr>
            <w:bookmarkStart w:id="723" w:name="_Toc99533300"/>
            <w:bookmarkStart w:id="724" w:name="_Toc100090792"/>
            <w:r>
              <w:rPr>
                <w:rFonts w:hint="eastAsia"/>
                <w:i w:val="0"/>
                <w:iCs w:val="0"/>
                <w:color w:val="auto"/>
                <w:highlight w:val="none"/>
              </w:rPr>
              <w:t>9</w:t>
            </w:r>
            <w:bookmarkEnd w:id="723"/>
            <w:bookmarkEnd w:id="724"/>
          </w:p>
        </w:tc>
        <w:tc>
          <w:tcPr>
            <w:tcW w:w="1143" w:type="dxa"/>
            <w:vAlign w:val="center"/>
          </w:tcPr>
          <w:p w14:paraId="337DC3D2">
            <w:pPr>
              <w:pStyle w:val="47"/>
              <w:jc w:val="center"/>
              <w:rPr>
                <w:i w:val="0"/>
                <w:iCs w:val="0"/>
                <w:color w:val="auto"/>
                <w:highlight w:val="none"/>
              </w:rPr>
            </w:pPr>
          </w:p>
        </w:tc>
        <w:tc>
          <w:tcPr>
            <w:tcW w:w="1334" w:type="dxa"/>
            <w:tcBorders>
              <w:right w:val="single" w:color="auto" w:sz="4" w:space="0"/>
            </w:tcBorders>
            <w:vAlign w:val="center"/>
          </w:tcPr>
          <w:p w14:paraId="7D52DCED">
            <w:pPr>
              <w:pStyle w:val="47"/>
              <w:jc w:val="center"/>
              <w:rPr>
                <w:i w:val="0"/>
                <w:iCs w:val="0"/>
                <w:color w:val="auto"/>
                <w:highlight w:val="none"/>
              </w:rPr>
            </w:pPr>
          </w:p>
        </w:tc>
        <w:tc>
          <w:tcPr>
            <w:tcW w:w="1188" w:type="dxa"/>
            <w:tcBorders>
              <w:left w:val="single" w:color="auto" w:sz="4" w:space="0"/>
            </w:tcBorders>
            <w:vAlign w:val="center"/>
          </w:tcPr>
          <w:p w14:paraId="51CA2603">
            <w:pPr>
              <w:pStyle w:val="47"/>
              <w:jc w:val="center"/>
              <w:rPr>
                <w:i w:val="0"/>
                <w:iCs w:val="0"/>
                <w:color w:val="auto"/>
                <w:highlight w:val="none"/>
              </w:rPr>
            </w:pPr>
          </w:p>
        </w:tc>
        <w:tc>
          <w:tcPr>
            <w:tcW w:w="816" w:type="dxa"/>
            <w:tcBorders>
              <w:left w:val="single" w:color="auto" w:sz="4" w:space="0"/>
            </w:tcBorders>
            <w:vAlign w:val="center"/>
          </w:tcPr>
          <w:p w14:paraId="7F7E67FB">
            <w:pPr>
              <w:pStyle w:val="47"/>
              <w:jc w:val="center"/>
              <w:rPr>
                <w:i w:val="0"/>
                <w:iCs w:val="0"/>
                <w:color w:val="auto"/>
                <w:highlight w:val="none"/>
              </w:rPr>
            </w:pPr>
          </w:p>
        </w:tc>
        <w:tc>
          <w:tcPr>
            <w:tcW w:w="1815" w:type="dxa"/>
            <w:vAlign w:val="center"/>
          </w:tcPr>
          <w:p w14:paraId="2B805583">
            <w:pPr>
              <w:pStyle w:val="47"/>
              <w:jc w:val="center"/>
              <w:rPr>
                <w:i w:val="0"/>
                <w:iCs w:val="0"/>
                <w:color w:val="auto"/>
                <w:highlight w:val="none"/>
              </w:rPr>
            </w:pPr>
          </w:p>
        </w:tc>
        <w:tc>
          <w:tcPr>
            <w:tcW w:w="1277" w:type="dxa"/>
            <w:vAlign w:val="center"/>
          </w:tcPr>
          <w:p w14:paraId="18D19DE8">
            <w:pPr>
              <w:pStyle w:val="47"/>
              <w:jc w:val="center"/>
              <w:rPr>
                <w:i w:val="0"/>
                <w:iCs w:val="0"/>
                <w:color w:val="auto"/>
                <w:highlight w:val="none"/>
              </w:rPr>
            </w:pPr>
          </w:p>
        </w:tc>
        <w:tc>
          <w:tcPr>
            <w:tcW w:w="816" w:type="dxa"/>
            <w:vAlign w:val="center"/>
          </w:tcPr>
          <w:p w14:paraId="225125A1">
            <w:pPr>
              <w:pStyle w:val="47"/>
              <w:jc w:val="center"/>
              <w:rPr>
                <w:i w:val="0"/>
                <w:iCs w:val="0"/>
                <w:color w:val="auto"/>
                <w:highlight w:val="none"/>
              </w:rPr>
            </w:pPr>
          </w:p>
        </w:tc>
      </w:tr>
      <w:tr w14:paraId="36F97B4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89" w:hRule="atLeast"/>
        </w:trPr>
        <w:tc>
          <w:tcPr>
            <w:tcW w:w="773" w:type="dxa"/>
            <w:vAlign w:val="center"/>
          </w:tcPr>
          <w:p w14:paraId="13DAAD3B">
            <w:pPr>
              <w:pStyle w:val="47"/>
              <w:jc w:val="center"/>
              <w:rPr>
                <w:i w:val="0"/>
                <w:iCs w:val="0"/>
                <w:color w:val="auto"/>
                <w:highlight w:val="none"/>
              </w:rPr>
            </w:pPr>
            <w:bookmarkStart w:id="725" w:name="_Toc99533301"/>
            <w:bookmarkStart w:id="726" w:name="_Toc100090793"/>
            <w:r>
              <w:rPr>
                <w:rFonts w:hint="eastAsia"/>
                <w:i w:val="0"/>
                <w:iCs w:val="0"/>
                <w:color w:val="auto"/>
                <w:highlight w:val="none"/>
              </w:rPr>
              <w:t>10</w:t>
            </w:r>
            <w:bookmarkEnd w:id="725"/>
            <w:bookmarkEnd w:id="726"/>
          </w:p>
        </w:tc>
        <w:tc>
          <w:tcPr>
            <w:tcW w:w="1143" w:type="dxa"/>
            <w:vAlign w:val="center"/>
          </w:tcPr>
          <w:p w14:paraId="55B22C5B">
            <w:pPr>
              <w:pStyle w:val="47"/>
              <w:jc w:val="center"/>
              <w:rPr>
                <w:i w:val="0"/>
                <w:iCs w:val="0"/>
                <w:color w:val="auto"/>
                <w:highlight w:val="none"/>
              </w:rPr>
            </w:pPr>
          </w:p>
        </w:tc>
        <w:tc>
          <w:tcPr>
            <w:tcW w:w="1334" w:type="dxa"/>
            <w:tcBorders>
              <w:right w:val="single" w:color="auto" w:sz="4" w:space="0"/>
            </w:tcBorders>
            <w:vAlign w:val="center"/>
          </w:tcPr>
          <w:p w14:paraId="0735224E">
            <w:pPr>
              <w:pStyle w:val="47"/>
              <w:jc w:val="center"/>
              <w:rPr>
                <w:i w:val="0"/>
                <w:iCs w:val="0"/>
                <w:color w:val="auto"/>
                <w:highlight w:val="none"/>
              </w:rPr>
            </w:pPr>
          </w:p>
        </w:tc>
        <w:tc>
          <w:tcPr>
            <w:tcW w:w="1188" w:type="dxa"/>
            <w:tcBorders>
              <w:left w:val="single" w:color="auto" w:sz="4" w:space="0"/>
            </w:tcBorders>
            <w:vAlign w:val="center"/>
          </w:tcPr>
          <w:p w14:paraId="4FBEB9BB">
            <w:pPr>
              <w:pStyle w:val="47"/>
              <w:jc w:val="center"/>
              <w:rPr>
                <w:i w:val="0"/>
                <w:iCs w:val="0"/>
                <w:color w:val="auto"/>
                <w:highlight w:val="none"/>
              </w:rPr>
            </w:pPr>
          </w:p>
        </w:tc>
        <w:tc>
          <w:tcPr>
            <w:tcW w:w="816" w:type="dxa"/>
            <w:tcBorders>
              <w:left w:val="single" w:color="auto" w:sz="4" w:space="0"/>
            </w:tcBorders>
            <w:vAlign w:val="center"/>
          </w:tcPr>
          <w:p w14:paraId="6718986B">
            <w:pPr>
              <w:pStyle w:val="47"/>
              <w:jc w:val="center"/>
              <w:rPr>
                <w:i w:val="0"/>
                <w:iCs w:val="0"/>
                <w:color w:val="auto"/>
                <w:highlight w:val="none"/>
              </w:rPr>
            </w:pPr>
          </w:p>
        </w:tc>
        <w:tc>
          <w:tcPr>
            <w:tcW w:w="1815" w:type="dxa"/>
            <w:vAlign w:val="center"/>
          </w:tcPr>
          <w:p w14:paraId="0C780C4A">
            <w:pPr>
              <w:pStyle w:val="47"/>
              <w:jc w:val="center"/>
              <w:rPr>
                <w:i w:val="0"/>
                <w:iCs w:val="0"/>
                <w:color w:val="auto"/>
                <w:highlight w:val="none"/>
              </w:rPr>
            </w:pPr>
          </w:p>
        </w:tc>
        <w:tc>
          <w:tcPr>
            <w:tcW w:w="1277" w:type="dxa"/>
            <w:vAlign w:val="center"/>
          </w:tcPr>
          <w:p w14:paraId="4C8B6CD0">
            <w:pPr>
              <w:pStyle w:val="47"/>
              <w:jc w:val="center"/>
              <w:rPr>
                <w:i w:val="0"/>
                <w:iCs w:val="0"/>
                <w:color w:val="auto"/>
                <w:highlight w:val="none"/>
              </w:rPr>
            </w:pPr>
          </w:p>
        </w:tc>
        <w:tc>
          <w:tcPr>
            <w:tcW w:w="816" w:type="dxa"/>
            <w:vAlign w:val="center"/>
          </w:tcPr>
          <w:p w14:paraId="212F0480">
            <w:pPr>
              <w:pStyle w:val="47"/>
              <w:jc w:val="center"/>
              <w:rPr>
                <w:i w:val="0"/>
                <w:iCs w:val="0"/>
                <w:color w:val="auto"/>
                <w:highlight w:val="none"/>
              </w:rPr>
            </w:pPr>
          </w:p>
        </w:tc>
      </w:tr>
    </w:tbl>
    <w:p w14:paraId="4BE49045">
      <w:pPr>
        <w:rPr>
          <w:i w:val="0"/>
          <w:iCs w:val="0"/>
          <w:color w:val="auto"/>
          <w:highlight w:val="none"/>
        </w:rPr>
      </w:pPr>
    </w:p>
    <w:p w14:paraId="1EAF0062">
      <w:pPr>
        <w:rPr>
          <w:rFonts w:hint="default" w:cs="仿宋_GB2312"/>
          <w:color w:val="auto"/>
          <w:sz w:val="21"/>
          <w:szCs w:val="21"/>
          <w:highlight w:val="none"/>
          <w:lang w:val="en-US"/>
        </w:rPr>
      </w:pPr>
      <w:r>
        <w:rPr>
          <w:rFonts w:hint="eastAsia" w:cs="仿宋_GB2312"/>
          <w:color w:val="auto"/>
          <w:sz w:val="21"/>
          <w:szCs w:val="21"/>
          <w:highlight w:val="none"/>
          <w:lang w:val="en-US" w:eastAsia="zh-CN"/>
        </w:rPr>
        <w:t>注：按竞争性磋商文件要求在本表后附相关人员证书。</w:t>
      </w:r>
    </w:p>
    <w:p w14:paraId="3B621572">
      <w:pPr>
        <w:ind w:firstLine="420" w:firstLineChars="200"/>
        <w:rPr>
          <w:rFonts w:hint="eastAsia" w:cs="仿宋_GB2312"/>
          <w:color w:val="auto"/>
          <w:sz w:val="21"/>
          <w:szCs w:val="21"/>
          <w:highlight w:val="none"/>
          <w:lang w:val="en-US" w:eastAsia="zh-CN"/>
        </w:rPr>
      </w:pPr>
    </w:p>
    <w:p w14:paraId="178B25F9">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 xml:space="preserve">说明： </w:t>
      </w:r>
    </w:p>
    <w:p w14:paraId="442D33DF">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1.“在团队中职务（岗位）”栏应包括但不限于：项目负责人、项目联系人、项目服务人员或技术人员等。 </w:t>
      </w:r>
    </w:p>
    <w:p w14:paraId="51ED7B0D">
      <w:pPr>
        <w:ind w:firstLine="420" w:firstLineChars="200"/>
        <w:rPr>
          <w:i w:val="0"/>
          <w:iCs w:val="0"/>
          <w:color w:val="auto"/>
          <w:highlight w:val="none"/>
        </w:rPr>
      </w:pPr>
      <w:r>
        <w:rPr>
          <w:rFonts w:hint="eastAsia" w:cs="仿宋_GB2312"/>
          <w:color w:val="auto"/>
          <w:sz w:val="21"/>
          <w:szCs w:val="21"/>
          <w:highlight w:val="none"/>
          <w:lang w:val="en-US" w:eastAsia="zh-CN"/>
        </w:rPr>
        <w:t>2.如供应商成交，须按本表项目组成人员操作，不得随意更换。</w:t>
      </w:r>
      <w:r>
        <w:rPr>
          <w:i w:val="0"/>
          <w:iCs w:val="0"/>
          <w:color w:val="auto"/>
          <w:highlight w:val="none"/>
        </w:rPr>
        <w:br w:type="page"/>
      </w:r>
    </w:p>
    <w:p w14:paraId="1358285E">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27" w:name="_Toc163492934"/>
      <w:bookmarkStart w:id="728" w:name="_Toc5696"/>
      <w:r>
        <w:rPr>
          <w:rFonts w:hint="eastAsia" w:cs="宋体"/>
          <w:b/>
          <w:bCs/>
          <w:i w:val="0"/>
          <w:iCs w:val="0"/>
          <w:color w:val="auto"/>
          <w:kern w:val="2"/>
          <w:sz w:val="32"/>
          <w:szCs w:val="32"/>
          <w:highlight w:val="none"/>
          <w:lang w:val="en-US" w:eastAsia="zh-CN" w:bidi="ar-SA"/>
        </w:rPr>
        <w:t>九</w:t>
      </w:r>
      <w:r>
        <w:rPr>
          <w:rFonts w:hint="eastAsia" w:ascii="等线 Light" w:hAnsi="等线 Light" w:eastAsia="宋体" w:cs="宋体"/>
          <w:b/>
          <w:bCs/>
          <w:i w:val="0"/>
          <w:iCs w:val="0"/>
          <w:color w:val="auto"/>
          <w:kern w:val="2"/>
          <w:sz w:val="32"/>
          <w:szCs w:val="32"/>
          <w:highlight w:val="none"/>
          <w:lang w:val="en-US" w:eastAsia="zh-CN" w:bidi="ar-SA"/>
        </w:rPr>
        <w:t>、技术响应偏离表</w:t>
      </w:r>
      <w:bookmarkEnd w:id="727"/>
      <w:bookmarkEnd w:id="728"/>
    </w:p>
    <w:p w14:paraId="28A8231E">
      <w:pPr>
        <w:rPr>
          <w:rFonts w:cs="仿宋_GB2312"/>
          <w:i w:val="0"/>
          <w:iCs w:val="0"/>
          <w:color w:val="auto"/>
          <w:szCs w:val="24"/>
          <w:highlight w:val="none"/>
        </w:rPr>
      </w:pPr>
      <w:r>
        <w:rPr>
          <w:rFonts w:hint="eastAsia" w:cs="仿宋_GB2312"/>
          <w:i w:val="0"/>
          <w:iCs w:val="0"/>
          <w:color w:val="auto"/>
          <w:szCs w:val="24"/>
          <w:highlight w:val="none"/>
        </w:rPr>
        <w:t xml:space="preserve">项目名称：                                         </w:t>
      </w:r>
    </w:p>
    <w:p w14:paraId="10CF1BE4">
      <w:pPr>
        <w:rPr>
          <w:rFonts w:cs="仿宋_GB2312"/>
          <w:i w:val="0"/>
          <w:iCs w:val="0"/>
          <w:color w:val="auto"/>
          <w:szCs w:val="24"/>
          <w:highlight w:val="none"/>
        </w:rPr>
      </w:pPr>
      <w:r>
        <w:rPr>
          <w:rFonts w:hint="eastAsia" w:cs="仿宋_GB2312"/>
          <w:i w:val="0"/>
          <w:iCs w:val="0"/>
          <w:color w:val="auto"/>
          <w:szCs w:val="24"/>
          <w:highlight w:val="none"/>
        </w:rPr>
        <w:t>项目编号</w:t>
      </w:r>
      <w:r>
        <w:rPr>
          <w:rFonts w:hint="eastAsia" w:cs="仿宋_GB2312"/>
          <w:i w:val="0"/>
          <w:iCs w:val="0"/>
          <w:color w:val="auto"/>
          <w:szCs w:val="24"/>
          <w:highlight w:val="none"/>
          <w:lang w:val="en-US" w:eastAsia="zh-CN"/>
        </w:rPr>
        <w:t>/</w:t>
      </w:r>
      <w:r>
        <w:rPr>
          <w:rFonts w:hint="eastAsia" w:cs="仿宋_GB2312"/>
          <w:i w:val="0"/>
          <w:iCs w:val="0"/>
          <w:color w:val="auto"/>
          <w:szCs w:val="24"/>
          <w:highlight w:val="none"/>
          <w:lang w:val="zh-CN"/>
        </w:rPr>
        <w:t>包号</w:t>
      </w:r>
      <w:r>
        <w:rPr>
          <w:rFonts w:hint="eastAsia" w:cs="仿宋_GB2312"/>
          <w:i w:val="0"/>
          <w:iCs w:val="0"/>
          <w:color w:val="auto"/>
          <w:szCs w:val="24"/>
          <w:highlight w:val="none"/>
        </w:rPr>
        <w:t xml:space="preserve">：         </w:t>
      </w:r>
    </w:p>
    <w:tbl>
      <w:tblPr>
        <w:tblStyle w:val="3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2177"/>
        <w:gridCol w:w="1556"/>
        <w:gridCol w:w="2046"/>
        <w:gridCol w:w="2046"/>
      </w:tblGrid>
      <w:tr w14:paraId="23CC5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5F892E53">
            <w:pPr>
              <w:pStyle w:val="47"/>
              <w:jc w:val="center"/>
              <w:rPr>
                <w:i w:val="0"/>
                <w:iCs w:val="0"/>
                <w:color w:val="auto"/>
                <w:highlight w:val="none"/>
              </w:rPr>
            </w:pPr>
            <w:r>
              <w:rPr>
                <w:rFonts w:hint="eastAsia"/>
                <w:i w:val="0"/>
                <w:iCs w:val="0"/>
                <w:color w:val="auto"/>
                <w:highlight w:val="none"/>
              </w:rPr>
              <w:t>序号</w:t>
            </w:r>
          </w:p>
        </w:tc>
        <w:tc>
          <w:tcPr>
            <w:tcW w:w="1277" w:type="pct"/>
            <w:vAlign w:val="center"/>
          </w:tcPr>
          <w:p w14:paraId="0C5608DB">
            <w:pPr>
              <w:pStyle w:val="47"/>
              <w:jc w:val="center"/>
              <w:rPr>
                <w:i w:val="0"/>
                <w:iCs w:val="0"/>
                <w:color w:val="auto"/>
                <w:highlight w:val="none"/>
              </w:rPr>
            </w:pPr>
            <w:r>
              <w:rPr>
                <w:rFonts w:hint="eastAsia"/>
                <w:i w:val="0"/>
                <w:iCs w:val="0"/>
                <w:color w:val="auto"/>
                <w:highlight w:val="none"/>
                <w:lang w:val="en-US" w:eastAsia="zh-CN"/>
              </w:rPr>
              <w:t>竞争性磋商</w:t>
            </w:r>
            <w:r>
              <w:rPr>
                <w:rFonts w:hint="eastAsia"/>
                <w:i w:val="0"/>
                <w:iCs w:val="0"/>
                <w:color w:val="auto"/>
                <w:highlight w:val="none"/>
              </w:rPr>
              <w:t>文件技术要求条款</w:t>
            </w:r>
          </w:p>
        </w:tc>
        <w:tc>
          <w:tcPr>
            <w:tcW w:w="913" w:type="pct"/>
            <w:vAlign w:val="center"/>
          </w:tcPr>
          <w:p w14:paraId="0B845CF1">
            <w:pPr>
              <w:pStyle w:val="47"/>
              <w:jc w:val="center"/>
              <w:rPr>
                <w:i w:val="0"/>
                <w:iCs w:val="0"/>
                <w:color w:val="auto"/>
                <w:highlight w:val="none"/>
              </w:rPr>
            </w:pPr>
            <w:r>
              <w:rPr>
                <w:rFonts w:hint="eastAsia"/>
                <w:i w:val="0"/>
                <w:iCs w:val="0"/>
                <w:color w:val="auto"/>
                <w:highlight w:val="none"/>
                <w:lang w:val="en-US" w:eastAsia="zh-CN"/>
              </w:rPr>
              <w:t>响应</w:t>
            </w:r>
            <w:r>
              <w:rPr>
                <w:rFonts w:hint="eastAsia"/>
                <w:i w:val="0"/>
                <w:iCs w:val="0"/>
                <w:color w:val="auto"/>
                <w:highlight w:val="none"/>
              </w:rPr>
              <w:t>文件内容</w:t>
            </w:r>
          </w:p>
          <w:p w14:paraId="4F79E073">
            <w:pPr>
              <w:pStyle w:val="47"/>
              <w:jc w:val="center"/>
              <w:rPr>
                <w:i w:val="0"/>
                <w:iCs w:val="0"/>
                <w:color w:val="auto"/>
                <w:highlight w:val="none"/>
              </w:rPr>
            </w:pPr>
            <w:r>
              <w:rPr>
                <w:rFonts w:hint="eastAsia"/>
                <w:i w:val="0"/>
                <w:iCs w:val="0"/>
                <w:color w:val="auto"/>
                <w:highlight w:val="none"/>
              </w:rPr>
              <w:t>对应简述</w:t>
            </w:r>
          </w:p>
        </w:tc>
        <w:tc>
          <w:tcPr>
            <w:tcW w:w="1200" w:type="pct"/>
            <w:vAlign w:val="center"/>
          </w:tcPr>
          <w:p w14:paraId="4AB4E9C3">
            <w:pPr>
              <w:pStyle w:val="47"/>
              <w:jc w:val="center"/>
              <w:rPr>
                <w:i w:val="0"/>
                <w:iCs w:val="0"/>
                <w:color w:val="auto"/>
                <w:highlight w:val="none"/>
              </w:rPr>
            </w:pPr>
            <w:r>
              <w:rPr>
                <w:rFonts w:hint="eastAsia"/>
                <w:i w:val="0"/>
                <w:iCs w:val="0"/>
                <w:color w:val="auto"/>
                <w:highlight w:val="none"/>
              </w:rPr>
              <w:t>响应情况</w:t>
            </w:r>
          </w:p>
        </w:tc>
        <w:tc>
          <w:tcPr>
            <w:tcW w:w="1200" w:type="pct"/>
            <w:vAlign w:val="center"/>
          </w:tcPr>
          <w:p w14:paraId="09D725B9">
            <w:pPr>
              <w:pStyle w:val="47"/>
              <w:jc w:val="center"/>
              <w:rPr>
                <w:i w:val="0"/>
                <w:iCs w:val="0"/>
                <w:color w:val="auto"/>
                <w:highlight w:val="none"/>
              </w:rPr>
            </w:pPr>
            <w:r>
              <w:rPr>
                <w:rFonts w:hint="eastAsia"/>
                <w:color w:val="auto"/>
                <w:highlight w:val="none"/>
                <w:lang w:val="en-US" w:eastAsia="zh-CN"/>
              </w:rPr>
              <w:t>证明资料</w:t>
            </w:r>
            <w:r>
              <w:rPr>
                <w:rFonts w:hint="eastAsia"/>
                <w:color w:val="auto"/>
                <w:highlight w:val="none"/>
              </w:rPr>
              <w:t>及索引</w:t>
            </w:r>
          </w:p>
        </w:tc>
      </w:tr>
      <w:tr w14:paraId="39EC0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29950C57">
            <w:pPr>
              <w:pStyle w:val="47"/>
              <w:jc w:val="center"/>
              <w:rPr>
                <w:i w:val="0"/>
                <w:iCs w:val="0"/>
                <w:color w:val="auto"/>
                <w:highlight w:val="none"/>
              </w:rPr>
            </w:pPr>
            <w:r>
              <w:rPr>
                <w:rFonts w:hint="eastAsia"/>
                <w:i w:val="0"/>
                <w:iCs w:val="0"/>
                <w:color w:val="auto"/>
                <w:highlight w:val="none"/>
              </w:rPr>
              <w:t>1</w:t>
            </w:r>
          </w:p>
        </w:tc>
        <w:tc>
          <w:tcPr>
            <w:tcW w:w="1277" w:type="pct"/>
            <w:vAlign w:val="center"/>
          </w:tcPr>
          <w:p w14:paraId="69B288A0">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0E04AD72">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85AEA1C">
            <w:pPr>
              <w:pStyle w:val="47"/>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02D97874">
            <w:pPr>
              <w:pStyle w:val="47"/>
              <w:jc w:val="center"/>
              <w:rPr>
                <w:i w:val="0"/>
                <w:iCs w:val="0"/>
                <w:color w:val="auto"/>
                <w:highlight w:val="none"/>
              </w:rPr>
            </w:pPr>
          </w:p>
        </w:tc>
      </w:tr>
      <w:tr w14:paraId="4EC68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5" w:hRule="atLeast"/>
        </w:trPr>
        <w:tc>
          <w:tcPr>
            <w:tcW w:w="407" w:type="pct"/>
            <w:vAlign w:val="center"/>
          </w:tcPr>
          <w:p w14:paraId="195B6778">
            <w:pPr>
              <w:pStyle w:val="47"/>
              <w:jc w:val="center"/>
              <w:rPr>
                <w:i w:val="0"/>
                <w:iCs w:val="0"/>
                <w:color w:val="auto"/>
                <w:highlight w:val="none"/>
              </w:rPr>
            </w:pPr>
            <w:r>
              <w:rPr>
                <w:rFonts w:hint="eastAsia"/>
                <w:i w:val="0"/>
                <w:iCs w:val="0"/>
                <w:color w:val="auto"/>
                <w:highlight w:val="none"/>
              </w:rPr>
              <w:t>2</w:t>
            </w:r>
          </w:p>
        </w:tc>
        <w:tc>
          <w:tcPr>
            <w:tcW w:w="1277" w:type="pct"/>
            <w:vAlign w:val="center"/>
          </w:tcPr>
          <w:p w14:paraId="30E52A7F">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913" w:type="pct"/>
            <w:vAlign w:val="center"/>
          </w:tcPr>
          <w:p w14:paraId="29A6C1E1">
            <w:pPr>
              <w:pStyle w:val="47"/>
              <w:jc w:val="center"/>
              <w:rPr>
                <w:i w:val="0"/>
                <w:iCs w:val="0"/>
                <w:color w:val="auto"/>
                <w:highlight w:val="none"/>
              </w:rPr>
            </w:pPr>
            <w:r>
              <w:rPr>
                <w:rFonts w:hint="eastAsia"/>
                <w:i w:val="0"/>
                <w:iCs w:val="0"/>
                <w:color w:val="auto"/>
                <w:highlight w:val="none"/>
              </w:rPr>
              <w:t>*</w:t>
            </w:r>
            <w:r>
              <w:rPr>
                <w:i w:val="0"/>
                <w:iCs w:val="0"/>
                <w:color w:val="auto"/>
                <w:highlight w:val="none"/>
              </w:rPr>
              <w:t>*****</w:t>
            </w:r>
          </w:p>
        </w:tc>
        <w:tc>
          <w:tcPr>
            <w:tcW w:w="1200" w:type="pct"/>
            <w:vAlign w:val="center"/>
          </w:tcPr>
          <w:p w14:paraId="5D92E460">
            <w:pPr>
              <w:pStyle w:val="47"/>
              <w:jc w:val="center"/>
              <w:rPr>
                <w:i w:val="0"/>
                <w:iCs w:val="0"/>
                <w:color w:val="auto"/>
                <w:highlight w:val="none"/>
              </w:rPr>
            </w:pPr>
            <w:r>
              <w:rPr>
                <w:rFonts w:hint="eastAsia"/>
                <w:i w:val="0"/>
                <w:iCs w:val="0"/>
                <w:color w:val="auto"/>
                <w:highlight w:val="none"/>
              </w:rPr>
              <w:t>响应/正偏离/负偏离</w:t>
            </w:r>
          </w:p>
        </w:tc>
        <w:tc>
          <w:tcPr>
            <w:tcW w:w="1200" w:type="pct"/>
            <w:vAlign w:val="center"/>
          </w:tcPr>
          <w:p w14:paraId="63E16449">
            <w:pPr>
              <w:pStyle w:val="47"/>
              <w:jc w:val="center"/>
              <w:rPr>
                <w:i w:val="0"/>
                <w:iCs w:val="0"/>
                <w:color w:val="auto"/>
                <w:highlight w:val="none"/>
              </w:rPr>
            </w:pPr>
          </w:p>
        </w:tc>
      </w:tr>
      <w:tr w14:paraId="0C008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C45FE18">
            <w:pPr>
              <w:pStyle w:val="47"/>
              <w:jc w:val="center"/>
              <w:rPr>
                <w:rFonts w:hint="eastAsia" w:eastAsia="宋体"/>
                <w:i w:val="0"/>
                <w:iCs w:val="0"/>
                <w:color w:val="auto"/>
                <w:highlight w:val="none"/>
                <w:lang w:val="en-US" w:eastAsia="zh-CN"/>
              </w:rPr>
            </w:pPr>
            <w:r>
              <w:rPr>
                <w:rFonts w:hint="eastAsia"/>
                <w:i w:val="0"/>
                <w:iCs w:val="0"/>
                <w:color w:val="auto"/>
                <w:highlight w:val="none"/>
                <w:lang w:val="en-US" w:eastAsia="zh-CN"/>
              </w:rPr>
              <w:t>3</w:t>
            </w:r>
          </w:p>
        </w:tc>
        <w:tc>
          <w:tcPr>
            <w:tcW w:w="1277" w:type="pct"/>
            <w:shd w:val="clear" w:color="auto" w:fill="auto"/>
            <w:vAlign w:val="center"/>
          </w:tcPr>
          <w:p w14:paraId="6D1DD644">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w:t>
            </w:r>
            <w:r>
              <w:rPr>
                <w:i w:val="0"/>
                <w:iCs w:val="0"/>
                <w:color w:val="auto"/>
                <w:highlight w:val="none"/>
              </w:rPr>
              <w:t>*******</w:t>
            </w:r>
          </w:p>
        </w:tc>
        <w:tc>
          <w:tcPr>
            <w:tcW w:w="913" w:type="pct"/>
            <w:shd w:val="clear" w:color="auto" w:fill="auto"/>
            <w:vAlign w:val="center"/>
          </w:tcPr>
          <w:p w14:paraId="2982168B">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w:t>
            </w:r>
            <w:r>
              <w:rPr>
                <w:i w:val="0"/>
                <w:iCs w:val="0"/>
                <w:color w:val="auto"/>
                <w:highlight w:val="none"/>
              </w:rPr>
              <w:t>*****</w:t>
            </w:r>
          </w:p>
        </w:tc>
        <w:tc>
          <w:tcPr>
            <w:tcW w:w="1200" w:type="pct"/>
            <w:shd w:val="clear" w:color="auto" w:fill="auto"/>
            <w:vAlign w:val="center"/>
          </w:tcPr>
          <w:p w14:paraId="78EC7D09">
            <w:pPr>
              <w:pStyle w:val="47"/>
              <w:jc w:val="center"/>
              <w:rPr>
                <w:rFonts w:ascii="宋体" w:hAnsi="宋体" w:eastAsia="宋体" w:cs="宋体"/>
                <w:i w:val="0"/>
                <w:iCs w:val="0"/>
                <w:color w:val="auto"/>
                <w:kern w:val="2"/>
                <w:sz w:val="21"/>
                <w:szCs w:val="22"/>
                <w:highlight w:val="none"/>
                <w:lang w:val="en-US" w:eastAsia="zh-CN" w:bidi="ar-SA"/>
              </w:rPr>
            </w:pPr>
            <w:r>
              <w:rPr>
                <w:rFonts w:hint="eastAsia"/>
                <w:i w:val="0"/>
                <w:iCs w:val="0"/>
                <w:color w:val="auto"/>
                <w:highlight w:val="none"/>
              </w:rPr>
              <w:t>响应/正偏离/负偏离</w:t>
            </w:r>
          </w:p>
        </w:tc>
        <w:tc>
          <w:tcPr>
            <w:tcW w:w="1200" w:type="pct"/>
            <w:vAlign w:val="center"/>
          </w:tcPr>
          <w:p w14:paraId="46369488">
            <w:pPr>
              <w:pStyle w:val="47"/>
              <w:jc w:val="center"/>
              <w:rPr>
                <w:i w:val="0"/>
                <w:iCs w:val="0"/>
                <w:color w:val="auto"/>
                <w:highlight w:val="none"/>
              </w:rPr>
            </w:pPr>
          </w:p>
        </w:tc>
      </w:tr>
      <w:tr w14:paraId="28C8F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3874C19">
            <w:pPr>
              <w:pStyle w:val="47"/>
              <w:jc w:val="center"/>
              <w:rPr>
                <w:i w:val="0"/>
                <w:iCs w:val="0"/>
                <w:color w:val="auto"/>
                <w:highlight w:val="none"/>
              </w:rPr>
            </w:pPr>
          </w:p>
        </w:tc>
        <w:tc>
          <w:tcPr>
            <w:tcW w:w="1277" w:type="pct"/>
            <w:vAlign w:val="center"/>
          </w:tcPr>
          <w:p w14:paraId="529041E2">
            <w:pPr>
              <w:pStyle w:val="47"/>
              <w:jc w:val="center"/>
              <w:rPr>
                <w:i w:val="0"/>
                <w:iCs w:val="0"/>
                <w:color w:val="auto"/>
                <w:highlight w:val="none"/>
              </w:rPr>
            </w:pPr>
          </w:p>
        </w:tc>
        <w:tc>
          <w:tcPr>
            <w:tcW w:w="913" w:type="pct"/>
            <w:vAlign w:val="center"/>
          </w:tcPr>
          <w:p w14:paraId="301E476D">
            <w:pPr>
              <w:pStyle w:val="47"/>
              <w:jc w:val="center"/>
              <w:rPr>
                <w:i w:val="0"/>
                <w:iCs w:val="0"/>
                <w:color w:val="auto"/>
                <w:highlight w:val="none"/>
              </w:rPr>
            </w:pPr>
          </w:p>
        </w:tc>
        <w:tc>
          <w:tcPr>
            <w:tcW w:w="1200" w:type="pct"/>
            <w:vAlign w:val="center"/>
          </w:tcPr>
          <w:p w14:paraId="06F8AED7">
            <w:pPr>
              <w:pStyle w:val="47"/>
              <w:jc w:val="center"/>
              <w:rPr>
                <w:i w:val="0"/>
                <w:iCs w:val="0"/>
                <w:color w:val="auto"/>
                <w:highlight w:val="none"/>
              </w:rPr>
            </w:pPr>
          </w:p>
        </w:tc>
        <w:tc>
          <w:tcPr>
            <w:tcW w:w="1200" w:type="pct"/>
            <w:vAlign w:val="center"/>
          </w:tcPr>
          <w:p w14:paraId="0CE9DF45">
            <w:pPr>
              <w:pStyle w:val="47"/>
              <w:jc w:val="center"/>
              <w:rPr>
                <w:i w:val="0"/>
                <w:iCs w:val="0"/>
                <w:color w:val="auto"/>
                <w:highlight w:val="none"/>
              </w:rPr>
            </w:pPr>
          </w:p>
        </w:tc>
      </w:tr>
      <w:tr w14:paraId="72916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41433E5C">
            <w:pPr>
              <w:pStyle w:val="47"/>
              <w:jc w:val="center"/>
              <w:rPr>
                <w:i w:val="0"/>
                <w:iCs w:val="0"/>
                <w:color w:val="auto"/>
                <w:highlight w:val="none"/>
              </w:rPr>
            </w:pPr>
          </w:p>
        </w:tc>
        <w:tc>
          <w:tcPr>
            <w:tcW w:w="1277" w:type="pct"/>
            <w:vAlign w:val="center"/>
          </w:tcPr>
          <w:p w14:paraId="77107295">
            <w:pPr>
              <w:pStyle w:val="47"/>
              <w:jc w:val="center"/>
              <w:rPr>
                <w:i w:val="0"/>
                <w:iCs w:val="0"/>
                <w:color w:val="auto"/>
                <w:highlight w:val="none"/>
              </w:rPr>
            </w:pPr>
          </w:p>
        </w:tc>
        <w:tc>
          <w:tcPr>
            <w:tcW w:w="913" w:type="pct"/>
            <w:vAlign w:val="center"/>
          </w:tcPr>
          <w:p w14:paraId="4D01D78E">
            <w:pPr>
              <w:pStyle w:val="47"/>
              <w:jc w:val="center"/>
              <w:rPr>
                <w:i w:val="0"/>
                <w:iCs w:val="0"/>
                <w:color w:val="auto"/>
                <w:highlight w:val="none"/>
              </w:rPr>
            </w:pPr>
          </w:p>
        </w:tc>
        <w:tc>
          <w:tcPr>
            <w:tcW w:w="1200" w:type="pct"/>
            <w:vAlign w:val="center"/>
          </w:tcPr>
          <w:p w14:paraId="6D546857">
            <w:pPr>
              <w:pStyle w:val="47"/>
              <w:jc w:val="center"/>
              <w:rPr>
                <w:i w:val="0"/>
                <w:iCs w:val="0"/>
                <w:color w:val="auto"/>
                <w:highlight w:val="none"/>
              </w:rPr>
            </w:pPr>
          </w:p>
        </w:tc>
        <w:tc>
          <w:tcPr>
            <w:tcW w:w="1200" w:type="pct"/>
            <w:vAlign w:val="center"/>
          </w:tcPr>
          <w:p w14:paraId="2E1B7D0B">
            <w:pPr>
              <w:pStyle w:val="47"/>
              <w:jc w:val="center"/>
              <w:rPr>
                <w:i w:val="0"/>
                <w:iCs w:val="0"/>
                <w:color w:val="auto"/>
                <w:highlight w:val="none"/>
              </w:rPr>
            </w:pPr>
          </w:p>
        </w:tc>
      </w:tr>
      <w:tr w14:paraId="39F8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407" w:type="pct"/>
            <w:vAlign w:val="center"/>
          </w:tcPr>
          <w:p w14:paraId="6AF16AFE">
            <w:pPr>
              <w:pStyle w:val="47"/>
              <w:jc w:val="center"/>
              <w:rPr>
                <w:i w:val="0"/>
                <w:iCs w:val="0"/>
                <w:color w:val="auto"/>
                <w:highlight w:val="none"/>
              </w:rPr>
            </w:pPr>
          </w:p>
        </w:tc>
        <w:tc>
          <w:tcPr>
            <w:tcW w:w="1277" w:type="pct"/>
            <w:vAlign w:val="center"/>
          </w:tcPr>
          <w:p w14:paraId="5C7E043B">
            <w:pPr>
              <w:pStyle w:val="47"/>
              <w:jc w:val="center"/>
              <w:rPr>
                <w:i w:val="0"/>
                <w:iCs w:val="0"/>
                <w:color w:val="auto"/>
                <w:highlight w:val="none"/>
              </w:rPr>
            </w:pPr>
          </w:p>
        </w:tc>
        <w:tc>
          <w:tcPr>
            <w:tcW w:w="913" w:type="pct"/>
            <w:vAlign w:val="center"/>
          </w:tcPr>
          <w:p w14:paraId="64166C7A">
            <w:pPr>
              <w:pStyle w:val="47"/>
              <w:jc w:val="center"/>
              <w:rPr>
                <w:i w:val="0"/>
                <w:iCs w:val="0"/>
                <w:color w:val="auto"/>
                <w:highlight w:val="none"/>
              </w:rPr>
            </w:pPr>
          </w:p>
        </w:tc>
        <w:tc>
          <w:tcPr>
            <w:tcW w:w="1200" w:type="pct"/>
            <w:vAlign w:val="center"/>
          </w:tcPr>
          <w:p w14:paraId="2817CCE5">
            <w:pPr>
              <w:pStyle w:val="47"/>
              <w:jc w:val="center"/>
              <w:rPr>
                <w:i w:val="0"/>
                <w:iCs w:val="0"/>
                <w:color w:val="auto"/>
                <w:highlight w:val="none"/>
              </w:rPr>
            </w:pPr>
          </w:p>
        </w:tc>
        <w:tc>
          <w:tcPr>
            <w:tcW w:w="1200" w:type="pct"/>
            <w:vAlign w:val="center"/>
          </w:tcPr>
          <w:p w14:paraId="184E3F96">
            <w:pPr>
              <w:pStyle w:val="47"/>
              <w:jc w:val="center"/>
              <w:rPr>
                <w:i w:val="0"/>
                <w:iCs w:val="0"/>
                <w:color w:val="auto"/>
                <w:highlight w:val="none"/>
              </w:rPr>
            </w:pPr>
          </w:p>
        </w:tc>
      </w:tr>
      <w:tr w14:paraId="2669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407" w:type="pct"/>
            <w:vAlign w:val="center"/>
          </w:tcPr>
          <w:p w14:paraId="0D811F11">
            <w:pPr>
              <w:pStyle w:val="47"/>
              <w:jc w:val="center"/>
              <w:rPr>
                <w:i w:val="0"/>
                <w:iCs w:val="0"/>
                <w:color w:val="auto"/>
                <w:highlight w:val="none"/>
              </w:rPr>
            </w:pPr>
            <w:r>
              <w:rPr>
                <w:rFonts w:hint="eastAsia"/>
                <w:i w:val="0"/>
                <w:iCs w:val="0"/>
                <w:color w:val="auto"/>
                <w:highlight w:val="none"/>
              </w:rPr>
              <w:t>……</w:t>
            </w:r>
          </w:p>
        </w:tc>
        <w:tc>
          <w:tcPr>
            <w:tcW w:w="1277" w:type="pct"/>
            <w:vAlign w:val="center"/>
          </w:tcPr>
          <w:p w14:paraId="7D0AF02A">
            <w:pPr>
              <w:pStyle w:val="47"/>
              <w:jc w:val="center"/>
              <w:rPr>
                <w:i w:val="0"/>
                <w:iCs w:val="0"/>
                <w:color w:val="auto"/>
                <w:highlight w:val="none"/>
              </w:rPr>
            </w:pPr>
            <w:r>
              <w:rPr>
                <w:rFonts w:hint="eastAsia"/>
                <w:i w:val="0"/>
                <w:iCs w:val="0"/>
                <w:color w:val="auto"/>
                <w:highlight w:val="none"/>
              </w:rPr>
              <w:t>…………</w:t>
            </w:r>
          </w:p>
        </w:tc>
        <w:tc>
          <w:tcPr>
            <w:tcW w:w="913" w:type="pct"/>
            <w:vAlign w:val="center"/>
          </w:tcPr>
          <w:p w14:paraId="6EC8C4F3">
            <w:pPr>
              <w:pStyle w:val="47"/>
              <w:jc w:val="center"/>
              <w:rPr>
                <w:i w:val="0"/>
                <w:iCs w:val="0"/>
                <w:color w:val="auto"/>
                <w:highlight w:val="none"/>
              </w:rPr>
            </w:pPr>
            <w:r>
              <w:rPr>
                <w:rFonts w:hint="eastAsia"/>
                <w:i w:val="0"/>
                <w:iCs w:val="0"/>
                <w:color w:val="auto"/>
                <w:highlight w:val="none"/>
              </w:rPr>
              <w:t>………………</w:t>
            </w:r>
          </w:p>
        </w:tc>
        <w:tc>
          <w:tcPr>
            <w:tcW w:w="1200" w:type="pct"/>
            <w:vAlign w:val="center"/>
          </w:tcPr>
          <w:p w14:paraId="59EB3DF9">
            <w:pPr>
              <w:pStyle w:val="47"/>
              <w:jc w:val="center"/>
              <w:rPr>
                <w:i w:val="0"/>
                <w:iCs w:val="0"/>
                <w:color w:val="auto"/>
                <w:highlight w:val="none"/>
              </w:rPr>
            </w:pPr>
            <w:r>
              <w:rPr>
                <w:rFonts w:hint="eastAsia"/>
                <w:i w:val="0"/>
                <w:iCs w:val="0"/>
                <w:color w:val="auto"/>
                <w:highlight w:val="none"/>
              </w:rPr>
              <w:t>…………</w:t>
            </w:r>
          </w:p>
        </w:tc>
        <w:tc>
          <w:tcPr>
            <w:tcW w:w="1200" w:type="pct"/>
            <w:vAlign w:val="center"/>
          </w:tcPr>
          <w:p w14:paraId="1BF96619">
            <w:pPr>
              <w:pStyle w:val="47"/>
              <w:jc w:val="center"/>
              <w:rPr>
                <w:i w:val="0"/>
                <w:iCs w:val="0"/>
                <w:color w:val="auto"/>
                <w:highlight w:val="none"/>
              </w:rPr>
            </w:pPr>
          </w:p>
        </w:tc>
      </w:tr>
    </w:tbl>
    <w:p w14:paraId="7C3C980E">
      <w:pPr>
        <w:ind w:firstLine="480" w:firstLineChars="200"/>
        <w:rPr>
          <w:rFonts w:cs="仿宋_GB2312"/>
          <w:i w:val="0"/>
          <w:iCs w:val="0"/>
          <w:color w:val="auto"/>
          <w:szCs w:val="24"/>
          <w:highlight w:val="none"/>
        </w:rPr>
      </w:pPr>
    </w:p>
    <w:p w14:paraId="21BED63F">
      <w:pPr>
        <w:ind w:right="1008" w:firstLine="4284" w:firstLineChars="1700"/>
        <w:rPr>
          <w:rFonts w:cs="宋体"/>
          <w:i w:val="0"/>
          <w:iCs w:val="0"/>
          <w:color w:val="auto"/>
          <w:spacing w:val="6"/>
          <w:szCs w:val="24"/>
          <w:highlight w:val="none"/>
        </w:rPr>
      </w:pPr>
      <w:r>
        <w:rPr>
          <w:rFonts w:hint="eastAsia" w:cs="宋体"/>
          <w:i w:val="0"/>
          <w:iCs w:val="0"/>
          <w:color w:val="auto"/>
          <w:spacing w:val="6"/>
          <w:szCs w:val="24"/>
          <w:highlight w:val="none"/>
          <w:lang w:val="en-US" w:eastAsia="zh-CN"/>
        </w:rPr>
        <w:t>供应商</w:t>
      </w:r>
      <w:r>
        <w:rPr>
          <w:rFonts w:hint="eastAsia" w:cs="宋体"/>
          <w:i w:val="0"/>
          <w:iCs w:val="0"/>
          <w:color w:val="auto"/>
          <w:spacing w:val="6"/>
          <w:szCs w:val="24"/>
          <w:highlight w:val="none"/>
        </w:rPr>
        <w:t>名称</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lang w:val="en-US" w:eastAsia="zh-CN"/>
        </w:rPr>
        <w:t>公章</w:t>
      </w:r>
      <w:r>
        <w:rPr>
          <w:rFonts w:hint="eastAsia" w:cs="宋体"/>
          <w:i w:val="0"/>
          <w:iCs w:val="0"/>
          <w:color w:val="auto"/>
          <w:spacing w:val="6"/>
          <w:szCs w:val="24"/>
          <w:highlight w:val="none"/>
          <w:lang w:eastAsia="zh-CN"/>
        </w:rPr>
        <w:t>）</w:t>
      </w:r>
      <w:r>
        <w:rPr>
          <w:rFonts w:hint="eastAsia" w:cs="宋体"/>
          <w:i w:val="0"/>
          <w:iCs w:val="0"/>
          <w:color w:val="auto"/>
          <w:spacing w:val="6"/>
          <w:szCs w:val="24"/>
          <w:highlight w:val="none"/>
        </w:rPr>
        <w:t>：</w:t>
      </w:r>
    </w:p>
    <w:p w14:paraId="74B913A4">
      <w:pPr>
        <w:ind w:right="1008" w:firstLine="4284" w:firstLineChars="1700"/>
        <w:rPr>
          <w:rFonts w:hint="default" w:eastAsia="宋体" w:cs="宋体"/>
          <w:i w:val="0"/>
          <w:iCs w:val="0"/>
          <w:color w:val="auto"/>
          <w:spacing w:val="6"/>
          <w:szCs w:val="24"/>
          <w:highlight w:val="none"/>
          <w:lang w:val="en-US" w:eastAsia="zh-CN"/>
        </w:rPr>
      </w:pPr>
      <w:r>
        <w:rPr>
          <w:rFonts w:hint="eastAsia" w:cs="宋体"/>
          <w:i w:val="0"/>
          <w:iCs w:val="0"/>
          <w:color w:val="auto"/>
          <w:spacing w:val="6"/>
          <w:szCs w:val="24"/>
          <w:highlight w:val="none"/>
        </w:rPr>
        <w:t>日期：</w:t>
      </w:r>
      <w:r>
        <w:rPr>
          <w:rFonts w:hint="eastAsia" w:cs="宋体"/>
          <w:i w:val="0"/>
          <w:iCs w:val="0"/>
          <w:color w:val="auto"/>
          <w:spacing w:val="6"/>
          <w:szCs w:val="24"/>
          <w:highlight w:val="none"/>
          <w:lang w:val="en-US" w:eastAsia="zh-CN"/>
        </w:rPr>
        <w:t xml:space="preserve">   年  月  日</w:t>
      </w:r>
    </w:p>
    <w:p w14:paraId="20290568">
      <w:pPr>
        <w:ind w:firstLine="420"/>
        <w:rPr>
          <w:rFonts w:hint="eastAsia" w:cs="仿宋_GB2312"/>
          <w:i w:val="0"/>
          <w:iCs w:val="0"/>
          <w:color w:val="auto"/>
          <w:szCs w:val="24"/>
          <w:highlight w:val="none"/>
          <w:lang w:val="en-US" w:eastAsia="zh-CN"/>
        </w:rPr>
      </w:pPr>
      <w:bookmarkStart w:id="729" w:name="_Toc163492935"/>
    </w:p>
    <w:p w14:paraId="306D75A1">
      <w:pPr>
        <w:ind w:firstLine="420" w:firstLineChars="200"/>
        <w:rPr>
          <w:rFonts w:cs="仿宋_GB2312"/>
          <w:color w:val="auto"/>
          <w:szCs w:val="24"/>
          <w:highlight w:val="none"/>
        </w:rPr>
      </w:pPr>
      <w:r>
        <w:rPr>
          <w:rFonts w:hint="eastAsia" w:cs="仿宋_GB2312"/>
          <w:color w:val="auto"/>
          <w:sz w:val="21"/>
          <w:szCs w:val="21"/>
          <w:highlight w:val="none"/>
        </w:rPr>
        <w:t>注：</w:t>
      </w:r>
      <w:r>
        <w:rPr>
          <w:rFonts w:hint="eastAsia" w:cs="仿宋_GB2312"/>
          <w:color w:val="auto"/>
          <w:sz w:val="21"/>
          <w:szCs w:val="21"/>
          <w:highlight w:val="none"/>
          <w:lang w:val="en-US" w:eastAsia="zh-CN"/>
        </w:rPr>
        <w:t>供应商</w:t>
      </w:r>
      <w:r>
        <w:rPr>
          <w:rFonts w:hint="eastAsia" w:cs="仿宋_GB2312"/>
          <w:color w:val="auto"/>
          <w:sz w:val="21"/>
          <w:szCs w:val="21"/>
          <w:highlight w:val="none"/>
        </w:rPr>
        <w:t>应按照</w:t>
      </w:r>
      <w:r>
        <w:rPr>
          <w:rFonts w:hint="eastAsia" w:cs="仿宋_GB2312"/>
          <w:color w:val="auto"/>
          <w:sz w:val="21"/>
          <w:szCs w:val="21"/>
          <w:highlight w:val="none"/>
          <w:lang w:val="en-US" w:eastAsia="zh-CN"/>
        </w:rPr>
        <w:t>竞争性磋商</w:t>
      </w:r>
      <w:r>
        <w:rPr>
          <w:rFonts w:hint="eastAsia" w:cs="仿宋_GB2312"/>
          <w:color w:val="auto"/>
          <w:sz w:val="21"/>
          <w:szCs w:val="21"/>
          <w:highlight w:val="none"/>
        </w:rPr>
        <w:t>文件“第三章 采购需求”</w:t>
      </w:r>
      <w:r>
        <w:rPr>
          <w:rFonts w:hint="eastAsia" w:cs="仿宋_GB2312"/>
          <w:color w:val="auto"/>
          <w:sz w:val="21"/>
          <w:szCs w:val="21"/>
          <w:highlight w:val="none"/>
          <w:lang w:val="en-US" w:eastAsia="zh-CN"/>
        </w:rPr>
        <w:t>中的技术要求</w:t>
      </w:r>
      <w:r>
        <w:rPr>
          <w:rFonts w:hint="eastAsia" w:cs="仿宋_GB2312"/>
          <w:color w:val="auto"/>
          <w:sz w:val="21"/>
          <w:szCs w:val="21"/>
          <w:highlight w:val="none"/>
        </w:rPr>
        <w:t>填写</w:t>
      </w:r>
      <w:r>
        <w:rPr>
          <w:rFonts w:hint="eastAsia" w:cs="仿宋_GB2312"/>
          <w:color w:val="auto"/>
          <w:sz w:val="21"/>
          <w:szCs w:val="21"/>
          <w:highlight w:val="none"/>
          <w:lang w:eastAsia="zh-CN"/>
        </w:rPr>
        <w:t>：</w:t>
      </w:r>
    </w:p>
    <w:p w14:paraId="32E4AC37">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1.“竞争性磋商文件技术要求条款”栏应详细列明竞争性磋商文件中的技术要求。 </w:t>
      </w:r>
    </w:p>
    <w:p w14:paraId="0BA8C5C5">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2.“响应文件内容对应简述”栏填写供应商对竞争性磋商文件提出的技术条款作出的明确响应，并列明具体响应数值或内容，只注明符合、满足等无具体内容表述的，将视为未实质性满足竞争性磋商文件要求</w:t>
      </w:r>
      <w:r>
        <w:rPr>
          <w:rFonts w:hint="default" w:cs="仿宋_GB2312"/>
          <w:color w:val="auto"/>
          <w:sz w:val="21"/>
          <w:szCs w:val="21"/>
          <w:highlight w:val="none"/>
          <w:lang w:val="en-US" w:eastAsia="zh-CN"/>
        </w:rPr>
        <w:t>，</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eastAsia" w:cs="仿宋_GB2312"/>
          <w:color w:val="auto"/>
          <w:sz w:val="21"/>
          <w:szCs w:val="21"/>
          <w:highlight w:val="none"/>
          <w:lang w:val="en-US" w:eastAsia="zh-CN"/>
        </w:rPr>
        <w:t xml:space="preserve">。 </w:t>
      </w:r>
    </w:p>
    <w:p w14:paraId="10BDFC16">
      <w:pPr>
        <w:ind w:firstLine="420" w:firstLineChars="200"/>
        <w:rPr>
          <w:rFonts w:hint="eastAsia" w:cs="仿宋_GB2312"/>
          <w:color w:val="auto"/>
          <w:sz w:val="21"/>
          <w:szCs w:val="21"/>
          <w:highlight w:val="none"/>
        </w:rPr>
      </w:pPr>
      <w:r>
        <w:rPr>
          <w:rFonts w:hint="eastAsia" w:cs="仿宋_GB2312"/>
          <w:color w:val="auto"/>
          <w:sz w:val="21"/>
          <w:szCs w:val="21"/>
          <w:highlight w:val="none"/>
          <w:lang w:val="en-US" w:eastAsia="zh-CN"/>
        </w:rPr>
        <w:t xml:space="preserve">3.“响应情况”栏应据实填写“响应”、“正偏离”或“负偏离”。 </w:t>
      </w:r>
    </w:p>
    <w:p w14:paraId="3DD5C495">
      <w:pPr>
        <w:ind w:firstLine="420" w:firstLineChars="200"/>
        <w:rPr>
          <w:rFonts w:hint="eastAsia" w:cs="仿宋_GB2312"/>
          <w:color w:val="auto"/>
          <w:sz w:val="21"/>
          <w:szCs w:val="21"/>
          <w:highlight w:val="none"/>
          <w:lang w:val="en-US" w:eastAsia="zh-CN"/>
        </w:rPr>
      </w:pPr>
      <w:r>
        <w:rPr>
          <w:rFonts w:hint="eastAsia" w:cs="仿宋_GB2312"/>
          <w:color w:val="auto"/>
          <w:sz w:val="21"/>
          <w:szCs w:val="21"/>
          <w:highlight w:val="none"/>
          <w:lang w:val="en-US" w:eastAsia="zh-CN"/>
        </w:rPr>
        <w:t>4.“证明资料及索引”栏可填写证明资料的具体内容及索引。</w:t>
      </w:r>
    </w:p>
    <w:p w14:paraId="1B34CEFE">
      <w:pPr>
        <w:ind w:firstLine="420"/>
        <w:rPr>
          <w:rFonts w:cs="仿宋_GB2312"/>
          <w:i w:val="0"/>
          <w:iCs w:val="0"/>
          <w:color w:val="auto"/>
          <w:sz w:val="21"/>
          <w:szCs w:val="21"/>
          <w:highlight w:val="none"/>
        </w:rPr>
      </w:pPr>
      <w:r>
        <w:rPr>
          <w:rFonts w:hint="eastAsia" w:cs="仿宋_GB2312"/>
          <w:color w:val="auto"/>
          <w:sz w:val="21"/>
          <w:szCs w:val="21"/>
          <w:highlight w:val="none"/>
          <w:lang w:val="en-US" w:eastAsia="zh-CN"/>
        </w:rPr>
        <w:t>5.对竞争性磋商文件中的所有技术要求，除本表所列明的所有偏离外，均视作供应商</w:t>
      </w:r>
      <w:r>
        <w:rPr>
          <w:rFonts w:hint="default" w:cs="仿宋_GB2312"/>
          <w:color w:val="auto"/>
          <w:sz w:val="21"/>
          <w:szCs w:val="21"/>
          <w:highlight w:val="none"/>
          <w:lang w:val="en-US" w:eastAsia="zh-CN"/>
        </w:rPr>
        <w:t>已对之理解和响应。此表中若无任何文字说明，内容为空白的，</w:t>
      </w:r>
      <w:r>
        <w:rPr>
          <w:rFonts w:hint="eastAsia" w:cs="仿宋_GB2312"/>
          <w:b/>
          <w:bCs/>
          <w:color w:val="auto"/>
          <w:sz w:val="21"/>
          <w:szCs w:val="21"/>
          <w:highlight w:val="none"/>
          <w:lang w:val="en-US" w:eastAsia="zh-CN"/>
        </w:rPr>
        <w:t>响应</w:t>
      </w:r>
      <w:r>
        <w:rPr>
          <w:rFonts w:hint="default" w:cs="仿宋_GB2312"/>
          <w:b/>
          <w:bCs/>
          <w:color w:val="auto"/>
          <w:sz w:val="21"/>
          <w:szCs w:val="21"/>
          <w:highlight w:val="none"/>
          <w:lang w:val="en-US" w:eastAsia="zh-CN"/>
        </w:rPr>
        <w:t>无效</w:t>
      </w:r>
      <w:r>
        <w:rPr>
          <w:rFonts w:hint="default" w:cs="仿宋_GB2312"/>
          <w:color w:val="auto"/>
          <w:sz w:val="21"/>
          <w:szCs w:val="21"/>
          <w:highlight w:val="none"/>
          <w:lang w:val="en-US" w:eastAsia="zh-CN"/>
        </w:rPr>
        <w:t>。</w:t>
      </w:r>
      <w:r>
        <w:rPr>
          <w:rFonts w:cs="仿宋_GB2312"/>
          <w:i w:val="0"/>
          <w:iCs w:val="0"/>
          <w:color w:val="auto"/>
          <w:sz w:val="21"/>
          <w:szCs w:val="21"/>
          <w:highlight w:val="none"/>
        </w:rPr>
        <w:br w:type="page"/>
      </w:r>
    </w:p>
    <w:p w14:paraId="06C98EB9">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30" w:name="_Toc8317"/>
      <w:r>
        <w:rPr>
          <w:rFonts w:hint="eastAsia" w:cs="宋体"/>
          <w:b/>
          <w:bCs/>
          <w:i w:val="0"/>
          <w:iCs w:val="0"/>
          <w:color w:val="auto"/>
          <w:kern w:val="2"/>
          <w:sz w:val="32"/>
          <w:szCs w:val="32"/>
          <w:highlight w:val="none"/>
          <w:lang w:val="en-US" w:eastAsia="zh-CN" w:bidi="ar-SA"/>
        </w:rPr>
        <w:t>十</w:t>
      </w:r>
      <w:r>
        <w:rPr>
          <w:rFonts w:hint="eastAsia" w:ascii="等线 Light" w:hAnsi="等线 Light" w:eastAsia="宋体" w:cs="宋体"/>
          <w:b/>
          <w:bCs/>
          <w:i w:val="0"/>
          <w:iCs w:val="0"/>
          <w:color w:val="auto"/>
          <w:kern w:val="2"/>
          <w:sz w:val="32"/>
          <w:szCs w:val="32"/>
          <w:highlight w:val="none"/>
          <w:lang w:val="en-US" w:eastAsia="zh-CN" w:bidi="ar-SA"/>
        </w:rPr>
        <w:t>、技术方案</w:t>
      </w:r>
      <w:bookmarkEnd w:id="729"/>
      <w:bookmarkEnd w:id="730"/>
    </w:p>
    <w:p w14:paraId="3878D3F5">
      <w:pPr>
        <w:pStyle w:val="36"/>
        <w:rPr>
          <w:i w:val="0"/>
          <w:iCs w:val="0"/>
          <w:color w:val="auto"/>
          <w:highlight w:val="none"/>
        </w:rPr>
      </w:pPr>
      <w:r>
        <w:rPr>
          <w:rFonts w:hint="eastAsia"/>
          <w:i w:val="0"/>
          <w:iCs w:val="0"/>
          <w:color w:val="auto"/>
          <w:highlight w:val="none"/>
          <w:lang w:val="en-US" w:eastAsia="zh-CN"/>
        </w:rPr>
        <w:t>供应商</w:t>
      </w:r>
      <w:r>
        <w:rPr>
          <w:rFonts w:hint="eastAsia"/>
          <w:i w:val="0"/>
          <w:iCs w:val="0"/>
          <w:color w:val="auto"/>
          <w:highlight w:val="none"/>
        </w:rPr>
        <w:t>应按照</w:t>
      </w:r>
      <w:r>
        <w:rPr>
          <w:rFonts w:hint="eastAsia"/>
          <w:i w:val="0"/>
          <w:iCs w:val="0"/>
          <w:color w:val="auto"/>
          <w:highlight w:val="none"/>
          <w:lang w:val="en-US" w:eastAsia="zh-CN"/>
        </w:rPr>
        <w:t>竞争性磋商</w:t>
      </w:r>
      <w:r>
        <w:rPr>
          <w:rFonts w:hint="eastAsia"/>
          <w:i w:val="0"/>
          <w:iCs w:val="0"/>
          <w:color w:val="auto"/>
          <w:highlight w:val="none"/>
        </w:rPr>
        <w:t>文件的要求，提供详细的服务方案，包括文字描述或图表显示。格式自拟。</w:t>
      </w:r>
    </w:p>
    <w:p w14:paraId="7EE77353">
      <w:pPr>
        <w:pStyle w:val="36"/>
        <w:rPr>
          <w:i w:val="0"/>
          <w:iCs w:val="0"/>
          <w:color w:val="auto"/>
          <w:highlight w:val="none"/>
        </w:rPr>
      </w:pPr>
      <w:r>
        <w:rPr>
          <w:i w:val="0"/>
          <w:iCs w:val="0"/>
          <w:color w:val="auto"/>
          <w:highlight w:val="none"/>
        </w:rPr>
        <w:br w:type="page"/>
      </w:r>
    </w:p>
    <w:p w14:paraId="68D392B1">
      <w:pPr>
        <w:pStyle w:val="6"/>
        <w:keepNext/>
        <w:keepLines/>
        <w:pageBreakBefore w:val="0"/>
        <w:widowControl w:val="0"/>
        <w:numPr>
          <w:ilvl w:val="0"/>
          <w:numId w:val="0"/>
        </w:numPr>
        <w:kinsoku/>
        <w:wordWrap/>
        <w:overflowPunct/>
        <w:topLinePunct w:val="0"/>
        <w:autoSpaceDE/>
        <w:autoSpaceDN/>
        <w:bidi w:val="0"/>
        <w:adjustRightInd/>
        <w:snapToGrid/>
        <w:spacing w:before="100" w:after="100" w:line="360" w:lineRule="auto"/>
        <w:ind w:left="420" w:leftChars="0" w:hanging="420" w:firstLineChars="0"/>
        <w:jc w:val="center"/>
        <w:textAlignment w:val="auto"/>
        <w:rPr>
          <w:rFonts w:hint="eastAsia" w:ascii="等线 Light" w:hAnsi="等线 Light" w:eastAsia="宋体" w:cs="宋体"/>
          <w:b/>
          <w:bCs/>
          <w:i w:val="0"/>
          <w:iCs w:val="0"/>
          <w:color w:val="auto"/>
          <w:kern w:val="2"/>
          <w:sz w:val="32"/>
          <w:szCs w:val="32"/>
          <w:highlight w:val="none"/>
          <w:lang w:val="en-US" w:eastAsia="zh-CN" w:bidi="ar-SA"/>
        </w:rPr>
      </w:pPr>
      <w:bookmarkStart w:id="731" w:name="_Toc163492936"/>
      <w:bookmarkStart w:id="732" w:name="_Toc26972"/>
      <w:r>
        <w:rPr>
          <w:rFonts w:hint="eastAsia" w:ascii="等线 Light" w:hAnsi="等线 Light" w:eastAsia="宋体" w:cs="宋体"/>
          <w:b/>
          <w:bCs/>
          <w:i w:val="0"/>
          <w:iCs w:val="0"/>
          <w:color w:val="auto"/>
          <w:kern w:val="2"/>
          <w:sz w:val="32"/>
          <w:szCs w:val="32"/>
          <w:highlight w:val="none"/>
          <w:lang w:val="en-US" w:eastAsia="zh-CN" w:bidi="ar-SA"/>
        </w:rPr>
        <w:t>十</w:t>
      </w:r>
      <w:r>
        <w:rPr>
          <w:rFonts w:hint="eastAsia" w:cs="宋体"/>
          <w:b/>
          <w:bCs/>
          <w:i w:val="0"/>
          <w:iCs w:val="0"/>
          <w:color w:val="auto"/>
          <w:kern w:val="2"/>
          <w:sz w:val="32"/>
          <w:szCs w:val="32"/>
          <w:highlight w:val="none"/>
          <w:lang w:val="en-US" w:eastAsia="zh-CN" w:bidi="ar-SA"/>
        </w:rPr>
        <w:t>一</w:t>
      </w:r>
      <w:r>
        <w:rPr>
          <w:rFonts w:hint="eastAsia" w:ascii="等线 Light" w:hAnsi="等线 Light" w:eastAsia="宋体" w:cs="宋体"/>
          <w:b/>
          <w:bCs/>
          <w:i w:val="0"/>
          <w:iCs w:val="0"/>
          <w:color w:val="auto"/>
          <w:kern w:val="2"/>
          <w:sz w:val="32"/>
          <w:szCs w:val="32"/>
          <w:highlight w:val="none"/>
          <w:lang w:val="en-US" w:eastAsia="zh-CN" w:bidi="ar-SA"/>
        </w:rPr>
        <w:t>、其他文件</w:t>
      </w:r>
      <w:bookmarkEnd w:id="731"/>
      <w:bookmarkEnd w:id="732"/>
    </w:p>
    <w:p w14:paraId="6EF40482">
      <w:pPr>
        <w:pStyle w:val="36"/>
        <w:ind w:left="0" w:leftChars="0" w:firstLine="0" w:firstLineChars="0"/>
        <w:rPr>
          <w:rFonts w:hint="eastAsia"/>
          <w:b/>
          <w:bCs/>
          <w:i w:val="0"/>
          <w:iCs w:val="0"/>
          <w:color w:val="auto"/>
          <w:sz w:val="24"/>
          <w:szCs w:val="24"/>
          <w:highlight w:val="none"/>
          <w:shd w:val="clear" w:color="auto" w:fill="FFFFFF"/>
          <w:lang w:val="zh-CN" w:eastAsia="zh-CN"/>
        </w:rPr>
      </w:pPr>
      <w:r>
        <w:rPr>
          <w:rFonts w:hint="eastAsia"/>
          <w:b/>
          <w:bCs/>
          <w:i w:val="0"/>
          <w:iCs w:val="0"/>
          <w:color w:val="auto"/>
          <w:sz w:val="24"/>
          <w:szCs w:val="24"/>
          <w:highlight w:val="none"/>
          <w:shd w:val="clear" w:color="auto" w:fill="FFFFFF"/>
          <w:lang w:val="en-US" w:eastAsia="zh-CN"/>
        </w:rPr>
        <w:t>（一）竞争性磋商</w:t>
      </w:r>
      <w:r>
        <w:rPr>
          <w:rFonts w:hint="eastAsia"/>
          <w:b/>
          <w:bCs/>
          <w:i w:val="0"/>
          <w:iCs w:val="0"/>
          <w:color w:val="auto"/>
          <w:sz w:val="24"/>
          <w:szCs w:val="24"/>
          <w:highlight w:val="none"/>
          <w:shd w:val="clear" w:color="auto" w:fill="FFFFFF"/>
          <w:lang w:val="zh-CN" w:eastAsia="zh-CN"/>
        </w:rPr>
        <w:t>文件要求提供的其它商务、技术资料和证明材料；</w:t>
      </w:r>
    </w:p>
    <w:p w14:paraId="5BCBA614">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1.1供应商信息采集表</w:t>
      </w:r>
    </w:p>
    <w:tbl>
      <w:tblPr>
        <w:tblStyle w:val="31"/>
        <w:tblW w:w="0" w:type="auto"/>
        <w:tblInd w:w="1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08"/>
        <w:gridCol w:w="2841"/>
        <w:gridCol w:w="2743"/>
      </w:tblGrid>
      <w:tr w14:paraId="137F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2708" w:type="dxa"/>
            <w:vAlign w:val="center"/>
          </w:tcPr>
          <w:p w14:paraId="3196CBA4">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供应商名称</w:t>
            </w:r>
          </w:p>
        </w:tc>
        <w:tc>
          <w:tcPr>
            <w:tcW w:w="2841" w:type="dxa"/>
            <w:vAlign w:val="center"/>
          </w:tcPr>
          <w:p w14:paraId="0A245F67">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供应商实际控制人性别</w:t>
            </w:r>
          </w:p>
        </w:tc>
        <w:tc>
          <w:tcPr>
            <w:tcW w:w="2743" w:type="dxa"/>
            <w:vAlign w:val="center"/>
          </w:tcPr>
          <w:p w14:paraId="2F9738CA">
            <w:pPr>
              <w:keepNext w:val="0"/>
              <w:keepLines w:val="0"/>
              <w:widowControl/>
              <w:suppressLineNumbers w:val="0"/>
              <w:jc w:val="center"/>
              <w:rPr>
                <w:rFonts w:hint="eastAsia" w:ascii="宋体" w:hAnsi="宋体" w:eastAsia="宋体" w:cs="宋体"/>
                <w:i w:val="0"/>
                <w:iCs w:val="0"/>
                <w:color w:val="auto"/>
                <w:sz w:val="24"/>
                <w:szCs w:val="24"/>
                <w:highlight w:val="none"/>
                <w:vertAlign w:val="baseline"/>
                <w:lang w:val="en-US" w:eastAsia="zh-CN"/>
              </w:rPr>
            </w:pPr>
            <w:r>
              <w:rPr>
                <w:rFonts w:hint="eastAsia" w:ascii="宋体" w:hAnsi="宋体" w:eastAsia="宋体" w:cs="宋体"/>
                <w:i w:val="0"/>
                <w:iCs w:val="0"/>
                <w:color w:val="auto"/>
                <w:kern w:val="0"/>
                <w:sz w:val="24"/>
                <w:szCs w:val="24"/>
                <w:highlight w:val="none"/>
                <w:lang w:val="en-US" w:eastAsia="zh-CN"/>
              </w:rPr>
              <w:t>外商投资类型</w:t>
            </w:r>
          </w:p>
        </w:tc>
      </w:tr>
      <w:tr w14:paraId="5856C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627D4B37">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77A19329">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622EC6E5">
            <w:pPr>
              <w:pStyle w:val="36"/>
              <w:rPr>
                <w:rFonts w:hint="eastAsia" w:ascii="宋体" w:hAnsi="宋体" w:eastAsia="宋体" w:cs="宋体"/>
                <w:i w:val="0"/>
                <w:iCs w:val="0"/>
                <w:color w:val="auto"/>
                <w:sz w:val="24"/>
                <w:szCs w:val="24"/>
                <w:highlight w:val="none"/>
                <w:vertAlign w:val="baseline"/>
                <w:lang w:val="en-US" w:eastAsia="zh-CN"/>
              </w:rPr>
            </w:pPr>
          </w:p>
        </w:tc>
      </w:tr>
      <w:tr w14:paraId="68AB5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4F23B295">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111EECCF">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4D2F0C95">
            <w:pPr>
              <w:pStyle w:val="36"/>
              <w:rPr>
                <w:rFonts w:hint="eastAsia" w:ascii="宋体" w:hAnsi="宋体" w:eastAsia="宋体" w:cs="宋体"/>
                <w:i w:val="0"/>
                <w:iCs w:val="0"/>
                <w:color w:val="auto"/>
                <w:sz w:val="24"/>
                <w:szCs w:val="24"/>
                <w:highlight w:val="none"/>
                <w:vertAlign w:val="baseline"/>
                <w:lang w:val="en-US" w:eastAsia="zh-CN"/>
              </w:rPr>
            </w:pPr>
          </w:p>
        </w:tc>
      </w:tr>
      <w:tr w14:paraId="475F5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1F6D1198">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55034FDC">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68A92D99">
            <w:pPr>
              <w:pStyle w:val="36"/>
              <w:rPr>
                <w:rFonts w:hint="eastAsia" w:ascii="宋体" w:hAnsi="宋体" w:eastAsia="宋体" w:cs="宋体"/>
                <w:i w:val="0"/>
                <w:iCs w:val="0"/>
                <w:color w:val="auto"/>
                <w:sz w:val="24"/>
                <w:szCs w:val="24"/>
                <w:highlight w:val="none"/>
                <w:vertAlign w:val="baseline"/>
                <w:lang w:val="en-US" w:eastAsia="zh-CN"/>
              </w:rPr>
            </w:pPr>
          </w:p>
        </w:tc>
      </w:tr>
      <w:tr w14:paraId="0F1C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08" w:type="dxa"/>
          </w:tcPr>
          <w:p w14:paraId="2509FCDF">
            <w:pPr>
              <w:pStyle w:val="36"/>
              <w:rPr>
                <w:rFonts w:hint="eastAsia" w:ascii="宋体" w:hAnsi="宋体" w:eastAsia="宋体" w:cs="宋体"/>
                <w:i w:val="0"/>
                <w:iCs w:val="0"/>
                <w:color w:val="auto"/>
                <w:sz w:val="24"/>
                <w:szCs w:val="24"/>
                <w:highlight w:val="none"/>
                <w:vertAlign w:val="baseline"/>
                <w:lang w:val="en-US" w:eastAsia="zh-CN"/>
              </w:rPr>
            </w:pPr>
          </w:p>
        </w:tc>
        <w:tc>
          <w:tcPr>
            <w:tcW w:w="2841" w:type="dxa"/>
          </w:tcPr>
          <w:p w14:paraId="07B43AD5">
            <w:pPr>
              <w:pStyle w:val="36"/>
              <w:rPr>
                <w:rFonts w:hint="eastAsia" w:ascii="宋体" w:hAnsi="宋体" w:eastAsia="宋体" w:cs="宋体"/>
                <w:i w:val="0"/>
                <w:iCs w:val="0"/>
                <w:color w:val="auto"/>
                <w:sz w:val="24"/>
                <w:szCs w:val="24"/>
                <w:highlight w:val="none"/>
                <w:vertAlign w:val="baseline"/>
                <w:lang w:val="en-US" w:eastAsia="zh-CN"/>
              </w:rPr>
            </w:pPr>
          </w:p>
        </w:tc>
        <w:tc>
          <w:tcPr>
            <w:tcW w:w="2743" w:type="dxa"/>
          </w:tcPr>
          <w:p w14:paraId="24661AD7">
            <w:pPr>
              <w:pStyle w:val="36"/>
              <w:rPr>
                <w:rFonts w:hint="eastAsia" w:ascii="宋体" w:hAnsi="宋体" w:eastAsia="宋体" w:cs="宋体"/>
                <w:i w:val="0"/>
                <w:iCs w:val="0"/>
                <w:color w:val="auto"/>
                <w:sz w:val="24"/>
                <w:szCs w:val="24"/>
                <w:highlight w:val="none"/>
                <w:vertAlign w:val="baseline"/>
                <w:lang w:val="en-US" w:eastAsia="zh-CN"/>
              </w:rPr>
            </w:pPr>
          </w:p>
        </w:tc>
      </w:tr>
    </w:tbl>
    <w:p w14:paraId="2D083952">
      <w:pPr>
        <w:keepNext w:val="0"/>
        <w:keepLines w:val="0"/>
        <w:widowControl/>
        <w:suppressLineNumbers w:val="0"/>
        <w:jc w:val="left"/>
        <w:rPr>
          <w:rFonts w:hint="eastAsia" w:ascii="宋体" w:hAnsi="宋体" w:eastAsia="宋体" w:cs="宋体"/>
          <w:i w:val="0"/>
          <w:iCs w:val="0"/>
          <w:color w:val="auto"/>
          <w:sz w:val="21"/>
          <w:szCs w:val="21"/>
          <w:highlight w:val="none"/>
        </w:rPr>
      </w:pPr>
      <w:r>
        <w:rPr>
          <w:rFonts w:hint="eastAsia" w:ascii="宋体" w:hAnsi="宋体" w:eastAsia="宋体" w:cs="宋体"/>
          <w:i w:val="0"/>
          <w:iCs w:val="0"/>
          <w:color w:val="auto"/>
          <w:kern w:val="0"/>
          <w:sz w:val="21"/>
          <w:szCs w:val="21"/>
          <w:highlight w:val="none"/>
          <w:lang w:val="en-US" w:eastAsia="zh-CN"/>
        </w:rPr>
        <w:t xml:space="preserve">注：1.供应商如为联合体，则应填写联合体各成员信息。 </w:t>
      </w:r>
    </w:p>
    <w:p w14:paraId="429C5533">
      <w:pPr>
        <w:keepNext w:val="0"/>
        <w:keepLines w:val="0"/>
        <w:widowControl/>
        <w:suppressLineNumbers w:val="0"/>
        <w:ind w:firstLine="420" w:firstLineChars="200"/>
        <w:jc w:val="left"/>
        <w:rPr>
          <w:rFonts w:hint="eastAsia" w:ascii="宋体" w:hAnsi="宋体" w:eastAsia="宋体" w:cs="宋体"/>
          <w:i w:val="0"/>
          <w:iCs w:val="0"/>
          <w:color w:val="auto"/>
          <w:kern w:val="0"/>
          <w:sz w:val="21"/>
          <w:szCs w:val="21"/>
          <w:highlight w:val="none"/>
          <w:lang w:val="en-US" w:eastAsia="zh-CN"/>
        </w:rPr>
      </w:pPr>
      <w:r>
        <w:rPr>
          <w:rFonts w:hint="eastAsia" w:ascii="宋体" w:hAnsi="宋体" w:eastAsia="宋体" w:cs="宋体"/>
          <w:i w:val="0"/>
          <w:iCs w:val="0"/>
          <w:color w:val="auto"/>
          <w:kern w:val="0"/>
          <w:sz w:val="21"/>
          <w:szCs w:val="21"/>
          <w:highlight w:val="none"/>
          <w:lang w:val="en-US" w:eastAsia="zh-CN"/>
        </w:rPr>
        <w:t>2.“供应商实际控制人性别”按供应商实际控制人性别划分请填写“男”或“女”，指拥有供应商 51%以上绝对所有权的性别；绝对所有权拥有者可以是一个人，也可以是多人合计计算。</w:t>
      </w:r>
    </w:p>
    <w:p w14:paraId="6C85D95C">
      <w:pPr>
        <w:pStyle w:val="36"/>
        <w:ind w:left="0" w:leftChars="0" w:firstLine="420" w:firstLineChars="200"/>
        <w:rPr>
          <w:rFonts w:hint="eastAsia" w:ascii="宋体" w:hAnsi="宋体" w:eastAsia="宋体" w:cs="宋体"/>
          <w:i w:val="0"/>
          <w:iCs w:val="0"/>
          <w:color w:val="auto"/>
          <w:sz w:val="21"/>
          <w:szCs w:val="21"/>
          <w:highlight w:val="none"/>
          <w:lang w:eastAsia="zh-CN"/>
        </w:rPr>
      </w:pPr>
      <w:r>
        <w:rPr>
          <w:rFonts w:hint="eastAsia" w:ascii="宋体" w:hAnsi="宋体" w:eastAsia="宋体" w:cs="宋体"/>
          <w:i w:val="0"/>
          <w:iCs w:val="0"/>
          <w:color w:val="auto"/>
          <w:kern w:val="0"/>
          <w:sz w:val="21"/>
          <w:szCs w:val="21"/>
          <w:highlight w:val="none"/>
          <w:lang w:val="en-US" w:eastAsia="zh-CN"/>
        </w:rPr>
        <w:t>3.“外商投资类型”请填写“外商单独投资”、“外商部分投资”或“内资”。</w:t>
      </w:r>
    </w:p>
    <w:p w14:paraId="55FB009A">
      <w:pPr>
        <w:pStyle w:val="36"/>
        <w:rPr>
          <w:rFonts w:hint="eastAsia" w:ascii="宋体" w:hAnsi="宋体" w:eastAsia="宋体" w:cs="宋体"/>
          <w:i w:val="0"/>
          <w:iCs w:val="0"/>
          <w:color w:val="auto"/>
          <w:sz w:val="24"/>
          <w:szCs w:val="24"/>
          <w:highlight w:val="none"/>
          <w:lang w:val="en-US" w:eastAsia="zh-CN"/>
        </w:rPr>
      </w:pPr>
    </w:p>
    <w:p w14:paraId="2D6AF8D7">
      <w:pPr>
        <w:pStyle w:val="36"/>
        <w:rPr>
          <w:rFonts w:hint="eastAsia" w:ascii="宋体" w:hAnsi="宋体" w:eastAsia="宋体" w:cs="宋体"/>
          <w:i w:val="0"/>
          <w:iCs w:val="0"/>
          <w:color w:val="auto"/>
          <w:sz w:val="24"/>
          <w:szCs w:val="24"/>
          <w:highlight w:val="none"/>
          <w:lang w:val="en-US" w:eastAsia="zh-CN"/>
        </w:rPr>
      </w:pPr>
      <w:r>
        <w:rPr>
          <w:rFonts w:hint="eastAsia" w:ascii="宋体" w:hAnsi="宋体" w:eastAsia="宋体" w:cs="宋体"/>
          <w:i w:val="0"/>
          <w:iCs w:val="0"/>
          <w:color w:val="auto"/>
          <w:sz w:val="24"/>
          <w:szCs w:val="24"/>
          <w:highlight w:val="none"/>
          <w:lang w:val="en-US" w:eastAsia="zh-CN"/>
        </w:rPr>
        <w:t>1.2其它商务、技术资料和证明材料</w:t>
      </w:r>
    </w:p>
    <w:p w14:paraId="3A8E8E10">
      <w:pPr>
        <w:pStyle w:val="36"/>
        <w:rPr>
          <w:rFonts w:hint="default"/>
          <w:i w:val="0"/>
          <w:iCs w:val="0"/>
          <w:color w:val="auto"/>
          <w:sz w:val="28"/>
          <w:szCs w:val="28"/>
          <w:highlight w:val="none"/>
          <w:lang w:val="en-US" w:eastAsia="zh-CN"/>
        </w:rPr>
      </w:pPr>
    </w:p>
    <w:p w14:paraId="07564543">
      <w:pPr>
        <w:pStyle w:val="36"/>
        <w:ind w:left="0" w:leftChars="0" w:firstLine="0" w:firstLineChars="0"/>
        <w:rPr>
          <w:rFonts w:hint="eastAsia"/>
          <w:i w:val="0"/>
          <w:iCs w:val="0"/>
          <w:color w:val="auto"/>
          <w:highlight w:val="none"/>
        </w:rPr>
      </w:pPr>
      <w:r>
        <w:rPr>
          <w:rFonts w:hint="eastAsia"/>
          <w:b/>
          <w:bCs/>
          <w:i w:val="0"/>
          <w:iCs w:val="0"/>
          <w:color w:val="auto"/>
          <w:sz w:val="24"/>
          <w:szCs w:val="24"/>
          <w:highlight w:val="none"/>
          <w:shd w:val="clear" w:color="auto" w:fill="FFFFFF"/>
          <w:lang w:val="en-US" w:eastAsia="zh-CN"/>
        </w:rPr>
        <w:t>（二）供应商认为需要提供的其它商务、技术资料和说明。</w:t>
      </w:r>
    </w:p>
    <w:p w14:paraId="3352B805">
      <w:pPr>
        <w:pStyle w:val="36"/>
        <w:rPr>
          <w:rFonts w:hint="eastAsia"/>
          <w:i w:val="0"/>
          <w:iCs w:val="0"/>
          <w:color w:val="auto"/>
          <w:highlight w:val="none"/>
        </w:rPr>
      </w:pPr>
    </w:p>
    <w:p w14:paraId="19B7C1E0">
      <w:pPr>
        <w:pStyle w:val="36"/>
        <w:rPr>
          <w:rFonts w:hint="eastAsia"/>
          <w:i w:val="0"/>
          <w:iCs w:val="0"/>
          <w:color w:val="auto"/>
          <w:highlight w:val="none"/>
        </w:rPr>
      </w:pPr>
    </w:p>
    <w:bookmarkEnd w:id="627"/>
    <w:p w14:paraId="7CB0AFFA">
      <w:pPr>
        <w:rPr>
          <w:i w:val="0"/>
          <w:iCs w:val="0"/>
          <w:color w:val="auto"/>
          <w:highlight w:val="none"/>
        </w:rPr>
      </w:pPr>
    </w:p>
    <w:sectPr>
      <w:pgSz w:w="11906" w:h="16838"/>
      <w:pgMar w:top="1440" w:right="1800" w:bottom="1440" w:left="1800" w:header="851" w:footer="992" w:gutter="0"/>
      <w:pgNumType w:fmt="numberInDash"/>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5D623A2-50C2-4D93-84BC-D199E90131EA}"/>
  </w:font>
  <w:font w:name="Arial">
    <w:panose1 w:val="020B0604020202020204"/>
    <w:charset w:val="01"/>
    <w:family w:val="swiss"/>
    <w:pitch w:val="default"/>
    <w:sig w:usb0="E0002EFF" w:usb1="C000785B" w:usb2="00000009" w:usb3="00000000" w:csb0="400001FF" w:csb1="FFFF0000"/>
    <w:embedRegular r:id="rId2" w:fontKey="{F18856E1-AEAD-41F3-AED5-CE85678E7846}"/>
  </w:font>
  <w:font w:name="黑体">
    <w:panose1 w:val="02010609060101010101"/>
    <w:charset w:val="86"/>
    <w:family w:val="auto"/>
    <w:pitch w:val="default"/>
    <w:sig w:usb0="800002BF" w:usb1="38CF7CFA" w:usb2="00000016" w:usb3="00000000" w:csb0="00040001" w:csb1="00000000"/>
    <w:embedRegular r:id="rId3" w:fontKey="{B6FE35A7-9153-411C-BE54-309B4744B051}"/>
  </w:font>
  <w:font w:name="Courier New">
    <w:panose1 w:val="02070309020205020404"/>
    <w:charset w:val="01"/>
    <w:family w:val="modern"/>
    <w:pitch w:val="default"/>
    <w:sig w:usb0="E0002EFF" w:usb1="C0007843" w:usb2="00000009" w:usb3="00000000" w:csb0="400001FF" w:csb1="FFFF0000"/>
    <w:embedRegular r:id="rId4" w:fontKey="{138B4D9B-F262-440D-8334-0970D94DB81B}"/>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embedRegular r:id="rId5" w:fontKey="{49E4C95C-D3E4-4A2E-86F7-6436690D36D0}"/>
  </w:font>
  <w:font w:name="仿宋_GB2312">
    <w:panose1 w:val="02010609030101010101"/>
    <w:charset w:val="86"/>
    <w:family w:val="modern"/>
    <w:pitch w:val="default"/>
    <w:sig w:usb0="00000001" w:usb1="080E0000" w:usb2="00000000" w:usb3="00000000" w:csb0="00040000" w:csb1="00000000"/>
    <w:embedRegular r:id="rId6" w:fontKey="{AE2BC389-4D93-409A-9CEF-79678CA719CC}"/>
  </w:font>
  <w:font w:name="等线">
    <w:panose1 w:val="02010600030101010101"/>
    <w:charset w:val="86"/>
    <w:family w:val="auto"/>
    <w:pitch w:val="default"/>
    <w:sig w:usb0="A00002BF" w:usb1="38CF7CFA" w:usb2="00000016" w:usb3="00000000" w:csb0="0004000F" w:csb1="00000000"/>
    <w:embedRegular r:id="rId7" w:fontKey="{71F8DBAC-D37D-4178-A714-72C0BEA07904}"/>
  </w:font>
  <w:font w:name="..">
    <w:altName w:val="宋体"/>
    <w:panose1 w:val="00000000000000000000"/>
    <w:charset w:val="86"/>
    <w:family w:val="auto"/>
    <w:pitch w:val="default"/>
    <w:sig w:usb0="00000000" w:usb1="00000000" w:usb2="00000010" w:usb3="00000000" w:csb0="00040000" w:csb1="00000000"/>
  </w:font>
  <w:font w:name="华文楷体">
    <w:panose1 w:val="02010600040101010101"/>
    <w:charset w:val="86"/>
    <w:family w:val="auto"/>
    <w:pitch w:val="default"/>
    <w:sig w:usb0="00000287" w:usb1="080F0000" w:usb2="00000000" w:usb3="00000000" w:csb0="0004009F" w:csb1="DFD70000"/>
  </w:font>
  <w:font w:name="Helvetica">
    <w:altName w:val="Arial"/>
    <w:panose1 w:val="020B0504020002020204"/>
    <w:charset w:val="00"/>
    <w:family w:val="swiss"/>
    <w:pitch w:val="default"/>
    <w:sig w:usb0="00000000" w:usb1="00000000" w:usb2="00000000" w:usb3="00000000" w:csb0="00000001" w:csb1="00000000"/>
    <w:embedRegular r:id="rId8" w:fontKey="{9E9D1EDB-4787-4D65-B904-06ADDB8D4E1F}"/>
  </w:font>
  <w:font w:name="方正公文小标宋">
    <w:panose1 w:val="02000500000000000000"/>
    <w:charset w:val="86"/>
    <w:family w:val="auto"/>
    <w:pitch w:val="default"/>
    <w:sig w:usb0="A00002BF" w:usb1="38CF7CFA" w:usb2="00000016" w:usb3="00000000" w:csb0="00040001" w:csb1="00000000"/>
    <w:embedRegular r:id="rId9" w:fontKey="{4AFBF1CC-851F-418F-9809-66E9D37D97FE}"/>
  </w:font>
  <w:font w:name="Noto Sans SC">
    <w:panose1 w:val="020B0200000000000000"/>
    <w:charset w:val="86"/>
    <w:family w:val="auto"/>
    <w:pitch w:val="default"/>
    <w:sig w:usb0="20000083" w:usb1="2ADF3C10" w:usb2="00000016" w:usb3="00000000" w:csb0="60060107" w:csb1="00000000"/>
    <w:embedRegular r:id="rId10" w:fontKey="{105C3D04-48D4-4AD5-8439-04FD213963AB}"/>
  </w:font>
  <w:font w:name="Segoe UI">
    <w:panose1 w:val="020B0502040204020203"/>
    <w:charset w:val="00"/>
    <w:family w:val="auto"/>
    <w:pitch w:val="default"/>
    <w:sig w:usb0="E4002EFF" w:usb1="C000E47F" w:usb2="00000009" w:usb3="00000000" w:csb0="200001FF" w:csb1="00000000"/>
    <w:embedRegular r:id="rId11" w:fontKey="{C750D431-6903-44D5-A8B9-94D33AA15224}"/>
  </w:font>
  <w:font w:name="Tahoma">
    <w:panose1 w:val="020B0604030504040204"/>
    <w:charset w:val="00"/>
    <w:family w:val="swiss"/>
    <w:pitch w:val="default"/>
    <w:sig w:usb0="E1002EFF" w:usb1="C000605B" w:usb2="00000029" w:usb3="00000000" w:csb0="200101FF" w:csb1="20280000"/>
    <w:embedRegular r:id="rId12" w:fontKey="{658ACE21-B871-41C7-9D97-4C7C753CC99F}"/>
  </w:font>
  <w:font w:name="方正小标宋_GBK">
    <w:panose1 w:val="03000509000000000000"/>
    <w:charset w:val="86"/>
    <w:family w:val="auto"/>
    <w:pitch w:val="default"/>
    <w:sig w:usb0="00000001" w:usb1="080E0000" w:usb2="00000000" w:usb3="00000000" w:csb0="00040000" w:csb1="00000000"/>
    <w:embedRegular r:id="rId13" w:fontKey="{5465AA80-BAB1-456B-841E-731730D2FB03}"/>
  </w:font>
  <w:font w:name="DejaVuSans">
    <w:altName w:val="Segoe Print"/>
    <w:panose1 w:val="00000000000000000000"/>
    <w:charset w:val="00"/>
    <w:family w:val="auto"/>
    <w:pitch w:val="default"/>
    <w:sig w:usb0="00000000" w:usb1="00000000" w:usb2="00000000" w:usb3="00000000" w:csb0="00000000" w:csb1="00000000"/>
    <w:embedRegular r:id="rId14" w:fontKey="{80D1861E-B80C-4E78-9815-ED71ECD1824F}"/>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AFFD85">
    <w:pPr>
      <w:pStyle w:val="19"/>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41EAE223">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545459A"/>
                      </w:txbxContent>
                    </wps:txbx>
                    <wps:bodyPr vert="horz" wrap="none" lIns="0" tIns="0" rIns="0" bIns="0" anchor="t" upright="0">
                      <a:spAutoFit/>
                    </wps:bodyPr>
                  </wps:wsp>
                </a:graphicData>
              </a:graphic>
            </wp:anchor>
          </w:drawing>
        </mc:Choice>
        <mc:Fallback>
          <w:pict>
            <v:rect id="文本框 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C5dblS0AAAAAUBAAAPAAAAAAAAAAEAIAAAACIAAABkcnMv&#10;ZG93bnJldi54bWxQSwECFAAUAAAACACHTuJATJJX/tIBAACeAwAADgAAAAAAAAABACAAAAAfAQAA&#10;ZHJzL2Uyb0RvYy54bWxQSwUGAAAAAAYABgBZAQAAYwUAAAAA&#10;">
              <v:fill on="f" focussize="0,0"/>
              <v:stroke on="f"/>
              <v:imagedata o:title=""/>
              <o:lock v:ext="edit" aspectratio="f"/>
              <v:textbox inset="0mm,0mm,0mm,0mm" style="mso-fit-shape-to-text:t;">
                <w:txbxContent>
                  <w:p w14:paraId="41EAE223">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4545459A"/>
                </w:txbxContent>
              </v:textbox>
            </v:rect>
          </w:pict>
        </mc:Fallback>
      </mc:AlternateContent>
    </w:r>
  </w:p>
  <w:p w14:paraId="23975237">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C86791">
    <w:pPr>
      <w:pStyle w:val="19"/>
      <w:jc w:val="center"/>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57530" cy="1828800"/>
              <wp:effectExtent l="0" t="0" r="0" b="0"/>
              <wp:wrapNone/>
              <wp:docPr id="4098" name="文本框 2"/>
              <wp:cNvGraphicFramePr/>
              <a:graphic xmlns:a="http://schemas.openxmlformats.org/drawingml/2006/main">
                <a:graphicData uri="http://schemas.microsoft.com/office/word/2010/wordprocessingShape">
                  <wps:wsp>
                    <wps:cNvSpPr/>
                    <wps:spPr>
                      <a:xfrm>
                        <a:off x="0" y="0"/>
                        <a:ext cx="557530" cy="1828800"/>
                      </a:xfrm>
                      <a:prstGeom prst="rect">
                        <a:avLst/>
                      </a:prstGeom>
                      <a:ln>
                        <a:noFill/>
                      </a:ln>
                    </wps:spPr>
                    <wps:txbx>
                      <w:txbxContent>
                        <w:p w14:paraId="266F66E9">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EB12EA5"/>
                      </w:txbxContent>
                    </wps:txbx>
                    <wps:bodyPr vert="horz" wrap="square" lIns="0" tIns="0" rIns="0" bIns="0" anchor="t" upright="0">
                      <a:spAutoFit/>
                    </wps:bodyPr>
                  </wps:wsp>
                </a:graphicData>
              </a:graphic>
            </wp:anchor>
          </w:drawing>
        </mc:Choice>
        <mc:Fallback>
          <w:pict>
            <v:rect id="文本框 2" o:spid="_x0000_s1026" o:spt="1" style="position:absolute;left:0pt;margin-top:0pt;height:144pt;width:43.9pt;mso-position-horizontal:center;mso-position-horizontal-relative:margin;z-index:251659264;mso-width-relative:page;mso-height-relative:page;" filled="f" stroked="f" coordsize="21600,21600" o:gfxdata="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B15LXUAAAABAEAAA8AAAAAAAAAAQAg&#10;AAAAIgAAAGRycy9kb3ducmV2LnhtbFBLAQIUABQAAAAIAIdO4kA6jfDW2QEAAJ8DAAAOAAAAAAAA&#10;AAEAIAAAACMBAABkcnMvZTJvRG9jLnhtbFBLBQYAAAAABgAGAFkBAABuBQAAAAA=&#10;">
              <v:fill on="f" focussize="0,0"/>
              <v:stroke on="f"/>
              <v:imagedata o:title=""/>
              <o:lock v:ext="edit" aspectratio="f"/>
              <v:textbox inset="0mm,0mm,0mm,0mm" style="mso-fit-shape-to-text:t;">
                <w:txbxContent>
                  <w:p w14:paraId="266F66E9">
                    <w:pPr>
                      <w:pStyle w:val="19"/>
                      <w:spacing w:line="240" w:lineRule="auto"/>
                      <w:jc w:val="cente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p w14:paraId="0EB12EA5"/>
                </w:txbxContent>
              </v:textbox>
            </v:rect>
          </w:pict>
        </mc:Fallback>
      </mc:AlternateContent>
    </w:r>
  </w:p>
  <w:p w14:paraId="1D038EF8">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855D19">
    <w:pPr>
      <w:pStyle w:val="19"/>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91820" cy="1828800"/>
              <wp:effectExtent l="0" t="0" r="0" b="0"/>
              <wp:wrapNone/>
              <wp:docPr id="4099" name="文本框 6"/>
              <wp:cNvGraphicFramePr/>
              <a:graphic xmlns:a="http://schemas.openxmlformats.org/drawingml/2006/main">
                <a:graphicData uri="http://schemas.microsoft.com/office/word/2010/wordprocessingShape">
                  <wps:wsp>
                    <wps:cNvSpPr/>
                    <wps:spPr>
                      <a:xfrm>
                        <a:off x="0" y="0"/>
                        <a:ext cx="591820" cy="1828800"/>
                      </a:xfrm>
                      <a:prstGeom prst="rect">
                        <a:avLst/>
                      </a:prstGeom>
                      <a:ln>
                        <a:noFill/>
                      </a:ln>
                    </wps:spPr>
                    <wps:txbx>
                      <w:txbxContent>
                        <w:p w14:paraId="655B679F">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vert="horz" wrap="square" lIns="0" tIns="0" rIns="0" bIns="0" anchor="t" upright="0">
                      <a:spAutoFit/>
                    </wps:bodyPr>
                  </wps:wsp>
                </a:graphicData>
              </a:graphic>
            </wp:anchor>
          </w:drawing>
        </mc:Choice>
        <mc:Fallback>
          <w:pict>
            <v:rect id="文本框 6" o:spid="_x0000_s1026" o:spt="1" style="position:absolute;left:0pt;margin-top:0pt;height:144pt;width:46.6pt;mso-position-horizontal:center;mso-position-horizontal-relative:margin;z-index:251659264;mso-width-relative:page;mso-height-relative:page;" filled="f" stroked="f" coordsize="21600,21600" o:gfxdata="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vmLtDVAAAABAEAAA8AAAAAAAAAAQAg&#10;AAAAIgAAAGRycy9kb3ducmV2LnhtbFBLAQIUABQAAAAIAIdO4kCJRsVc2AEAAJ8DAAAOAAAAAAAA&#10;AAEAIAAAACQBAABkcnMvZTJvRG9jLnhtbFBLBQYAAAAABgAGAFkBAABuBQAAAAA=&#10;">
              <v:fill on="f" focussize="0,0"/>
              <v:stroke on="f"/>
              <v:imagedata o:title=""/>
              <o:lock v:ext="edit" aspectratio="f"/>
              <v:textbox inset="0mm,0mm,0mm,0mm" style="mso-fit-shape-to-text:t;">
                <w:txbxContent>
                  <w:p w14:paraId="655B679F">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09D98A">
    <w:pPr>
      <w:pStyle w:val="19"/>
      <w:rPr>
        <w:rFonts w:hint="eastAsia"/>
      </w:rP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0"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53CB3AD">
                          <w:pPr>
                            <w:pStyle w:val="19"/>
                            <w:rPr>
                              <w:rFonts w:hint="eastAsia"/>
                            </w:rPr>
                          </w:pPr>
                          <w:r>
                            <w:fldChar w:fldCharType="begin"/>
                          </w:r>
                          <w:r>
                            <w:instrText xml:space="preserve"> PAGE  \* MERGEFORMAT </w:instrText>
                          </w:r>
                          <w:r>
                            <w:fldChar w:fldCharType="separate"/>
                          </w:r>
                          <w:r>
                            <w:t>55</w:t>
                          </w:r>
                          <w:r>
                            <w:fldChar w:fldCharType="end"/>
                          </w:r>
                        </w:p>
                      </w:txbxContent>
                    </wps:txbx>
                    <wps:bodyPr vert="horz" wrap="none" lIns="0" tIns="0" rIns="0" bIns="0" anchor="t">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JRyDEckBAACTAwAADgAAAAAAAAABACAAAAAfAQAAZHJzL2Uyb0Rv&#10;Yy54bWxQSwUGAAAAAAYABgBZAQAAWgUAAAAA&#10;">
              <v:fill on="f" focussize="0,0"/>
              <v:stroke on="f"/>
              <v:imagedata o:title=""/>
              <o:lock v:ext="edit" aspectratio="f"/>
              <v:textbox inset="0mm,0mm,0mm,0mm" style="mso-fit-shape-to-text:t;">
                <w:txbxContent>
                  <w:p w14:paraId="253CB3AD">
                    <w:pPr>
                      <w:pStyle w:val="19"/>
                      <w:rPr>
                        <w:rFonts w:hint="eastAsia"/>
                      </w:rPr>
                    </w:pPr>
                    <w:r>
                      <w:fldChar w:fldCharType="begin"/>
                    </w:r>
                    <w:r>
                      <w:instrText xml:space="preserve"> PAGE  \* MERGEFORMAT </w:instrText>
                    </w:r>
                    <w:r>
                      <w:fldChar w:fldCharType="separate"/>
                    </w:r>
                    <w:r>
                      <w:t>55</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FA2D5C">
    <w:pPr>
      <w:pStyle w:val="19"/>
    </w:pPr>
    <w:r>
      <w:rPr>
        <w:sz w:val="18"/>
      </w:rP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591820" cy="1828800"/>
              <wp:effectExtent l="0" t="0" r="0" b="0"/>
              <wp:wrapNone/>
              <wp:docPr id="4101" name="文本框 4"/>
              <wp:cNvGraphicFramePr/>
              <a:graphic xmlns:a="http://schemas.openxmlformats.org/drawingml/2006/main">
                <a:graphicData uri="http://schemas.microsoft.com/office/word/2010/wordprocessingShape">
                  <wps:wsp>
                    <wps:cNvSpPr/>
                    <wps:spPr>
                      <a:xfrm>
                        <a:off x="0" y="0"/>
                        <a:ext cx="591820" cy="1828800"/>
                      </a:xfrm>
                      <a:prstGeom prst="rect">
                        <a:avLst/>
                      </a:prstGeom>
                      <a:ln>
                        <a:noFill/>
                      </a:ln>
                    </wps:spPr>
                    <wps:txbx>
                      <w:txbxContent>
                        <w:p w14:paraId="313757FD">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wps:txbx>
                    <wps:bodyPr vert="horz" wrap="square" lIns="0" tIns="0" rIns="0" bIns="0" anchor="t" upright="0">
                      <a:spAutoFit/>
                    </wps:bodyPr>
                  </wps:wsp>
                </a:graphicData>
              </a:graphic>
            </wp:anchor>
          </w:drawing>
        </mc:Choice>
        <mc:Fallback>
          <w:pict>
            <v:rect id="文本框 4" o:spid="_x0000_s1026" o:spt="1" style="position:absolute;left:0pt;margin-top:0pt;height:144pt;width:46.6pt;mso-position-horizontal:center;mso-position-horizontal-relative:margin;z-index:251659264;mso-width-relative:page;mso-height-relative:page;" filled="f" stroked="f" coordsize="21600,21600" o:gfxdata="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EvmLtDVAAAABAEAAA8AAAAAAAAAAQAg&#10;AAAAIgAAAGRycy9kb3ducmV2LnhtbFBLAQIUABQAAAAIAIdO4kBNk0Hz2AEAAJ8DAAAOAAAAAAAA&#10;AAEAIAAAACQBAABkcnMvZTJvRG9jLnhtbFBLBQYAAAAABgAGAFkBAABuBQAAAAA=&#10;">
              <v:fill on="f" focussize="0,0"/>
              <v:stroke on="f"/>
              <v:imagedata o:title=""/>
              <o:lock v:ext="edit" aspectratio="f"/>
              <v:textbox inset="0mm,0mm,0mm,0mm" style="mso-fit-shape-to-text:t;">
                <w:txbxContent>
                  <w:p w14:paraId="313757FD">
                    <w:pPr>
                      <w:pStyle w:val="19"/>
                      <w:keepNext w:val="0"/>
                      <w:keepLines w:val="0"/>
                      <w:pageBreakBefore w:val="0"/>
                      <w:widowControl w:val="0"/>
                      <w:kinsoku/>
                      <w:wordWrap/>
                      <w:overflowPunct/>
                      <w:topLinePunct w:val="0"/>
                      <w:bidi w:val="0"/>
                      <w:adjustRightInd/>
                      <w:snapToGrid w:val="0"/>
                      <w:spacing w:line="240" w:lineRule="auto"/>
                      <w:jc w:val="center"/>
                      <w:textAlignment w:val="auto"/>
                      <w:rPr>
                        <w:sz w:val="21"/>
                        <w:szCs w:val="21"/>
                      </w:rPr>
                    </w:pPr>
                    <w:r>
                      <w:rPr>
                        <w:sz w:val="21"/>
                        <w:szCs w:val="21"/>
                      </w:rPr>
                      <w:fldChar w:fldCharType="begin"/>
                    </w:r>
                    <w:r>
                      <w:rPr>
                        <w:sz w:val="21"/>
                        <w:szCs w:val="21"/>
                      </w:rPr>
                      <w:instrText xml:space="preserve"> PAGE  \* MERGEFORMAT </w:instrText>
                    </w:r>
                    <w:r>
                      <w:rPr>
                        <w:sz w:val="21"/>
                        <w:szCs w:val="21"/>
                      </w:rPr>
                      <w:fldChar w:fldCharType="separate"/>
                    </w:r>
                    <w:r>
                      <w:rPr>
                        <w:sz w:val="21"/>
                        <w:szCs w:val="21"/>
                      </w:rPr>
                      <w:t>67</w:t>
                    </w:r>
                    <w:r>
                      <w:rPr>
                        <w:sz w:val="21"/>
                        <w:szCs w:val="21"/>
                      </w:rPr>
                      <w:fldChar w:fldCharType="end"/>
                    </w:r>
                  </w:p>
                </w:txbxContent>
              </v:textbox>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888AC4">
    <w:pPr>
      <w:pStyle w:val="20"/>
      <w:pBdr>
        <w:bottom w:val="none" w:color="auto" w:sz="0" w:space="1"/>
      </w:pBdr>
      <w:tabs>
        <w:tab w:val="left" w:pos="3120"/>
      </w:tabs>
      <w:spacing w:line="240" w:lineRule="auto"/>
      <w:jc w:val="right"/>
      <w:rPr>
        <w:rFonts w:hint="default"/>
        <w:sz w:val="18"/>
        <w:szCs w:val="18"/>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8C037">
    <w:pPr>
      <w:pStyle w:val="20"/>
      <w:tabs>
        <w:tab w:val="left" w:pos="3120"/>
      </w:tabs>
      <w:spacing w:line="240" w:lineRule="auto"/>
      <w:jc w:val="right"/>
      <w:rPr>
        <w:sz w:val="18"/>
        <w:szCs w:val="1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C69C6">
    <w:pPr>
      <w:pStyle w:val="20"/>
      <w:spacing w:line="240" w:lineRule="auto"/>
    </w:pPr>
    <w:r>
      <w:rPr>
        <w:rFonts w:hint="eastAsia"/>
        <w:sz w:val="24"/>
        <w:szCs w:val="24"/>
        <w:lang w:val="en-US" w:eastAsia="zh-CN"/>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5A013B">
    <w:pPr>
      <w:pStyle w:val="20"/>
      <w:pBdr>
        <w:bottom w:val="none" w:color="auto" w:sz="0" w:space="0"/>
      </w:pBdr>
      <w:rPr>
        <w:rFonts w:hint="eastAsi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82F3D0">
    <w:pPr>
      <w:pStyle w:val="20"/>
      <w:spacing w:line="240" w:lineRule="auto"/>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00000002"/>
    <w:multiLevelType w:val="multilevel"/>
    <w:tmpl w:val="00000002"/>
    <w:lvl w:ilvl="0" w:tentative="0">
      <w:start w:val="1"/>
      <w:numFmt w:val="decimal"/>
      <w:suff w:val="nothing"/>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0000"/>
    <w:rsid w:val="034F0C53"/>
    <w:rsid w:val="03710AF1"/>
    <w:rsid w:val="07844961"/>
    <w:rsid w:val="09634201"/>
    <w:rsid w:val="0E5C5290"/>
    <w:rsid w:val="10383985"/>
    <w:rsid w:val="13B842C6"/>
    <w:rsid w:val="17FD699F"/>
    <w:rsid w:val="18CA3437"/>
    <w:rsid w:val="192E74EA"/>
    <w:rsid w:val="1A8A51BF"/>
    <w:rsid w:val="1C951971"/>
    <w:rsid w:val="1EB43CF6"/>
    <w:rsid w:val="20B87E3C"/>
    <w:rsid w:val="26A9107B"/>
    <w:rsid w:val="2B8F7F06"/>
    <w:rsid w:val="2E627104"/>
    <w:rsid w:val="2ED4418A"/>
    <w:rsid w:val="2F4E5B00"/>
    <w:rsid w:val="3234348A"/>
    <w:rsid w:val="3241683E"/>
    <w:rsid w:val="35073E92"/>
    <w:rsid w:val="36E903C3"/>
    <w:rsid w:val="38B139F2"/>
    <w:rsid w:val="40CC5EDF"/>
    <w:rsid w:val="4218004D"/>
    <w:rsid w:val="43F62371"/>
    <w:rsid w:val="4C7E128E"/>
    <w:rsid w:val="4E154828"/>
    <w:rsid w:val="51C31BE2"/>
    <w:rsid w:val="524E316C"/>
    <w:rsid w:val="5843365E"/>
    <w:rsid w:val="5A8E216B"/>
    <w:rsid w:val="5AB539CD"/>
    <w:rsid w:val="5B1325FC"/>
    <w:rsid w:val="5E4320CF"/>
    <w:rsid w:val="5EC15626"/>
    <w:rsid w:val="616262FB"/>
    <w:rsid w:val="626A0BA2"/>
    <w:rsid w:val="634F36C6"/>
    <w:rsid w:val="66171A87"/>
    <w:rsid w:val="697B29CF"/>
    <w:rsid w:val="6B166CD1"/>
    <w:rsid w:val="6F6C3363"/>
    <w:rsid w:val="706651D3"/>
    <w:rsid w:val="748217B7"/>
    <w:rsid w:val="7C8D2B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99"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1" w:semiHidden="0" w:name="Default Paragraph Font"/>
    <w:lsdException w:qFormat="1" w:unhideWhenUsed="0"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99"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99"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3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pPr>
    <w:rPr>
      <w:rFonts w:ascii="宋体" w:hAnsi="宋体" w:eastAsia="宋体" w:cs="宋体"/>
      <w:kern w:val="2"/>
      <w:sz w:val="24"/>
      <w:szCs w:val="22"/>
      <w:lang w:val="en-US" w:eastAsia="zh-CN" w:bidi="ar-SA"/>
    </w:rPr>
  </w:style>
  <w:style w:type="paragraph" w:styleId="5">
    <w:name w:val="heading 1"/>
    <w:basedOn w:val="1"/>
    <w:next w:val="1"/>
    <w:link w:val="39"/>
    <w:qFormat/>
    <w:uiPriority w:val="9"/>
    <w:pPr>
      <w:keepNext/>
      <w:keepLines/>
      <w:spacing w:before="340" w:after="330" w:line="578" w:lineRule="auto"/>
      <w:jc w:val="center"/>
      <w:outlineLvl w:val="0"/>
    </w:pPr>
    <w:rPr>
      <w:rFonts w:eastAsia="黑体"/>
      <w:b/>
      <w:bCs/>
      <w:kern w:val="44"/>
      <w:sz w:val="44"/>
      <w:szCs w:val="44"/>
    </w:rPr>
  </w:style>
  <w:style w:type="paragraph" w:styleId="6">
    <w:name w:val="heading 2"/>
    <w:basedOn w:val="1"/>
    <w:next w:val="1"/>
    <w:link w:val="41"/>
    <w:qFormat/>
    <w:uiPriority w:val="9"/>
    <w:pPr>
      <w:keepNext/>
      <w:keepLines/>
      <w:spacing w:before="260" w:after="260" w:line="416" w:lineRule="auto"/>
      <w:outlineLvl w:val="1"/>
    </w:pPr>
    <w:rPr>
      <w:rFonts w:ascii="等线 Light" w:hAnsi="等线 Light" w:cs="宋体"/>
      <w:b/>
      <w:bCs/>
      <w:sz w:val="32"/>
      <w:szCs w:val="32"/>
    </w:rPr>
  </w:style>
  <w:style w:type="paragraph" w:styleId="7">
    <w:name w:val="heading 3"/>
    <w:basedOn w:val="1"/>
    <w:next w:val="1"/>
    <w:link w:val="50"/>
    <w:qFormat/>
    <w:uiPriority w:val="9"/>
    <w:pPr>
      <w:keepNext/>
      <w:keepLines/>
      <w:spacing w:before="260" w:after="260" w:line="416" w:lineRule="auto"/>
      <w:outlineLvl w:val="2"/>
    </w:pPr>
    <w:rPr>
      <w:b/>
      <w:bCs/>
      <w:sz w:val="32"/>
      <w:szCs w:val="32"/>
    </w:rPr>
  </w:style>
  <w:style w:type="paragraph" w:styleId="8">
    <w:name w:val="heading 4"/>
    <w:basedOn w:val="1"/>
    <w:next w:val="1"/>
    <w:link w:val="51"/>
    <w:qFormat/>
    <w:uiPriority w:val="9"/>
    <w:pPr>
      <w:keepNext/>
      <w:keepLines/>
      <w:spacing w:before="280" w:after="290" w:line="376" w:lineRule="auto"/>
      <w:outlineLvl w:val="3"/>
    </w:pPr>
    <w:rPr>
      <w:rFonts w:ascii="等线 Light" w:hAnsi="等线 Light" w:cs="宋体"/>
      <w:b/>
      <w:bCs/>
      <w:sz w:val="28"/>
      <w:szCs w:val="28"/>
    </w:rPr>
  </w:style>
  <w:style w:type="character" w:default="1" w:styleId="32">
    <w:name w:val="Default Paragraph Font"/>
    <w:qFormat/>
    <w:uiPriority w:val="1"/>
  </w:style>
  <w:style w:type="table" w:default="1" w:styleId="30">
    <w:name w:val="Normal Table"/>
    <w:qFormat/>
    <w:uiPriority w:val="99"/>
    <w:tblPr>
      <w:tblCellMar>
        <w:top w:w="0" w:type="dxa"/>
        <w:left w:w="108" w:type="dxa"/>
        <w:bottom w:w="0" w:type="dxa"/>
        <w:right w:w="108" w:type="dxa"/>
      </w:tblCellMar>
    </w:tblPr>
  </w:style>
  <w:style w:type="paragraph" w:customStyle="1" w:styleId="2">
    <w:name w:val="正文缩进1"/>
    <w:basedOn w:val="1"/>
    <w:next w:val="3"/>
    <w:qFormat/>
    <w:uiPriority w:val="0"/>
    <w:pPr>
      <w:widowControl/>
      <w:ind w:firstLine="420"/>
    </w:pPr>
    <w:rPr>
      <w:color w:val="000000"/>
    </w:rPr>
  </w:style>
  <w:style w:type="paragraph" w:styleId="3">
    <w:name w:val="Body Text Indent"/>
    <w:basedOn w:val="1"/>
    <w:next w:val="4"/>
    <w:qFormat/>
    <w:uiPriority w:val="0"/>
    <w:pPr>
      <w:ind w:firstLine="630"/>
    </w:pPr>
    <w:rPr>
      <w:rFonts w:eastAsia="仿宋_GB2312"/>
      <w:kern w:val="0"/>
      <w:sz w:val="32"/>
      <w:szCs w:val="20"/>
    </w:rPr>
  </w:style>
  <w:style w:type="paragraph" w:styleId="4">
    <w:name w:val="toc 5"/>
    <w:basedOn w:val="1"/>
    <w:next w:val="1"/>
    <w:qFormat/>
    <w:uiPriority w:val="39"/>
    <w:pPr>
      <w:ind w:left="960"/>
    </w:pPr>
    <w:rPr>
      <w:rFonts w:ascii="等线" w:eastAsia="等线"/>
      <w:sz w:val="18"/>
      <w:szCs w:val="18"/>
    </w:rPr>
  </w:style>
  <w:style w:type="paragraph" w:styleId="9">
    <w:name w:val="toc 7"/>
    <w:basedOn w:val="1"/>
    <w:next w:val="1"/>
    <w:qFormat/>
    <w:uiPriority w:val="39"/>
    <w:pPr>
      <w:ind w:left="1440"/>
    </w:pPr>
    <w:rPr>
      <w:rFonts w:ascii="等线" w:eastAsia="等线"/>
      <w:sz w:val="18"/>
      <w:szCs w:val="18"/>
    </w:rPr>
  </w:style>
  <w:style w:type="paragraph" w:styleId="10">
    <w:name w:val="Normal Indent"/>
    <w:basedOn w:val="1"/>
    <w:next w:val="1"/>
    <w:qFormat/>
    <w:uiPriority w:val="0"/>
    <w:pPr>
      <w:ind w:firstLine="420" w:firstLineChars="200"/>
    </w:pPr>
    <w:rPr>
      <w:rFonts w:ascii="Calibri" w:hAnsi="Calibri"/>
      <w:szCs w:val="22"/>
    </w:rPr>
  </w:style>
  <w:style w:type="paragraph" w:styleId="11">
    <w:name w:val="index 5"/>
    <w:basedOn w:val="1"/>
    <w:next w:val="1"/>
    <w:qFormat/>
    <w:uiPriority w:val="0"/>
    <w:pPr>
      <w:ind w:left="1680"/>
    </w:pPr>
    <w:rPr>
      <w:rFonts w:ascii="Calibri" w:hAnsi="Calibri" w:eastAsia="宋体" w:cs="Times New Roman"/>
    </w:rPr>
  </w:style>
  <w:style w:type="paragraph" w:styleId="12">
    <w:name w:val="List Bullet"/>
    <w:basedOn w:val="1"/>
    <w:qFormat/>
    <w:uiPriority w:val="99"/>
    <w:pPr>
      <w:tabs>
        <w:tab w:val="left" w:pos="360"/>
        <w:tab w:val="left" w:pos="1134"/>
      </w:tabs>
      <w:spacing w:line="240" w:lineRule="auto"/>
      <w:ind w:left="1134" w:hanging="1134"/>
      <w:contextualSpacing/>
      <w:jc w:val="both"/>
    </w:pPr>
    <w:rPr>
      <w:rFonts w:ascii="Times New Roman" w:hAnsi="Times New Roman" w:cs="Times New Roman"/>
      <w:kern w:val="0"/>
      <w:sz w:val="20"/>
      <w:szCs w:val="20"/>
    </w:rPr>
  </w:style>
  <w:style w:type="paragraph" w:styleId="13">
    <w:name w:val="annotation text"/>
    <w:basedOn w:val="1"/>
    <w:link w:val="48"/>
    <w:qFormat/>
    <w:uiPriority w:val="0"/>
    <w:pPr>
      <w:spacing w:line="240" w:lineRule="auto"/>
    </w:pPr>
    <w:rPr>
      <w:rFonts w:ascii="等线" w:hAnsi="等线" w:eastAsia="等线"/>
      <w:sz w:val="21"/>
      <w:szCs w:val="24"/>
    </w:rPr>
  </w:style>
  <w:style w:type="paragraph" w:styleId="14">
    <w:name w:val="Body Text 3"/>
    <w:basedOn w:val="1"/>
    <w:link w:val="44"/>
    <w:qFormat/>
    <w:uiPriority w:val="99"/>
    <w:pPr>
      <w:spacing w:after="120"/>
    </w:pPr>
    <w:rPr>
      <w:sz w:val="16"/>
      <w:szCs w:val="16"/>
    </w:rPr>
  </w:style>
  <w:style w:type="paragraph" w:styleId="15">
    <w:name w:val="Body Text"/>
    <w:basedOn w:val="1"/>
    <w:link w:val="43"/>
    <w:qFormat/>
    <w:uiPriority w:val="99"/>
    <w:pPr>
      <w:spacing w:after="120" w:line="240" w:lineRule="auto"/>
      <w:jc w:val="both"/>
    </w:pPr>
    <w:rPr>
      <w:rFonts w:ascii="Times New Roman" w:hAnsi="Times New Roman" w:cs="Times New Roman"/>
      <w:kern w:val="0"/>
      <w:sz w:val="20"/>
      <w:szCs w:val="20"/>
    </w:rPr>
  </w:style>
  <w:style w:type="paragraph" w:styleId="16">
    <w:name w:val="toc 3"/>
    <w:basedOn w:val="1"/>
    <w:next w:val="1"/>
    <w:qFormat/>
    <w:uiPriority w:val="39"/>
    <w:pPr>
      <w:ind w:left="480"/>
    </w:pPr>
    <w:rPr>
      <w:rFonts w:ascii="等线" w:eastAsia="等线"/>
      <w:i/>
      <w:iCs/>
      <w:sz w:val="20"/>
      <w:szCs w:val="20"/>
    </w:rPr>
  </w:style>
  <w:style w:type="paragraph" w:styleId="17">
    <w:name w:val="Plain Text"/>
    <w:basedOn w:val="1"/>
    <w:qFormat/>
    <w:uiPriority w:val="0"/>
    <w:rPr>
      <w:rFonts w:ascii="宋体" w:hAnsi="Courier New"/>
      <w:kern w:val="0"/>
      <w:sz w:val="20"/>
      <w:szCs w:val="20"/>
    </w:rPr>
  </w:style>
  <w:style w:type="paragraph" w:styleId="18">
    <w:name w:val="toc 8"/>
    <w:basedOn w:val="1"/>
    <w:next w:val="1"/>
    <w:qFormat/>
    <w:uiPriority w:val="39"/>
    <w:pPr>
      <w:ind w:left="1680"/>
    </w:pPr>
    <w:rPr>
      <w:rFonts w:ascii="等线" w:eastAsia="等线"/>
      <w:sz w:val="18"/>
      <w:szCs w:val="18"/>
    </w:rPr>
  </w:style>
  <w:style w:type="paragraph" w:styleId="19">
    <w:name w:val="footer"/>
    <w:basedOn w:val="1"/>
    <w:link w:val="38"/>
    <w:qFormat/>
    <w:uiPriority w:val="99"/>
    <w:pPr>
      <w:tabs>
        <w:tab w:val="center" w:pos="4153"/>
        <w:tab w:val="right" w:pos="8306"/>
      </w:tabs>
      <w:snapToGrid w:val="0"/>
    </w:pPr>
    <w:rPr>
      <w:sz w:val="18"/>
      <w:szCs w:val="18"/>
    </w:rPr>
  </w:style>
  <w:style w:type="paragraph" w:styleId="20">
    <w:name w:val="header"/>
    <w:basedOn w:val="1"/>
    <w:link w:val="37"/>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uiPriority w:val="39"/>
    <w:pPr>
      <w:spacing w:before="120" w:after="120"/>
    </w:pPr>
    <w:rPr>
      <w:rFonts w:ascii="等线" w:eastAsia="等线"/>
      <w:b/>
      <w:bCs/>
      <w:caps/>
      <w:sz w:val="20"/>
      <w:szCs w:val="20"/>
    </w:rPr>
  </w:style>
  <w:style w:type="paragraph" w:styleId="22">
    <w:name w:val="toc 4"/>
    <w:basedOn w:val="1"/>
    <w:next w:val="1"/>
    <w:qFormat/>
    <w:uiPriority w:val="39"/>
    <w:pPr>
      <w:ind w:left="720"/>
    </w:pPr>
    <w:rPr>
      <w:rFonts w:ascii="等线" w:eastAsia="等线"/>
      <w:sz w:val="18"/>
      <w:szCs w:val="18"/>
    </w:rPr>
  </w:style>
  <w:style w:type="paragraph" w:styleId="23">
    <w:name w:val="footnote text"/>
    <w:basedOn w:val="1"/>
    <w:qFormat/>
    <w:uiPriority w:val="0"/>
    <w:pPr>
      <w:widowControl/>
      <w:jc w:val="left"/>
    </w:pPr>
    <w:rPr>
      <w:kern w:val="0"/>
      <w:sz w:val="20"/>
      <w:szCs w:val="20"/>
      <w:lang w:val="de-DE"/>
    </w:rPr>
  </w:style>
  <w:style w:type="paragraph" w:styleId="24">
    <w:name w:val="toc 6"/>
    <w:basedOn w:val="1"/>
    <w:next w:val="1"/>
    <w:qFormat/>
    <w:uiPriority w:val="39"/>
    <w:pPr>
      <w:ind w:left="1200"/>
    </w:pPr>
    <w:rPr>
      <w:rFonts w:ascii="等线" w:eastAsia="等线"/>
      <w:sz w:val="18"/>
      <w:szCs w:val="18"/>
    </w:rPr>
  </w:style>
  <w:style w:type="paragraph" w:styleId="25">
    <w:name w:val="toc 2"/>
    <w:basedOn w:val="1"/>
    <w:next w:val="1"/>
    <w:qFormat/>
    <w:uiPriority w:val="39"/>
    <w:pPr>
      <w:ind w:left="240"/>
    </w:pPr>
    <w:rPr>
      <w:rFonts w:ascii="等线" w:eastAsia="等线"/>
      <w:smallCaps/>
      <w:sz w:val="20"/>
      <w:szCs w:val="20"/>
    </w:rPr>
  </w:style>
  <w:style w:type="paragraph" w:styleId="26">
    <w:name w:val="toc 9"/>
    <w:basedOn w:val="1"/>
    <w:next w:val="1"/>
    <w:qFormat/>
    <w:uiPriority w:val="39"/>
    <w:pPr>
      <w:ind w:left="1920"/>
    </w:pPr>
    <w:rPr>
      <w:rFonts w:ascii="等线" w:eastAsia="等线"/>
      <w:sz w:val="18"/>
      <w:szCs w:val="18"/>
    </w:rPr>
  </w:style>
  <w:style w:type="paragraph" w:styleId="27">
    <w:name w:val="Normal (Web)"/>
    <w:basedOn w:val="1"/>
    <w:qFormat/>
    <w:uiPriority w:val="0"/>
    <w:pPr>
      <w:widowControl/>
      <w:spacing w:before="100" w:beforeAutospacing="1" w:after="100" w:afterAutospacing="1" w:line="240" w:lineRule="auto"/>
    </w:pPr>
    <w:rPr>
      <w:rFonts w:cs="宋体"/>
      <w:kern w:val="0"/>
      <w:szCs w:val="20"/>
    </w:rPr>
  </w:style>
  <w:style w:type="paragraph" w:styleId="28">
    <w:name w:val="annotation subject"/>
    <w:basedOn w:val="13"/>
    <w:next w:val="13"/>
    <w:link w:val="53"/>
    <w:qFormat/>
    <w:uiPriority w:val="99"/>
    <w:pPr>
      <w:spacing w:line="360" w:lineRule="auto"/>
    </w:pPr>
    <w:rPr>
      <w:rFonts w:ascii="宋体" w:hAnsi="宋体" w:eastAsia="宋体"/>
      <w:b/>
      <w:bCs/>
      <w:sz w:val="24"/>
      <w:szCs w:val="22"/>
    </w:rPr>
  </w:style>
  <w:style w:type="paragraph" w:styleId="29">
    <w:name w:val="Body Text First Indent"/>
    <w:basedOn w:val="15"/>
    <w:qFormat/>
    <w:uiPriority w:val="0"/>
    <w:pPr>
      <w:ind w:firstLine="420"/>
    </w:pPr>
  </w:style>
  <w:style w:type="table" w:styleId="31">
    <w:name w:val="Table Grid"/>
    <w:basedOn w:val="30"/>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basedOn w:val="32"/>
    <w:qFormat/>
    <w:uiPriority w:val="0"/>
    <w:rPr>
      <w:b/>
      <w:bCs/>
    </w:rPr>
  </w:style>
  <w:style w:type="character" w:styleId="34">
    <w:name w:val="Hyperlink"/>
    <w:basedOn w:val="32"/>
    <w:qFormat/>
    <w:uiPriority w:val="99"/>
    <w:rPr>
      <w:color w:val="0563C1"/>
      <w:u w:val="single"/>
    </w:rPr>
  </w:style>
  <w:style w:type="character" w:styleId="35">
    <w:name w:val="annotation reference"/>
    <w:basedOn w:val="32"/>
    <w:qFormat/>
    <w:uiPriority w:val="99"/>
    <w:rPr>
      <w:sz w:val="21"/>
      <w:szCs w:val="21"/>
    </w:rPr>
  </w:style>
  <w:style w:type="paragraph" w:customStyle="1" w:styleId="36">
    <w:name w:val="正文缩进2"/>
    <w:basedOn w:val="1"/>
    <w:qFormat/>
    <w:uiPriority w:val="0"/>
    <w:pPr>
      <w:wordWrap w:val="0"/>
      <w:ind w:firstLine="200" w:firstLineChars="200"/>
    </w:pPr>
  </w:style>
  <w:style w:type="character" w:customStyle="1" w:styleId="37">
    <w:name w:val="页眉 字符"/>
    <w:basedOn w:val="32"/>
    <w:link w:val="20"/>
    <w:qFormat/>
    <w:uiPriority w:val="99"/>
    <w:rPr>
      <w:rFonts w:eastAsia="宋体"/>
      <w:sz w:val="18"/>
      <w:szCs w:val="18"/>
    </w:rPr>
  </w:style>
  <w:style w:type="character" w:customStyle="1" w:styleId="38">
    <w:name w:val="页脚 字符"/>
    <w:basedOn w:val="32"/>
    <w:link w:val="19"/>
    <w:qFormat/>
    <w:uiPriority w:val="99"/>
    <w:rPr>
      <w:rFonts w:eastAsia="宋体"/>
      <w:sz w:val="18"/>
      <w:szCs w:val="18"/>
    </w:rPr>
  </w:style>
  <w:style w:type="character" w:customStyle="1" w:styleId="39">
    <w:name w:val="标题 1 字符"/>
    <w:basedOn w:val="32"/>
    <w:link w:val="5"/>
    <w:qFormat/>
    <w:uiPriority w:val="9"/>
    <w:rPr>
      <w:rFonts w:ascii="宋体" w:hAnsi="宋体" w:eastAsia="黑体"/>
      <w:b/>
      <w:bCs/>
      <w:kern w:val="44"/>
      <w:sz w:val="44"/>
      <w:szCs w:val="44"/>
    </w:rPr>
  </w:style>
  <w:style w:type="paragraph" w:styleId="40">
    <w:name w:val="List Paragraph"/>
    <w:basedOn w:val="1"/>
    <w:link w:val="49"/>
    <w:qFormat/>
    <w:uiPriority w:val="34"/>
    <w:pPr>
      <w:ind w:firstLine="420" w:firstLineChars="200"/>
    </w:pPr>
  </w:style>
  <w:style w:type="character" w:customStyle="1" w:styleId="41">
    <w:name w:val="标题 2 字符"/>
    <w:basedOn w:val="32"/>
    <w:link w:val="6"/>
    <w:qFormat/>
    <w:uiPriority w:val="9"/>
    <w:rPr>
      <w:rFonts w:ascii="等线 Light" w:hAnsi="等线 Light" w:eastAsia="宋体" w:cs="宋体"/>
      <w:b/>
      <w:bCs/>
      <w:sz w:val="32"/>
      <w:szCs w:val="32"/>
    </w:rPr>
  </w:style>
  <w:style w:type="character" w:customStyle="1" w:styleId="42">
    <w:name w:val="未处理的提及1"/>
    <w:basedOn w:val="32"/>
    <w:qFormat/>
    <w:uiPriority w:val="99"/>
    <w:rPr>
      <w:color w:val="605E5C"/>
      <w:shd w:val="clear" w:color="auto" w:fill="E1DFDD"/>
    </w:rPr>
  </w:style>
  <w:style w:type="character" w:customStyle="1" w:styleId="43">
    <w:name w:val="正文文本 字符"/>
    <w:basedOn w:val="32"/>
    <w:link w:val="15"/>
    <w:qFormat/>
    <w:uiPriority w:val="99"/>
    <w:rPr>
      <w:rFonts w:ascii="Times New Roman" w:hAnsi="Times New Roman" w:eastAsia="宋体" w:cs="Times New Roman"/>
      <w:kern w:val="0"/>
      <w:sz w:val="20"/>
      <w:szCs w:val="20"/>
    </w:rPr>
  </w:style>
  <w:style w:type="character" w:customStyle="1" w:styleId="44">
    <w:name w:val="正文文本 3 字符"/>
    <w:basedOn w:val="32"/>
    <w:link w:val="14"/>
    <w:qFormat/>
    <w:uiPriority w:val="99"/>
    <w:rPr>
      <w:rFonts w:ascii="宋体" w:hAnsi="宋体" w:eastAsia="宋体"/>
      <w:sz w:val="16"/>
      <w:szCs w:val="16"/>
    </w:rPr>
  </w:style>
  <w:style w:type="paragraph" w:customStyle="1" w:styleId="45">
    <w:name w:val="Default"/>
    <w:link w:val="46"/>
    <w:qFormat/>
    <w:uiPriority w:val="0"/>
    <w:pPr>
      <w:widowControl w:val="0"/>
      <w:autoSpaceDE w:val="0"/>
      <w:autoSpaceDN w:val="0"/>
      <w:adjustRightInd w:val="0"/>
    </w:pPr>
    <w:rPr>
      <w:rFonts w:ascii=".." w:hAnsi="Times New Roman" w:eastAsia=".." w:cs="Times New Roman"/>
      <w:color w:val="000000"/>
      <w:sz w:val="24"/>
      <w:szCs w:val="24"/>
      <w:lang w:val="en-US" w:eastAsia="zh-CN" w:bidi="ar-SA"/>
    </w:rPr>
  </w:style>
  <w:style w:type="character" w:customStyle="1" w:styleId="46">
    <w:name w:val="Default Char Char"/>
    <w:link w:val="45"/>
    <w:qFormat/>
    <w:uiPriority w:val="0"/>
    <w:rPr>
      <w:rFonts w:ascii=".." w:hAnsi="Times New Roman" w:eastAsia=".." w:cs="Times New Roman"/>
      <w:color w:val="000000"/>
      <w:kern w:val="0"/>
      <w:sz w:val="24"/>
      <w:szCs w:val="24"/>
    </w:rPr>
  </w:style>
  <w:style w:type="paragraph" w:styleId="47">
    <w:name w:val="No Spacing"/>
    <w:link w:val="52"/>
    <w:qFormat/>
    <w:uiPriority w:val="1"/>
    <w:pPr>
      <w:widowControl w:val="0"/>
    </w:pPr>
    <w:rPr>
      <w:rFonts w:ascii="宋体" w:hAnsi="宋体" w:eastAsia="宋体" w:cs="宋体"/>
      <w:kern w:val="2"/>
      <w:sz w:val="21"/>
      <w:szCs w:val="22"/>
      <w:lang w:val="en-US" w:eastAsia="zh-CN" w:bidi="ar-SA"/>
    </w:rPr>
  </w:style>
  <w:style w:type="character" w:customStyle="1" w:styleId="48">
    <w:name w:val="批注文字 字符"/>
    <w:basedOn w:val="32"/>
    <w:link w:val="13"/>
    <w:qFormat/>
    <w:uiPriority w:val="0"/>
    <w:rPr>
      <w:szCs w:val="24"/>
    </w:rPr>
  </w:style>
  <w:style w:type="character" w:customStyle="1" w:styleId="49">
    <w:name w:val="列表段落 字符"/>
    <w:link w:val="40"/>
    <w:qFormat/>
    <w:uiPriority w:val="34"/>
    <w:rPr>
      <w:rFonts w:ascii="宋体" w:hAnsi="宋体" w:eastAsia="宋体"/>
      <w:sz w:val="24"/>
    </w:rPr>
  </w:style>
  <w:style w:type="character" w:customStyle="1" w:styleId="50">
    <w:name w:val="标题 3 字符"/>
    <w:basedOn w:val="32"/>
    <w:link w:val="7"/>
    <w:qFormat/>
    <w:uiPriority w:val="9"/>
    <w:rPr>
      <w:rFonts w:ascii="宋体" w:hAnsi="宋体" w:eastAsia="宋体"/>
      <w:b/>
      <w:bCs/>
      <w:sz w:val="32"/>
      <w:szCs w:val="32"/>
    </w:rPr>
  </w:style>
  <w:style w:type="character" w:customStyle="1" w:styleId="51">
    <w:name w:val="标题 4 字符"/>
    <w:basedOn w:val="32"/>
    <w:link w:val="8"/>
    <w:qFormat/>
    <w:uiPriority w:val="9"/>
    <w:rPr>
      <w:rFonts w:ascii="等线 Light" w:hAnsi="等线 Light" w:eastAsia="宋体" w:cs="宋体"/>
      <w:b/>
      <w:bCs/>
      <w:sz w:val="28"/>
      <w:szCs w:val="28"/>
    </w:rPr>
  </w:style>
  <w:style w:type="character" w:customStyle="1" w:styleId="52">
    <w:name w:val="无间隔 字符"/>
    <w:link w:val="47"/>
    <w:qFormat/>
    <w:uiPriority w:val="1"/>
    <w:rPr>
      <w:rFonts w:ascii="宋体" w:hAnsi="宋体" w:eastAsia="宋体"/>
    </w:rPr>
  </w:style>
  <w:style w:type="character" w:customStyle="1" w:styleId="53">
    <w:name w:val="批注主题 字符"/>
    <w:basedOn w:val="48"/>
    <w:link w:val="28"/>
    <w:qFormat/>
    <w:uiPriority w:val="99"/>
    <w:rPr>
      <w:rFonts w:ascii="宋体" w:hAnsi="宋体" w:eastAsia="宋体"/>
      <w:b/>
      <w:bCs/>
      <w:kern w:val="2"/>
      <w:sz w:val="24"/>
      <w:szCs w:val="22"/>
    </w:rPr>
  </w:style>
  <w:style w:type="paragraph" w:customStyle="1" w:styleId="54">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55">
    <w:name w:val="正文_1_1"/>
    <w:basedOn w:val="56"/>
    <w:qFormat/>
    <w:uiPriority w:val="99"/>
    <w:pPr>
      <w:widowControl w:val="0"/>
      <w:jc w:val="both"/>
    </w:pPr>
    <w:rPr>
      <w:rFonts w:ascii="Calibri" w:hAnsi="Calibri" w:eastAsia="宋体" w:cs="Times New Roman"/>
      <w:kern w:val="2"/>
      <w:sz w:val="21"/>
      <w:szCs w:val="24"/>
      <w:lang w:val="en-US" w:eastAsia="zh-CN" w:bidi="ar-SA"/>
    </w:rPr>
  </w:style>
  <w:style w:type="paragraph" w:customStyle="1" w:styleId="56">
    <w:name w:val="正文_5"/>
    <w:qFormat/>
    <w:uiPriority w:val="0"/>
    <w:pPr>
      <w:widowControl w:val="0"/>
      <w:jc w:val="both"/>
    </w:pPr>
    <w:rPr>
      <w:rFonts w:ascii="Calibri" w:hAnsi="Calibri" w:eastAsia="宋体" w:cs="Times New Roman"/>
      <w:kern w:val="2"/>
      <w:sz w:val="21"/>
      <w:szCs w:val="22"/>
      <w:lang w:val="en-US" w:eastAsia="zh-CN" w:bidi="ar-SA"/>
    </w:rPr>
  </w:style>
  <w:style w:type="paragraph" w:customStyle="1" w:styleId="57">
    <w:name w:val="正文1"/>
    <w:qFormat/>
    <w:uiPriority w:val="0"/>
    <w:pPr>
      <w:widowControl w:val="0"/>
      <w:jc w:val="both"/>
    </w:pPr>
    <w:rPr>
      <w:rFonts w:ascii="Calibri" w:hAnsi="Calibri" w:eastAsia="宋体" w:cs="Times New Roman"/>
      <w:lang w:val="en-US" w:eastAsia="zh-CN" w:bidi="ar-SA"/>
    </w:rPr>
  </w:style>
  <w:style w:type="paragraph" w:customStyle="1" w:styleId="58">
    <w:name w:val="正文_2"/>
    <w:basedOn w:val="59"/>
    <w:next w:val="60"/>
    <w:qFormat/>
    <w:uiPriority w:val="0"/>
    <w:pPr>
      <w:widowControl w:val="0"/>
      <w:jc w:val="both"/>
    </w:pPr>
    <w:rPr>
      <w:rFonts w:ascii="Calibri" w:hAnsi="Calibri" w:eastAsia="宋体" w:cs="Times New Roman"/>
      <w:lang w:val="en-US" w:eastAsia="zh-CN" w:bidi="ar-SA"/>
    </w:rPr>
  </w:style>
  <w:style w:type="paragraph" w:customStyle="1" w:styleId="59">
    <w:name w:val="正文_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0">
    <w:name w:val="标题1"/>
    <w:basedOn w:val="58"/>
    <w:next w:val="58"/>
    <w:qFormat/>
    <w:uiPriority w:val="0"/>
    <w:pPr>
      <w:spacing w:before="240" w:after="60"/>
      <w:jc w:val="center"/>
      <w:outlineLvl w:val="0"/>
    </w:pPr>
    <w:rPr>
      <w:rFonts w:ascii="Arial" w:hAnsi="Arial" w:cs="Arial"/>
      <w:sz w:val="32"/>
      <w:szCs w:val="32"/>
    </w:rPr>
  </w:style>
  <w:style w:type="paragraph" w:customStyle="1" w:styleId="61">
    <w:name w:val="Normal_0e709fd5-2415-45ee-a3f4-37cb0409dae3"/>
    <w:qFormat/>
    <w:uiPriority w:val="0"/>
    <w:pPr>
      <w:widowControl w:val="0"/>
      <w:jc w:val="both"/>
    </w:pPr>
    <w:rPr>
      <w:rFonts w:ascii="Times New Roman" w:hAnsi="Times New Roman" w:eastAsia="Times New Roman" w:cs="Times New Roman"/>
      <w:lang w:val="en-US" w:eastAsia="zh-CN" w:bidi="ar-SA"/>
    </w:rPr>
  </w:style>
  <w:style w:type="paragraph" w:customStyle="1" w:styleId="62">
    <w:name w:val="正文_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63">
    <w:name w:val="xl31"/>
    <w:basedOn w:val="1"/>
    <w:qFormat/>
    <w:uiPriority w:val="0"/>
    <w:pPr>
      <w:widowControl/>
      <w:spacing w:before="100" w:beforeAutospacing="1" w:after="100" w:afterAutospacing="1"/>
      <w:jc w:val="center"/>
    </w:pPr>
    <w:rPr>
      <w:b/>
      <w:bCs/>
      <w:kern w:val="0"/>
      <w:sz w:val="28"/>
      <w:szCs w:val="28"/>
    </w:rPr>
  </w:style>
  <w:style w:type="paragraph" w:customStyle="1" w:styleId="64">
    <w:name w:val="列出段落1"/>
    <w:basedOn w:val="1"/>
    <w:qFormat/>
    <w:uiPriority w:val="0"/>
    <w:pPr>
      <w:ind w:firstLine="420" w:firstLineChars="200"/>
    </w:pPr>
    <w:rPr>
      <w:szCs w:val="21"/>
    </w:rPr>
  </w:style>
  <w:style w:type="paragraph" w:customStyle="1" w:styleId="65">
    <w:name w:val="Normal_22"/>
    <w:qFormat/>
    <w:uiPriority w:val="0"/>
    <w:rPr>
      <w:rFonts w:ascii="Times New Roman" w:hAnsi="Times New Roman" w:eastAsia="Times New Roman" w:cs="Times New Roman"/>
      <w:sz w:val="24"/>
      <w:szCs w:val="24"/>
      <w:lang w:bidi="ar-SA"/>
    </w:rPr>
  </w:style>
  <w:style w:type="paragraph" w:customStyle="1" w:styleId="66">
    <w:name w:val="Char Char Char Char Char Char Char1 Char"/>
    <w:basedOn w:val="1"/>
    <w:qFormat/>
    <w:uiPriority w:val="0"/>
    <w:rPr>
      <w:rFonts w:ascii="Arial" w:hAnsi="Arial" w:eastAsia="宋体" w:cs="Arial"/>
      <w:sz w:val="24"/>
    </w:rPr>
  </w:style>
  <w:style w:type="paragraph" w:customStyle="1" w:styleId="67">
    <w:name w:val="正文缩进2格"/>
    <w:basedOn w:val="1"/>
    <w:qFormat/>
    <w:uiPriority w:val="0"/>
    <w:pPr>
      <w:spacing w:line="600" w:lineRule="exact"/>
      <w:ind w:firstLine="639" w:firstLineChars="206"/>
    </w:pPr>
    <w:rPr>
      <w:rFonts w:ascii="仿宋_GB2312" w:hAnsi="宋体" w:eastAsia="仿宋_GB2312"/>
      <w:kern w:val="0"/>
      <w:sz w:val="31"/>
      <w:szCs w:val="20"/>
    </w:rPr>
  </w:style>
  <w:style w:type="paragraph" w:customStyle="1" w:styleId="68">
    <w:name w:val="正文文本_1"/>
    <w:basedOn w:val="69"/>
    <w:qFormat/>
    <w:uiPriority w:val="0"/>
    <w:pPr>
      <w:spacing w:after="120"/>
    </w:pPr>
    <w:rPr>
      <w:rFonts w:ascii="Calibri" w:hAnsi="Calibri"/>
    </w:rPr>
  </w:style>
  <w:style w:type="paragraph" w:customStyle="1" w:styleId="69">
    <w:name w:val="正文_1_0"/>
    <w:basedOn w:val="55"/>
    <w:next w:val="70"/>
    <w:qFormat/>
    <w:uiPriority w:val="0"/>
    <w:rPr>
      <w:sz w:val="28"/>
      <w:szCs w:val="22"/>
    </w:rPr>
  </w:style>
  <w:style w:type="paragraph" w:customStyle="1" w:styleId="70">
    <w:name w:val="正文首行缩进1"/>
    <w:basedOn w:val="71"/>
    <w:qFormat/>
    <w:uiPriority w:val="99"/>
    <w:pPr>
      <w:ind w:firstLine="420" w:firstLineChars="100"/>
    </w:pPr>
    <w:rPr>
      <w:szCs w:val="22"/>
    </w:rPr>
  </w:style>
  <w:style w:type="paragraph" w:customStyle="1" w:styleId="71">
    <w:name w:val="正文文本_0_0"/>
    <w:basedOn w:val="72"/>
    <w:qFormat/>
    <w:uiPriority w:val="0"/>
    <w:pPr>
      <w:spacing w:after="120"/>
    </w:pPr>
    <w:rPr>
      <w:kern w:val="0"/>
      <w:sz w:val="20"/>
    </w:rPr>
  </w:style>
  <w:style w:type="paragraph" w:customStyle="1" w:styleId="72">
    <w:name w:val="正文_1_3"/>
    <w:qFormat/>
    <w:uiPriority w:val="0"/>
    <w:pPr>
      <w:widowControl w:val="0"/>
      <w:jc w:val="both"/>
    </w:pPr>
    <w:rPr>
      <w:rFonts w:ascii="Calibri" w:hAnsi="Calibri" w:eastAsia="宋体" w:cs="Times New Roman"/>
      <w:kern w:val="2"/>
      <w:sz w:val="21"/>
      <w:szCs w:val="22"/>
      <w:lang w:val="en-US" w:eastAsia="zh-CN" w:bidi="ar-SA"/>
    </w:rPr>
  </w:style>
  <w:style w:type="paragraph" w:customStyle="1" w:styleId="73">
    <w:name w:val="Default Text"/>
    <w:basedOn w:val="1"/>
    <w:qFormat/>
    <w:uiPriority w:val="0"/>
    <w:pPr>
      <w:autoSpaceDE w:val="0"/>
      <w:autoSpaceDN w:val="0"/>
      <w:adjustRightInd w:val="0"/>
    </w:pPr>
    <w:rPr>
      <w:rFonts w:ascii="Helvetica" w:hAnsi="Helvetica"/>
      <w:kern w:val="0"/>
      <w:sz w:val="22"/>
    </w:rPr>
  </w:style>
  <w:style w:type="paragraph" w:customStyle="1" w:styleId="74">
    <w:name w:val="LO-Normal"/>
    <w:qFormat/>
    <w:uiPriority w:val="0"/>
    <w:pPr>
      <w:suppressAutoHyphens/>
    </w:pPr>
    <w:rPr>
      <w:rFonts w:ascii="Times New Roman" w:hAnsi="Times New Roman" w:eastAsia="宋体" w:cs="Times New Roman"/>
      <w:sz w:val="24"/>
      <w:szCs w:val="24"/>
      <w:lang w:val="en-US" w:eastAsia="zh-CN" w:bidi="ar-SA"/>
    </w:rPr>
  </w:style>
  <w:style w:type="paragraph" w:customStyle="1" w:styleId="75">
    <w:name w:val="Normal_0"/>
    <w:qFormat/>
    <w:uiPriority w:val="0"/>
    <w:rPr>
      <w:rFonts w:ascii="Times New Roman" w:hAnsi="Times New Roman" w:eastAsia="Times New Roman" w:cs="Times New Roman"/>
      <w:sz w:val="24"/>
      <w:szCs w:val="24"/>
      <w:lang w:val="en-US" w:eastAsia="zh-CN" w:bidi="ar-SA"/>
    </w:rPr>
  </w:style>
  <w:style w:type="paragraph" w:customStyle="1" w:styleId="76">
    <w:name w:val="正文_0_1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77">
    <w:name w:val="正文_0_0_1"/>
    <w:qFormat/>
    <w:uiPriority w:val="0"/>
    <w:pPr>
      <w:widowControl w:val="0"/>
      <w:jc w:val="both"/>
    </w:pPr>
    <w:rPr>
      <w:rFonts w:ascii="Calibri" w:hAnsi="Calibri" w:eastAsia="宋体" w:cs="Times New Roman"/>
      <w:kern w:val="2"/>
      <w:sz w:val="28"/>
      <w:szCs w:val="22"/>
      <w:lang w:val="en-US" w:eastAsia="zh-CN" w:bidi="ar-SA"/>
    </w:rPr>
  </w:style>
  <w:style w:type="paragraph" w:customStyle="1" w:styleId="78">
    <w:name w:val="Normal_3"/>
    <w:qFormat/>
    <w:uiPriority w:val="0"/>
    <w:rPr>
      <w:rFonts w:ascii="黑体" w:hAnsi="黑体" w:eastAsia="黑体" w:cs="Times New Roman"/>
      <w:b/>
      <w:sz w:val="32"/>
      <w:szCs w:val="24"/>
      <w:lang w:val="en-US" w:eastAsia="zh-CN" w:bidi="ar-SA"/>
    </w:rPr>
  </w:style>
  <w:style w:type="paragraph" w:customStyle="1" w:styleId="79">
    <w:name w:val="正文_1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80">
    <w:name w:val="正文_0_0_0"/>
    <w:qFormat/>
    <w:uiPriority w:val="0"/>
    <w:pPr>
      <w:widowControl w:val="0"/>
      <w:jc w:val="both"/>
    </w:pPr>
    <w:rPr>
      <w:rFonts w:ascii="Calibri" w:hAnsi="Calibri" w:eastAsia="宋体" w:cs="Times New Roman"/>
      <w:kern w:val="2"/>
      <w:sz w:val="28"/>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2.jpeg"/><Relationship Id="rId16" Type="http://schemas.openxmlformats.org/officeDocument/2006/relationships/image" Target="media/image1.png"/><Relationship Id="rId15" Type="http://schemas.openxmlformats.org/officeDocument/2006/relationships/theme" Target="theme/theme1.xml"/><Relationship Id="rId14" Type="http://schemas.openxmlformats.org/officeDocument/2006/relationships/footer" Target="footer5.xml"/><Relationship Id="rId13" Type="http://schemas.openxmlformats.org/officeDocument/2006/relationships/header" Target="header5.xml"/><Relationship Id="rId12" Type="http://schemas.openxmlformats.org/officeDocument/2006/relationships/footer" Target="footer4.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122</Pages>
  <Words>36900</Words>
  <Characters>39275</Characters>
  <Paragraphs>3248</Paragraphs>
  <TotalTime>18</TotalTime>
  <ScaleCrop>false</ScaleCrop>
  <LinksUpToDate>false</LinksUpToDate>
  <CharactersWithSpaces>40335</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2024-02-04T06:30:00Z</dcterms:created>
  <dc:creator>Elvis</dc:creator>
  <cp:lastModifiedBy>三</cp:lastModifiedBy>
  <cp:lastPrinted>2024-12-28T09:35:00Z</cp:lastPrinted>
  <dcterms:modified xsi:type="dcterms:W3CDTF">2026-05-18T09:41:34Z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B8867B325400449894A074D3E1918683_13</vt:lpwstr>
  </property>
  <property fmtid="{D5CDD505-2E9C-101B-9397-08002B2CF9AE}" pid="4" name="KSOTemplateDocerSaveRecord">
    <vt:lpwstr>eyJoZGlkIjoiN2M1Mzk3ZmI3MGEyNzcyNjYzZDczYThlYzRhYjg4MGEiLCJ1c2VySWQiOiIyNTMwMjYxNzEifQ==</vt:lpwstr>
  </property>
</Properties>
</file>