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9BF08">
      <w:pPr>
        <w:autoSpaceDE w:val="0"/>
        <w:autoSpaceDN w:val="0"/>
        <w:adjustRightInd w:val="0"/>
        <w:spacing w:line="360" w:lineRule="auto"/>
        <w:ind w:firstLine="2341" w:firstLineChars="450"/>
        <w:rPr>
          <w:rFonts w:ascii="微软雅黑" w:hAnsi="新宋体" w:eastAsia="微软雅黑" w:cs="华文行楷"/>
          <w:b/>
          <w:sz w:val="52"/>
          <w:szCs w:val="52"/>
          <w:highlight w:val="none"/>
          <w:lang w:val="zh-CN"/>
        </w:rPr>
      </w:pPr>
      <w:r>
        <w:rPr>
          <w:rFonts w:ascii="微软雅黑" w:hAnsi="新宋体" w:eastAsia="微软雅黑" w:cs="华文行楷"/>
          <w:b/>
          <w:sz w:val="52"/>
          <w:szCs w:val="52"/>
          <w:highlight w:val="none"/>
          <w:lang w:val="zh-CN"/>
        </w:rPr>
        <w:t xml:space="preserve"> </w:t>
      </w:r>
    </w:p>
    <w:p w14:paraId="050733EB">
      <w:pPr>
        <w:autoSpaceDE w:val="0"/>
        <w:autoSpaceDN w:val="0"/>
        <w:adjustRightInd w:val="0"/>
        <w:spacing w:line="360" w:lineRule="auto"/>
        <w:jc w:val="center"/>
        <w:rPr>
          <w:rFonts w:ascii="微软雅黑" w:hAnsi="新宋体" w:eastAsia="微软雅黑"/>
          <w:b/>
          <w:sz w:val="52"/>
          <w:szCs w:val="52"/>
          <w:highlight w:val="none"/>
        </w:rPr>
      </w:pPr>
      <w:r>
        <w:rPr>
          <w:rFonts w:hint="eastAsia" w:ascii="微软雅黑" w:hAnsi="新宋体" w:eastAsia="微软雅黑" w:cs="华文行楷"/>
          <w:b/>
          <w:sz w:val="52"/>
          <w:szCs w:val="52"/>
          <w:highlight w:val="none"/>
          <w:lang w:val="zh-CN"/>
        </w:rPr>
        <w:t>青海省政府采购</w:t>
      </w:r>
    </w:p>
    <w:p w14:paraId="337A51E4">
      <w:pPr>
        <w:autoSpaceDE w:val="0"/>
        <w:autoSpaceDN w:val="0"/>
        <w:adjustRightInd w:val="0"/>
        <w:spacing w:line="360" w:lineRule="auto"/>
        <w:rPr>
          <w:rFonts w:ascii="方正楷体_GBK" w:hAnsi="宋体" w:eastAsia="方正楷体_GBK" w:cs="华文中宋"/>
          <w:b/>
          <w:sz w:val="36"/>
          <w:szCs w:val="36"/>
          <w:highlight w:val="none"/>
        </w:rPr>
      </w:pPr>
    </w:p>
    <w:p w14:paraId="537B5CE0">
      <w:pPr>
        <w:autoSpaceDE w:val="0"/>
        <w:autoSpaceDN w:val="0"/>
        <w:adjustRightInd w:val="0"/>
        <w:spacing w:line="360" w:lineRule="auto"/>
        <w:ind w:firstLine="720"/>
        <w:rPr>
          <w:rFonts w:ascii="方正楷体_GBK" w:hAnsi="宋体" w:eastAsia="方正楷体_GBK" w:cs="华文中宋"/>
          <w:b/>
          <w:sz w:val="36"/>
          <w:szCs w:val="36"/>
          <w:highlight w:val="none"/>
          <w:lang w:val="zh-CN"/>
        </w:rPr>
      </w:pPr>
    </w:p>
    <w:p w14:paraId="67989336">
      <w:pPr>
        <w:autoSpaceDE w:val="0"/>
        <w:autoSpaceDN w:val="0"/>
        <w:adjustRightInd w:val="0"/>
        <w:spacing w:line="360" w:lineRule="auto"/>
        <w:jc w:val="center"/>
        <w:rPr>
          <w:rFonts w:ascii="方正楷体_GBK" w:hAnsi="宋体" w:eastAsia="方正楷体_GBK"/>
          <w:b/>
          <w:sz w:val="84"/>
          <w:szCs w:val="84"/>
          <w:highlight w:val="none"/>
        </w:rPr>
      </w:pPr>
      <w:r>
        <w:rPr>
          <w:rFonts w:hint="eastAsia" w:ascii="方正楷体_GBK" w:hAnsi="宋体" w:eastAsia="方正楷体_GBK" w:cs="华文中宋"/>
          <w:b/>
          <w:sz w:val="84"/>
          <w:szCs w:val="84"/>
          <w:highlight w:val="none"/>
          <w:lang w:val="zh-CN"/>
        </w:rPr>
        <w:t>竞争性磋商文件</w:t>
      </w:r>
    </w:p>
    <w:p w14:paraId="5484C624">
      <w:pPr>
        <w:adjustRightInd w:val="0"/>
        <w:spacing w:line="360" w:lineRule="auto"/>
        <w:textAlignment w:val="baseline"/>
        <w:rPr>
          <w:rFonts w:ascii="方正仿宋_GB2312" w:hAnsi="宋体" w:eastAsia="方正仿宋_GB2312"/>
          <w:b/>
          <w:sz w:val="36"/>
          <w:szCs w:val="36"/>
          <w:highlight w:val="none"/>
        </w:rPr>
      </w:pPr>
    </w:p>
    <w:p w14:paraId="3F68A0AE">
      <w:pPr>
        <w:adjustRightInd w:val="0"/>
        <w:spacing w:line="360" w:lineRule="auto"/>
        <w:ind w:left="3248" w:leftChars="342" w:hanging="2530" w:hangingChars="700"/>
        <w:textAlignment w:val="baseline"/>
        <w:rPr>
          <w:rFonts w:hint="eastAsia" w:ascii="宋体" w:eastAsia="宋体"/>
          <w:b/>
          <w:sz w:val="36"/>
          <w:szCs w:val="36"/>
          <w:highlight w:val="none"/>
          <w:lang w:eastAsia="zh-CN"/>
        </w:rPr>
      </w:pPr>
      <w:r>
        <w:rPr>
          <w:rFonts w:hint="eastAsia" w:ascii="宋体" w:hAnsi="宋体"/>
          <w:b/>
          <w:sz w:val="36"/>
          <w:szCs w:val="36"/>
          <w:highlight w:val="none"/>
        </w:rPr>
        <w:t>采购项目编号：</w:t>
      </w:r>
      <w:r>
        <w:rPr>
          <w:rFonts w:hint="eastAsia" w:ascii="宋体" w:hAnsi="宋体"/>
          <w:b/>
          <w:sz w:val="36"/>
          <w:szCs w:val="36"/>
          <w:highlight w:val="none"/>
          <w:lang w:eastAsia="zh-CN"/>
        </w:rPr>
        <w:t>青海浩驰磋商（服务）2026-139号</w:t>
      </w:r>
    </w:p>
    <w:p w14:paraId="7848C12F">
      <w:pPr>
        <w:adjustRightInd w:val="0"/>
        <w:spacing w:line="360" w:lineRule="auto"/>
        <w:ind w:left="834" w:leftChars="397" w:right="-248" w:rightChars="-118"/>
        <w:textAlignment w:val="baseline"/>
        <w:rPr>
          <w:rFonts w:hint="eastAsia" w:ascii="宋体" w:hAnsi="宋体"/>
          <w:b/>
          <w:sz w:val="36"/>
          <w:szCs w:val="36"/>
          <w:highlight w:val="none"/>
          <w:lang w:eastAsia="zh-CN"/>
        </w:rPr>
      </w:pPr>
      <w:r>
        <w:rPr>
          <w:rFonts w:hint="eastAsia" w:ascii="宋体" w:hAnsi="宋体"/>
          <w:b/>
          <w:sz w:val="36"/>
          <w:szCs w:val="36"/>
          <w:highlight w:val="none"/>
        </w:rPr>
        <w:t>采购项目名称：</w:t>
      </w:r>
      <w:r>
        <w:rPr>
          <w:rFonts w:hint="eastAsia" w:ascii="宋体" w:hAnsi="宋体"/>
          <w:b/>
          <w:sz w:val="36"/>
          <w:szCs w:val="36"/>
          <w:highlight w:val="none"/>
          <w:lang w:eastAsia="zh-CN"/>
        </w:rPr>
        <w:t>青海大学2026年智慧校园建设数据治理服务项目</w:t>
      </w:r>
    </w:p>
    <w:p w14:paraId="4918A737">
      <w:pPr>
        <w:adjustRightInd w:val="0"/>
        <w:spacing w:line="360" w:lineRule="auto"/>
        <w:ind w:left="834" w:leftChars="397" w:right="-248" w:rightChars="-118"/>
        <w:textAlignment w:val="baseline"/>
        <w:rPr>
          <w:rFonts w:hint="eastAsia" w:eastAsia="宋体"/>
          <w:b/>
          <w:highlight w:val="none"/>
          <w:lang w:eastAsia="zh-CN"/>
        </w:rPr>
      </w:pPr>
      <w:r>
        <w:rPr>
          <w:rFonts w:hint="eastAsia"/>
          <w:b/>
          <w:sz w:val="36"/>
          <w:szCs w:val="36"/>
          <w:highlight w:val="none"/>
        </w:rPr>
        <w:t>采</w:t>
      </w:r>
      <w:r>
        <w:rPr>
          <w:b/>
          <w:sz w:val="36"/>
          <w:szCs w:val="36"/>
          <w:highlight w:val="none"/>
        </w:rPr>
        <w:t xml:space="preserve"> </w:t>
      </w:r>
      <w:r>
        <w:rPr>
          <w:rFonts w:hint="eastAsia"/>
          <w:b/>
          <w:sz w:val="36"/>
          <w:szCs w:val="36"/>
          <w:highlight w:val="none"/>
        </w:rPr>
        <w:t>购</w:t>
      </w:r>
      <w:r>
        <w:rPr>
          <w:b/>
          <w:sz w:val="36"/>
          <w:szCs w:val="36"/>
          <w:highlight w:val="none"/>
        </w:rPr>
        <w:t xml:space="preserve"> </w:t>
      </w:r>
      <w:r>
        <w:rPr>
          <w:rFonts w:hint="eastAsia"/>
          <w:b/>
          <w:sz w:val="36"/>
          <w:szCs w:val="36"/>
          <w:highlight w:val="none"/>
        </w:rPr>
        <w:t>单</w:t>
      </w:r>
      <w:r>
        <w:rPr>
          <w:b/>
          <w:sz w:val="36"/>
          <w:szCs w:val="36"/>
          <w:highlight w:val="none"/>
        </w:rPr>
        <w:t xml:space="preserve"> </w:t>
      </w:r>
      <w:r>
        <w:rPr>
          <w:rFonts w:hint="eastAsia"/>
          <w:b/>
          <w:sz w:val="36"/>
          <w:szCs w:val="36"/>
          <w:highlight w:val="none"/>
        </w:rPr>
        <w:t>位：</w:t>
      </w:r>
      <w:r>
        <w:rPr>
          <w:rFonts w:hint="eastAsia" w:ascii="宋体" w:hAnsi="宋体"/>
          <w:b/>
          <w:sz w:val="36"/>
          <w:szCs w:val="36"/>
          <w:highlight w:val="none"/>
          <w:lang w:eastAsia="zh-CN"/>
        </w:rPr>
        <w:t>青海大学</w:t>
      </w:r>
    </w:p>
    <w:p w14:paraId="78CDFC3E">
      <w:pPr>
        <w:adjustRightInd w:val="0"/>
        <w:spacing w:line="360" w:lineRule="auto"/>
        <w:jc w:val="center"/>
        <w:textAlignment w:val="baseline"/>
        <w:rPr>
          <w:rFonts w:hint="eastAsia" w:ascii="宋体" w:hAnsi="宋体"/>
          <w:b w:val="0"/>
          <w:bCs/>
          <w:sz w:val="32"/>
          <w:szCs w:val="32"/>
          <w:highlight w:val="none"/>
        </w:rPr>
      </w:pPr>
    </w:p>
    <w:p w14:paraId="0E5EA0F6">
      <w:pPr>
        <w:adjustRightInd w:val="0"/>
        <w:spacing w:line="360" w:lineRule="auto"/>
        <w:jc w:val="center"/>
        <w:textAlignment w:val="baseline"/>
        <w:rPr>
          <w:rFonts w:hint="eastAsia" w:ascii="宋体" w:hAnsi="宋体"/>
          <w:b/>
          <w:sz w:val="32"/>
          <w:szCs w:val="32"/>
          <w:highlight w:val="none"/>
        </w:rPr>
      </w:pPr>
    </w:p>
    <w:p w14:paraId="6CB25647">
      <w:pPr>
        <w:adjustRightInd w:val="0"/>
        <w:spacing w:line="360" w:lineRule="auto"/>
        <w:jc w:val="center"/>
        <w:textAlignment w:val="baseline"/>
        <w:rPr>
          <w:rFonts w:ascii="宋体" w:hAnsi="宋体"/>
          <w:b/>
          <w:sz w:val="32"/>
          <w:szCs w:val="32"/>
          <w:highlight w:val="none"/>
        </w:rPr>
      </w:pPr>
      <w:r>
        <w:rPr>
          <w:rFonts w:hint="eastAsia" w:ascii="宋体" w:hAnsi="宋体"/>
          <w:b/>
          <w:sz w:val="32"/>
          <w:szCs w:val="32"/>
          <w:highlight w:val="none"/>
        </w:rPr>
        <w:t>青海浩驰招标代理有限公司</w:t>
      </w:r>
    </w:p>
    <w:p w14:paraId="5F6F4826">
      <w:pPr>
        <w:jc w:val="center"/>
        <w:rPr>
          <w:rFonts w:hint="eastAsia" w:ascii="宋体" w:hAnsi="宋体"/>
          <w:b/>
          <w:sz w:val="32"/>
          <w:szCs w:val="32"/>
          <w:highlight w:val="none"/>
        </w:rPr>
        <w:sectPr>
          <w:headerReference r:id="rId5" w:type="first"/>
          <w:headerReference r:id="rId3" w:type="default"/>
          <w:footerReference r:id="rId6" w:type="default"/>
          <w:headerReference r:id="rId4" w:type="even"/>
          <w:footerReference r:id="rId7" w:type="even"/>
          <w:pgSz w:w="11906" w:h="16838"/>
          <w:pgMar w:top="2098" w:right="1531" w:bottom="2041" w:left="1588" w:header="1021" w:footer="1021" w:gutter="0"/>
          <w:pgBorders>
            <w:top w:val="none" w:sz="0" w:space="0"/>
            <w:left w:val="none" w:sz="0" w:space="0"/>
            <w:bottom w:val="none" w:sz="0" w:space="0"/>
            <w:right w:val="none" w:sz="0" w:space="0"/>
          </w:pgBorders>
          <w:pgNumType w:fmt="decimal" w:start="0"/>
          <w:cols w:space="720" w:num="1"/>
          <w:titlePg/>
          <w:docGrid w:linePitch="312" w:charSpace="0"/>
        </w:sectPr>
      </w:pPr>
      <w:r>
        <w:rPr>
          <w:rFonts w:ascii="宋体" w:hAnsi="宋体"/>
          <w:b/>
          <w:sz w:val="32"/>
          <w:szCs w:val="32"/>
          <w:highlight w:val="none"/>
        </w:rPr>
        <w:t>20</w:t>
      </w:r>
      <w:r>
        <w:rPr>
          <w:rFonts w:hint="eastAsia" w:ascii="宋体" w:hAnsi="宋体"/>
          <w:b/>
          <w:sz w:val="32"/>
          <w:szCs w:val="32"/>
          <w:highlight w:val="none"/>
          <w:lang w:val="en-US" w:eastAsia="zh-CN"/>
        </w:rPr>
        <w:t>26</w:t>
      </w:r>
      <w:r>
        <w:rPr>
          <w:rFonts w:hint="eastAsia" w:ascii="宋体" w:hAnsi="宋体"/>
          <w:b/>
          <w:sz w:val="32"/>
          <w:szCs w:val="32"/>
          <w:highlight w:val="none"/>
        </w:rPr>
        <w:t>年</w:t>
      </w:r>
      <w:r>
        <w:rPr>
          <w:rFonts w:hint="eastAsia" w:ascii="宋体" w:hAnsi="宋体"/>
          <w:b/>
          <w:sz w:val="32"/>
          <w:szCs w:val="32"/>
          <w:highlight w:val="none"/>
          <w:lang w:val="en-US" w:eastAsia="zh-CN"/>
        </w:rPr>
        <w:t>05</w:t>
      </w:r>
      <w:r>
        <w:rPr>
          <w:rFonts w:hint="eastAsia" w:ascii="宋体" w:hAnsi="宋体"/>
          <w:b/>
          <w:sz w:val="32"/>
          <w:szCs w:val="32"/>
          <w:highlight w:val="none"/>
        </w:rPr>
        <w:t>月</w:t>
      </w:r>
    </w:p>
    <w:p w14:paraId="353987DE">
      <w:pPr>
        <w:jc w:val="center"/>
        <w:rPr>
          <w:sz w:val="24"/>
          <w:szCs w:val="32"/>
          <w:highlight w:val="none"/>
        </w:rPr>
      </w:pPr>
      <w:r>
        <w:rPr>
          <w:rFonts w:hint="eastAsia" w:ascii="宋体" w:hAnsi="宋体"/>
          <w:sz w:val="24"/>
          <w:szCs w:val="32"/>
          <w:highlight w:val="none"/>
        </w:rPr>
        <w:t>目录</w:t>
      </w:r>
    </w:p>
    <w:p w14:paraId="1ED0B8F8">
      <w:pPr>
        <w:pStyle w:val="18"/>
        <w:tabs>
          <w:tab w:val="right" w:leader="dot" w:pos="8787"/>
        </w:tabs>
        <w:rPr>
          <w:i w:val="0"/>
          <w:iCs w:val="0"/>
          <w:highlight w:val="none"/>
        </w:rPr>
      </w:pPr>
      <w:r>
        <w:rPr>
          <w:highlight w:val="none"/>
        </w:rPr>
        <w:fldChar w:fldCharType="begin"/>
      </w:r>
      <w:r>
        <w:rPr>
          <w:highlight w:val="none"/>
        </w:rPr>
        <w:instrText xml:space="preserve">TOC \o "1-3" \h \u </w:instrText>
      </w:r>
      <w:r>
        <w:rPr>
          <w:highlight w:val="none"/>
        </w:rPr>
        <w:fldChar w:fldCharType="separate"/>
      </w:r>
      <w:r>
        <w:rPr>
          <w:i w:val="0"/>
          <w:iCs w:val="0"/>
          <w:highlight w:val="none"/>
        </w:rPr>
        <w:fldChar w:fldCharType="begin"/>
      </w:r>
      <w:r>
        <w:rPr>
          <w:i w:val="0"/>
          <w:iCs w:val="0"/>
          <w:highlight w:val="none"/>
        </w:rPr>
        <w:instrText xml:space="preserve"> HYPERLINK \l _Toc512 </w:instrText>
      </w:r>
      <w:r>
        <w:rPr>
          <w:i w:val="0"/>
          <w:iCs w:val="0"/>
          <w:highlight w:val="none"/>
        </w:rPr>
        <w:fldChar w:fldCharType="separate"/>
      </w:r>
      <w:r>
        <w:rPr>
          <w:rFonts w:hint="eastAsia"/>
          <w:i w:val="0"/>
          <w:iCs w:val="0"/>
          <w:highlight w:val="none"/>
        </w:rPr>
        <w:t>第一部分</w:t>
      </w:r>
      <w:r>
        <w:rPr>
          <w:i w:val="0"/>
          <w:iCs w:val="0"/>
          <w:highlight w:val="none"/>
        </w:rPr>
        <w:t xml:space="preserve">  </w:t>
      </w:r>
      <w:r>
        <w:rPr>
          <w:rFonts w:hint="eastAsia"/>
          <w:i w:val="0"/>
          <w:iCs w:val="0"/>
          <w:highlight w:val="none"/>
        </w:rPr>
        <w:t>投标人须知前附表</w:t>
      </w:r>
      <w:r>
        <w:rPr>
          <w:i w:val="0"/>
          <w:iCs w:val="0"/>
          <w:highlight w:val="none"/>
        </w:rPr>
        <w:tab/>
      </w:r>
      <w:r>
        <w:rPr>
          <w:i w:val="0"/>
          <w:iCs w:val="0"/>
          <w:highlight w:val="none"/>
        </w:rPr>
        <w:fldChar w:fldCharType="begin"/>
      </w:r>
      <w:r>
        <w:rPr>
          <w:i w:val="0"/>
          <w:iCs w:val="0"/>
          <w:highlight w:val="none"/>
        </w:rPr>
        <w:instrText xml:space="preserve"> PAGEREF _Toc512 \h </w:instrText>
      </w:r>
      <w:r>
        <w:rPr>
          <w:i w:val="0"/>
          <w:iCs w:val="0"/>
          <w:highlight w:val="none"/>
        </w:rPr>
        <w:fldChar w:fldCharType="separate"/>
      </w:r>
      <w:r>
        <w:rPr>
          <w:i w:val="0"/>
          <w:iCs w:val="0"/>
          <w:highlight w:val="none"/>
        </w:rPr>
        <w:t>1</w:t>
      </w:r>
      <w:r>
        <w:rPr>
          <w:i w:val="0"/>
          <w:iCs w:val="0"/>
          <w:highlight w:val="none"/>
        </w:rPr>
        <w:fldChar w:fldCharType="end"/>
      </w:r>
      <w:r>
        <w:rPr>
          <w:i w:val="0"/>
          <w:iCs w:val="0"/>
          <w:highlight w:val="none"/>
        </w:rPr>
        <w:fldChar w:fldCharType="end"/>
      </w:r>
    </w:p>
    <w:p w14:paraId="649CAADC">
      <w:pPr>
        <w:pStyle w:val="18"/>
        <w:tabs>
          <w:tab w:val="right" w:leader="dot" w:pos="8787"/>
        </w:tabs>
        <w:rPr>
          <w:i w:val="0"/>
          <w:iCs w:val="0"/>
          <w:highlight w:val="none"/>
        </w:rPr>
      </w:pPr>
      <w:r>
        <w:rPr>
          <w:i w:val="0"/>
          <w:iCs w:val="0"/>
          <w:highlight w:val="none"/>
        </w:rPr>
        <w:fldChar w:fldCharType="begin"/>
      </w:r>
      <w:r>
        <w:rPr>
          <w:i w:val="0"/>
          <w:iCs w:val="0"/>
          <w:highlight w:val="none"/>
        </w:rPr>
        <w:instrText xml:space="preserve"> HYPERLINK \l _Toc25798 </w:instrText>
      </w:r>
      <w:r>
        <w:rPr>
          <w:i w:val="0"/>
          <w:iCs w:val="0"/>
          <w:highlight w:val="none"/>
        </w:rPr>
        <w:fldChar w:fldCharType="separate"/>
      </w:r>
      <w:r>
        <w:rPr>
          <w:rFonts w:hint="eastAsia" w:ascii="宋体"/>
          <w:i w:val="0"/>
          <w:iCs w:val="0"/>
          <w:kern w:val="28"/>
          <w:szCs w:val="20"/>
          <w:highlight w:val="none"/>
        </w:rPr>
        <w:t>第二部分</w:t>
      </w:r>
      <w:r>
        <w:rPr>
          <w:rFonts w:ascii="宋体"/>
          <w:i w:val="0"/>
          <w:iCs w:val="0"/>
          <w:kern w:val="28"/>
          <w:szCs w:val="20"/>
          <w:highlight w:val="none"/>
        </w:rPr>
        <w:t xml:space="preserve">  </w:t>
      </w:r>
      <w:r>
        <w:rPr>
          <w:rFonts w:hint="eastAsia" w:ascii="宋体"/>
          <w:i w:val="0"/>
          <w:iCs w:val="0"/>
          <w:kern w:val="28"/>
          <w:szCs w:val="20"/>
          <w:highlight w:val="none"/>
        </w:rPr>
        <w:t>投标人须知</w:t>
      </w:r>
      <w:r>
        <w:rPr>
          <w:i w:val="0"/>
          <w:iCs w:val="0"/>
          <w:highlight w:val="none"/>
        </w:rPr>
        <w:tab/>
      </w:r>
      <w:r>
        <w:rPr>
          <w:i w:val="0"/>
          <w:iCs w:val="0"/>
          <w:highlight w:val="none"/>
        </w:rPr>
        <w:fldChar w:fldCharType="begin"/>
      </w:r>
      <w:r>
        <w:rPr>
          <w:i w:val="0"/>
          <w:iCs w:val="0"/>
          <w:highlight w:val="none"/>
        </w:rPr>
        <w:instrText xml:space="preserve"> PAGEREF _Toc25798 \h </w:instrText>
      </w:r>
      <w:r>
        <w:rPr>
          <w:i w:val="0"/>
          <w:iCs w:val="0"/>
          <w:highlight w:val="none"/>
        </w:rPr>
        <w:fldChar w:fldCharType="separate"/>
      </w:r>
      <w:r>
        <w:rPr>
          <w:i w:val="0"/>
          <w:iCs w:val="0"/>
          <w:highlight w:val="none"/>
        </w:rPr>
        <w:t>5</w:t>
      </w:r>
      <w:r>
        <w:rPr>
          <w:i w:val="0"/>
          <w:iCs w:val="0"/>
          <w:highlight w:val="none"/>
        </w:rPr>
        <w:fldChar w:fldCharType="end"/>
      </w:r>
      <w:r>
        <w:rPr>
          <w:i w:val="0"/>
          <w:iCs w:val="0"/>
          <w:highlight w:val="none"/>
        </w:rPr>
        <w:fldChar w:fldCharType="end"/>
      </w:r>
    </w:p>
    <w:p w14:paraId="01B49553">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_Toc26467 </w:instrText>
      </w:r>
      <w:r>
        <w:rPr>
          <w:i w:val="0"/>
          <w:iCs w:val="0"/>
          <w:highlight w:val="none"/>
        </w:rPr>
        <w:fldChar w:fldCharType="separate"/>
      </w:r>
      <w:r>
        <w:rPr>
          <w:rFonts w:hint="eastAsia" w:ascii="宋体" w:hAnsi="宋体"/>
          <w:bCs/>
          <w:i w:val="0"/>
          <w:iCs w:val="0"/>
          <w:kern w:val="0"/>
          <w:szCs w:val="36"/>
          <w:highlight w:val="none"/>
        </w:rPr>
        <w:t>一、说</w:t>
      </w:r>
      <w:r>
        <w:rPr>
          <w:rFonts w:ascii="宋体" w:hAnsi="宋体"/>
          <w:bCs/>
          <w:i w:val="0"/>
          <w:iCs w:val="0"/>
          <w:kern w:val="0"/>
          <w:szCs w:val="36"/>
          <w:highlight w:val="none"/>
        </w:rPr>
        <w:t xml:space="preserve">  </w:t>
      </w:r>
      <w:r>
        <w:rPr>
          <w:rFonts w:hint="eastAsia" w:ascii="宋体" w:hAnsi="宋体"/>
          <w:bCs/>
          <w:i w:val="0"/>
          <w:iCs w:val="0"/>
          <w:kern w:val="0"/>
          <w:szCs w:val="36"/>
          <w:highlight w:val="none"/>
        </w:rPr>
        <w:t>明</w:t>
      </w:r>
      <w:r>
        <w:rPr>
          <w:i w:val="0"/>
          <w:iCs w:val="0"/>
          <w:highlight w:val="none"/>
        </w:rPr>
        <w:tab/>
      </w:r>
      <w:r>
        <w:rPr>
          <w:i w:val="0"/>
          <w:iCs w:val="0"/>
          <w:highlight w:val="none"/>
        </w:rPr>
        <w:fldChar w:fldCharType="begin"/>
      </w:r>
      <w:r>
        <w:rPr>
          <w:i w:val="0"/>
          <w:iCs w:val="0"/>
          <w:highlight w:val="none"/>
        </w:rPr>
        <w:instrText xml:space="preserve"> PAGEREF _Toc26467 \h </w:instrText>
      </w:r>
      <w:r>
        <w:rPr>
          <w:i w:val="0"/>
          <w:iCs w:val="0"/>
          <w:highlight w:val="none"/>
        </w:rPr>
        <w:fldChar w:fldCharType="separate"/>
      </w:r>
      <w:r>
        <w:rPr>
          <w:i w:val="0"/>
          <w:iCs w:val="0"/>
          <w:highlight w:val="none"/>
        </w:rPr>
        <w:t>5</w:t>
      </w:r>
      <w:r>
        <w:rPr>
          <w:i w:val="0"/>
          <w:iCs w:val="0"/>
          <w:highlight w:val="none"/>
        </w:rPr>
        <w:fldChar w:fldCharType="end"/>
      </w:r>
      <w:r>
        <w:rPr>
          <w:i w:val="0"/>
          <w:iCs w:val="0"/>
          <w:highlight w:val="none"/>
        </w:rPr>
        <w:fldChar w:fldCharType="end"/>
      </w:r>
    </w:p>
    <w:p w14:paraId="28311E42">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_Toc27889 </w:instrText>
      </w:r>
      <w:r>
        <w:rPr>
          <w:i w:val="0"/>
          <w:iCs w:val="0"/>
          <w:highlight w:val="none"/>
        </w:rPr>
        <w:fldChar w:fldCharType="separate"/>
      </w:r>
      <w:r>
        <w:rPr>
          <w:rFonts w:ascii="宋体" w:hAnsi="宋体"/>
          <w:bCs/>
          <w:i w:val="0"/>
          <w:iCs w:val="0"/>
          <w:kern w:val="0"/>
          <w:szCs w:val="27"/>
          <w:highlight w:val="none"/>
        </w:rPr>
        <w:t>1.</w:t>
      </w:r>
      <w:r>
        <w:rPr>
          <w:rFonts w:hint="eastAsia" w:ascii="宋体" w:hAnsi="宋体"/>
          <w:bCs/>
          <w:i w:val="0"/>
          <w:iCs w:val="0"/>
          <w:kern w:val="0"/>
          <w:szCs w:val="27"/>
          <w:highlight w:val="none"/>
        </w:rPr>
        <w:t>适用范围</w:t>
      </w:r>
      <w:r>
        <w:rPr>
          <w:i w:val="0"/>
          <w:iCs w:val="0"/>
          <w:highlight w:val="none"/>
        </w:rPr>
        <w:tab/>
      </w:r>
      <w:r>
        <w:rPr>
          <w:i w:val="0"/>
          <w:iCs w:val="0"/>
          <w:highlight w:val="none"/>
        </w:rPr>
        <w:fldChar w:fldCharType="begin"/>
      </w:r>
      <w:r>
        <w:rPr>
          <w:i w:val="0"/>
          <w:iCs w:val="0"/>
          <w:highlight w:val="none"/>
        </w:rPr>
        <w:instrText xml:space="preserve"> PAGEREF _Toc27889 \h </w:instrText>
      </w:r>
      <w:r>
        <w:rPr>
          <w:i w:val="0"/>
          <w:iCs w:val="0"/>
          <w:highlight w:val="none"/>
        </w:rPr>
        <w:fldChar w:fldCharType="separate"/>
      </w:r>
      <w:r>
        <w:rPr>
          <w:i w:val="0"/>
          <w:iCs w:val="0"/>
          <w:highlight w:val="none"/>
        </w:rPr>
        <w:t>5</w:t>
      </w:r>
      <w:r>
        <w:rPr>
          <w:i w:val="0"/>
          <w:iCs w:val="0"/>
          <w:highlight w:val="none"/>
        </w:rPr>
        <w:fldChar w:fldCharType="end"/>
      </w:r>
      <w:r>
        <w:rPr>
          <w:i w:val="0"/>
          <w:iCs w:val="0"/>
          <w:highlight w:val="none"/>
        </w:rPr>
        <w:fldChar w:fldCharType="end"/>
      </w:r>
    </w:p>
    <w:p w14:paraId="0E75A763">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_Toc18820 </w:instrText>
      </w:r>
      <w:r>
        <w:rPr>
          <w:i w:val="0"/>
          <w:iCs w:val="0"/>
          <w:highlight w:val="none"/>
        </w:rPr>
        <w:fldChar w:fldCharType="separate"/>
      </w:r>
      <w:r>
        <w:rPr>
          <w:rFonts w:ascii="宋体" w:hAnsi="宋体"/>
          <w:bCs/>
          <w:i w:val="0"/>
          <w:iCs w:val="0"/>
          <w:kern w:val="0"/>
          <w:szCs w:val="27"/>
          <w:highlight w:val="none"/>
        </w:rPr>
        <w:t>2.</w:t>
      </w:r>
      <w:r>
        <w:rPr>
          <w:rFonts w:hint="eastAsia" w:ascii="宋体" w:hAnsi="宋体"/>
          <w:bCs/>
          <w:i w:val="0"/>
          <w:iCs w:val="0"/>
          <w:kern w:val="0"/>
          <w:szCs w:val="27"/>
          <w:highlight w:val="none"/>
        </w:rPr>
        <w:t>采购方式、合格的投标人</w:t>
      </w:r>
      <w:r>
        <w:rPr>
          <w:i w:val="0"/>
          <w:iCs w:val="0"/>
          <w:highlight w:val="none"/>
        </w:rPr>
        <w:tab/>
      </w:r>
      <w:r>
        <w:rPr>
          <w:i w:val="0"/>
          <w:iCs w:val="0"/>
          <w:highlight w:val="none"/>
        </w:rPr>
        <w:fldChar w:fldCharType="begin"/>
      </w:r>
      <w:r>
        <w:rPr>
          <w:i w:val="0"/>
          <w:iCs w:val="0"/>
          <w:highlight w:val="none"/>
        </w:rPr>
        <w:instrText xml:space="preserve"> PAGEREF _Toc18820 \h </w:instrText>
      </w:r>
      <w:r>
        <w:rPr>
          <w:i w:val="0"/>
          <w:iCs w:val="0"/>
          <w:highlight w:val="none"/>
        </w:rPr>
        <w:fldChar w:fldCharType="separate"/>
      </w:r>
      <w:r>
        <w:rPr>
          <w:i w:val="0"/>
          <w:iCs w:val="0"/>
          <w:highlight w:val="none"/>
        </w:rPr>
        <w:t>5</w:t>
      </w:r>
      <w:r>
        <w:rPr>
          <w:i w:val="0"/>
          <w:iCs w:val="0"/>
          <w:highlight w:val="none"/>
        </w:rPr>
        <w:fldChar w:fldCharType="end"/>
      </w:r>
      <w:r>
        <w:rPr>
          <w:i w:val="0"/>
          <w:iCs w:val="0"/>
          <w:highlight w:val="none"/>
        </w:rPr>
        <w:fldChar w:fldCharType="end"/>
      </w:r>
    </w:p>
    <w:p w14:paraId="50D65B20">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_Toc27592 </w:instrText>
      </w:r>
      <w:r>
        <w:rPr>
          <w:i w:val="0"/>
          <w:iCs w:val="0"/>
          <w:highlight w:val="none"/>
        </w:rPr>
        <w:fldChar w:fldCharType="separate"/>
      </w:r>
      <w:r>
        <w:rPr>
          <w:rFonts w:ascii="宋体" w:hAnsi="宋体"/>
          <w:bCs/>
          <w:i w:val="0"/>
          <w:iCs w:val="0"/>
          <w:kern w:val="0"/>
          <w:szCs w:val="27"/>
          <w:highlight w:val="none"/>
        </w:rPr>
        <w:t>3.</w:t>
      </w:r>
      <w:r>
        <w:rPr>
          <w:rFonts w:hint="eastAsia" w:ascii="宋体" w:hAnsi="宋体"/>
          <w:bCs/>
          <w:i w:val="0"/>
          <w:iCs w:val="0"/>
          <w:kern w:val="0"/>
          <w:szCs w:val="27"/>
          <w:highlight w:val="none"/>
        </w:rPr>
        <w:t>磋商费用</w:t>
      </w:r>
      <w:r>
        <w:rPr>
          <w:i w:val="0"/>
          <w:iCs w:val="0"/>
          <w:highlight w:val="none"/>
        </w:rPr>
        <w:tab/>
      </w:r>
      <w:bookmarkStart w:id="293" w:name="_GoBack"/>
      <w:bookmarkEnd w:id="293"/>
      <w:r>
        <w:rPr>
          <w:i w:val="0"/>
          <w:iCs w:val="0"/>
          <w:highlight w:val="none"/>
        </w:rPr>
        <w:fldChar w:fldCharType="begin"/>
      </w:r>
      <w:r>
        <w:rPr>
          <w:i w:val="0"/>
          <w:iCs w:val="0"/>
          <w:highlight w:val="none"/>
        </w:rPr>
        <w:instrText xml:space="preserve"> PAGEREF _Toc27592 \h </w:instrText>
      </w:r>
      <w:r>
        <w:rPr>
          <w:i w:val="0"/>
          <w:iCs w:val="0"/>
          <w:highlight w:val="none"/>
        </w:rPr>
        <w:fldChar w:fldCharType="separate"/>
      </w:r>
      <w:r>
        <w:rPr>
          <w:i w:val="0"/>
          <w:iCs w:val="0"/>
          <w:highlight w:val="none"/>
        </w:rPr>
        <w:t>5</w:t>
      </w:r>
      <w:r>
        <w:rPr>
          <w:i w:val="0"/>
          <w:iCs w:val="0"/>
          <w:highlight w:val="none"/>
        </w:rPr>
        <w:fldChar w:fldCharType="end"/>
      </w:r>
      <w:r>
        <w:rPr>
          <w:i w:val="0"/>
          <w:iCs w:val="0"/>
          <w:highlight w:val="none"/>
        </w:rPr>
        <w:fldChar w:fldCharType="end"/>
      </w:r>
    </w:p>
    <w:p w14:paraId="3E82C817">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_Toc7673 </w:instrText>
      </w:r>
      <w:r>
        <w:rPr>
          <w:i w:val="0"/>
          <w:iCs w:val="0"/>
          <w:highlight w:val="none"/>
        </w:rPr>
        <w:fldChar w:fldCharType="separate"/>
      </w:r>
      <w:r>
        <w:rPr>
          <w:rFonts w:hint="eastAsia" w:ascii="宋体" w:hAnsi="宋体"/>
          <w:bCs/>
          <w:i w:val="0"/>
          <w:iCs w:val="0"/>
          <w:kern w:val="0"/>
          <w:szCs w:val="36"/>
          <w:highlight w:val="none"/>
        </w:rPr>
        <w:t>二、磋商文件说明</w:t>
      </w:r>
      <w:r>
        <w:rPr>
          <w:i w:val="0"/>
          <w:iCs w:val="0"/>
          <w:highlight w:val="none"/>
        </w:rPr>
        <w:tab/>
      </w:r>
      <w:r>
        <w:rPr>
          <w:i w:val="0"/>
          <w:iCs w:val="0"/>
          <w:highlight w:val="none"/>
        </w:rPr>
        <w:fldChar w:fldCharType="begin"/>
      </w:r>
      <w:r>
        <w:rPr>
          <w:i w:val="0"/>
          <w:iCs w:val="0"/>
          <w:highlight w:val="none"/>
        </w:rPr>
        <w:instrText xml:space="preserve"> PAGEREF _Toc7673 \h </w:instrText>
      </w:r>
      <w:r>
        <w:rPr>
          <w:i w:val="0"/>
          <w:iCs w:val="0"/>
          <w:highlight w:val="none"/>
        </w:rPr>
        <w:fldChar w:fldCharType="separate"/>
      </w:r>
      <w:r>
        <w:rPr>
          <w:i w:val="0"/>
          <w:iCs w:val="0"/>
          <w:highlight w:val="none"/>
        </w:rPr>
        <w:t>5</w:t>
      </w:r>
      <w:r>
        <w:rPr>
          <w:i w:val="0"/>
          <w:iCs w:val="0"/>
          <w:highlight w:val="none"/>
        </w:rPr>
        <w:fldChar w:fldCharType="end"/>
      </w:r>
      <w:r>
        <w:rPr>
          <w:i w:val="0"/>
          <w:iCs w:val="0"/>
          <w:highlight w:val="none"/>
        </w:rPr>
        <w:fldChar w:fldCharType="end"/>
      </w:r>
    </w:p>
    <w:p w14:paraId="45F3CFC8">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_Toc14749 </w:instrText>
      </w:r>
      <w:r>
        <w:rPr>
          <w:i w:val="0"/>
          <w:iCs w:val="0"/>
          <w:highlight w:val="none"/>
        </w:rPr>
        <w:fldChar w:fldCharType="separate"/>
      </w:r>
      <w:r>
        <w:rPr>
          <w:rFonts w:ascii="宋体" w:hAnsi="宋体"/>
          <w:bCs/>
          <w:i w:val="0"/>
          <w:iCs w:val="0"/>
          <w:kern w:val="0"/>
          <w:szCs w:val="27"/>
          <w:highlight w:val="none"/>
        </w:rPr>
        <w:t>4.</w:t>
      </w:r>
      <w:r>
        <w:rPr>
          <w:rFonts w:hint="eastAsia" w:ascii="宋体" w:hAnsi="宋体"/>
          <w:bCs/>
          <w:i w:val="0"/>
          <w:iCs w:val="0"/>
          <w:kern w:val="0"/>
          <w:szCs w:val="27"/>
          <w:highlight w:val="none"/>
        </w:rPr>
        <w:t>磋商文件的构成</w:t>
      </w:r>
      <w:r>
        <w:rPr>
          <w:i w:val="0"/>
          <w:iCs w:val="0"/>
          <w:highlight w:val="none"/>
        </w:rPr>
        <w:tab/>
      </w:r>
      <w:r>
        <w:rPr>
          <w:i w:val="0"/>
          <w:iCs w:val="0"/>
          <w:highlight w:val="none"/>
        </w:rPr>
        <w:fldChar w:fldCharType="begin"/>
      </w:r>
      <w:r>
        <w:rPr>
          <w:i w:val="0"/>
          <w:iCs w:val="0"/>
          <w:highlight w:val="none"/>
        </w:rPr>
        <w:instrText xml:space="preserve"> PAGEREF _Toc14749 \h </w:instrText>
      </w:r>
      <w:r>
        <w:rPr>
          <w:i w:val="0"/>
          <w:iCs w:val="0"/>
          <w:highlight w:val="none"/>
        </w:rPr>
        <w:fldChar w:fldCharType="separate"/>
      </w:r>
      <w:r>
        <w:rPr>
          <w:i w:val="0"/>
          <w:iCs w:val="0"/>
          <w:highlight w:val="none"/>
        </w:rPr>
        <w:t>5</w:t>
      </w:r>
      <w:r>
        <w:rPr>
          <w:i w:val="0"/>
          <w:iCs w:val="0"/>
          <w:highlight w:val="none"/>
        </w:rPr>
        <w:fldChar w:fldCharType="end"/>
      </w:r>
      <w:r>
        <w:rPr>
          <w:i w:val="0"/>
          <w:iCs w:val="0"/>
          <w:highlight w:val="none"/>
        </w:rPr>
        <w:fldChar w:fldCharType="end"/>
      </w:r>
    </w:p>
    <w:p w14:paraId="5F434993">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_Toc6266 </w:instrText>
      </w:r>
      <w:r>
        <w:rPr>
          <w:i w:val="0"/>
          <w:iCs w:val="0"/>
          <w:highlight w:val="none"/>
        </w:rPr>
        <w:fldChar w:fldCharType="separate"/>
      </w:r>
      <w:r>
        <w:rPr>
          <w:rFonts w:ascii="宋体" w:hAnsi="宋体"/>
          <w:bCs/>
          <w:i w:val="0"/>
          <w:iCs w:val="0"/>
          <w:kern w:val="0"/>
          <w:szCs w:val="27"/>
          <w:highlight w:val="none"/>
        </w:rPr>
        <w:t>5.</w:t>
      </w:r>
      <w:r>
        <w:rPr>
          <w:rFonts w:hint="eastAsia" w:ascii="宋体" w:hAnsi="宋体"/>
          <w:bCs/>
          <w:i w:val="0"/>
          <w:iCs w:val="0"/>
          <w:kern w:val="0"/>
          <w:szCs w:val="27"/>
          <w:highlight w:val="none"/>
        </w:rPr>
        <w:t>磋商文件的质疑</w:t>
      </w:r>
      <w:r>
        <w:rPr>
          <w:i w:val="0"/>
          <w:iCs w:val="0"/>
          <w:highlight w:val="none"/>
        </w:rPr>
        <w:tab/>
      </w:r>
      <w:r>
        <w:rPr>
          <w:i w:val="0"/>
          <w:iCs w:val="0"/>
          <w:highlight w:val="none"/>
        </w:rPr>
        <w:fldChar w:fldCharType="begin"/>
      </w:r>
      <w:r>
        <w:rPr>
          <w:i w:val="0"/>
          <w:iCs w:val="0"/>
          <w:highlight w:val="none"/>
        </w:rPr>
        <w:instrText xml:space="preserve"> PAGEREF _Toc6266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6D607F45">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_Toc19765 </w:instrText>
      </w:r>
      <w:r>
        <w:rPr>
          <w:i w:val="0"/>
          <w:iCs w:val="0"/>
          <w:highlight w:val="none"/>
        </w:rPr>
        <w:fldChar w:fldCharType="separate"/>
      </w:r>
      <w:r>
        <w:rPr>
          <w:rFonts w:ascii="宋体" w:hAnsi="宋体"/>
          <w:bCs/>
          <w:i w:val="0"/>
          <w:iCs w:val="0"/>
          <w:kern w:val="0"/>
          <w:szCs w:val="27"/>
          <w:highlight w:val="none"/>
        </w:rPr>
        <w:t>6.</w:t>
      </w:r>
      <w:r>
        <w:rPr>
          <w:rFonts w:hint="eastAsia" w:ascii="宋体" w:hAnsi="宋体"/>
          <w:bCs/>
          <w:i w:val="0"/>
          <w:iCs w:val="0"/>
          <w:kern w:val="0"/>
          <w:szCs w:val="27"/>
          <w:highlight w:val="none"/>
        </w:rPr>
        <w:t>磋商文件的澄清、修改</w:t>
      </w:r>
      <w:r>
        <w:rPr>
          <w:i w:val="0"/>
          <w:iCs w:val="0"/>
          <w:highlight w:val="none"/>
        </w:rPr>
        <w:tab/>
      </w:r>
      <w:r>
        <w:rPr>
          <w:i w:val="0"/>
          <w:iCs w:val="0"/>
          <w:highlight w:val="none"/>
        </w:rPr>
        <w:fldChar w:fldCharType="begin"/>
      </w:r>
      <w:r>
        <w:rPr>
          <w:i w:val="0"/>
          <w:iCs w:val="0"/>
          <w:highlight w:val="none"/>
        </w:rPr>
        <w:instrText xml:space="preserve"> PAGEREF _Toc19765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19E16599">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_Toc18175 </w:instrText>
      </w:r>
      <w:r>
        <w:rPr>
          <w:i w:val="0"/>
          <w:iCs w:val="0"/>
          <w:highlight w:val="none"/>
        </w:rPr>
        <w:fldChar w:fldCharType="separate"/>
      </w:r>
      <w:r>
        <w:rPr>
          <w:rFonts w:hint="eastAsia" w:ascii="宋体" w:hAnsi="宋体"/>
          <w:bCs/>
          <w:i w:val="0"/>
          <w:iCs w:val="0"/>
          <w:kern w:val="0"/>
          <w:szCs w:val="36"/>
          <w:highlight w:val="none"/>
        </w:rPr>
        <w:t>三、磋商响应文件的编制</w:t>
      </w:r>
      <w:r>
        <w:rPr>
          <w:i w:val="0"/>
          <w:iCs w:val="0"/>
          <w:highlight w:val="none"/>
        </w:rPr>
        <w:tab/>
      </w:r>
      <w:r>
        <w:rPr>
          <w:i w:val="0"/>
          <w:iCs w:val="0"/>
          <w:highlight w:val="none"/>
        </w:rPr>
        <w:fldChar w:fldCharType="begin"/>
      </w:r>
      <w:r>
        <w:rPr>
          <w:i w:val="0"/>
          <w:iCs w:val="0"/>
          <w:highlight w:val="none"/>
        </w:rPr>
        <w:instrText xml:space="preserve"> PAGEREF _Toc18175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79A0FB4E">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_Toc11747 </w:instrText>
      </w:r>
      <w:r>
        <w:rPr>
          <w:i w:val="0"/>
          <w:iCs w:val="0"/>
          <w:highlight w:val="none"/>
        </w:rPr>
        <w:fldChar w:fldCharType="separate"/>
      </w:r>
      <w:r>
        <w:rPr>
          <w:rFonts w:ascii="宋体" w:hAnsi="宋体"/>
          <w:bCs/>
          <w:i w:val="0"/>
          <w:iCs w:val="0"/>
          <w:kern w:val="0"/>
          <w:szCs w:val="27"/>
          <w:highlight w:val="none"/>
        </w:rPr>
        <w:t>7.</w:t>
      </w:r>
      <w:r>
        <w:rPr>
          <w:rFonts w:hint="eastAsia" w:ascii="宋体" w:hAnsi="宋体"/>
          <w:bCs/>
          <w:i w:val="0"/>
          <w:iCs w:val="0"/>
          <w:kern w:val="0"/>
          <w:szCs w:val="27"/>
          <w:highlight w:val="none"/>
        </w:rPr>
        <w:t>磋商响应文件的语言及度量衡单位</w:t>
      </w:r>
      <w:r>
        <w:rPr>
          <w:i w:val="0"/>
          <w:iCs w:val="0"/>
          <w:highlight w:val="none"/>
        </w:rPr>
        <w:tab/>
      </w:r>
      <w:r>
        <w:rPr>
          <w:i w:val="0"/>
          <w:iCs w:val="0"/>
          <w:highlight w:val="none"/>
        </w:rPr>
        <w:fldChar w:fldCharType="begin"/>
      </w:r>
      <w:r>
        <w:rPr>
          <w:i w:val="0"/>
          <w:iCs w:val="0"/>
          <w:highlight w:val="none"/>
        </w:rPr>
        <w:instrText xml:space="preserve"> PAGEREF _Toc11747 \h </w:instrText>
      </w:r>
      <w:r>
        <w:rPr>
          <w:i w:val="0"/>
          <w:iCs w:val="0"/>
          <w:highlight w:val="none"/>
        </w:rPr>
        <w:fldChar w:fldCharType="separate"/>
      </w:r>
      <w:r>
        <w:rPr>
          <w:i w:val="0"/>
          <w:iCs w:val="0"/>
          <w:highlight w:val="none"/>
        </w:rPr>
        <w:t>6</w:t>
      </w:r>
      <w:r>
        <w:rPr>
          <w:i w:val="0"/>
          <w:iCs w:val="0"/>
          <w:highlight w:val="none"/>
        </w:rPr>
        <w:fldChar w:fldCharType="end"/>
      </w:r>
      <w:r>
        <w:rPr>
          <w:i w:val="0"/>
          <w:iCs w:val="0"/>
          <w:highlight w:val="none"/>
        </w:rPr>
        <w:fldChar w:fldCharType="end"/>
      </w:r>
    </w:p>
    <w:p w14:paraId="36A8670F">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_Toc26587 </w:instrText>
      </w:r>
      <w:r>
        <w:rPr>
          <w:i w:val="0"/>
          <w:iCs w:val="0"/>
          <w:highlight w:val="none"/>
        </w:rPr>
        <w:fldChar w:fldCharType="separate"/>
      </w:r>
      <w:r>
        <w:rPr>
          <w:rFonts w:ascii="宋体" w:hAnsi="宋体"/>
          <w:bCs/>
          <w:i w:val="0"/>
          <w:iCs w:val="0"/>
          <w:kern w:val="0"/>
          <w:szCs w:val="27"/>
          <w:highlight w:val="none"/>
        </w:rPr>
        <w:t>8.</w:t>
      </w:r>
      <w:r>
        <w:rPr>
          <w:rFonts w:hint="eastAsia" w:ascii="宋体" w:hAnsi="宋体"/>
          <w:bCs/>
          <w:i w:val="0"/>
          <w:iCs w:val="0"/>
          <w:kern w:val="0"/>
          <w:szCs w:val="27"/>
          <w:highlight w:val="none"/>
        </w:rPr>
        <w:t>磋商报价及币种</w:t>
      </w:r>
      <w:r>
        <w:rPr>
          <w:i w:val="0"/>
          <w:iCs w:val="0"/>
          <w:highlight w:val="none"/>
        </w:rPr>
        <w:tab/>
      </w:r>
      <w:r>
        <w:rPr>
          <w:i w:val="0"/>
          <w:iCs w:val="0"/>
          <w:highlight w:val="none"/>
        </w:rPr>
        <w:fldChar w:fldCharType="begin"/>
      </w:r>
      <w:r>
        <w:rPr>
          <w:i w:val="0"/>
          <w:iCs w:val="0"/>
          <w:highlight w:val="none"/>
        </w:rPr>
        <w:instrText xml:space="preserve"> PAGEREF _Toc26587 \h </w:instrText>
      </w:r>
      <w:r>
        <w:rPr>
          <w:i w:val="0"/>
          <w:iCs w:val="0"/>
          <w:highlight w:val="none"/>
        </w:rPr>
        <w:fldChar w:fldCharType="separate"/>
      </w:r>
      <w:r>
        <w:rPr>
          <w:i w:val="0"/>
          <w:iCs w:val="0"/>
          <w:highlight w:val="none"/>
        </w:rPr>
        <w:t>7</w:t>
      </w:r>
      <w:r>
        <w:rPr>
          <w:i w:val="0"/>
          <w:iCs w:val="0"/>
          <w:highlight w:val="none"/>
        </w:rPr>
        <w:fldChar w:fldCharType="end"/>
      </w:r>
      <w:r>
        <w:rPr>
          <w:i w:val="0"/>
          <w:iCs w:val="0"/>
          <w:highlight w:val="none"/>
        </w:rPr>
        <w:fldChar w:fldCharType="end"/>
      </w:r>
    </w:p>
    <w:p w14:paraId="1194E328">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_Toc27578 </w:instrText>
      </w:r>
      <w:r>
        <w:rPr>
          <w:i w:val="0"/>
          <w:iCs w:val="0"/>
          <w:highlight w:val="none"/>
        </w:rPr>
        <w:fldChar w:fldCharType="separate"/>
      </w:r>
      <w:r>
        <w:rPr>
          <w:rFonts w:ascii="宋体" w:hAnsi="宋体"/>
          <w:bCs/>
          <w:i w:val="0"/>
          <w:iCs w:val="0"/>
          <w:kern w:val="0"/>
          <w:szCs w:val="27"/>
          <w:highlight w:val="none"/>
        </w:rPr>
        <w:t>9.</w:t>
      </w:r>
      <w:r>
        <w:rPr>
          <w:rFonts w:hint="eastAsia" w:ascii="宋体" w:hAnsi="宋体"/>
          <w:bCs/>
          <w:i w:val="0"/>
          <w:iCs w:val="0"/>
          <w:kern w:val="0"/>
          <w:szCs w:val="27"/>
          <w:highlight w:val="none"/>
        </w:rPr>
        <w:t>磋商保证金</w:t>
      </w:r>
      <w:r>
        <w:rPr>
          <w:i w:val="0"/>
          <w:iCs w:val="0"/>
          <w:highlight w:val="none"/>
        </w:rPr>
        <w:tab/>
      </w:r>
      <w:r>
        <w:rPr>
          <w:i w:val="0"/>
          <w:iCs w:val="0"/>
          <w:highlight w:val="none"/>
        </w:rPr>
        <w:fldChar w:fldCharType="begin"/>
      </w:r>
      <w:r>
        <w:rPr>
          <w:i w:val="0"/>
          <w:iCs w:val="0"/>
          <w:highlight w:val="none"/>
        </w:rPr>
        <w:instrText xml:space="preserve"> PAGEREF _Toc27578 \h </w:instrText>
      </w:r>
      <w:r>
        <w:rPr>
          <w:i w:val="0"/>
          <w:iCs w:val="0"/>
          <w:highlight w:val="none"/>
        </w:rPr>
        <w:fldChar w:fldCharType="separate"/>
      </w:r>
      <w:r>
        <w:rPr>
          <w:i w:val="0"/>
          <w:iCs w:val="0"/>
          <w:highlight w:val="none"/>
        </w:rPr>
        <w:t>7</w:t>
      </w:r>
      <w:r>
        <w:rPr>
          <w:i w:val="0"/>
          <w:iCs w:val="0"/>
          <w:highlight w:val="none"/>
        </w:rPr>
        <w:fldChar w:fldCharType="end"/>
      </w:r>
      <w:r>
        <w:rPr>
          <w:i w:val="0"/>
          <w:iCs w:val="0"/>
          <w:highlight w:val="none"/>
        </w:rPr>
        <w:fldChar w:fldCharType="end"/>
      </w:r>
    </w:p>
    <w:p w14:paraId="7971DA02">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_Toc4542 </w:instrText>
      </w:r>
      <w:r>
        <w:rPr>
          <w:i w:val="0"/>
          <w:iCs w:val="0"/>
          <w:highlight w:val="none"/>
        </w:rPr>
        <w:fldChar w:fldCharType="separate"/>
      </w:r>
      <w:r>
        <w:rPr>
          <w:rFonts w:ascii="宋体" w:hAnsi="宋体"/>
          <w:bCs/>
          <w:i w:val="0"/>
          <w:iCs w:val="0"/>
          <w:kern w:val="0"/>
          <w:szCs w:val="27"/>
          <w:highlight w:val="none"/>
        </w:rPr>
        <w:t>10.</w:t>
      </w:r>
      <w:r>
        <w:rPr>
          <w:rFonts w:hint="eastAsia" w:ascii="宋体" w:hAnsi="宋体"/>
          <w:bCs/>
          <w:i w:val="0"/>
          <w:iCs w:val="0"/>
          <w:kern w:val="0"/>
          <w:szCs w:val="27"/>
          <w:highlight w:val="none"/>
        </w:rPr>
        <w:t>磋商有效期</w:t>
      </w:r>
      <w:r>
        <w:rPr>
          <w:i w:val="0"/>
          <w:iCs w:val="0"/>
          <w:highlight w:val="none"/>
        </w:rPr>
        <w:tab/>
      </w:r>
      <w:r>
        <w:rPr>
          <w:i w:val="0"/>
          <w:iCs w:val="0"/>
          <w:highlight w:val="none"/>
        </w:rPr>
        <w:fldChar w:fldCharType="begin"/>
      </w:r>
      <w:r>
        <w:rPr>
          <w:i w:val="0"/>
          <w:iCs w:val="0"/>
          <w:highlight w:val="none"/>
        </w:rPr>
        <w:instrText xml:space="preserve"> PAGEREF _Toc4542 \h </w:instrText>
      </w:r>
      <w:r>
        <w:rPr>
          <w:i w:val="0"/>
          <w:iCs w:val="0"/>
          <w:highlight w:val="none"/>
        </w:rPr>
        <w:fldChar w:fldCharType="separate"/>
      </w:r>
      <w:r>
        <w:rPr>
          <w:i w:val="0"/>
          <w:iCs w:val="0"/>
          <w:highlight w:val="none"/>
        </w:rPr>
        <w:t>7</w:t>
      </w:r>
      <w:r>
        <w:rPr>
          <w:i w:val="0"/>
          <w:iCs w:val="0"/>
          <w:highlight w:val="none"/>
        </w:rPr>
        <w:fldChar w:fldCharType="end"/>
      </w:r>
      <w:r>
        <w:rPr>
          <w:i w:val="0"/>
          <w:iCs w:val="0"/>
          <w:highlight w:val="none"/>
        </w:rPr>
        <w:fldChar w:fldCharType="end"/>
      </w:r>
    </w:p>
    <w:p w14:paraId="10C4C8C9">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_Toc30206 </w:instrText>
      </w:r>
      <w:r>
        <w:rPr>
          <w:i w:val="0"/>
          <w:iCs w:val="0"/>
          <w:highlight w:val="none"/>
        </w:rPr>
        <w:fldChar w:fldCharType="separate"/>
      </w:r>
      <w:r>
        <w:rPr>
          <w:rFonts w:ascii="宋体" w:hAnsi="宋体" w:cs="宋体"/>
          <w:i w:val="0"/>
          <w:iCs w:val="0"/>
          <w:szCs w:val="28"/>
          <w:highlight w:val="none"/>
          <w:lang w:val="zh-CN"/>
        </w:rPr>
        <w:t>11.</w:t>
      </w:r>
      <w:r>
        <w:rPr>
          <w:rFonts w:hint="eastAsia" w:ascii="宋体" w:hAnsi="宋体" w:cs="宋体"/>
          <w:i w:val="0"/>
          <w:iCs w:val="0"/>
          <w:szCs w:val="28"/>
          <w:highlight w:val="none"/>
          <w:lang w:val="zh-CN"/>
        </w:rPr>
        <w:t>磋商响应文件构成</w:t>
      </w:r>
      <w:r>
        <w:rPr>
          <w:i w:val="0"/>
          <w:iCs w:val="0"/>
          <w:highlight w:val="none"/>
        </w:rPr>
        <w:tab/>
      </w:r>
      <w:r>
        <w:rPr>
          <w:i w:val="0"/>
          <w:iCs w:val="0"/>
          <w:highlight w:val="none"/>
        </w:rPr>
        <w:fldChar w:fldCharType="begin"/>
      </w:r>
      <w:r>
        <w:rPr>
          <w:i w:val="0"/>
          <w:iCs w:val="0"/>
          <w:highlight w:val="none"/>
        </w:rPr>
        <w:instrText xml:space="preserve"> PAGEREF _Toc30206 \h </w:instrText>
      </w:r>
      <w:r>
        <w:rPr>
          <w:i w:val="0"/>
          <w:iCs w:val="0"/>
          <w:highlight w:val="none"/>
        </w:rPr>
        <w:fldChar w:fldCharType="separate"/>
      </w:r>
      <w:r>
        <w:rPr>
          <w:i w:val="0"/>
          <w:iCs w:val="0"/>
          <w:highlight w:val="none"/>
        </w:rPr>
        <w:t>7</w:t>
      </w:r>
      <w:r>
        <w:rPr>
          <w:i w:val="0"/>
          <w:iCs w:val="0"/>
          <w:highlight w:val="none"/>
        </w:rPr>
        <w:fldChar w:fldCharType="end"/>
      </w:r>
      <w:r>
        <w:rPr>
          <w:i w:val="0"/>
          <w:iCs w:val="0"/>
          <w:highlight w:val="none"/>
        </w:rPr>
        <w:fldChar w:fldCharType="end"/>
      </w:r>
    </w:p>
    <w:p w14:paraId="2ACBF6D7">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_Toc17606 </w:instrText>
      </w:r>
      <w:r>
        <w:rPr>
          <w:i w:val="0"/>
          <w:iCs w:val="0"/>
          <w:highlight w:val="none"/>
        </w:rPr>
        <w:fldChar w:fldCharType="separate"/>
      </w:r>
      <w:r>
        <w:rPr>
          <w:rFonts w:ascii="宋体" w:hAnsi="宋体" w:cs="宋体"/>
          <w:bCs/>
          <w:i w:val="0"/>
          <w:iCs w:val="0"/>
          <w:kern w:val="0"/>
          <w:szCs w:val="27"/>
          <w:highlight w:val="none"/>
        </w:rPr>
        <w:t>12.</w:t>
      </w:r>
      <w:r>
        <w:rPr>
          <w:rFonts w:hint="eastAsia" w:ascii="宋体" w:hAnsi="宋体" w:cs="宋体"/>
          <w:bCs/>
          <w:i w:val="0"/>
          <w:iCs w:val="0"/>
          <w:kern w:val="0"/>
          <w:szCs w:val="27"/>
          <w:highlight w:val="none"/>
        </w:rPr>
        <w:t>响应文件编制要求</w:t>
      </w:r>
      <w:r>
        <w:rPr>
          <w:i w:val="0"/>
          <w:iCs w:val="0"/>
          <w:highlight w:val="none"/>
        </w:rPr>
        <w:tab/>
      </w:r>
      <w:r>
        <w:rPr>
          <w:i w:val="0"/>
          <w:iCs w:val="0"/>
          <w:highlight w:val="none"/>
        </w:rPr>
        <w:fldChar w:fldCharType="begin"/>
      </w:r>
      <w:r>
        <w:rPr>
          <w:i w:val="0"/>
          <w:iCs w:val="0"/>
          <w:highlight w:val="none"/>
        </w:rPr>
        <w:instrText xml:space="preserve"> PAGEREF _Toc17606 \h </w:instrText>
      </w:r>
      <w:r>
        <w:rPr>
          <w:i w:val="0"/>
          <w:iCs w:val="0"/>
          <w:highlight w:val="none"/>
        </w:rPr>
        <w:fldChar w:fldCharType="separate"/>
      </w:r>
      <w:r>
        <w:rPr>
          <w:i w:val="0"/>
          <w:iCs w:val="0"/>
          <w:highlight w:val="none"/>
        </w:rPr>
        <w:t>8</w:t>
      </w:r>
      <w:r>
        <w:rPr>
          <w:i w:val="0"/>
          <w:iCs w:val="0"/>
          <w:highlight w:val="none"/>
        </w:rPr>
        <w:fldChar w:fldCharType="end"/>
      </w:r>
      <w:r>
        <w:rPr>
          <w:i w:val="0"/>
          <w:iCs w:val="0"/>
          <w:highlight w:val="none"/>
        </w:rPr>
        <w:fldChar w:fldCharType="end"/>
      </w:r>
    </w:p>
    <w:p w14:paraId="1E8BCE4E">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_Toc10883 </w:instrText>
      </w:r>
      <w:r>
        <w:rPr>
          <w:i w:val="0"/>
          <w:iCs w:val="0"/>
          <w:highlight w:val="none"/>
        </w:rPr>
        <w:fldChar w:fldCharType="separate"/>
      </w:r>
      <w:r>
        <w:rPr>
          <w:rFonts w:hint="eastAsia" w:ascii="宋体" w:hAnsi="宋体"/>
          <w:bCs/>
          <w:i w:val="0"/>
          <w:iCs w:val="0"/>
          <w:kern w:val="0"/>
          <w:szCs w:val="36"/>
          <w:highlight w:val="none"/>
        </w:rPr>
        <w:t>四、磋商响应文件的递交</w:t>
      </w:r>
      <w:r>
        <w:rPr>
          <w:i w:val="0"/>
          <w:iCs w:val="0"/>
          <w:highlight w:val="none"/>
        </w:rPr>
        <w:tab/>
      </w:r>
      <w:r>
        <w:rPr>
          <w:i w:val="0"/>
          <w:iCs w:val="0"/>
          <w:highlight w:val="none"/>
        </w:rPr>
        <w:fldChar w:fldCharType="begin"/>
      </w:r>
      <w:r>
        <w:rPr>
          <w:i w:val="0"/>
          <w:iCs w:val="0"/>
          <w:highlight w:val="none"/>
        </w:rPr>
        <w:instrText xml:space="preserve"> PAGEREF _Toc10883 \h </w:instrText>
      </w:r>
      <w:r>
        <w:rPr>
          <w:i w:val="0"/>
          <w:iCs w:val="0"/>
          <w:highlight w:val="none"/>
        </w:rPr>
        <w:fldChar w:fldCharType="separate"/>
      </w:r>
      <w:r>
        <w:rPr>
          <w:i w:val="0"/>
          <w:iCs w:val="0"/>
          <w:highlight w:val="none"/>
        </w:rPr>
        <w:t>8</w:t>
      </w:r>
      <w:r>
        <w:rPr>
          <w:i w:val="0"/>
          <w:iCs w:val="0"/>
          <w:highlight w:val="none"/>
        </w:rPr>
        <w:fldChar w:fldCharType="end"/>
      </w:r>
      <w:r>
        <w:rPr>
          <w:i w:val="0"/>
          <w:iCs w:val="0"/>
          <w:highlight w:val="none"/>
        </w:rPr>
        <w:fldChar w:fldCharType="end"/>
      </w:r>
    </w:p>
    <w:p w14:paraId="29FD92CB">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_Toc29953 </w:instrText>
      </w:r>
      <w:r>
        <w:rPr>
          <w:i w:val="0"/>
          <w:iCs w:val="0"/>
          <w:highlight w:val="none"/>
        </w:rPr>
        <w:fldChar w:fldCharType="separate"/>
      </w:r>
      <w:r>
        <w:rPr>
          <w:rFonts w:ascii="宋体" w:hAnsi="宋体" w:cs="宋体"/>
          <w:bCs/>
          <w:i w:val="0"/>
          <w:iCs w:val="0"/>
          <w:kern w:val="0"/>
          <w:szCs w:val="27"/>
          <w:highlight w:val="none"/>
        </w:rPr>
        <w:t>13.</w:t>
      </w:r>
      <w:r>
        <w:rPr>
          <w:rFonts w:hint="eastAsia" w:ascii="宋体" w:hAnsi="宋体" w:cs="宋体"/>
          <w:bCs/>
          <w:i w:val="0"/>
          <w:iCs w:val="0"/>
          <w:kern w:val="0"/>
          <w:szCs w:val="27"/>
          <w:highlight w:val="none"/>
        </w:rPr>
        <w:t>响应文件的密封和标记</w:t>
      </w:r>
      <w:r>
        <w:rPr>
          <w:i w:val="0"/>
          <w:iCs w:val="0"/>
          <w:highlight w:val="none"/>
        </w:rPr>
        <w:tab/>
      </w:r>
      <w:r>
        <w:rPr>
          <w:i w:val="0"/>
          <w:iCs w:val="0"/>
          <w:highlight w:val="none"/>
        </w:rPr>
        <w:fldChar w:fldCharType="begin"/>
      </w:r>
      <w:r>
        <w:rPr>
          <w:i w:val="0"/>
          <w:iCs w:val="0"/>
          <w:highlight w:val="none"/>
        </w:rPr>
        <w:instrText xml:space="preserve"> PAGEREF _Toc29953 \h </w:instrText>
      </w:r>
      <w:r>
        <w:rPr>
          <w:i w:val="0"/>
          <w:iCs w:val="0"/>
          <w:highlight w:val="none"/>
        </w:rPr>
        <w:fldChar w:fldCharType="separate"/>
      </w:r>
      <w:r>
        <w:rPr>
          <w:i w:val="0"/>
          <w:iCs w:val="0"/>
          <w:highlight w:val="none"/>
        </w:rPr>
        <w:t>8</w:t>
      </w:r>
      <w:r>
        <w:rPr>
          <w:i w:val="0"/>
          <w:iCs w:val="0"/>
          <w:highlight w:val="none"/>
        </w:rPr>
        <w:fldChar w:fldCharType="end"/>
      </w:r>
      <w:r>
        <w:rPr>
          <w:i w:val="0"/>
          <w:iCs w:val="0"/>
          <w:highlight w:val="none"/>
        </w:rPr>
        <w:fldChar w:fldCharType="end"/>
      </w:r>
    </w:p>
    <w:p w14:paraId="611358FD">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_Toc3224 </w:instrText>
      </w:r>
      <w:r>
        <w:rPr>
          <w:i w:val="0"/>
          <w:iCs w:val="0"/>
          <w:highlight w:val="none"/>
        </w:rPr>
        <w:fldChar w:fldCharType="separate"/>
      </w:r>
      <w:r>
        <w:rPr>
          <w:rFonts w:ascii="宋体" w:hAnsi="宋体"/>
          <w:bCs/>
          <w:i w:val="0"/>
          <w:iCs w:val="0"/>
          <w:kern w:val="0"/>
          <w:szCs w:val="27"/>
          <w:highlight w:val="none"/>
        </w:rPr>
        <w:t>14.</w:t>
      </w:r>
      <w:r>
        <w:rPr>
          <w:rFonts w:hint="eastAsia" w:ascii="宋体" w:hAnsi="宋体"/>
          <w:bCs/>
          <w:i w:val="0"/>
          <w:iCs w:val="0"/>
          <w:kern w:val="0"/>
          <w:szCs w:val="27"/>
          <w:highlight w:val="none"/>
        </w:rPr>
        <w:t>递交磋商响应文件程序</w:t>
      </w:r>
      <w:r>
        <w:rPr>
          <w:i w:val="0"/>
          <w:iCs w:val="0"/>
          <w:highlight w:val="none"/>
        </w:rPr>
        <w:tab/>
      </w:r>
      <w:r>
        <w:rPr>
          <w:i w:val="0"/>
          <w:iCs w:val="0"/>
          <w:highlight w:val="none"/>
        </w:rPr>
        <w:fldChar w:fldCharType="begin"/>
      </w:r>
      <w:r>
        <w:rPr>
          <w:i w:val="0"/>
          <w:iCs w:val="0"/>
          <w:highlight w:val="none"/>
        </w:rPr>
        <w:instrText xml:space="preserve"> PAGEREF _Toc3224 \h </w:instrText>
      </w:r>
      <w:r>
        <w:rPr>
          <w:i w:val="0"/>
          <w:iCs w:val="0"/>
          <w:highlight w:val="none"/>
        </w:rPr>
        <w:fldChar w:fldCharType="separate"/>
      </w:r>
      <w:r>
        <w:rPr>
          <w:i w:val="0"/>
          <w:iCs w:val="0"/>
          <w:highlight w:val="none"/>
        </w:rPr>
        <w:t>9</w:t>
      </w:r>
      <w:r>
        <w:rPr>
          <w:i w:val="0"/>
          <w:iCs w:val="0"/>
          <w:highlight w:val="none"/>
        </w:rPr>
        <w:fldChar w:fldCharType="end"/>
      </w:r>
      <w:r>
        <w:rPr>
          <w:i w:val="0"/>
          <w:iCs w:val="0"/>
          <w:highlight w:val="none"/>
        </w:rPr>
        <w:fldChar w:fldCharType="end"/>
      </w:r>
    </w:p>
    <w:p w14:paraId="2F9A324A">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_Toc25101 </w:instrText>
      </w:r>
      <w:r>
        <w:rPr>
          <w:i w:val="0"/>
          <w:iCs w:val="0"/>
          <w:highlight w:val="none"/>
        </w:rPr>
        <w:fldChar w:fldCharType="separate"/>
      </w:r>
      <w:r>
        <w:rPr>
          <w:rFonts w:hint="eastAsia" w:ascii="宋体" w:hAnsi="宋体"/>
          <w:bCs/>
          <w:i w:val="0"/>
          <w:iCs w:val="0"/>
          <w:kern w:val="0"/>
          <w:szCs w:val="36"/>
          <w:highlight w:val="none"/>
        </w:rPr>
        <w:t>五、资格审查程序及方法</w:t>
      </w:r>
      <w:r>
        <w:rPr>
          <w:i w:val="0"/>
          <w:iCs w:val="0"/>
          <w:highlight w:val="none"/>
        </w:rPr>
        <w:tab/>
      </w:r>
      <w:r>
        <w:rPr>
          <w:i w:val="0"/>
          <w:iCs w:val="0"/>
          <w:highlight w:val="none"/>
        </w:rPr>
        <w:fldChar w:fldCharType="begin"/>
      </w:r>
      <w:r>
        <w:rPr>
          <w:i w:val="0"/>
          <w:iCs w:val="0"/>
          <w:highlight w:val="none"/>
        </w:rPr>
        <w:instrText xml:space="preserve"> PAGEREF _Toc25101 \h </w:instrText>
      </w:r>
      <w:r>
        <w:rPr>
          <w:i w:val="0"/>
          <w:iCs w:val="0"/>
          <w:highlight w:val="none"/>
        </w:rPr>
        <w:fldChar w:fldCharType="separate"/>
      </w:r>
      <w:r>
        <w:rPr>
          <w:i w:val="0"/>
          <w:iCs w:val="0"/>
          <w:highlight w:val="none"/>
        </w:rPr>
        <w:t>9</w:t>
      </w:r>
      <w:r>
        <w:rPr>
          <w:i w:val="0"/>
          <w:iCs w:val="0"/>
          <w:highlight w:val="none"/>
        </w:rPr>
        <w:fldChar w:fldCharType="end"/>
      </w:r>
      <w:r>
        <w:rPr>
          <w:i w:val="0"/>
          <w:iCs w:val="0"/>
          <w:highlight w:val="none"/>
        </w:rPr>
        <w:fldChar w:fldCharType="end"/>
      </w:r>
    </w:p>
    <w:p w14:paraId="2EDAE9AF">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_Toc18606 </w:instrText>
      </w:r>
      <w:r>
        <w:rPr>
          <w:i w:val="0"/>
          <w:iCs w:val="0"/>
          <w:highlight w:val="none"/>
        </w:rPr>
        <w:fldChar w:fldCharType="separate"/>
      </w:r>
      <w:r>
        <w:rPr>
          <w:rFonts w:ascii="宋体" w:hAnsi="宋体"/>
          <w:bCs/>
          <w:i w:val="0"/>
          <w:iCs w:val="0"/>
          <w:kern w:val="0"/>
          <w:szCs w:val="27"/>
          <w:highlight w:val="none"/>
        </w:rPr>
        <w:t xml:space="preserve">15. </w:t>
      </w:r>
      <w:r>
        <w:rPr>
          <w:rFonts w:hint="eastAsia" w:ascii="宋体" w:hAnsi="宋体"/>
          <w:bCs/>
          <w:i w:val="0"/>
          <w:iCs w:val="0"/>
          <w:kern w:val="0"/>
          <w:szCs w:val="27"/>
          <w:highlight w:val="none"/>
        </w:rPr>
        <w:t>资格审查程序</w:t>
      </w:r>
      <w:r>
        <w:rPr>
          <w:i w:val="0"/>
          <w:iCs w:val="0"/>
          <w:highlight w:val="none"/>
        </w:rPr>
        <w:tab/>
      </w:r>
      <w:r>
        <w:rPr>
          <w:i w:val="0"/>
          <w:iCs w:val="0"/>
          <w:highlight w:val="none"/>
        </w:rPr>
        <w:fldChar w:fldCharType="begin"/>
      </w:r>
      <w:r>
        <w:rPr>
          <w:i w:val="0"/>
          <w:iCs w:val="0"/>
          <w:highlight w:val="none"/>
        </w:rPr>
        <w:instrText xml:space="preserve"> PAGEREF _Toc18606 \h </w:instrText>
      </w:r>
      <w:r>
        <w:rPr>
          <w:i w:val="0"/>
          <w:iCs w:val="0"/>
          <w:highlight w:val="none"/>
        </w:rPr>
        <w:fldChar w:fldCharType="separate"/>
      </w:r>
      <w:r>
        <w:rPr>
          <w:i w:val="0"/>
          <w:iCs w:val="0"/>
          <w:highlight w:val="none"/>
        </w:rPr>
        <w:t>9</w:t>
      </w:r>
      <w:r>
        <w:rPr>
          <w:i w:val="0"/>
          <w:iCs w:val="0"/>
          <w:highlight w:val="none"/>
        </w:rPr>
        <w:fldChar w:fldCharType="end"/>
      </w:r>
      <w:r>
        <w:rPr>
          <w:i w:val="0"/>
          <w:iCs w:val="0"/>
          <w:highlight w:val="none"/>
        </w:rPr>
        <w:fldChar w:fldCharType="end"/>
      </w:r>
    </w:p>
    <w:p w14:paraId="328731DF">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_Toc27838 </w:instrText>
      </w:r>
      <w:r>
        <w:rPr>
          <w:i w:val="0"/>
          <w:iCs w:val="0"/>
          <w:highlight w:val="none"/>
        </w:rPr>
        <w:fldChar w:fldCharType="separate"/>
      </w:r>
      <w:r>
        <w:rPr>
          <w:rFonts w:ascii="宋体" w:hAnsi="宋体"/>
          <w:bCs/>
          <w:i w:val="0"/>
          <w:iCs w:val="0"/>
          <w:kern w:val="0"/>
          <w:szCs w:val="27"/>
          <w:highlight w:val="none"/>
        </w:rPr>
        <w:t>16.</w:t>
      </w:r>
      <w:r>
        <w:rPr>
          <w:rFonts w:hint="eastAsia" w:ascii="宋体" w:hAnsi="宋体"/>
          <w:bCs/>
          <w:i w:val="0"/>
          <w:iCs w:val="0"/>
          <w:kern w:val="0"/>
          <w:szCs w:val="27"/>
          <w:highlight w:val="none"/>
        </w:rPr>
        <w:t>资格审查不通过的情形</w:t>
      </w:r>
      <w:r>
        <w:rPr>
          <w:i w:val="0"/>
          <w:iCs w:val="0"/>
          <w:highlight w:val="none"/>
        </w:rPr>
        <w:tab/>
      </w:r>
      <w:r>
        <w:rPr>
          <w:i w:val="0"/>
          <w:iCs w:val="0"/>
          <w:highlight w:val="none"/>
        </w:rPr>
        <w:fldChar w:fldCharType="begin"/>
      </w:r>
      <w:r>
        <w:rPr>
          <w:i w:val="0"/>
          <w:iCs w:val="0"/>
          <w:highlight w:val="none"/>
        </w:rPr>
        <w:instrText xml:space="preserve"> PAGEREF _Toc27838 \h </w:instrText>
      </w:r>
      <w:r>
        <w:rPr>
          <w:i w:val="0"/>
          <w:iCs w:val="0"/>
          <w:highlight w:val="none"/>
        </w:rPr>
        <w:fldChar w:fldCharType="separate"/>
      </w:r>
      <w:r>
        <w:rPr>
          <w:i w:val="0"/>
          <w:iCs w:val="0"/>
          <w:highlight w:val="none"/>
        </w:rPr>
        <w:t>9</w:t>
      </w:r>
      <w:r>
        <w:rPr>
          <w:i w:val="0"/>
          <w:iCs w:val="0"/>
          <w:highlight w:val="none"/>
        </w:rPr>
        <w:fldChar w:fldCharType="end"/>
      </w:r>
      <w:r>
        <w:rPr>
          <w:i w:val="0"/>
          <w:iCs w:val="0"/>
          <w:highlight w:val="none"/>
        </w:rPr>
        <w:fldChar w:fldCharType="end"/>
      </w:r>
    </w:p>
    <w:p w14:paraId="375221A7">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_Toc4576 </w:instrText>
      </w:r>
      <w:r>
        <w:rPr>
          <w:i w:val="0"/>
          <w:iCs w:val="0"/>
          <w:highlight w:val="none"/>
        </w:rPr>
        <w:fldChar w:fldCharType="separate"/>
      </w:r>
      <w:r>
        <w:rPr>
          <w:rFonts w:hint="eastAsia" w:ascii="宋体" w:hAnsi="宋体"/>
          <w:bCs/>
          <w:i w:val="0"/>
          <w:iCs w:val="0"/>
          <w:kern w:val="0"/>
          <w:szCs w:val="36"/>
          <w:highlight w:val="none"/>
        </w:rPr>
        <w:t>六、磋商程序及方法</w:t>
      </w:r>
      <w:r>
        <w:rPr>
          <w:i w:val="0"/>
          <w:iCs w:val="0"/>
          <w:highlight w:val="none"/>
        </w:rPr>
        <w:tab/>
      </w:r>
      <w:r>
        <w:rPr>
          <w:i w:val="0"/>
          <w:iCs w:val="0"/>
          <w:highlight w:val="none"/>
        </w:rPr>
        <w:fldChar w:fldCharType="begin"/>
      </w:r>
      <w:r>
        <w:rPr>
          <w:i w:val="0"/>
          <w:iCs w:val="0"/>
          <w:highlight w:val="none"/>
        </w:rPr>
        <w:instrText xml:space="preserve"> PAGEREF _Toc4576 \h </w:instrText>
      </w:r>
      <w:r>
        <w:rPr>
          <w:i w:val="0"/>
          <w:iCs w:val="0"/>
          <w:highlight w:val="none"/>
        </w:rPr>
        <w:fldChar w:fldCharType="separate"/>
      </w:r>
      <w:r>
        <w:rPr>
          <w:i w:val="0"/>
          <w:iCs w:val="0"/>
          <w:highlight w:val="none"/>
        </w:rPr>
        <w:t>10</w:t>
      </w:r>
      <w:r>
        <w:rPr>
          <w:i w:val="0"/>
          <w:iCs w:val="0"/>
          <w:highlight w:val="none"/>
        </w:rPr>
        <w:fldChar w:fldCharType="end"/>
      </w:r>
      <w:r>
        <w:rPr>
          <w:i w:val="0"/>
          <w:iCs w:val="0"/>
          <w:highlight w:val="none"/>
        </w:rPr>
        <w:fldChar w:fldCharType="end"/>
      </w:r>
    </w:p>
    <w:p w14:paraId="0013B40F">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_Toc25331 </w:instrText>
      </w:r>
      <w:r>
        <w:rPr>
          <w:i w:val="0"/>
          <w:iCs w:val="0"/>
          <w:highlight w:val="none"/>
        </w:rPr>
        <w:fldChar w:fldCharType="separate"/>
      </w:r>
      <w:r>
        <w:rPr>
          <w:rFonts w:ascii="宋体" w:hAnsi="宋体"/>
          <w:bCs/>
          <w:i w:val="0"/>
          <w:iCs w:val="0"/>
          <w:kern w:val="0"/>
          <w:szCs w:val="27"/>
          <w:highlight w:val="none"/>
        </w:rPr>
        <w:t>17.</w:t>
      </w:r>
      <w:r>
        <w:rPr>
          <w:rFonts w:hint="eastAsia" w:ascii="宋体" w:hAnsi="宋体"/>
          <w:bCs/>
          <w:i w:val="0"/>
          <w:iCs w:val="0"/>
          <w:kern w:val="0"/>
          <w:szCs w:val="27"/>
          <w:highlight w:val="none"/>
        </w:rPr>
        <w:t>磋商小组</w:t>
      </w:r>
      <w:r>
        <w:rPr>
          <w:i w:val="0"/>
          <w:iCs w:val="0"/>
          <w:highlight w:val="none"/>
        </w:rPr>
        <w:tab/>
      </w:r>
      <w:r>
        <w:rPr>
          <w:i w:val="0"/>
          <w:iCs w:val="0"/>
          <w:highlight w:val="none"/>
        </w:rPr>
        <w:fldChar w:fldCharType="begin"/>
      </w:r>
      <w:r>
        <w:rPr>
          <w:i w:val="0"/>
          <w:iCs w:val="0"/>
          <w:highlight w:val="none"/>
        </w:rPr>
        <w:instrText xml:space="preserve"> PAGEREF _Toc25331 \h </w:instrText>
      </w:r>
      <w:r>
        <w:rPr>
          <w:i w:val="0"/>
          <w:iCs w:val="0"/>
          <w:highlight w:val="none"/>
        </w:rPr>
        <w:fldChar w:fldCharType="separate"/>
      </w:r>
      <w:r>
        <w:rPr>
          <w:i w:val="0"/>
          <w:iCs w:val="0"/>
          <w:highlight w:val="none"/>
        </w:rPr>
        <w:t>10</w:t>
      </w:r>
      <w:r>
        <w:rPr>
          <w:i w:val="0"/>
          <w:iCs w:val="0"/>
          <w:highlight w:val="none"/>
        </w:rPr>
        <w:fldChar w:fldCharType="end"/>
      </w:r>
      <w:r>
        <w:rPr>
          <w:i w:val="0"/>
          <w:iCs w:val="0"/>
          <w:highlight w:val="none"/>
        </w:rPr>
        <w:fldChar w:fldCharType="end"/>
      </w:r>
    </w:p>
    <w:p w14:paraId="31DAC716">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_Toc4352 </w:instrText>
      </w:r>
      <w:r>
        <w:rPr>
          <w:i w:val="0"/>
          <w:iCs w:val="0"/>
          <w:highlight w:val="none"/>
        </w:rPr>
        <w:fldChar w:fldCharType="separate"/>
      </w:r>
      <w:r>
        <w:rPr>
          <w:rFonts w:ascii="宋体" w:hAnsi="宋体"/>
          <w:bCs/>
          <w:i w:val="0"/>
          <w:iCs w:val="0"/>
          <w:kern w:val="0"/>
          <w:szCs w:val="27"/>
          <w:highlight w:val="none"/>
        </w:rPr>
        <w:t>18.</w:t>
      </w:r>
      <w:r>
        <w:rPr>
          <w:rFonts w:hint="eastAsia" w:ascii="宋体" w:hAnsi="宋体"/>
          <w:bCs/>
          <w:i w:val="0"/>
          <w:iCs w:val="0"/>
          <w:kern w:val="0"/>
          <w:szCs w:val="27"/>
          <w:highlight w:val="none"/>
        </w:rPr>
        <w:t>磋商工作程序</w:t>
      </w:r>
      <w:r>
        <w:rPr>
          <w:i w:val="0"/>
          <w:iCs w:val="0"/>
          <w:highlight w:val="none"/>
        </w:rPr>
        <w:tab/>
      </w:r>
      <w:r>
        <w:rPr>
          <w:i w:val="0"/>
          <w:iCs w:val="0"/>
          <w:highlight w:val="none"/>
        </w:rPr>
        <w:fldChar w:fldCharType="begin"/>
      </w:r>
      <w:r>
        <w:rPr>
          <w:i w:val="0"/>
          <w:iCs w:val="0"/>
          <w:highlight w:val="none"/>
        </w:rPr>
        <w:instrText xml:space="preserve"> PAGEREF _Toc4352 \h </w:instrText>
      </w:r>
      <w:r>
        <w:rPr>
          <w:i w:val="0"/>
          <w:iCs w:val="0"/>
          <w:highlight w:val="none"/>
        </w:rPr>
        <w:fldChar w:fldCharType="separate"/>
      </w:r>
      <w:r>
        <w:rPr>
          <w:i w:val="0"/>
          <w:iCs w:val="0"/>
          <w:highlight w:val="none"/>
        </w:rPr>
        <w:t>11</w:t>
      </w:r>
      <w:r>
        <w:rPr>
          <w:i w:val="0"/>
          <w:iCs w:val="0"/>
          <w:highlight w:val="none"/>
        </w:rPr>
        <w:fldChar w:fldCharType="end"/>
      </w:r>
      <w:r>
        <w:rPr>
          <w:i w:val="0"/>
          <w:iCs w:val="0"/>
          <w:highlight w:val="none"/>
        </w:rPr>
        <w:fldChar w:fldCharType="end"/>
      </w:r>
    </w:p>
    <w:p w14:paraId="5D55E8B9">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_Toc15097 </w:instrText>
      </w:r>
      <w:r>
        <w:rPr>
          <w:i w:val="0"/>
          <w:iCs w:val="0"/>
          <w:highlight w:val="none"/>
        </w:rPr>
        <w:fldChar w:fldCharType="separate"/>
      </w:r>
      <w:r>
        <w:rPr>
          <w:rFonts w:ascii="宋体" w:hAnsi="宋体"/>
          <w:bCs/>
          <w:i w:val="0"/>
          <w:iCs w:val="0"/>
          <w:kern w:val="0"/>
          <w:szCs w:val="27"/>
          <w:highlight w:val="none"/>
        </w:rPr>
        <w:t>19.</w:t>
      </w:r>
      <w:r>
        <w:rPr>
          <w:rFonts w:hint="eastAsia" w:ascii="宋体" w:hAnsi="宋体"/>
          <w:bCs/>
          <w:i w:val="0"/>
          <w:iCs w:val="0"/>
          <w:kern w:val="0"/>
          <w:szCs w:val="27"/>
          <w:highlight w:val="none"/>
        </w:rPr>
        <w:t>答疑的方式和情形</w:t>
      </w:r>
      <w:r>
        <w:rPr>
          <w:i w:val="0"/>
          <w:iCs w:val="0"/>
          <w:highlight w:val="none"/>
        </w:rPr>
        <w:tab/>
      </w:r>
      <w:r>
        <w:rPr>
          <w:i w:val="0"/>
          <w:iCs w:val="0"/>
          <w:highlight w:val="none"/>
        </w:rPr>
        <w:fldChar w:fldCharType="begin"/>
      </w:r>
      <w:r>
        <w:rPr>
          <w:i w:val="0"/>
          <w:iCs w:val="0"/>
          <w:highlight w:val="none"/>
        </w:rPr>
        <w:instrText xml:space="preserve"> PAGEREF _Toc15097 \h </w:instrText>
      </w:r>
      <w:r>
        <w:rPr>
          <w:i w:val="0"/>
          <w:iCs w:val="0"/>
          <w:highlight w:val="none"/>
        </w:rPr>
        <w:fldChar w:fldCharType="separate"/>
      </w:r>
      <w:r>
        <w:rPr>
          <w:i w:val="0"/>
          <w:iCs w:val="0"/>
          <w:highlight w:val="none"/>
        </w:rPr>
        <w:t>12</w:t>
      </w:r>
      <w:r>
        <w:rPr>
          <w:i w:val="0"/>
          <w:iCs w:val="0"/>
          <w:highlight w:val="none"/>
        </w:rPr>
        <w:fldChar w:fldCharType="end"/>
      </w:r>
      <w:r>
        <w:rPr>
          <w:i w:val="0"/>
          <w:iCs w:val="0"/>
          <w:highlight w:val="none"/>
        </w:rPr>
        <w:fldChar w:fldCharType="end"/>
      </w:r>
    </w:p>
    <w:p w14:paraId="22BCC543">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_Toc6365 </w:instrText>
      </w:r>
      <w:r>
        <w:rPr>
          <w:i w:val="0"/>
          <w:iCs w:val="0"/>
          <w:highlight w:val="none"/>
        </w:rPr>
        <w:fldChar w:fldCharType="separate"/>
      </w:r>
      <w:r>
        <w:rPr>
          <w:rFonts w:ascii="宋体" w:hAnsi="宋体"/>
          <w:bCs/>
          <w:i w:val="0"/>
          <w:iCs w:val="0"/>
          <w:kern w:val="0"/>
          <w:szCs w:val="27"/>
          <w:highlight w:val="none"/>
        </w:rPr>
        <w:t>20.</w:t>
      </w:r>
      <w:r>
        <w:rPr>
          <w:rFonts w:hint="eastAsia" w:ascii="宋体" w:hAnsi="宋体"/>
          <w:bCs/>
          <w:i w:val="0"/>
          <w:iCs w:val="0"/>
          <w:kern w:val="0"/>
          <w:szCs w:val="27"/>
          <w:highlight w:val="none"/>
        </w:rPr>
        <w:t>评审办法</w:t>
      </w:r>
      <w:r>
        <w:rPr>
          <w:i w:val="0"/>
          <w:iCs w:val="0"/>
          <w:highlight w:val="none"/>
        </w:rPr>
        <w:tab/>
      </w:r>
      <w:r>
        <w:rPr>
          <w:i w:val="0"/>
          <w:iCs w:val="0"/>
          <w:highlight w:val="none"/>
        </w:rPr>
        <w:fldChar w:fldCharType="begin"/>
      </w:r>
      <w:r>
        <w:rPr>
          <w:i w:val="0"/>
          <w:iCs w:val="0"/>
          <w:highlight w:val="none"/>
        </w:rPr>
        <w:instrText xml:space="preserve"> PAGEREF _Toc6365 \h </w:instrText>
      </w:r>
      <w:r>
        <w:rPr>
          <w:i w:val="0"/>
          <w:iCs w:val="0"/>
          <w:highlight w:val="none"/>
        </w:rPr>
        <w:fldChar w:fldCharType="separate"/>
      </w:r>
      <w:r>
        <w:rPr>
          <w:i w:val="0"/>
          <w:iCs w:val="0"/>
          <w:highlight w:val="none"/>
        </w:rPr>
        <w:t>12</w:t>
      </w:r>
      <w:r>
        <w:rPr>
          <w:i w:val="0"/>
          <w:iCs w:val="0"/>
          <w:highlight w:val="none"/>
        </w:rPr>
        <w:fldChar w:fldCharType="end"/>
      </w:r>
      <w:r>
        <w:rPr>
          <w:i w:val="0"/>
          <w:iCs w:val="0"/>
          <w:highlight w:val="none"/>
        </w:rPr>
        <w:fldChar w:fldCharType="end"/>
      </w:r>
    </w:p>
    <w:p w14:paraId="17CA16B5">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_Toc17204 </w:instrText>
      </w:r>
      <w:r>
        <w:rPr>
          <w:i w:val="0"/>
          <w:iCs w:val="0"/>
          <w:highlight w:val="none"/>
        </w:rPr>
        <w:fldChar w:fldCharType="separate"/>
      </w:r>
      <w:r>
        <w:rPr>
          <w:rFonts w:hint="eastAsia" w:ascii="宋体" w:hAnsi="宋体"/>
          <w:bCs/>
          <w:i w:val="0"/>
          <w:iCs w:val="0"/>
          <w:kern w:val="0"/>
          <w:szCs w:val="36"/>
          <w:highlight w:val="none"/>
        </w:rPr>
        <w:t>七、成交办法</w:t>
      </w:r>
      <w:r>
        <w:rPr>
          <w:i w:val="0"/>
          <w:iCs w:val="0"/>
          <w:highlight w:val="none"/>
        </w:rPr>
        <w:tab/>
      </w:r>
      <w:r>
        <w:rPr>
          <w:i w:val="0"/>
          <w:iCs w:val="0"/>
          <w:highlight w:val="none"/>
        </w:rPr>
        <w:fldChar w:fldCharType="begin"/>
      </w:r>
      <w:r>
        <w:rPr>
          <w:i w:val="0"/>
          <w:iCs w:val="0"/>
          <w:highlight w:val="none"/>
        </w:rPr>
        <w:instrText xml:space="preserve"> PAGEREF _Toc17204 \h </w:instrText>
      </w:r>
      <w:r>
        <w:rPr>
          <w:i w:val="0"/>
          <w:iCs w:val="0"/>
          <w:highlight w:val="none"/>
        </w:rPr>
        <w:fldChar w:fldCharType="separate"/>
      </w:r>
      <w:r>
        <w:rPr>
          <w:i w:val="0"/>
          <w:iCs w:val="0"/>
          <w:highlight w:val="none"/>
        </w:rPr>
        <w:t>17</w:t>
      </w:r>
      <w:r>
        <w:rPr>
          <w:i w:val="0"/>
          <w:iCs w:val="0"/>
          <w:highlight w:val="none"/>
        </w:rPr>
        <w:fldChar w:fldCharType="end"/>
      </w:r>
      <w:r>
        <w:rPr>
          <w:i w:val="0"/>
          <w:iCs w:val="0"/>
          <w:highlight w:val="none"/>
        </w:rPr>
        <w:fldChar w:fldCharType="end"/>
      </w:r>
    </w:p>
    <w:p w14:paraId="52B86E81">
      <w:pPr>
        <w:pStyle w:val="13"/>
        <w:tabs>
          <w:tab w:val="right" w:leader="dot" w:pos="8787"/>
          <w:tab w:val="clear" w:pos="8777"/>
        </w:tabs>
        <w:rPr>
          <w:i w:val="0"/>
          <w:iCs w:val="0"/>
          <w:highlight w:val="none"/>
        </w:rPr>
        <w:sectPr>
          <w:footerReference r:id="rId9" w:type="first"/>
          <w:footerReference r:id="rId8" w:type="default"/>
          <w:pgSz w:w="11906" w:h="16838"/>
          <w:pgMar w:top="2098" w:right="1531" w:bottom="2041" w:left="1588" w:header="1021" w:footer="1021" w:gutter="0"/>
          <w:pgBorders>
            <w:top w:val="none" w:sz="0" w:space="0"/>
            <w:left w:val="none" w:sz="0" w:space="0"/>
            <w:bottom w:val="none" w:sz="0" w:space="0"/>
            <w:right w:val="none" w:sz="0" w:space="0"/>
          </w:pgBorders>
          <w:pgNumType w:fmt="decimal" w:start="1"/>
          <w:cols w:space="720" w:num="1"/>
          <w:docGrid w:linePitch="312" w:charSpace="0"/>
        </w:sectPr>
      </w:pPr>
    </w:p>
    <w:p w14:paraId="54B25945">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_Toc12759 </w:instrText>
      </w:r>
      <w:r>
        <w:rPr>
          <w:i w:val="0"/>
          <w:iCs w:val="0"/>
          <w:highlight w:val="none"/>
        </w:rPr>
        <w:fldChar w:fldCharType="separate"/>
      </w:r>
      <w:r>
        <w:rPr>
          <w:rFonts w:ascii="宋体" w:hAnsi="宋体"/>
          <w:bCs/>
          <w:i w:val="0"/>
          <w:iCs w:val="0"/>
          <w:kern w:val="0"/>
          <w:szCs w:val="27"/>
          <w:highlight w:val="none"/>
        </w:rPr>
        <w:t>21.</w:t>
      </w:r>
      <w:r>
        <w:rPr>
          <w:rFonts w:hint="eastAsia" w:ascii="宋体" w:hAnsi="宋体"/>
          <w:bCs/>
          <w:i w:val="0"/>
          <w:iCs w:val="0"/>
          <w:kern w:val="0"/>
          <w:szCs w:val="27"/>
          <w:highlight w:val="none"/>
        </w:rPr>
        <w:t>推荐并确定成交供应商</w:t>
      </w:r>
      <w:r>
        <w:rPr>
          <w:i w:val="0"/>
          <w:iCs w:val="0"/>
          <w:highlight w:val="none"/>
        </w:rPr>
        <w:tab/>
      </w:r>
      <w:r>
        <w:rPr>
          <w:i w:val="0"/>
          <w:iCs w:val="0"/>
          <w:highlight w:val="none"/>
        </w:rPr>
        <w:fldChar w:fldCharType="begin"/>
      </w:r>
      <w:r>
        <w:rPr>
          <w:i w:val="0"/>
          <w:iCs w:val="0"/>
          <w:highlight w:val="none"/>
        </w:rPr>
        <w:instrText xml:space="preserve"> PAGEREF _Toc12759 \h </w:instrText>
      </w:r>
      <w:r>
        <w:rPr>
          <w:i w:val="0"/>
          <w:iCs w:val="0"/>
          <w:highlight w:val="none"/>
        </w:rPr>
        <w:fldChar w:fldCharType="separate"/>
      </w:r>
      <w:r>
        <w:rPr>
          <w:i w:val="0"/>
          <w:iCs w:val="0"/>
          <w:highlight w:val="none"/>
        </w:rPr>
        <w:t>17</w:t>
      </w:r>
      <w:r>
        <w:rPr>
          <w:i w:val="0"/>
          <w:iCs w:val="0"/>
          <w:highlight w:val="none"/>
        </w:rPr>
        <w:fldChar w:fldCharType="end"/>
      </w:r>
      <w:r>
        <w:rPr>
          <w:i w:val="0"/>
          <w:iCs w:val="0"/>
          <w:highlight w:val="none"/>
        </w:rPr>
        <w:fldChar w:fldCharType="end"/>
      </w:r>
    </w:p>
    <w:p w14:paraId="5E22F0E0">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_Toc12262 </w:instrText>
      </w:r>
      <w:r>
        <w:rPr>
          <w:i w:val="0"/>
          <w:iCs w:val="0"/>
          <w:highlight w:val="none"/>
        </w:rPr>
        <w:fldChar w:fldCharType="separate"/>
      </w:r>
      <w:r>
        <w:rPr>
          <w:rFonts w:ascii="宋体" w:hAnsi="宋体"/>
          <w:bCs/>
          <w:i w:val="0"/>
          <w:iCs w:val="0"/>
          <w:kern w:val="0"/>
          <w:szCs w:val="27"/>
          <w:highlight w:val="none"/>
        </w:rPr>
        <w:t>22.</w:t>
      </w:r>
      <w:r>
        <w:rPr>
          <w:rFonts w:hint="eastAsia" w:ascii="宋体" w:hAnsi="宋体"/>
          <w:bCs/>
          <w:i w:val="0"/>
          <w:iCs w:val="0"/>
          <w:kern w:val="0"/>
          <w:szCs w:val="27"/>
          <w:highlight w:val="none"/>
        </w:rPr>
        <w:t>成交通知</w:t>
      </w:r>
      <w:r>
        <w:rPr>
          <w:i w:val="0"/>
          <w:iCs w:val="0"/>
          <w:highlight w:val="none"/>
        </w:rPr>
        <w:tab/>
      </w:r>
      <w:r>
        <w:rPr>
          <w:i w:val="0"/>
          <w:iCs w:val="0"/>
          <w:highlight w:val="none"/>
        </w:rPr>
        <w:fldChar w:fldCharType="begin"/>
      </w:r>
      <w:r>
        <w:rPr>
          <w:i w:val="0"/>
          <w:iCs w:val="0"/>
          <w:highlight w:val="none"/>
        </w:rPr>
        <w:instrText xml:space="preserve"> PAGEREF _Toc12262 \h </w:instrText>
      </w:r>
      <w:r>
        <w:rPr>
          <w:i w:val="0"/>
          <w:iCs w:val="0"/>
          <w:highlight w:val="none"/>
        </w:rPr>
        <w:fldChar w:fldCharType="separate"/>
      </w:r>
      <w:r>
        <w:rPr>
          <w:i w:val="0"/>
          <w:iCs w:val="0"/>
          <w:highlight w:val="none"/>
        </w:rPr>
        <w:t>18</w:t>
      </w:r>
      <w:r>
        <w:rPr>
          <w:i w:val="0"/>
          <w:iCs w:val="0"/>
          <w:highlight w:val="none"/>
        </w:rPr>
        <w:fldChar w:fldCharType="end"/>
      </w:r>
      <w:r>
        <w:rPr>
          <w:i w:val="0"/>
          <w:iCs w:val="0"/>
          <w:highlight w:val="none"/>
        </w:rPr>
        <w:fldChar w:fldCharType="end"/>
      </w:r>
    </w:p>
    <w:p w14:paraId="71EF7F82">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_Toc24322 </w:instrText>
      </w:r>
      <w:r>
        <w:rPr>
          <w:i w:val="0"/>
          <w:iCs w:val="0"/>
          <w:highlight w:val="none"/>
        </w:rPr>
        <w:fldChar w:fldCharType="separate"/>
      </w:r>
      <w:r>
        <w:rPr>
          <w:rFonts w:hint="eastAsia" w:ascii="宋体" w:hAnsi="宋体"/>
          <w:bCs/>
          <w:i w:val="0"/>
          <w:iCs w:val="0"/>
          <w:kern w:val="0"/>
          <w:szCs w:val="36"/>
          <w:highlight w:val="none"/>
        </w:rPr>
        <w:t>八、授予合同</w:t>
      </w:r>
      <w:r>
        <w:rPr>
          <w:i w:val="0"/>
          <w:iCs w:val="0"/>
          <w:highlight w:val="none"/>
        </w:rPr>
        <w:tab/>
      </w:r>
      <w:r>
        <w:rPr>
          <w:i w:val="0"/>
          <w:iCs w:val="0"/>
          <w:highlight w:val="none"/>
        </w:rPr>
        <w:fldChar w:fldCharType="begin"/>
      </w:r>
      <w:r>
        <w:rPr>
          <w:i w:val="0"/>
          <w:iCs w:val="0"/>
          <w:highlight w:val="none"/>
        </w:rPr>
        <w:instrText xml:space="preserve"> PAGEREF _Toc24322 \h </w:instrText>
      </w:r>
      <w:r>
        <w:rPr>
          <w:i w:val="0"/>
          <w:iCs w:val="0"/>
          <w:highlight w:val="none"/>
        </w:rPr>
        <w:fldChar w:fldCharType="separate"/>
      </w:r>
      <w:r>
        <w:rPr>
          <w:i w:val="0"/>
          <w:iCs w:val="0"/>
          <w:highlight w:val="none"/>
        </w:rPr>
        <w:t>18</w:t>
      </w:r>
      <w:r>
        <w:rPr>
          <w:i w:val="0"/>
          <w:iCs w:val="0"/>
          <w:highlight w:val="none"/>
        </w:rPr>
        <w:fldChar w:fldCharType="end"/>
      </w:r>
      <w:r>
        <w:rPr>
          <w:i w:val="0"/>
          <w:iCs w:val="0"/>
          <w:highlight w:val="none"/>
        </w:rPr>
        <w:fldChar w:fldCharType="end"/>
      </w:r>
    </w:p>
    <w:p w14:paraId="566DE014">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_Toc70 </w:instrText>
      </w:r>
      <w:r>
        <w:rPr>
          <w:i w:val="0"/>
          <w:iCs w:val="0"/>
          <w:highlight w:val="none"/>
        </w:rPr>
        <w:fldChar w:fldCharType="separate"/>
      </w:r>
      <w:r>
        <w:rPr>
          <w:rFonts w:ascii="宋体" w:hAnsi="宋体"/>
          <w:bCs/>
          <w:i w:val="0"/>
          <w:iCs w:val="0"/>
          <w:kern w:val="0"/>
          <w:szCs w:val="27"/>
          <w:highlight w:val="none"/>
        </w:rPr>
        <w:t>23.</w:t>
      </w:r>
      <w:r>
        <w:rPr>
          <w:rFonts w:hint="eastAsia" w:ascii="宋体" w:hAnsi="宋体"/>
          <w:bCs/>
          <w:i w:val="0"/>
          <w:iCs w:val="0"/>
          <w:kern w:val="0"/>
          <w:szCs w:val="27"/>
          <w:highlight w:val="none"/>
        </w:rPr>
        <w:t>签订合同</w:t>
      </w:r>
      <w:r>
        <w:rPr>
          <w:i w:val="0"/>
          <w:iCs w:val="0"/>
          <w:highlight w:val="none"/>
        </w:rPr>
        <w:tab/>
      </w:r>
      <w:r>
        <w:rPr>
          <w:i w:val="0"/>
          <w:iCs w:val="0"/>
          <w:highlight w:val="none"/>
        </w:rPr>
        <w:fldChar w:fldCharType="begin"/>
      </w:r>
      <w:r>
        <w:rPr>
          <w:i w:val="0"/>
          <w:iCs w:val="0"/>
          <w:highlight w:val="none"/>
        </w:rPr>
        <w:instrText xml:space="preserve"> PAGEREF _Toc70 \h </w:instrText>
      </w:r>
      <w:r>
        <w:rPr>
          <w:i w:val="0"/>
          <w:iCs w:val="0"/>
          <w:highlight w:val="none"/>
        </w:rPr>
        <w:fldChar w:fldCharType="separate"/>
      </w:r>
      <w:r>
        <w:rPr>
          <w:i w:val="0"/>
          <w:iCs w:val="0"/>
          <w:highlight w:val="none"/>
        </w:rPr>
        <w:t>18</w:t>
      </w:r>
      <w:r>
        <w:rPr>
          <w:i w:val="0"/>
          <w:iCs w:val="0"/>
          <w:highlight w:val="none"/>
        </w:rPr>
        <w:fldChar w:fldCharType="end"/>
      </w:r>
      <w:r>
        <w:rPr>
          <w:i w:val="0"/>
          <w:iCs w:val="0"/>
          <w:highlight w:val="none"/>
        </w:rPr>
        <w:fldChar w:fldCharType="end"/>
      </w:r>
    </w:p>
    <w:p w14:paraId="7FB6DC8F">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_Toc20832 </w:instrText>
      </w:r>
      <w:r>
        <w:rPr>
          <w:i w:val="0"/>
          <w:iCs w:val="0"/>
          <w:highlight w:val="none"/>
        </w:rPr>
        <w:fldChar w:fldCharType="separate"/>
      </w:r>
      <w:r>
        <w:rPr>
          <w:rFonts w:hint="eastAsia" w:ascii="宋体" w:hAnsi="宋体"/>
          <w:bCs/>
          <w:i w:val="0"/>
          <w:iCs w:val="0"/>
          <w:kern w:val="0"/>
          <w:szCs w:val="36"/>
          <w:highlight w:val="none"/>
        </w:rPr>
        <w:t>九、串通投标的认定及处理办法</w:t>
      </w:r>
      <w:r>
        <w:rPr>
          <w:i w:val="0"/>
          <w:iCs w:val="0"/>
          <w:highlight w:val="none"/>
        </w:rPr>
        <w:tab/>
      </w:r>
      <w:r>
        <w:rPr>
          <w:i w:val="0"/>
          <w:iCs w:val="0"/>
          <w:highlight w:val="none"/>
        </w:rPr>
        <w:fldChar w:fldCharType="begin"/>
      </w:r>
      <w:r>
        <w:rPr>
          <w:i w:val="0"/>
          <w:iCs w:val="0"/>
          <w:highlight w:val="none"/>
        </w:rPr>
        <w:instrText xml:space="preserve"> PAGEREF _Toc20832 \h </w:instrText>
      </w:r>
      <w:r>
        <w:rPr>
          <w:i w:val="0"/>
          <w:iCs w:val="0"/>
          <w:highlight w:val="none"/>
        </w:rPr>
        <w:fldChar w:fldCharType="separate"/>
      </w:r>
      <w:r>
        <w:rPr>
          <w:i w:val="0"/>
          <w:iCs w:val="0"/>
          <w:highlight w:val="none"/>
        </w:rPr>
        <w:t>19</w:t>
      </w:r>
      <w:r>
        <w:rPr>
          <w:i w:val="0"/>
          <w:iCs w:val="0"/>
          <w:highlight w:val="none"/>
        </w:rPr>
        <w:fldChar w:fldCharType="end"/>
      </w:r>
      <w:r>
        <w:rPr>
          <w:i w:val="0"/>
          <w:iCs w:val="0"/>
          <w:highlight w:val="none"/>
        </w:rPr>
        <w:fldChar w:fldCharType="end"/>
      </w:r>
    </w:p>
    <w:p w14:paraId="321D3459">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_Toc15694 </w:instrText>
      </w:r>
      <w:r>
        <w:rPr>
          <w:i w:val="0"/>
          <w:iCs w:val="0"/>
          <w:highlight w:val="none"/>
        </w:rPr>
        <w:fldChar w:fldCharType="separate"/>
      </w:r>
      <w:r>
        <w:rPr>
          <w:rFonts w:ascii="宋体" w:hAnsi="宋体"/>
          <w:bCs/>
          <w:i w:val="0"/>
          <w:iCs w:val="0"/>
          <w:kern w:val="0"/>
          <w:szCs w:val="27"/>
          <w:highlight w:val="none"/>
        </w:rPr>
        <w:t>24.</w:t>
      </w:r>
      <w:r>
        <w:rPr>
          <w:rFonts w:hint="eastAsia" w:ascii="宋体" w:hAnsi="宋体"/>
          <w:bCs/>
          <w:i w:val="0"/>
          <w:iCs w:val="0"/>
          <w:kern w:val="0"/>
          <w:szCs w:val="27"/>
          <w:highlight w:val="none"/>
        </w:rPr>
        <w:t>串通投标的情形</w:t>
      </w:r>
      <w:r>
        <w:rPr>
          <w:i w:val="0"/>
          <w:iCs w:val="0"/>
          <w:highlight w:val="none"/>
        </w:rPr>
        <w:tab/>
      </w:r>
      <w:r>
        <w:rPr>
          <w:i w:val="0"/>
          <w:iCs w:val="0"/>
          <w:highlight w:val="none"/>
        </w:rPr>
        <w:fldChar w:fldCharType="begin"/>
      </w:r>
      <w:r>
        <w:rPr>
          <w:i w:val="0"/>
          <w:iCs w:val="0"/>
          <w:highlight w:val="none"/>
        </w:rPr>
        <w:instrText xml:space="preserve"> PAGEREF _Toc15694 \h </w:instrText>
      </w:r>
      <w:r>
        <w:rPr>
          <w:i w:val="0"/>
          <w:iCs w:val="0"/>
          <w:highlight w:val="none"/>
        </w:rPr>
        <w:fldChar w:fldCharType="separate"/>
      </w:r>
      <w:r>
        <w:rPr>
          <w:i w:val="0"/>
          <w:iCs w:val="0"/>
          <w:highlight w:val="none"/>
        </w:rPr>
        <w:t>19</w:t>
      </w:r>
      <w:r>
        <w:rPr>
          <w:i w:val="0"/>
          <w:iCs w:val="0"/>
          <w:highlight w:val="none"/>
        </w:rPr>
        <w:fldChar w:fldCharType="end"/>
      </w:r>
      <w:r>
        <w:rPr>
          <w:i w:val="0"/>
          <w:iCs w:val="0"/>
          <w:highlight w:val="none"/>
        </w:rPr>
        <w:fldChar w:fldCharType="end"/>
      </w:r>
    </w:p>
    <w:p w14:paraId="0FA16249">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_Toc8706 </w:instrText>
      </w:r>
      <w:r>
        <w:rPr>
          <w:i w:val="0"/>
          <w:iCs w:val="0"/>
          <w:highlight w:val="none"/>
        </w:rPr>
        <w:fldChar w:fldCharType="separate"/>
      </w:r>
      <w:r>
        <w:rPr>
          <w:rFonts w:hint="eastAsia" w:ascii="宋体" w:hAnsi="宋体"/>
          <w:bCs/>
          <w:i w:val="0"/>
          <w:iCs w:val="0"/>
          <w:kern w:val="0"/>
          <w:szCs w:val="36"/>
          <w:highlight w:val="none"/>
        </w:rPr>
        <w:t>十、磋商活动终止</w:t>
      </w:r>
      <w:r>
        <w:rPr>
          <w:i w:val="0"/>
          <w:iCs w:val="0"/>
          <w:highlight w:val="none"/>
        </w:rPr>
        <w:tab/>
      </w:r>
      <w:r>
        <w:rPr>
          <w:i w:val="0"/>
          <w:iCs w:val="0"/>
          <w:highlight w:val="none"/>
        </w:rPr>
        <w:fldChar w:fldCharType="begin"/>
      </w:r>
      <w:r>
        <w:rPr>
          <w:i w:val="0"/>
          <w:iCs w:val="0"/>
          <w:highlight w:val="none"/>
        </w:rPr>
        <w:instrText xml:space="preserve"> PAGEREF _Toc8706 \h </w:instrText>
      </w:r>
      <w:r>
        <w:rPr>
          <w:i w:val="0"/>
          <w:iCs w:val="0"/>
          <w:highlight w:val="none"/>
        </w:rPr>
        <w:fldChar w:fldCharType="separate"/>
      </w:r>
      <w:r>
        <w:rPr>
          <w:i w:val="0"/>
          <w:iCs w:val="0"/>
          <w:highlight w:val="none"/>
        </w:rPr>
        <w:t>19</w:t>
      </w:r>
      <w:r>
        <w:rPr>
          <w:i w:val="0"/>
          <w:iCs w:val="0"/>
          <w:highlight w:val="none"/>
        </w:rPr>
        <w:fldChar w:fldCharType="end"/>
      </w:r>
      <w:r>
        <w:rPr>
          <w:i w:val="0"/>
          <w:iCs w:val="0"/>
          <w:highlight w:val="none"/>
        </w:rPr>
        <w:fldChar w:fldCharType="end"/>
      </w:r>
    </w:p>
    <w:p w14:paraId="1F6EF514">
      <w:pPr>
        <w:pStyle w:val="13"/>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_Toc26591 </w:instrText>
      </w:r>
      <w:r>
        <w:rPr>
          <w:i w:val="0"/>
          <w:iCs w:val="0"/>
          <w:highlight w:val="none"/>
        </w:rPr>
        <w:fldChar w:fldCharType="separate"/>
      </w:r>
      <w:r>
        <w:rPr>
          <w:rFonts w:ascii="宋体" w:hAnsi="宋体"/>
          <w:bCs/>
          <w:i w:val="0"/>
          <w:iCs w:val="0"/>
          <w:kern w:val="0"/>
          <w:szCs w:val="27"/>
          <w:highlight w:val="none"/>
        </w:rPr>
        <w:t xml:space="preserve">25. </w:t>
      </w:r>
      <w:r>
        <w:rPr>
          <w:rFonts w:hint="eastAsia" w:ascii="宋体" w:hAnsi="宋体"/>
          <w:bCs/>
          <w:i w:val="0"/>
          <w:iCs w:val="0"/>
          <w:kern w:val="0"/>
          <w:szCs w:val="27"/>
          <w:highlight w:val="none"/>
        </w:rPr>
        <w:t>终止情形</w:t>
      </w:r>
      <w:r>
        <w:rPr>
          <w:i w:val="0"/>
          <w:iCs w:val="0"/>
          <w:highlight w:val="none"/>
        </w:rPr>
        <w:tab/>
      </w:r>
      <w:r>
        <w:rPr>
          <w:i w:val="0"/>
          <w:iCs w:val="0"/>
          <w:highlight w:val="none"/>
        </w:rPr>
        <w:fldChar w:fldCharType="begin"/>
      </w:r>
      <w:r>
        <w:rPr>
          <w:i w:val="0"/>
          <w:iCs w:val="0"/>
          <w:highlight w:val="none"/>
        </w:rPr>
        <w:instrText xml:space="preserve"> PAGEREF _Toc26591 \h </w:instrText>
      </w:r>
      <w:r>
        <w:rPr>
          <w:i w:val="0"/>
          <w:iCs w:val="0"/>
          <w:highlight w:val="none"/>
        </w:rPr>
        <w:fldChar w:fldCharType="separate"/>
      </w:r>
      <w:r>
        <w:rPr>
          <w:i w:val="0"/>
          <w:iCs w:val="0"/>
          <w:highlight w:val="none"/>
        </w:rPr>
        <w:t>19</w:t>
      </w:r>
      <w:r>
        <w:rPr>
          <w:i w:val="0"/>
          <w:iCs w:val="0"/>
          <w:highlight w:val="none"/>
        </w:rPr>
        <w:fldChar w:fldCharType="end"/>
      </w:r>
      <w:r>
        <w:rPr>
          <w:i w:val="0"/>
          <w:iCs w:val="0"/>
          <w:highlight w:val="none"/>
        </w:rPr>
        <w:fldChar w:fldCharType="end"/>
      </w:r>
    </w:p>
    <w:p w14:paraId="5B92684B">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_Toc12810 </w:instrText>
      </w:r>
      <w:r>
        <w:rPr>
          <w:i w:val="0"/>
          <w:iCs w:val="0"/>
          <w:highlight w:val="none"/>
        </w:rPr>
        <w:fldChar w:fldCharType="separate"/>
      </w:r>
      <w:r>
        <w:rPr>
          <w:rFonts w:hint="eastAsia" w:ascii="宋体" w:hAnsi="宋体"/>
          <w:bCs/>
          <w:i w:val="0"/>
          <w:iCs w:val="0"/>
          <w:kern w:val="0"/>
          <w:szCs w:val="36"/>
          <w:highlight w:val="none"/>
        </w:rPr>
        <w:t xml:space="preserve">十一、 </w:t>
      </w:r>
      <w:r>
        <w:rPr>
          <w:rFonts w:hint="eastAsia" w:ascii="宋体" w:hAnsi="宋体"/>
          <w:bCs/>
          <w:i w:val="0"/>
          <w:iCs w:val="0"/>
          <w:kern w:val="0"/>
          <w:szCs w:val="36"/>
          <w:highlight w:val="none"/>
        </w:rPr>
        <w:t>处罚</w:t>
      </w:r>
      <w:r>
        <w:rPr>
          <w:i w:val="0"/>
          <w:iCs w:val="0"/>
          <w:highlight w:val="none"/>
        </w:rPr>
        <w:tab/>
      </w:r>
      <w:r>
        <w:rPr>
          <w:i w:val="0"/>
          <w:iCs w:val="0"/>
          <w:highlight w:val="none"/>
        </w:rPr>
        <w:fldChar w:fldCharType="begin"/>
      </w:r>
      <w:r>
        <w:rPr>
          <w:i w:val="0"/>
          <w:iCs w:val="0"/>
          <w:highlight w:val="none"/>
        </w:rPr>
        <w:instrText xml:space="preserve"> PAGEREF _Toc12810 \h </w:instrText>
      </w:r>
      <w:r>
        <w:rPr>
          <w:i w:val="0"/>
          <w:iCs w:val="0"/>
          <w:highlight w:val="none"/>
        </w:rPr>
        <w:fldChar w:fldCharType="separate"/>
      </w:r>
      <w:r>
        <w:rPr>
          <w:i w:val="0"/>
          <w:iCs w:val="0"/>
          <w:highlight w:val="none"/>
        </w:rPr>
        <w:t>19</w:t>
      </w:r>
      <w:r>
        <w:rPr>
          <w:i w:val="0"/>
          <w:iCs w:val="0"/>
          <w:highlight w:val="none"/>
        </w:rPr>
        <w:fldChar w:fldCharType="end"/>
      </w:r>
      <w:r>
        <w:rPr>
          <w:i w:val="0"/>
          <w:iCs w:val="0"/>
          <w:highlight w:val="none"/>
        </w:rPr>
        <w:fldChar w:fldCharType="end"/>
      </w:r>
    </w:p>
    <w:p w14:paraId="4A3130FA">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_Toc22835 </w:instrText>
      </w:r>
      <w:r>
        <w:rPr>
          <w:i w:val="0"/>
          <w:iCs w:val="0"/>
          <w:highlight w:val="none"/>
        </w:rPr>
        <w:fldChar w:fldCharType="separate"/>
      </w:r>
      <w:r>
        <w:rPr>
          <w:rFonts w:ascii="宋体" w:hAnsi="宋体"/>
          <w:bCs/>
          <w:i w:val="0"/>
          <w:iCs w:val="0"/>
          <w:kern w:val="0"/>
          <w:szCs w:val="27"/>
          <w:highlight w:val="none"/>
        </w:rPr>
        <w:t>26.</w:t>
      </w:r>
      <w:r>
        <w:rPr>
          <w:rFonts w:hint="eastAsia" w:ascii="宋体" w:hAnsi="宋体"/>
          <w:bCs/>
          <w:i w:val="0"/>
          <w:iCs w:val="0"/>
          <w:kern w:val="0"/>
          <w:szCs w:val="27"/>
          <w:highlight w:val="none"/>
        </w:rPr>
        <w:t>处罚情形</w:t>
      </w:r>
      <w:r>
        <w:rPr>
          <w:i w:val="0"/>
          <w:iCs w:val="0"/>
          <w:highlight w:val="none"/>
        </w:rPr>
        <w:tab/>
      </w:r>
      <w:r>
        <w:rPr>
          <w:i w:val="0"/>
          <w:iCs w:val="0"/>
          <w:highlight w:val="none"/>
        </w:rPr>
        <w:fldChar w:fldCharType="begin"/>
      </w:r>
      <w:r>
        <w:rPr>
          <w:i w:val="0"/>
          <w:iCs w:val="0"/>
          <w:highlight w:val="none"/>
        </w:rPr>
        <w:instrText xml:space="preserve"> PAGEREF _Toc22835 \h </w:instrText>
      </w:r>
      <w:r>
        <w:rPr>
          <w:i w:val="0"/>
          <w:iCs w:val="0"/>
          <w:highlight w:val="none"/>
        </w:rPr>
        <w:fldChar w:fldCharType="separate"/>
      </w:r>
      <w:r>
        <w:rPr>
          <w:i w:val="0"/>
          <w:iCs w:val="0"/>
          <w:highlight w:val="none"/>
        </w:rPr>
        <w:t>20</w:t>
      </w:r>
      <w:r>
        <w:rPr>
          <w:i w:val="0"/>
          <w:iCs w:val="0"/>
          <w:highlight w:val="none"/>
        </w:rPr>
        <w:fldChar w:fldCharType="end"/>
      </w:r>
      <w:r>
        <w:rPr>
          <w:i w:val="0"/>
          <w:iCs w:val="0"/>
          <w:highlight w:val="none"/>
        </w:rPr>
        <w:fldChar w:fldCharType="end"/>
      </w:r>
    </w:p>
    <w:p w14:paraId="1FACB59F">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_Toc2022 </w:instrText>
      </w:r>
      <w:r>
        <w:rPr>
          <w:i w:val="0"/>
          <w:iCs w:val="0"/>
          <w:highlight w:val="none"/>
        </w:rPr>
        <w:fldChar w:fldCharType="separate"/>
      </w:r>
      <w:r>
        <w:rPr>
          <w:rFonts w:hint="eastAsia" w:ascii="宋体" w:hAnsi="宋体"/>
          <w:bCs/>
          <w:i w:val="0"/>
          <w:iCs w:val="0"/>
          <w:kern w:val="0"/>
          <w:szCs w:val="36"/>
          <w:highlight w:val="none"/>
        </w:rPr>
        <w:t>十二、其他</w:t>
      </w:r>
      <w:r>
        <w:rPr>
          <w:i w:val="0"/>
          <w:iCs w:val="0"/>
          <w:highlight w:val="none"/>
        </w:rPr>
        <w:tab/>
      </w:r>
      <w:r>
        <w:rPr>
          <w:i w:val="0"/>
          <w:iCs w:val="0"/>
          <w:highlight w:val="none"/>
        </w:rPr>
        <w:fldChar w:fldCharType="begin"/>
      </w:r>
      <w:r>
        <w:rPr>
          <w:i w:val="0"/>
          <w:iCs w:val="0"/>
          <w:highlight w:val="none"/>
        </w:rPr>
        <w:instrText xml:space="preserve"> PAGEREF _Toc2022 \h </w:instrText>
      </w:r>
      <w:r>
        <w:rPr>
          <w:i w:val="0"/>
          <w:iCs w:val="0"/>
          <w:highlight w:val="none"/>
        </w:rPr>
        <w:fldChar w:fldCharType="separate"/>
      </w:r>
      <w:r>
        <w:rPr>
          <w:i w:val="0"/>
          <w:iCs w:val="0"/>
          <w:highlight w:val="none"/>
        </w:rPr>
        <w:t>20</w:t>
      </w:r>
      <w:r>
        <w:rPr>
          <w:i w:val="0"/>
          <w:iCs w:val="0"/>
          <w:highlight w:val="none"/>
        </w:rPr>
        <w:fldChar w:fldCharType="end"/>
      </w:r>
      <w:r>
        <w:rPr>
          <w:i w:val="0"/>
          <w:iCs w:val="0"/>
          <w:highlight w:val="none"/>
        </w:rPr>
        <w:fldChar w:fldCharType="end"/>
      </w:r>
    </w:p>
    <w:p w14:paraId="7740E03E">
      <w:pPr>
        <w:pStyle w:val="18"/>
        <w:tabs>
          <w:tab w:val="right" w:leader="dot" w:pos="8787"/>
        </w:tabs>
        <w:rPr>
          <w:i w:val="0"/>
          <w:iCs w:val="0"/>
          <w:highlight w:val="none"/>
        </w:rPr>
      </w:pPr>
      <w:r>
        <w:rPr>
          <w:i w:val="0"/>
          <w:iCs w:val="0"/>
          <w:highlight w:val="none"/>
        </w:rPr>
        <w:fldChar w:fldCharType="begin"/>
      </w:r>
      <w:r>
        <w:rPr>
          <w:i w:val="0"/>
          <w:iCs w:val="0"/>
          <w:highlight w:val="none"/>
        </w:rPr>
        <w:instrText xml:space="preserve"> HYPERLINK \l _Toc12215 </w:instrText>
      </w:r>
      <w:r>
        <w:rPr>
          <w:i w:val="0"/>
          <w:iCs w:val="0"/>
          <w:highlight w:val="none"/>
        </w:rPr>
        <w:fldChar w:fldCharType="separate"/>
      </w:r>
      <w:r>
        <w:rPr>
          <w:rFonts w:hint="eastAsia" w:ascii="宋体"/>
          <w:i w:val="0"/>
          <w:iCs w:val="0"/>
          <w:kern w:val="28"/>
          <w:szCs w:val="20"/>
          <w:highlight w:val="none"/>
        </w:rPr>
        <w:t>第三部分</w:t>
      </w:r>
      <w:r>
        <w:rPr>
          <w:rFonts w:ascii="宋体"/>
          <w:i w:val="0"/>
          <w:iCs w:val="0"/>
          <w:kern w:val="28"/>
          <w:szCs w:val="20"/>
          <w:highlight w:val="none"/>
        </w:rPr>
        <w:t xml:space="preserve">  </w:t>
      </w:r>
      <w:r>
        <w:rPr>
          <w:rFonts w:hint="eastAsia" w:ascii="宋体"/>
          <w:i w:val="0"/>
          <w:iCs w:val="0"/>
          <w:kern w:val="28"/>
          <w:szCs w:val="20"/>
          <w:highlight w:val="none"/>
        </w:rPr>
        <w:t>青海省政府采购项目合同书范本</w:t>
      </w:r>
      <w:r>
        <w:rPr>
          <w:i w:val="0"/>
          <w:iCs w:val="0"/>
          <w:highlight w:val="none"/>
        </w:rPr>
        <w:tab/>
      </w:r>
      <w:r>
        <w:rPr>
          <w:i w:val="0"/>
          <w:iCs w:val="0"/>
          <w:highlight w:val="none"/>
        </w:rPr>
        <w:fldChar w:fldCharType="begin"/>
      </w:r>
      <w:r>
        <w:rPr>
          <w:i w:val="0"/>
          <w:iCs w:val="0"/>
          <w:highlight w:val="none"/>
        </w:rPr>
        <w:instrText xml:space="preserve"> PAGEREF _Toc12215 \h </w:instrText>
      </w:r>
      <w:r>
        <w:rPr>
          <w:i w:val="0"/>
          <w:iCs w:val="0"/>
          <w:highlight w:val="none"/>
        </w:rPr>
        <w:fldChar w:fldCharType="separate"/>
      </w:r>
      <w:r>
        <w:rPr>
          <w:i w:val="0"/>
          <w:iCs w:val="0"/>
          <w:highlight w:val="none"/>
        </w:rPr>
        <w:t>21</w:t>
      </w:r>
      <w:r>
        <w:rPr>
          <w:i w:val="0"/>
          <w:iCs w:val="0"/>
          <w:highlight w:val="none"/>
        </w:rPr>
        <w:fldChar w:fldCharType="end"/>
      </w:r>
      <w:r>
        <w:rPr>
          <w:i w:val="0"/>
          <w:iCs w:val="0"/>
          <w:highlight w:val="none"/>
        </w:rPr>
        <w:fldChar w:fldCharType="end"/>
      </w:r>
    </w:p>
    <w:p w14:paraId="3AE9CEBD">
      <w:pPr>
        <w:pStyle w:val="18"/>
        <w:tabs>
          <w:tab w:val="right" w:leader="dot" w:pos="8787"/>
        </w:tabs>
        <w:rPr>
          <w:i w:val="0"/>
          <w:iCs w:val="0"/>
          <w:highlight w:val="none"/>
        </w:rPr>
      </w:pPr>
      <w:r>
        <w:rPr>
          <w:i w:val="0"/>
          <w:iCs w:val="0"/>
          <w:highlight w:val="none"/>
        </w:rPr>
        <w:fldChar w:fldCharType="begin"/>
      </w:r>
      <w:r>
        <w:rPr>
          <w:i w:val="0"/>
          <w:iCs w:val="0"/>
          <w:highlight w:val="none"/>
        </w:rPr>
        <w:instrText xml:space="preserve"> HYPERLINK \l _Toc31547 </w:instrText>
      </w:r>
      <w:r>
        <w:rPr>
          <w:i w:val="0"/>
          <w:iCs w:val="0"/>
          <w:highlight w:val="none"/>
        </w:rPr>
        <w:fldChar w:fldCharType="separate"/>
      </w:r>
      <w:r>
        <w:rPr>
          <w:rFonts w:hint="eastAsia" w:ascii="宋体"/>
          <w:i w:val="0"/>
          <w:iCs w:val="0"/>
          <w:kern w:val="28"/>
          <w:szCs w:val="20"/>
          <w:highlight w:val="none"/>
        </w:rPr>
        <w:t>第四部分</w:t>
      </w:r>
      <w:r>
        <w:rPr>
          <w:rFonts w:ascii="宋体"/>
          <w:i w:val="0"/>
          <w:iCs w:val="0"/>
          <w:kern w:val="28"/>
          <w:szCs w:val="20"/>
          <w:highlight w:val="none"/>
        </w:rPr>
        <w:t xml:space="preserve">  </w:t>
      </w:r>
      <w:r>
        <w:rPr>
          <w:rFonts w:hint="eastAsia" w:ascii="宋体"/>
          <w:i w:val="0"/>
          <w:iCs w:val="0"/>
          <w:kern w:val="28"/>
          <w:szCs w:val="20"/>
          <w:highlight w:val="none"/>
        </w:rPr>
        <w:t>磋商响应文件格式</w:t>
      </w:r>
      <w:r>
        <w:rPr>
          <w:i w:val="0"/>
          <w:iCs w:val="0"/>
          <w:highlight w:val="none"/>
        </w:rPr>
        <w:tab/>
      </w:r>
      <w:r>
        <w:rPr>
          <w:i w:val="0"/>
          <w:iCs w:val="0"/>
          <w:highlight w:val="none"/>
        </w:rPr>
        <w:fldChar w:fldCharType="begin"/>
      </w:r>
      <w:r>
        <w:rPr>
          <w:i w:val="0"/>
          <w:iCs w:val="0"/>
          <w:highlight w:val="none"/>
        </w:rPr>
        <w:instrText xml:space="preserve"> PAGEREF _Toc31547 \h </w:instrText>
      </w:r>
      <w:r>
        <w:rPr>
          <w:i w:val="0"/>
          <w:iCs w:val="0"/>
          <w:highlight w:val="none"/>
        </w:rPr>
        <w:fldChar w:fldCharType="separate"/>
      </w:r>
      <w:r>
        <w:rPr>
          <w:i w:val="0"/>
          <w:iCs w:val="0"/>
          <w:highlight w:val="none"/>
        </w:rPr>
        <w:t>33</w:t>
      </w:r>
      <w:r>
        <w:rPr>
          <w:i w:val="0"/>
          <w:iCs w:val="0"/>
          <w:highlight w:val="none"/>
        </w:rPr>
        <w:fldChar w:fldCharType="end"/>
      </w:r>
      <w:r>
        <w:rPr>
          <w:i w:val="0"/>
          <w:iCs w:val="0"/>
          <w:highlight w:val="none"/>
        </w:rPr>
        <w:fldChar w:fldCharType="end"/>
      </w:r>
    </w:p>
    <w:p w14:paraId="029A89E1">
      <w:pPr>
        <w:pStyle w:val="18"/>
        <w:tabs>
          <w:tab w:val="right" w:leader="dot" w:pos="8787"/>
        </w:tabs>
        <w:rPr>
          <w:i w:val="0"/>
          <w:iCs w:val="0"/>
          <w:highlight w:val="none"/>
        </w:rPr>
      </w:pPr>
      <w:r>
        <w:rPr>
          <w:i w:val="0"/>
          <w:iCs w:val="0"/>
          <w:highlight w:val="none"/>
        </w:rPr>
        <w:fldChar w:fldCharType="begin"/>
      </w:r>
      <w:r>
        <w:rPr>
          <w:i w:val="0"/>
          <w:iCs w:val="0"/>
          <w:highlight w:val="none"/>
        </w:rPr>
        <w:instrText xml:space="preserve"> HYPERLINK \l _Toc29623 </w:instrText>
      </w:r>
      <w:r>
        <w:rPr>
          <w:i w:val="0"/>
          <w:iCs w:val="0"/>
          <w:highlight w:val="none"/>
        </w:rPr>
        <w:fldChar w:fldCharType="separate"/>
      </w:r>
      <w:r>
        <w:rPr>
          <w:rFonts w:hint="eastAsia" w:ascii="宋体"/>
          <w:i w:val="0"/>
          <w:iCs w:val="0"/>
          <w:kern w:val="28"/>
          <w:szCs w:val="20"/>
          <w:highlight w:val="none"/>
        </w:rPr>
        <w:t>磋商响应文件的组成</w:t>
      </w:r>
      <w:r>
        <w:rPr>
          <w:i w:val="0"/>
          <w:iCs w:val="0"/>
          <w:highlight w:val="none"/>
        </w:rPr>
        <w:tab/>
      </w:r>
      <w:r>
        <w:rPr>
          <w:i w:val="0"/>
          <w:iCs w:val="0"/>
          <w:highlight w:val="none"/>
        </w:rPr>
        <w:fldChar w:fldCharType="begin"/>
      </w:r>
      <w:r>
        <w:rPr>
          <w:i w:val="0"/>
          <w:iCs w:val="0"/>
          <w:highlight w:val="none"/>
        </w:rPr>
        <w:instrText xml:space="preserve"> PAGEREF _Toc29623 \h </w:instrText>
      </w:r>
      <w:r>
        <w:rPr>
          <w:i w:val="0"/>
          <w:iCs w:val="0"/>
          <w:highlight w:val="none"/>
        </w:rPr>
        <w:fldChar w:fldCharType="separate"/>
      </w:r>
      <w:r>
        <w:rPr>
          <w:i w:val="0"/>
          <w:iCs w:val="0"/>
          <w:highlight w:val="none"/>
        </w:rPr>
        <w:t>33</w:t>
      </w:r>
      <w:r>
        <w:rPr>
          <w:i w:val="0"/>
          <w:iCs w:val="0"/>
          <w:highlight w:val="none"/>
        </w:rPr>
        <w:fldChar w:fldCharType="end"/>
      </w:r>
      <w:r>
        <w:rPr>
          <w:i w:val="0"/>
          <w:iCs w:val="0"/>
          <w:highlight w:val="none"/>
        </w:rPr>
        <w:fldChar w:fldCharType="end"/>
      </w:r>
    </w:p>
    <w:p w14:paraId="5CD7F2DB">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_Toc19804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：磋商函</w:t>
      </w:r>
      <w:r>
        <w:rPr>
          <w:i w:val="0"/>
          <w:iCs w:val="0"/>
          <w:highlight w:val="none"/>
        </w:rPr>
        <w:tab/>
      </w:r>
      <w:r>
        <w:rPr>
          <w:i w:val="0"/>
          <w:iCs w:val="0"/>
          <w:highlight w:val="none"/>
        </w:rPr>
        <w:fldChar w:fldCharType="begin"/>
      </w:r>
      <w:r>
        <w:rPr>
          <w:i w:val="0"/>
          <w:iCs w:val="0"/>
          <w:highlight w:val="none"/>
        </w:rPr>
        <w:instrText xml:space="preserve"> PAGEREF _Toc19804 \h </w:instrText>
      </w:r>
      <w:r>
        <w:rPr>
          <w:i w:val="0"/>
          <w:iCs w:val="0"/>
          <w:highlight w:val="none"/>
        </w:rPr>
        <w:fldChar w:fldCharType="separate"/>
      </w:r>
      <w:r>
        <w:rPr>
          <w:i w:val="0"/>
          <w:iCs w:val="0"/>
          <w:highlight w:val="none"/>
        </w:rPr>
        <w:t>35</w:t>
      </w:r>
      <w:r>
        <w:rPr>
          <w:i w:val="0"/>
          <w:iCs w:val="0"/>
          <w:highlight w:val="none"/>
        </w:rPr>
        <w:fldChar w:fldCharType="end"/>
      </w:r>
      <w:r>
        <w:rPr>
          <w:i w:val="0"/>
          <w:iCs w:val="0"/>
          <w:highlight w:val="none"/>
        </w:rPr>
        <w:fldChar w:fldCharType="end"/>
      </w:r>
    </w:p>
    <w:p w14:paraId="08D728F1">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_Toc14991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2</w:t>
      </w:r>
      <w:r>
        <w:rPr>
          <w:rFonts w:hint="eastAsia" w:ascii="宋体"/>
          <w:i w:val="0"/>
          <w:iCs w:val="0"/>
          <w:szCs w:val="28"/>
          <w:highlight w:val="none"/>
        </w:rPr>
        <w:t>：法定代表人证明书</w:t>
      </w:r>
      <w:r>
        <w:rPr>
          <w:i w:val="0"/>
          <w:iCs w:val="0"/>
          <w:highlight w:val="none"/>
        </w:rPr>
        <w:tab/>
      </w:r>
      <w:r>
        <w:rPr>
          <w:i w:val="0"/>
          <w:iCs w:val="0"/>
          <w:highlight w:val="none"/>
        </w:rPr>
        <w:fldChar w:fldCharType="begin"/>
      </w:r>
      <w:r>
        <w:rPr>
          <w:i w:val="0"/>
          <w:iCs w:val="0"/>
          <w:highlight w:val="none"/>
        </w:rPr>
        <w:instrText xml:space="preserve"> PAGEREF _Toc14991 \h </w:instrText>
      </w:r>
      <w:r>
        <w:rPr>
          <w:i w:val="0"/>
          <w:iCs w:val="0"/>
          <w:highlight w:val="none"/>
        </w:rPr>
        <w:fldChar w:fldCharType="separate"/>
      </w:r>
      <w:r>
        <w:rPr>
          <w:i w:val="0"/>
          <w:iCs w:val="0"/>
          <w:highlight w:val="none"/>
        </w:rPr>
        <w:t>36</w:t>
      </w:r>
      <w:r>
        <w:rPr>
          <w:i w:val="0"/>
          <w:iCs w:val="0"/>
          <w:highlight w:val="none"/>
        </w:rPr>
        <w:fldChar w:fldCharType="end"/>
      </w:r>
      <w:r>
        <w:rPr>
          <w:i w:val="0"/>
          <w:iCs w:val="0"/>
          <w:highlight w:val="none"/>
        </w:rPr>
        <w:fldChar w:fldCharType="end"/>
      </w:r>
    </w:p>
    <w:p w14:paraId="3974AD67">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_Toc31297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3</w:t>
      </w:r>
      <w:r>
        <w:rPr>
          <w:rFonts w:hint="eastAsia" w:ascii="宋体"/>
          <w:i w:val="0"/>
          <w:iCs w:val="0"/>
          <w:szCs w:val="28"/>
          <w:highlight w:val="none"/>
        </w:rPr>
        <w:t>：法定代表人授权书</w:t>
      </w:r>
      <w:r>
        <w:rPr>
          <w:i w:val="0"/>
          <w:iCs w:val="0"/>
          <w:highlight w:val="none"/>
        </w:rPr>
        <w:tab/>
      </w:r>
      <w:r>
        <w:rPr>
          <w:i w:val="0"/>
          <w:iCs w:val="0"/>
          <w:highlight w:val="none"/>
        </w:rPr>
        <w:fldChar w:fldCharType="begin"/>
      </w:r>
      <w:r>
        <w:rPr>
          <w:i w:val="0"/>
          <w:iCs w:val="0"/>
          <w:highlight w:val="none"/>
        </w:rPr>
        <w:instrText xml:space="preserve"> PAGEREF _Toc31297 \h </w:instrText>
      </w:r>
      <w:r>
        <w:rPr>
          <w:i w:val="0"/>
          <w:iCs w:val="0"/>
          <w:highlight w:val="none"/>
        </w:rPr>
        <w:fldChar w:fldCharType="separate"/>
      </w:r>
      <w:r>
        <w:rPr>
          <w:i w:val="0"/>
          <w:iCs w:val="0"/>
          <w:highlight w:val="none"/>
        </w:rPr>
        <w:t>37</w:t>
      </w:r>
      <w:r>
        <w:rPr>
          <w:i w:val="0"/>
          <w:iCs w:val="0"/>
          <w:highlight w:val="none"/>
        </w:rPr>
        <w:fldChar w:fldCharType="end"/>
      </w:r>
      <w:r>
        <w:rPr>
          <w:i w:val="0"/>
          <w:iCs w:val="0"/>
          <w:highlight w:val="none"/>
        </w:rPr>
        <w:fldChar w:fldCharType="end"/>
      </w:r>
    </w:p>
    <w:p w14:paraId="76F0AE7A">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_Toc1082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4</w:t>
      </w:r>
      <w:r>
        <w:rPr>
          <w:rFonts w:hint="eastAsia" w:ascii="宋体"/>
          <w:i w:val="0"/>
          <w:iCs w:val="0"/>
          <w:szCs w:val="28"/>
          <w:highlight w:val="none"/>
        </w:rPr>
        <w:t>：供应商承诺函</w:t>
      </w:r>
      <w:r>
        <w:rPr>
          <w:i w:val="0"/>
          <w:iCs w:val="0"/>
          <w:highlight w:val="none"/>
        </w:rPr>
        <w:tab/>
      </w:r>
      <w:r>
        <w:rPr>
          <w:i w:val="0"/>
          <w:iCs w:val="0"/>
          <w:highlight w:val="none"/>
        </w:rPr>
        <w:fldChar w:fldCharType="begin"/>
      </w:r>
      <w:r>
        <w:rPr>
          <w:i w:val="0"/>
          <w:iCs w:val="0"/>
          <w:highlight w:val="none"/>
        </w:rPr>
        <w:instrText xml:space="preserve"> PAGEREF _Toc1082 \h </w:instrText>
      </w:r>
      <w:r>
        <w:rPr>
          <w:i w:val="0"/>
          <w:iCs w:val="0"/>
          <w:highlight w:val="none"/>
        </w:rPr>
        <w:fldChar w:fldCharType="separate"/>
      </w:r>
      <w:r>
        <w:rPr>
          <w:i w:val="0"/>
          <w:iCs w:val="0"/>
          <w:highlight w:val="none"/>
        </w:rPr>
        <w:t>38</w:t>
      </w:r>
      <w:r>
        <w:rPr>
          <w:i w:val="0"/>
          <w:iCs w:val="0"/>
          <w:highlight w:val="none"/>
        </w:rPr>
        <w:fldChar w:fldCharType="end"/>
      </w:r>
      <w:r>
        <w:rPr>
          <w:i w:val="0"/>
          <w:iCs w:val="0"/>
          <w:highlight w:val="none"/>
        </w:rPr>
        <w:fldChar w:fldCharType="end"/>
      </w:r>
    </w:p>
    <w:p w14:paraId="78A45094">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_Toc11858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5</w:t>
      </w:r>
      <w:r>
        <w:rPr>
          <w:rFonts w:hint="eastAsia" w:ascii="宋体"/>
          <w:i w:val="0"/>
          <w:iCs w:val="0"/>
          <w:szCs w:val="28"/>
          <w:highlight w:val="none"/>
        </w:rPr>
        <w:t>：供应商诚信承诺书</w:t>
      </w:r>
      <w:r>
        <w:rPr>
          <w:i w:val="0"/>
          <w:iCs w:val="0"/>
          <w:highlight w:val="none"/>
        </w:rPr>
        <w:tab/>
      </w:r>
      <w:r>
        <w:rPr>
          <w:i w:val="0"/>
          <w:iCs w:val="0"/>
          <w:highlight w:val="none"/>
        </w:rPr>
        <w:fldChar w:fldCharType="begin"/>
      </w:r>
      <w:r>
        <w:rPr>
          <w:i w:val="0"/>
          <w:iCs w:val="0"/>
          <w:highlight w:val="none"/>
        </w:rPr>
        <w:instrText xml:space="preserve"> PAGEREF _Toc11858 \h </w:instrText>
      </w:r>
      <w:r>
        <w:rPr>
          <w:i w:val="0"/>
          <w:iCs w:val="0"/>
          <w:highlight w:val="none"/>
        </w:rPr>
        <w:fldChar w:fldCharType="separate"/>
      </w:r>
      <w:r>
        <w:rPr>
          <w:i w:val="0"/>
          <w:iCs w:val="0"/>
          <w:highlight w:val="none"/>
        </w:rPr>
        <w:t>39</w:t>
      </w:r>
      <w:r>
        <w:rPr>
          <w:i w:val="0"/>
          <w:iCs w:val="0"/>
          <w:highlight w:val="none"/>
        </w:rPr>
        <w:fldChar w:fldCharType="end"/>
      </w:r>
      <w:r>
        <w:rPr>
          <w:i w:val="0"/>
          <w:iCs w:val="0"/>
          <w:highlight w:val="none"/>
        </w:rPr>
        <w:fldChar w:fldCharType="end"/>
      </w:r>
    </w:p>
    <w:p w14:paraId="168A02A9">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_Toc11890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6</w:t>
      </w:r>
      <w:r>
        <w:rPr>
          <w:rFonts w:hint="eastAsia" w:ascii="宋体"/>
          <w:i w:val="0"/>
          <w:iCs w:val="0"/>
          <w:szCs w:val="28"/>
          <w:highlight w:val="none"/>
        </w:rPr>
        <w:t>：供应商资格证明文件</w:t>
      </w:r>
      <w:r>
        <w:rPr>
          <w:i w:val="0"/>
          <w:iCs w:val="0"/>
          <w:highlight w:val="none"/>
        </w:rPr>
        <w:tab/>
      </w:r>
      <w:r>
        <w:rPr>
          <w:i w:val="0"/>
          <w:iCs w:val="0"/>
          <w:highlight w:val="none"/>
        </w:rPr>
        <w:fldChar w:fldCharType="begin"/>
      </w:r>
      <w:r>
        <w:rPr>
          <w:i w:val="0"/>
          <w:iCs w:val="0"/>
          <w:highlight w:val="none"/>
        </w:rPr>
        <w:instrText xml:space="preserve"> PAGEREF _Toc11890 \h </w:instrText>
      </w:r>
      <w:r>
        <w:rPr>
          <w:i w:val="0"/>
          <w:iCs w:val="0"/>
          <w:highlight w:val="none"/>
        </w:rPr>
        <w:fldChar w:fldCharType="separate"/>
      </w:r>
      <w:r>
        <w:rPr>
          <w:i w:val="0"/>
          <w:iCs w:val="0"/>
          <w:highlight w:val="none"/>
        </w:rPr>
        <w:t>40</w:t>
      </w:r>
      <w:r>
        <w:rPr>
          <w:i w:val="0"/>
          <w:iCs w:val="0"/>
          <w:highlight w:val="none"/>
        </w:rPr>
        <w:fldChar w:fldCharType="end"/>
      </w:r>
      <w:r>
        <w:rPr>
          <w:i w:val="0"/>
          <w:iCs w:val="0"/>
          <w:highlight w:val="none"/>
        </w:rPr>
        <w:fldChar w:fldCharType="end"/>
      </w:r>
    </w:p>
    <w:p w14:paraId="147E5666">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_Toc28555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7</w:t>
      </w:r>
      <w:r>
        <w:rPr>
          <w:rFonts w:hint="eastAsia" w:ascii="宋体"/>
          <w:i w:val="0"/>
          <w:iCs w:val="0"/>
          <w:szCs w:val="28"/>
          <w:highlight w:val="none"/>
        </w:rPr>
        <w:t>：财务状况、缴纳税收和社会保障资金证明</w:t>
      </w:r>
      <w:r>
        <w:rPr>
          <w:i w:val="0"/>
          <w:iCs w:val="0"/>
          <w:highlight w:val="none"/>
        </w:rPr>
        <w:tab/>
      </w:r>
      <w:r>
        <w:rPr>
          <w:i w:val="0"/>
          <w:iCs w:val="0"/>
          <w:highlight w:val="none"/>
        </w:rPr>
        <w:fldChar w:fldCharType="begin"/>
      </w:r>
      <w:r>
        <w:rPr>
          <w:i w:val="0"/>
          <w:iCs w:val="0"/>
          <w:highlight w:val="none"/>
        </w:rPr>
        <w:instrText xml:space="preserve"> PAGEREF _Toc28555 \h </w:instrText>
      </w:r>
      <w:r>
        <w:rPr>
          <w:i w:val="0"/>
          <w:iCs w:val="0"/>
          <w:highlight w:val="none"/>
        </w:rPr>
        <w:fldChar w:fldCharType="separate"/>
      </w:r>
      <w:r>
        <w:rPr>
          <w:i w:val="0"/>
          <w:iCs w:val="0"/>
          <w:highlight w:val="none"/>
        </w:rPr>
        <w:t>41</w:t>
      </w:r>
      <w:r>
        <w:rPr>
          <w:i w:val="0"/>
          <w:iCs w:val="0"/>
          <w:highlight w:val="none"/>
        </w:rPr>
        <w:fldChar w:fldCharType="end"/>
      </w:r>
      <w:r>
        <w:rPr>
          <w:i w:val="0"/>
          <w:iCs w:val="0"/>
          <w:highlight w:val="none"/>
        </w:rPr>
        <w:fldChar w:fldCharType="end"/>
      </w:r>
    </w:p>
    <w:p w14:paraId="4DB65EEE">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_Toc29123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8</w:t>
      </w:r>
      <w:r>
        <w:rPr>
          <w:rFonts w:hint="eastAsia" w:ascii="宋体"/>
          <w:i w:val="0"/>
          <w:iCs w:val="0"/>
          <w:szCs w:val="28"/>
          <w:highlight w:val="none"/>
        </w:rPr>
        <w:t>：无重大违法记录声明</w:t>
      </w:r>
      <w:r>
        <w:rPr>
          <w:i w:val="0"/>
          <w:iCs w:val="0"/>
          <w:highlight w:val="none"/>
        </w:rPr>
        <w:tab/>
      </w:r>
      <w:r>
        <w:rPr>
          <w:i w:val="0"/>
          <w:iCs w:val="0"/>
          <w:highlight w:val="none"/>
        </w:rPr>
        <w:fldChar w:fldCharType="begin"/>
      </w:r>
      <w:r>
        <w:rPr>
          <w:i w:val="0"/>
          <w:iCs w:val="0"/>
          <w:highlight w:val="none"/>
        </w:rPr>
        <w:instrText xml:space="preserve"> PAGEREF _Toc29123 \h </w:instrText>
      </w:r>
      <w:r>
        <w:rPr>
          <w:i w:val="0"/>
          <w:iCs w:val="0"/>
          <w:highlight w:val="none"/>
        </w:rPr>
        <w:fldChar w:fldCharType="separate"/>
      </w:r>
      <w:r>
        <w:rPr>
          <w:i w:val="0"/>
          <w:iCs w:val="0"/>
          <w:highlight w:val="none"/>
        </w:rPr>
        <w:t>42</w:t>
      </w:r>
      <w:r>
        <w:rPr>
          <w:i w:val="0"/>
          <w:iCs w:val="0"/>
          <w:highlight w:val="none"/>
        </w:rPr>
        <w:fldChar w:fldCharType="end"/>
      </w:r>
      <w:r>
        <w:rPr>
          <w:i w:val="0"/>
          <w:iCs w:val="0"/>
          <w:highlight w:val="none"/>
        </w:rPr>
        <w:fldChar w:fldCharType="end"/>
      </w:r>
    </w:p>
    <w:p w14:paraId="30892EF0">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_Toc15555 </w:instrText>
      </w:r>
      <w:r>
        <w:rPr>
          <w:i w:val="0"/>
          <w:iCs w:val="0"/>
          <w:highlight w:val="none"/>
        </w:rPr>
        <w:fldChar w:fldCharType="separate"/>
      </w:r>
      <w:r>
        <w:rPr>
          <w:rFonts w:hint="eastAsia" w:ascii="宋体"/>
          <w:i w:val="0"/>
          <w:iCs w:val="0"/>
          <w:szCs w:val="28"/>
          <w:highlight w:val="none"/>
        </w:rPr>
        <w:t>附件9：</w:t>
      </w:r>
      <w:r>
        <w:rPr>
          <w:rFonts w:hint="eastAsia" w:ascii="宋体" w:hAnsi="宋体" w:cs="宋体"/>
          <w:i w:val="0"/>
          <w:iCs w:val="0"/>
          <w:szCs w:val="30"/>
          <w:highlight w:val="none"/>
          <w:lang w:val="zh-CN"/>
        </w:rPr>
        <w:t>具备履行合同所必需的设备和专业技术能力的证明材料</w:t>
      </w:r>
      <w:r>
        <w:rPr>
          <w:i w:val="0"/>
          <w:iCs w:val="0"/>
          <w:highlight w:val="none"/>
        </w:rPr>
        <w:tab/>
      </w:r>
      <w:r>
        <w:rPr>
          <w:i w:val="0"/>
          <w:iCs w:val="0"/>
          <w:highlight w:val="none"/>
        </w:rPr>
        <w:fldChar w:fldCharType="begin"/>
      </w:r>
      <w:r>
        <w:rPr>
          <w:i w:val="0"/>
          <w:iCs w:val="0"/>
          <w:highlight w:val="none"/>
        </w:rPr>
        <w:instrText xml:space="preserve"> PAGEREF _Toc15555 \h </w:instrText>
      </w:r>
      <w:r>
        <w:rPr>
          <w:i w:val="0"/>
          <w:iCs w:val="0"/>
          <w:highlight w:val="none"/>
        </w:rPr>
        <w:fldChar w:fldCharType="separate"/>
      </w:r>
      <w:r>
        <w:rPr>
          <w:i w:val="0"/>
          <w:iCs w:val="0"/>
          <w:highlight w:val="none"/>
        </w:rPr>
        <w:t>43</w:t>
      </w:r>
      <w:r>
        <w:rPr>
          <w:i w:val="0"/>
          <w:iCs w:val="0"/>
          <w:highlight w:val="none"/>
        </w:rPr>
        <w:fldChar w:fldCharType="end"/>
      </w:r>
      <w:r>
        <w:rPr>
          <w:i w:val="0"/>
          <w:iCs w:val="0"/>
          <w:highlight w:val="none"/>
        </w:rPr>
        <w:fldChar w:fldCharType="end"/>
      </w:r>
    </w:p>
    <w:p w14:paraId="5248B6DF">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_Toc16443 </w:instrText>
      </w:r>
      <w:r>
        <w:rPr>
          <w:i w:val="0"/>
          <w:iCs w:val="0"/>
          <w:highlight w:val="none"/>
        </w:rPr>
        <w:fldChar w:fldCharType="separate"/>
      </w:r>
      <w:r>
        <w:rPr>
          <w:rFonts w:hint="eastAsia" w:ascii="宋体"/>
          <w:i w:val="0"/>
          <w:iCs w:val="0"/>
          <w:szCs w:val="28"/>
          <w:highlight w:val="none"/>
        </w:rPr>
        <w:t>附件10：竞争性磋商首次报价表</w:t>
      </w:r>
      <w:r>
        <w:rPr>
          <w:i w:val="0"/>
          <w:iCs w:val="0"/>
          <w:highlight w:val="none"/>
        </w:rPr>
        <w:tab/>
      </w:r>
      <w:r>
        <w:rPr>
          <w:i w:val="0"/>
          <w:iCs w:val="0"/>
          <w:highlight w:val="none"/>
        </w:rPr>
        <w:fldChar w:fldCharType="begin"/>
      </w:r>
      <w:r>
        <w:rPr>
          <w:i w:val="0"/>
          <w:iCs w:val="0"/>
          <w:highlight w:val="none"/>
        </w:rPr>
        <w:instrText xml:space="preserve"> PAGEREF _Toc16443 \h </w:instrText>
      </w:r>
      <w:r>
        <w:rPr>
          <w:i w:val="0"/>
          <w:iCs w:val="0"/>
          <w:highlight w:val="none"/>
        </w:rPr>
        <w:fldChar w:fldCharType="separate"/>
      </w:r>
      <w:r>
        <w:rPr>
          <w:i w:val="0"/>
          <w:iCs w:val="0"/>
          <w:highlight w:val="none"/>
        </w:rPr>
        <w:t>45</w:t>
      </w:r>
      <w:r>
        <w:rPr>
          <w:i w:val="0"/>
          <w:iCs w:val="0"/>
          <w:highlight w:val="none"/>
        </w:rPr>
        <w:fldChar w:fldCharType="end"/>
      </w:r>
      <w:r>
        <w:rPr>
          <w:i w:val="0"/>
          <w:iCs w:val="0"/>
          <w:highlight w:val="none"/>
        </w:rPr>
        <w:fldChar w:fldCharType="end"/>
      </w:r>
    </w:p>
    <w:p w14:paraId="1EF3A533">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_Toc15385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rPr>
        <w:t>1：</w:t>
      </w:r>
      <w:r>
        <w:rPr>
          <w:rFonts w:hint="eastAsia" w:ascii="宋体" w:hAnsi="Times New Roman" w:eastAsia="宋体" w:cs="Times New Roman"/>
          <w:bCs w:val="0"/>
          <w:i w:val="0"/>
          <w:iCs w:val="0"/>
          <w:kern w:val="2"/>
          <w:szCs w:val="28"/>
          <w:highlight w:val="none"/>
          <w:lang w:val="zh-CN" w:eastAsia="zh-CN" w:bidi="ar-SA"/>
        </w:rPr>
        <w:t>分项报价表</w:t>
      </w:r>
      <w:r>
        <w:rPr>
          <w:i w:val="0"/>
          <w:iCs w:val="0"/>
          <w:highlight w:val="none"/>
        </w:rPr>
        <w:tab/>
      </w:r>
      <w:r>
        <w:rPr>
          <w:i w:val="0"/>
          <w:iCs w:val="0"/>
          <w:highlight w:val="none"/>
        </w:rPr>
        <w:fldChar w:fldCharType="begin"/>
      </w:r>
      <w:r>
        <w:rPr>
          <w:i w:val="0"/>
          <w:iCs w:val="0"/>
          <w:highlight w:val="none"/>
        </w:rPr>
        <w:instrText xml:space="preserve"> PAGEREF _Toc15385 \h </w:instrText>
      </w:r>
      <w:r>
        <w:rPr>
          <w:i w:val="0"/>
          <w:iCs w:val="0"/>
          <w:highlight w:val="none"/>
        </w:rPr>
        <w:fldChar w:fldCharType="separate"/>
      </w:r>
      <w:r>
        <w:rPr>
          <w:i w:val="0"/>
          <w:iCs w:val="0"/>
          <w:highlight w:val="none"/>
        </w:rPr>
        <w:t>46</w:t>
      </w:r>
      <w:r>
        <w:rPr>
          <w:i w:val="0"/>
          <w:iCs w:val="0"/>
          <w:highlight w:val="none"/>
        </w:rPr>
        <w:fldChar w:fldCharType="end"/>
      </w:r>
      <w:r>
        <w:rPr>
          <w:i w:val="0"/>
          <w:iCs w:val="0"/>
          <w:highlight w:val="none"/>
        </w:rPr>
        <w:fldChar w:fldCharType="end"/>
      </w:r>
    </w:p>
    <w:p w14:paraId="2C359CA6">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_Toc23201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lang w:val="en-US" w:eastAsia="zh-CN"/>
        </w:rPr>
        <w:t>2</w:t>
      </w:r>
      <w:r>
        <w:rPr>
          <w:rFonts w:hint="eastAsia" w:ascii="宋体"/>
          <w:i w:val="0"/>
          <w:iCs w:val="0"/>
          <w:szCs w:val="28"/>
          <w:highlight w:val="none"/>
        </w:rPr>
        <w:t>：服务响应表</w:t>
      </w:r>
      <w:r>
        <w:rPr>
          <w:i w:val="0"/>
          <w:iCs w:val="0"/>
          <w:highlight w:val="none"/>
        </w:rPr>
        <w:tab/>
      </w:r>
      <w:r>
        <w:rPr>
          <w:i w:val="0"/>
          <w:iCs w:val="0"/>
          <w:highlight w:val="none"/>
        </w:rPr>
        <w:fldChar w:fldCharType="begin"/>
      </w:r>
      <w:r>
        <w:rPr>
          <w:i w:val="0"/>
          <w:iCs w:val="0"/>
          <w:highlight w:val="none"/>
        </w:rPr>
        <w:instrText xml:space="preserve"> PAGEREF _Toc23201 \h </w:instrText>
      </w:r>
      <w:r>
        <w:rPr>
          <w:i w:val="0"/>
          <w:iCs w:val="0"/>
          <w:highlight w:val="none"/>
        </w:rPr>
        <w:fldChar w:fldCharType="separate"/>
      </w:r>
      <w:r>
        <w:rPr>
          <w:i w:val="0"/>
          <w:iCs w:val="0"/>
          <w:highlight w:val="none"/>
        </w:rPr>
        <w:t>47</w:t>
      </w:r>
      <w:r>
        <w:rPr>
          <w:i w:val="0"/>
          <w:iCs w:val="0"/>
          <w:highlight w:val="none"/>
        </w:rPr>
        <w:fldChar w:fldCharType="end"/>
      </w:r>
      <w:r>
        <w:rPr>
          <w:i w:val="0"/>
          <w:iCs w:val="0"/>
          <w:highlight w:val="none"/>
        </w:rPr>
        <w:fldChar w:fldCharType="end"/>
      </w:r>
    </w:p>
    <w:p w14:paraId="49DF11CC">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_Toc6609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lang w:val="en-US" w:eastAsia="zh-CN"/>
        </w:rPr>
        <w:t>3</w:t>
      </w:r>
      <w:r>
        <w:rPr>
          <w:rFonts w:hint="eastAsia" w:ascii="宋体"/>
          <w:i w:val="0"/>
          <w:iCs w:val="0"/>
          <w:szCs w:val="28"/>
          <w:highlight w:val="none"/>
        </w:rPr>
        <w:t>：其他资格证明材料</w:t>
      </w:r>
      <w:r>
        <w:rPr>
          <w:i w:val="0"/>
          <w:iCs w:val="0"/>
          <w:highlight w:val="none"/>
        </w:rPr>
        <w:tab/>
      </w:r>
      <w:r>
        <w:rPr>
          <w:i w:val="0"/>
          <w:iCs w:val="0"/>
          <w:highlight w:val="none"/>
        </w:rPr>
        <w:fldChar w:fldCharType="begin"/>
      </w:r>
      <w:r>
        <w:rPr>
          <w:i w:val="0"/>
          <w:iCs w:val="0"/>
          <w:highlight w:val="none"/>
        </w:rPr>
        <w:instrText xml:space="preserve"> PAGEREF _Toc6609 \h </w:instrText>
      </w:r>
      <w:r>
        <w:rPr>
          <w:i w:val="0"/>
          <w:iCs w:val="0"/>
          <w:highlight w:val="none"/>
        </w:rPr>
        <w:fldChar w:fldCharType="separate"/>
      </w:r>
      <w:r>
        <w:rPr>
          <w:i w:val="0"/>
          <w:iCs w:val="0"/>
          <w:highlight w:val="none"/>
        </w:rPr>
        <w:t>48</w:t>
      </w:r>
      <w:r>
        <w:rPr>
          <w:i w:val="0"/>
          <w:iCs w:val="0"/>
          <w:highlight w:val="none"/>
        </w:rPr>
        <w:fldChar w:fldCharType="end"/>
      </w:r>
      <w:r>
        <w:rPr>
          <w:i w:val="0"/>
          <w:iCs w:val="0"/>
          <w:highlight w:val="none"/>
        </w:rPr>
        <w:fldChar w:fldCharType="end"/>
      </w:r>
    </w:p>
    <w:p w14:paraId="5B823AB3">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_Toc22615 </w:instrText>
      </w:r>
      <w:r>
        <w:rPr>
          <w:i w:val="0"/>
          <w:iCs w:val="0"/>
          <w:highlight w:val="none"/>
        </w:rPr>
        <w:fldChar w:fldCharType="separate"/>
      </w:r>
      <w:r>
        <w:rPr>
          <w:rFonts w:hint="eastAsia" w:ascii="宋体"/>
          <w:i w:val="0"/>
          <w:iCs w:val="0"/>
          <w:szCs w:val="28"/>
          <w:highlight w:val="none"/>
        </w:rPr>
        <w:t>附件1</w:t>
      </w:r>
      <w:r>
        <w:rPr>
          <w:rFonts w:hint="eastAsia" w:ascii="宋体"/>
          <w:i w:val="0"/>
          <w:iCs w:val="0"/>
          <w:szCs w:val="28"/>
          <w:highlight w:val="none"/>
          <w:lang w:val="en-US" w:eastAsia="zh-CN"/>
        </w:rPr>
        <w:t>4</w:t>
      </w:r>
      <w:r>
        <w:rPr>
          <w:rFonts w:hint="eastAsia" w:ascii="宋体"/>
          <w:i w:val="0"/>
          <w:iCs w:val="0"/>
          <w:szCs w:val="28"/>
          <w:highlight w:val="none"/>
        </w:rPr>
        <w:t>：服务方案</w:t>
      </w:r>
      <w:r>
        <w:rPr>
          <w:i w:val="0"/>
          <w:iCs w:val="0"/>
          <w:highlight w:val="none"/>
        </w:rPr>
        <w:tab/>
      </w:r>
      <w:r>
        <w:rPr>
          <w:i w:val="0"/>
          <w:iCs w:val="0"/>
          <w:highlight w:val="none"/>
        </w:rPr>
        <w:fldChar w:fldCharType="begin"/>
      </w:r>
      <w:r>
        <w:rPr>
          <w:i w:val="0"/>
          <w:iCs w:val="0"/>
          <w:highlight w:val="none"/>
        </w:rPr>
        <w:instrText xml:space="preserve"> PAGEREF _Toc22615 \h </w:instrText>
      </w:r>
      <w:r>
        <w:rPr>
          <w:i w:val="0"/>
          <w:iCs w:val="0"/>
          <w:highlight w:val="none"/>
        </w:rPr>
        <w:fldChar w:fldCharType="separate"/>
      </w:r>
      <w:r>
        <w:rPr>
          <w:i w:val="0"/>
          <w:iCs w:val="0"/>
          <w:highlight w:val="none"/>
        </w:rPr>
        <w:t>49</w:t>
      </w:r>
      <w:r>
        <w:rPr>
          <w:i w:val="0"/>
          <w:iCs w:val="0"/>
          <w:highlight w:val="none"/>
        </w:rPr>
        <w:fldChar w:fldCharType="end"/>
      </w:r>
      <w:r>
        <w:rPr>
          <w:i w:val="0"/>
          <w:iCs w:val="0"/>
          <w:highlight w:val="none"/>
        </w:rPr>
        <w:fldChar w:fldCharType="end"/>
      </w:r>
    </w:p>
    <w:p w14:paraId="175D96DC">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_Toc817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lang w:val="en-US" w:eastAsia="zh-CN"/>
        </w:rPr>
        <w:t>5</w:t>
      </w:r>
      <w:r>
        <w:rPr>
          <w:rFonts w:hint="eastAsia" w:ascii="宋体"/>
          <w:i w:val="0"/>
          <w:iCs w:val="0"/>
          <w:szCs w:val="28"/>
          <w:highlight w:val="none"/>
        </w:rPr>
        <w:t>：供应商类似业绩证明材料</w:t>
      </w:r>
      <w:r>
        <w:rPr>
          <w:i w:val="0"/>
          <w:iCs w:val="0"/>
          <w:highlight w:val="none"/>
        </w:rPr>
        <w:tab/>
      </w:r>
      <w:r>
        <w:rPr>
          <w:i w:val="0"/>
          <w:iCs w:val="0"/>
          <w:highlight w:val="none"/>
        </w:rPr>
        <w:fldChar w:fldCharType="begin"/>
      </w:r>
      <w:r>
        <w:rPr>
          <w:i w:val="0"/>
          <w:iCs w:val="0"/>
          <w:highlight w:val="none"/>
        </w:rPr>
        <w:instrText xml:space="preserve"> PAGEREF _Toc817 \h </w:instrText>
      </w:r>
      <w:r>
        <w:rPr>
          <w:i w:val="0"/>
          <w:iCs w:val="0"/>
          <w:highlight w:val="none"/>
        </w:rPr>
        <w:fldChar w:fldCharType="separate"/>
      </w:r>
      <w:r>
        <w:rPr>
          <w:i w:val="0"/>
          <w:iCs w:val="0"/>
          <w:highlight w:val="none"/>
        </w:rPr>
        <w:t>50</w:t>
      </w:r>
      <w:r>
        <w:rPr>
          <w:i w:val="0"/>
          <w:iCs w:val="0"/>
          <w:highlight w:val="none"/>
        </w:rPr>
        <w:fldChar w:fldCharType="end"/>
      </w:r>
      <w:r>
        <w:rPr>
          <w:i w:val="0"/>
          <w:iCs w:val="0"/>
          <w:highlight w:val="none"/>
        </w:rPr>
        <w:fldChar w:fldCharType="end"/>
      </w:r>
    </w:p>
    <w:p w14:paraId="45EBD03A">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_Toc32594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lang w:val="en-US" w:eastAsia="zh-CN"/>
        </w:rPr>
        <w:t>6</w:t>
      </w:r>
      <w:r>
        <w:rPr>
          <w:rFonts w:hint="eastAsia" w:ascii="宋体"/>
          <w:i w:val="0"/>
          <w:iCs w:val="0"/>
          <w:szCs w:val="28"/>
          <w:highlight w:val="none"/>
        </w:rPr>
        <w:t>：中小企业声明函</w:t>
      </w:r>
      <w:r>
        <w:rPr>
          <w:i w:val="0"/>
          <w:iCs w:val="0"/>
          <w:highlight w:val="none"/>
        </w:rPr>
        <w:tab/>
      </w:r>
      <w:r>
        <w:rPr>
          <w:i w:val="0"/>
          <w:iCs w:val="0"/>
          <w:highlight w:val="none"/>
        </w:rPr>
        <w:fldChar w:fldCharType="begin"/>
      </w:r>
      <w:r>
        <w:rPr>
          <w:i w:val="0"/>
          <w:iCs w:val="0"/>
          <w:highlight w:val="none"/>
        </w:rPr>
        <w:instrText xml:space="preserve"> PAGEREF _Toc32594 \h </w:instrText>
      </w:r>
      <w:r>
        <w:rPr>
          <w:i w:val="0"/>
          <w:iCs w:val="0"/>
          <w:highlight w:val="none"/>
        </w:rPr>
        <w:fldChar w:fldCharType="separate"/>
      </w:r>
      <w:r>
        <w:rPr>
          <w:i w:val="0"/>
          <w:iCs w:val="0"/>
          <w:highlight w:val="none"/>
        </w:rPr>
        <w:t>51</w:t>
      </w:r>
      <w:r>
        <w:rPr>
          <w:i w:val="0"/>
          <w:iCs w:val="0"/>
          <w:highlight w:val="none"/>
        </w:rPr>
        <w:fldChar w:fldCharType="end"/>
      </w:r>
      <w:r>
        <w:rPr>
          <w:i w:val="0"/>
          <w:iCs w:val="0"/>
          <w:highlight w:val="none"/>
        </w:rPr>
        <w:fldChar w:fldCharType="end"/>
      </w:r>
    </w:p>
    <w:p w14:paraId="306E7B26">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_Toc17685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lang w:val="en-US" w:eastAsia="zh-CN"/>
        </w:rPr>
        <w:t>7</w:t>
      </w:r>
      <w:r>
        <w:rPr>
          <w:rFonts w:hint="eastAsia" w:ascii="宋体"/>
          <w:i w:val="0"/>
          <w:iCs w:val="0"/>
          <w:szCs w:val="28"/>
          <w:highlight w:val="none"/>
        </w:rPr>
        <w:t>：残疾人福利性单位声明函</w:t>
      </w:r>
      <w:r>
        <w:rPr>
          <w:i w:val="0"/>
          <w:iCs w:val="0"/>
          <w:highlight w:val="none"/>
        </w:rPr>
        <w:tab/>
      </w:r>
      <w:r>
        <w:rPr>
          <w:i w:val="0"/>
          <w:iCs w:val="0"/>
          <w:highlight w:val="none"/>
        </w:rPr>
        <w:fldChar w:fldCharType="begin"/>
      </w:r>
      <w:r>
        <w:rPr>
          <w:i w:val="0"/>
          <w:iCs w:val="0"/>
          <w:highlight w:val="none"/>
        </w:rPr>
        <w:instrText xml:space="preserve"> PAGEREF _Toc17685 \h </w:instrText>
      </w:r>
      <w:r>
        <w:rPr>
          <w:i w:val="0"/>
          <w:iCs w:val="0"/>
          <w:highlight w:val="none"/>
        </w:rPr>
        <w:fldChar w:fldCharType="separate"/>
      </w:r>
      <w:r>
        <w:rPr>
          <w:i w:val="0"/>
          <w:iCs w:val="0"/>
          <w:highlight w:val="none"/>
        </w:rPr>
        <w:t>52</w:t>
      </w:r>
      <w:r>
        <w:rPr>
          <w:i w:val="0"/>
          <w:iCs w:val="0"/>
          <w:highlight w:val="none"/>
        </w:rPr>
        <w:fldChar w:fldCharType="end"/>
      </w:r>
      <w:r>
        <w:rPr>
          <w:i w:val="0"/>
          <w:iCs w:val="0"/>
          <w:highlight w:val="none"/>
        </w:rPr>
        <w:fldChar w:fldCharType="end"/>
      </w:r>
    </w:p>
    <w:p w14:paraId="450CE77D">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_Toc29900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lang w:val="en-US" w:eastAsia="zh-CN"/>
        </w:rPr>
        <w:t>8</w:t>
      </w:r>
      <w:r>
        <w:rPr>
          <w:rFonts w:hint="eastAsia" w:ascii="宋体"/>
          <w:i w:val="0"/>
          <w:iCs w:val="0"/>
          <w:szCs w:val="28"/>
          <w:highlight w:val="none"/>
        </w:rPr>
        <w:t>：</w:t>
      </w:r>
      <w:r>
        <w:rPr>
          <w:rFonts w:hint="eastAsia" w:ascii="宋体"/>
          <w:i w:val="0"/>
          <w:iCs w:val="0"/>
          <w:szCs w:val="28"/>
          <w:highlight w:val="none"/>
          <w:lang w:eastAsia="zh-CN"/>
        </w:rPr>
        <w:t>监狱企业证明资料</w:t>
      </w:r>
      <w:r>
        <w:rPr>
          <w:i w:val="0"/>
          <w:iCs w:val="0"/>
          <w:highlight w:val="none"/>
        </w:rPr>
        <w:tab/>
      </w:r>
      <w:r>
        <w:rPr>
          <w:i w:val="0"/>
          <w:iCs w:val="0"/>
          <w:highlight w:val="none"/>
        </w:rPr>
        <w:fldChar w:fldCharType="begin"/>
      </w:r>
      <w:r>
        <w:rPr>
          <w:i w:val="0"/>
          <w:iCs w:val="0"/>
          <w:highlight w:val="none"/>
        </w:rPr>
        <w:instrText xml:space="preserve"> PAGEREF _Toc29900 \h </w:instrText>
      </w:r>
      <w:r>
        <w:rPr>
          <w:i w:val="0"/>
          <w:iCs w:val="0"/>
          <w:highlight w:val="none"/>
        </w:rPr>
        <w:fldChar w:fldCharType="separate"/>
      </w:r>
      <w:r>
        <w:rPr>
          <w:i w:val="0"/>
          <w:iCs w:val="0"/>
          <w:highlight w:val="none"/>
        </w:rPr>
        <w:t>53</w:t>
      </w:r>
      <w:r>
        <w:rPr>
          <w:i w:val="0"/>
          <w:iCs w:val="0"/>
          <w:highlight w:val="none"/>
        </w:rPr>
        <w:fldChar w:fldCharType="end"/>
      </w:r>
      <w:r>
        <w:rPr>
          <w:i w:val="0"/>
          <w:iCs w:val="0"/>
          <w:highlight w:val="none"/>
        </w:rPr>
        <w:fldChar w:fldCharType="end"/>
      </w:r>
    </w:p>
    <w:p w14:paraId="792DECF7">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_Toc5204 </w:instrText>
      </w:r>
      <w:r>
        <w:rPr>
          <w:i w:val="0"/>
          <w:iCs w:val="0"/>
          <w:highlight w:val="none"/>
        </w:rPr>
        <w:fldChar w:fldCharType="separate"/>
      </w:r>
      <w:r>
        <w:rPr>
          <w:rFonts w:hint="eastAsia" w:ascii="宋体"/>
          <w:i w:val="0"/>
          <w:iCs w:val="0"/>
          <w:szCs w:val="28"/>
          <w:highlight w:val="none"/>
        </w:rPr>
        <w:t>附件</w:t>
      </w:r>
      <w:r>
        <w:rPr>
          <w:rFonts w:ascii="宋体"/>
          <w:i w:val="0"/>
          <w:iCs w:val="0"/>
          <w:szCs w:val="28"/>
          <w:highlight w:val="none"/>
        </w:rPr>
        <w:t>1</w:t>
      </w:r>
      <w:r>
        <w:rPr>
          <w:rFonts w:hint="eastAsia" w:ascii="宋体"/>
          <w:i w:val="0"/>
          <w:iCs w:val="0"/>
          <w:szCs w:val="28"/>
          <w:highlight w:val="none"/>
          <w:lang w:val="en-US" w:eastAsia="zh-CN"/>
        </w:rPr>
        <w:t>9</w:t>
      </w:r>
      <w:r>
        <w:rPr>
          <w:rFonts w:hint="eastAsia" w:ascii="宋体"/>
          <w:i w:val="0"/>
          <w:iCs w:val="0"/>
          <w:szCs w:val="28"/>
          <w:highlight w:val="none"/>
        </w:rPr>
        <w:t>：供应商认为在其他方面有必要说明的事项</w:t>
      </w:r>
      <w:r>
        <w:rPr>
          <w:i w:val="0"/>
          <w:iCs w:val="0"/>
          <w:highlight w:val="none"/>
        </w:rPr>
        <w:tab/>
      </w:r>
      <w:r>
        <w:rPr>
          <w:i w:val="0"/>
          <w:iCs w:val="0"/>
          <w:highlight w:val="none"/>
        </w:rPr>
        <w:fldChar w:fldCharType="begin"/>
      </w:r>
      <w:r>
        <w:rPr>
          <w:i w:val="0"/>
          <w:iCs w:val="0"/>
          <w:highlight w:val="none"/>
        </w:rPr>
        <w:instrText xml:space="preserve"> PAGEREF _Toc5204 \h </w:instrText>
      </w:r>
      <w:r>
        <w:rPr>
          <w:i w:val="0"/>
          <w:iCs w:val="0"/>
          <w:highlight w:val="none"/>
        </w:rPr>
        <w:fldChar w:fldCharType="separate"/>
      </w:r>
      <w:r>
        <w:rPr>
          <w:i w:val="0"/>
          <w:iCs w:val="0"/>
          <w:highlight w:val="none"/>
        </w:rPr>
        <w:t>54</w:t>
      </w:r>
      <w:r>
        <w:rPr>
          <w:i w:val="0"/>
          <w:iCs w:val="0"/>
          <w:highlight w:val="none"/>
        </w:rPr>
        <w:fldChar w:fldCharType="end"/>
      </w:r>
      <w:r>
        <w:rPr>
          <w:i w:val="0"/>
          <w:iCs w:val="0"/>
          <w:highlight w:val="none"/>
        </w:rPr>
        <w:fldChar w:fldCharType="end"/>
      </w:r>
    </w:p>
    <w:p w14:paraId="333140A9">
      <w:pPr>
        <w:pStyle w:val="18"/>
        <w:tabs>
          <w:tab w:val="right" w:leader="dot" w:pos="8787"/>
        </w:tabs>
        <w:rPr>
          <w:i w:val="0"/>
          <w:iCs w:val="0"/>
          <w:highlight w:val="none"/>
        </w:rPr>
      </w:pPr>
      <w:r>
        <w:rPr>
          <w:i w:val="0"/>
          <w:iCs w:val="0"/>
          <w:highlight w:val="none"/>
        </w:rPr>
        <w:fldChar w:fldCharType="begin"/>
      </w:r>
      <w:r>
        <w:rPr>
          <w:i w:val="0"/>
          <w:iCs w:val="0"/>
          <w:highlight w:val="none"/>
        </w:rPr>
        <w:instrText xml:space="preserve"> HYPERLINK \l _Toc21667 </w:instrText>
      </w:r>
      <w:r>
        <w:rPr>
          <w:i w:val="0"/>
          <w:iCs w:val="0"/>
          <w:highlight w:val="none"/>
        </w:rPr>
        <w:fldChar w:fldCharType="separate"/>
      </w:r>
      <w:r>
        <w:rPr>
          <w:rFonts w:hint="eastAsia" w:ascii="宋体"/>
          <w:i w:val="0"/>
          <w:iCs w:val="0"/>
          <w:kern w:val="28"/>
          <w:szCs w:val="20"/>
          <w:highlight w:val="none"/>
        </w:rPr>
        <w:t>第五部分</w:t>
      </w:r>
      <w:r>
        <w:rPr>
          <w:rFonts w:ascii="宋体"/>
          <w:i w:val="0"/>
          <w:iCs w:val="0"/>
          <w:kern w:val="28"/>
          <w:szCs w:val="20"/>
          <w:highlight w:val="none"/>
        </w:rPr>
        <w:t xml:space="preserve">  </w:t>
      </w:r>
      <w:r>
        <w:rPr>
          <w:rFonts w:hint="eastAsia" w:ascii="宋体"/>
          <w:i w:val="0"/>
          <w:iCs w:val="0"/>
          <w:kern w:val="28"/>
          <w:szCs w:val="20"/>
          <w:highlight w:val="none"/>
        </w:rPr>
        <w:t>磋商及采购项目内容要求</w:t>
      </w:r>
      <w:r>
        <w:rPr>
          <w:i w:val="0"/>
          <w:iCs w:val="0"/>
          <w:highlight w:val="none"/>
        </w:rPr>
        <w:tab/>
      </w:r>
      <w:r>
        <w:rPr>
          <w:i w:val="0"/>
          <w:iCs w:val="0"/>
          <w:highlight w:val="none"/>
        </w:rPr>
        <w:fldChar w:fldCharType="begin"/>
      </w:r>
      <w:r>
        <w:rPr>
          <w:i w:val="0"/>
          <w:iCs w:val="0"/>
          <w:highlight w:val="none"/>
        </w:rPr>
        <w:instrText xml:space="preserve"> PAGEREF _Toc21667 \h </w:instrText>
      </w:r>
      <w:r>
        <w:rPr>
          <w:i w:val="0"/>
          <w:iCs w:val="0"/>
          <w:highlight w:val="none"/>
        </w:rPr>
        <w:fldChar w:fldCharType="separate"/>
      </w:r>
      <w:r>
        <w:rPr>
          <w:i w:val="0"/>
          <w:iCs w:val="0"/>
          <w:highlight w:val="none"/>
        </w:rPr>
        <w:t>56</w:t>
      </w:r>
      <w:r>
        <w:rPr>
          <w:i w:val="0"/>
          <w:iCs w:val="0"/>
          <w:highlight w:val="none"/>
        </w:rPr>
        <w:fldChar w:fldCharType="end"/>
      </w:r>
      <w:r>
        <w:rPr>
          <w:i w:val="0"/>
          <w:iCs w:val="0"/>
          <w:highlight w:val="none"/>
        </w:rPr>
        <w:fldChar w:fldCharType="end"/>
      </w:r>
    </w:p>
    <w:p w14:paraId="257605ED">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_Toc30259 </w:instrText>
      </w:r>
      <w:r>
        <w:rPr>
          <w:i w:val="0"/>
          <w:iCs w:val="0"/>
          <w:highlight w:val="none"/>
        </w:rPr>
        <w:fldChar w:fldCharType="separate"/>
      </w:r>
      <w:r>
        <w:rPr>
          <w:rFonts w:hint="eastAsia" w:ascii="宋体" w:hAnsi="宋体"/>
          <w:bCs/>
          <w:i w:val="0"/>
          <w:iCs w:val="0"/>
          <w:kern w:val="0"/>
          <w:szCs w:val="36"/>
          <w:highlight w:val="none"/>
        </w:rPr>
        <w:t>一、磋商要求</w:t>
      </w:r>
      <w:r>
        <w:rPr>
          <w:i w:val="0"/>
          <w:iCs w:val="0"/>
          <w:highlight w:val="none"/>
        </w:rPr>
        <w:tab/>
      </w:r>
      <w:r>
        <w:rPr>
          <w:i w:val="0"/>
          <w:iCs w:val="0"/>
          <w:highlight w:val="none"/>
        </w:rPr>
        <w:fldChar w:fldCharType="begin"/>
      </w:r>
      <w:r>
        <w:rPr>
          <w:i w:val="0"/>
          <w:iCs w:val="0"/>
          <w:highlight w:val="none"/>
        </w:rPr>
        <w:instrText xml:space="preserve"> PAGEREF _Toc30259 \h </w:instrText>
      </w:r>
      <w:r>
        <w:rPr>
          <w:i w:val="0"/>
          <w:iCs w:val="0"/>
          <w:highlight w:val="none"/>
        </w:rPr>
        <w:fldChar w:fldCharType="separate"/>
      </w:r>
      <w:r>
        <w:rPr>
          <w:i w:val="0"/>
          <w:iCs w:val="0"/>
          <w:highlight w:val="none"/>
        </w:rPr>
        <w:t>56</w:t>
      </w:r>
      <w:r>
        <w:rPr>
          <w:i w:val="0"/>
          <w:iCs w:val="0"/>
          <w:highlight w:val="none"/>
        </w:rPr>
        <w:fldChar w:fldCharType="end"/>
      </w:r>
      <w:r>
        <w:rPr>
          <w:i w:val="0"/>
          <w:iCs w:val="0"/>
          <w:highlight w:val="none"/>
        </w:rPr>
        <w:fldChar w:fldCharType="end"/>
      </w:r>
    </w:p>
    <w:p w14:paraId="23BBE4EA">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_Toc27770 </w:instrText>
      </w:r>
      <w:r>
        <w:rPr>
          <w:i w:val="0"/>
          <w:iCs w:val="0"/>
          <w:highlight w:val="none"/>
        </w:rPr>
        <w:fldChar w:fldCharType="separate"/>
      </w:r>
      <w:r>
        <w:rPr>
          <w:rFonts w:ascii="宋体" w:hAnsi="宋体" w:cs="宋体"/>
          <w:i w:val="0"/>
          <w:iCs w:val="0"/>
          <w:szCs w:val="28"/>
          <w:highlight w:val="none"/>
          <w:lang w:val="zh-CN"/>
        </w:rPr>
        <w:t>1.</w:t>
      </w:r>
      <w:r>
        <w:rPr>
          <w:rFonts w:hint="eastAsia" w:ascii="宋体" w:hAnsi="宋体" w:cs="宋体"/>
          <w:i w:val="0"/>
          <w:iCs w:val="0"/>
          <w:szCs w:val="28"/>
          <w:highlight w:val="none"/>
          <w:lang w:val="zh-CN"/>
        </w:rPr>
        <w:t>投标说明</w:t>
      </w:r>
      <w:r>
        <w:rPr>
          <w:i w:val="0"/>
          <w:iCs w:val="0"/>
          <w:highlight w:val="none"/>
        </w:rPr>
        <w:tab/>
      </w:r>
      <w:r>
        <w:rPr>
          <w:i w:val="0"/>
          <w:iCs w:val="0"/>
          <w:highlight w:val="none"/>
        </w:rPr>
        <w:fldChar w:fldCharType="begin"/>
      </w:r>
      <w:r>
        <w:rPr>
          <w:i w:val="0"/>
          <w:iCs w:val="0"/>
          <w:highlight w:val="none"/>
        </w:rPr>
        <w:instrText xml:space="preserve"> PAGEREF _Toc27770 \h </w:instrText>
      </w:r>
      <w:r>
        <w:rPr>
          <w:i w:val="0"/>
          <w:iCs w:val="0"/>
          <w:highlight w:val="none"/>
        </w:rPr>
        <w:fldChar w:fldCharType="separate"/>
      </w:r>
      <w:r>
        <w:rPr>
          <w:i w:val="0"/>
          <w:iCs w:val="0"/>
          <w:highlight w:val="none"/>
        </w:rPr>
        <w:t>56</w:t>
      </w:r>
      <w:r>
        <w:rPr>
          <w:i w:val="0"/>
          <w:iCs w:val="0"/>
          <w:highlight w:val="none"/>
        </w:rPr>
        <w:fldChar w:fldCharType="end"/>
      </w:r>
      <w:r>
        <w:rPr>
          <w:i w:val="0"/>
          <w:iCs w:val="0"/>
          <w:highlight w:val="none"/>
        </w:rPr>
        <w:fldChar w:fldCharType="end"/>
      </w:r>
    </w:p>
    <w:p w14:paraId="03A7F8F8">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_Toc12656 </w:instrText>
      </w:r>
      <w:r>
        <w:rPr>
          <w:i w:val="0"/>
          <w:iCs w:val="0"/>
          <w:highlight w:val="none"/>
        </w:rPr>
        <w:fldChar w:fldCharType="separate"/>
      </w:r>
      <w:r>
        <w:rPr>
          <w:rFonts w:ascii="宋体" w:hAnsi="宋体" w:cs="宋体"/>
          <w:i w:val="0"/>
          <w:iCs w:val="0"/>
          <w:szCs w:val="28"/>
          <w:highlight w:val="none"/>
        </w:rPr>
        <w:t>2.</w:t>
      </w:r>
      <w:r>
        <w:rPr>
          <w:rFonts w:hint="eastAsia" w:ascii="宋体" w:hAnsi="宋体" w:cs="宋体"/>
          <w:i w:val="0"/>
          <w:iCs w:val="0"/>
          <w:szCs w:val="28"/>
          <w:highlight w:val="none"/>
          <w:lang w:val="zh-CN"/>
        </w:rPr>
        <w:t>重要指标</w:t>
      </w:r>
      <w:r>
        <w:rPr>
          <w:i w:val="0"/>
          <w:iCs w:val="0"/>
          <w:highlight w:val="none"/>
        </w:rPr>
        <w:tab/>
      </w:r>
      <w:r>
        <w:rPr>
          <w:i w:val="0"/>
          <w:iCs w:val="0"/>
          <w:highlight w:val="none"/>
        </w:rPr>
        <w:fldChar w:fldCharType="begin"/>
      </w:r>
      <w:r>
        <w:rPr>
          <w:i w:val="0"/>
          <w:iCs w:val="0"/>
          <w:highlight w:val="none"/>
        </w:rPr>
        <w:instrText xml:space="preserve"> PAGEREF _Toc12656 \h </w:instrText>
      </w:r>
      <w:r>
        <w:rPr>
          <w:i w:val="0"/>
          <w:iCs w:val="0"/>
          <w:highlight w:val="none"/>
        </w:rPr>
        <w:fldChar w:fldCharType="separate"/>
      </w:r>
      <w:r>
        <w:rPr>
          <w:i w:val="0"/>
          <w:iCs w:val="0"/>
          <w:highlight w:val="none"/>
        </w:rPr>
        <w:t>56</w:t>
      </w:r>
      <w:r>
        <w:rPr>
          <w:i w:val="0"/>
          <w:iCs w:val="0"/>
          <w:highlight w:val="none"/>
        </w:rPr>
        <w:fldChar w:fldCharType="end"/>
      </w:r>
      <w:r>
        <w:rPr>
          <w:i w:val="0"/>
          <w:iCs w:val="0"/>
          <w:highlight w:val="none"/>
        </w:rPr>
        <w:fldChar w:fldCharType="end"/>
      </w:r>
    </w:p>
    <w:p w14:paraId="410D8F27">
      <w:pPr>
        <w:pStyle w:val="21"/>
        <w:tabs>
          <w:tab w:val="right" w:leader="dot" w:pos="8787"/>
          <w:tab w:val="clear" w:pos="8777"/>
        </w:tabs>
        <w:rPr>
          <w:i w:val="0"/>
          <w:iCs w:val="0"/>
          <w:highlight w:val="none"/>
        </w:rPr>
      </w:pPr>
      <w:r>
        <w:rPr>
          <w:i w:val="0"/>
          <w:iCs w:val="0"/>
          <w:highlight w:val="none"/>
        </w:rPr>
        <w:fldChar w:fldCharType="begin"/>
      </w:r>
      <w:r>
        <w:rPr>
          <w:i w:val="0"/>
          <w:iCs w:val="0"/>
          <w:highlight w:val="none"/>
        </w:rPr>
        <w:instrText xml:space="preserve"> HYPERLINK \l _Toc281 </w:instrText>
      </w:r>
      <w:r>
        <w:rPr>
          <w:i w:val="0"/>
          <w:iCs w:val="0"/>
          <w:highlight w:val="none"/>
        </w:rPr>
        <w:fldChar w:fldCharType="separate"/>
      </w:r>
      <w:r>
        <w:rPr>
          <w:rFonts w:ascii="宋体" w:hAnsi="宋体" w:cs="宋体"/>
          <w:i w:val="0"/>
          <w:iCs w:val="0"/>
          <w:szCs w:val="28"/>
          <w:highlight w:val="none"/>
        </w:rPr>
        <w:t>3</w:t>
      </w:r>
      <w:r>
        <w:rPr>
          <w:rFonts w:ascii="宋体" w:cs="宋体"/>
          <w:i w:val="0"/>
          <w:iCs w:val="0"/>
          <w:szCs w:val="28"/>
          <w:highlight w:val="none"/>
          <w:lang w:val="zh-CN"/>
        </w:rPr>
        <w:t>.</w:t>
      </w:r>
      <w:r>
        <w:rPr>
          <w:rFonts w:hint="eastAsia" w:ascii="宋体" w:hAnsi="宋体" w:cs="宋体"/>
          <w:i w:val="0"/>
          <w:iCs w:val="0"/>
          <w:szCs w:val="28"/>
          <w:highlight w:val="none"/>
          <w:lang w:val="zh-CN"/>
        </w:rPr>
        <w:t>商务要求</w:t>
      </w:r>
      <w:r>
        <w:rPr>
          <w:i w:val="0"/>
          <w:iCs w:val="0"/>
          <w:highlight w:val="none"/>
        </w:rPr>
        <w:tab/>
      </w:r>
      <w:r>
        <w:rPr>
          <w:i w:val="0"/>
          <w:iCs w:val="0"/>
          <w:highlight w:val="none"/>
        </w:rPr>
        <w:fldChar w:fldCharType="begin"/>
      </w:r>
      <w:r>
        <w:rPr>
          <w:i w:val="0"/>
          <w:iCs w:val="0"/>
          <w:highlight w:val="none"/>
        </w:rPr>
        <w:instrText xml:space="preserve"> PAGEREF _Toc281 \h </w:instrText>
      </w:r>
      <w:r>
        <w:rPr>
          <w:i w:val="0"/>
          <w:iCs w:val="0"/>
          <w:highlight w:val="none"/>
        </w:rPr>
        <w:fldChar w:fldCharType="separate"/>
      </w:r>
      <w:r>
        <w:rPr>
          <w:i w:val="0"/>
          <w:iCs w:val="0"/>
          <w:highlight w:val="none"/>
        </w:rPr>
        <w:t>56</w:t>
      </w:r>
      <w:r>
        <w:rPr>
          <w:i w:val="0"/>
          <w:iCs w:val="0"/>
          <w:highlight w:val="none"/>
        </w:rPr>
        <w:fldChar w:fldCharType="end"/>
      </w:r>
      <w:r>
        <w:rPr>
          <w:i w:val="0"/>
          <w:iCs w:val="0"/>
          <w:highlight w:val="none"/>
        </w:rPr>
        <w:fldChar w:fldCharType="end"/>
      </w:r>
    </w:p>
    <w:p w14:paraId="7F9BF74B">
      <w:pPr>
        <w:pStyle w:val="21"/>
        <w:tabs>
          <w:tab w:val="right" w:leader="dot" w:pos="8787"/>
          <w:tab w:val="clear" w:pos="8777"/>
        </w:tabs>
        <w:rPr>
          <w:highlight w:val="none"/>
        </w:rPr>
      </w:pPr>
      <w:r>
        <w:rPr>
          <w:i w:val="0"/>
          <w:iCs w:val="0"/>
          <w:highlight w:val="none"/>
        </w:rPr>
        <w:fldChar w:fldCharType="begin"/>
      </w:r>
      <w:r>
        <w:rPr>
          <w:i w:val="0"/>
          <w:iCs w:val="0"/>
          <w:highlight w:val="none"/>
        </w:rPr>
        <w:instrText xml:space="preserve"> HYPERLINK \l _Toc13489 </w:instrText>
      </w:r>
      <w:r>
        <w:rPr>
          <w:i w:val="0"/>
          <w:iCs w:val="0"/>
          <w:highlight w:val="none"/>
        </w:rPr>
        <w:fldChar w:fldCharType="separate"/>
      </w:r>
      <w:r>
        <w:rPr>
          <w:rFonts w:hint="eastAsia" w:ascii="宋体" w:hAnsi="宋体"/>
          <w:bCs/>
          <w:i w:val="0"/>
          <w:iCs w:val="0"/>
          <w:kern w:val="0"/>
          <w:szCs w:val="36"/>
          <w:highlight w:val="none"/>
        </w:rPr>
        <w:t xml:space="preserve">二、 </w:t>
      </w:r>
      <w:r>
        <w:rPr>
          <w:rFonts w:hint="eastAsia" w:ascii="宋体" w:hAnsi="宋体"/>
          <w:bCs/>
          <w:i w:val="0"/>
          <w:iCs w:val="0"/>
          <w:kern w:val="0"/>
          <w:szCs w:val="36"/>
          <w:highlight w:val="none"/>
        </w:rPr>
        <w:t>项目概况及技术要求</w:t>
      </w:r>
      <w:r>
        <w:rPr>
          <w:i w:val="0"/>
          <w:iCs w:val="0"/>
          <w:highlight w:val="none"/>
        </w:rPr>
        <w:tab/>
      </w:r>
      <w:r>
        <w:rPr>
          <w:i w:val="0"/>
          <w:iCs w:val="0"/>
          <w:highlight w:val="none"/>
        </w:rPr>
        <w:fldChar w:fldCharType="begin"/>
      </w:r>
      <w:r>
        <w:rPr>
          <w:i w:val="0"/>
          <w:iCs w:val="0"/>
          <w:highlight w:val="none"/>
        </w:rPr>
        <w:instrText xml:space="preserve"> PAGEREF _Toc13489 \h </w:instrText>
      </w:r>
      <w:r>
        <w:rPr>
          <w:i w:val="0"/>
          <w:iCs w:val="0"/>
          <w:highlight w:val="none"/>
        </w:rPr>
        <w:fldChar w:fldCharType="separate"/>
      </w:r>
      <w:r>
        <w:rPr>
          <w:i w:val="0"/>
          <w:iCs w:val="0"/>
          <w:highlight w:val="none"/>
        </w:rPr>
        <w:t>57</w:t>
      </w:r>
      <w:r>
        <w:rPr>
          <w:i w:val="0"/>
          <w:iCs w:val="0"/>
          <w:highlight w:val="none"/>
        </w:rPr>
        <w:fldChar w:fldCharType="end"/>
      </w:r>
      <w:r>
        <w:rPr>
          <w:i w:val="0"/>
          <w:iCs w:val="0"/>
          <w:highlight w:val="none"/>
        </w:rPr>
        <w:fldChar w:fldCharType="end"/>
      </w:r>
    </w:p>
    <w:p w14:paraId="44246E2F">
      <w:pPr>
        <w:pStyle w:val="18"/>
        <w:tabs>
          <w:tab w:val="right" w:leader="dot" w:pos="8787"/>
        </w:tabs>
        <w:rPr>
          <w:highlight w:val="none"/>
        </w:rPr>
        <w:sectPr>
          <w:footerReference r:id="rId10" w:type="default"/>
          <w:pgSz w:w="11906" w:h="16838"/>
          <w:pgMar w:top="2098" w:right="1531" w:bottom="2041" w:left="1588" w:header="1021" w:footer="1021" w:gutter="0"/>
          <w:pgBorders>
            <w:top w:val="none" w:sz="0" w:space="0"/>
            <w:left w:val="none" w:sz="0" w:space="0"/>
            <w:bottom w:val="none" w:sz="0" w:space="0"/>
            <w:right w:val="none" w:sz="0" w:space="0"/>
          </w:pgBorders>
          <w:pgNumType w:fmt="decimal" w:start="1"/>
          <w:cols w:space="720" w:num="1"/>
          <w:docGrid w:linePitch="312" w:charSpace="0"/>
        </w:sectPr>
      </w:pPr>
      <w:r>
        <w:rPr>
          <w:highlight w:val="none"/>
        </w:rPr>
        <w:fldChar w:fldCharType="end"/>
      </w:r>
    </w:p>
    <w:p w14:paraId="4C846839">
      <w:pPr>
        <w:pStyle w:val="2"/>
        <w:rPr>
          <w:highlight w:val="none"/>
        </w:rPr>
      </w:pPr>
      <w:bookmarkStart w:id="0" w:name="_Toc512"/>
      <w:bookmarkStart w:id="1" w:name="_Toc496626191"/>
      <w:bookmarkStart w:id="2" w:name="_Toc325725996"/>
      <w:r>
        <w:rPr>
          <w:rFonts w:hint="eastAsia"/>
          <w:highlight w:val="none"/>
        </w:rPr>
        <w:t>第一部分</w:t>
      </w:r>
      <w:r>
        <w:rPr>
          <w:highlight w:val="none"/>
        </w:rPr>
        <w:t xml:space="preserve">  </w:t>
      </w:r>
      <w:r>
        <w:rPr>
          <w:rFonts w:hint="eastAsia"/>
          <w:highlight w:val="none"/>
        </w:rPr>
        <w:t>投标人须知前附表</w:t>
      </w:r>
      <w:bookmarkEnd w:id="0"/>
      <w:bookmarkEnd w:id="1"/>
    </w:p>
    <w:bookmarkEnd w:id="2"/>
    <w:tbl>
      <w:tblPr>
        <w:tblStyle w:val="27"/>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1"/>
        <w:gridCol w:w="6638"/>
      </w:tblGrid>
      <w:tr w14:paraId="4512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881" w:type="dxa"/>
            <w:vAlign w:val="center"/>
          </w:tcPr>
          <w:p w14:paraId="47D8575B">
            <w:pPr>
              <w:widowControl/>
              <w:rPr>
                <w:rFonts w:ascii="宋体" w:hAnsi="宋体" w:cs="宋体"/>
                <w:kern w:val="0"/>
                <w:sz w:val="24"/>
                <w:highlight w:val="none"/>
                <w:lang w:val="zh-CN"/>
              </w:rPr>
            </w:pPr>
            <w:r>
              <w:rPr>
                <w:rFonts w:hint="eastAsia" w:ascii="宋体" w:hAnsi="宋体" w:cs="宋体"/>
                <w:kern w:val="0"/>
                <w:sz w:val="24"/>
                <w:highlight w:val="none"/>
                <w:lang w:val="zh-CN"/>
              </w:rPr>
              <w:t>采购项目名称</w:t>
            </w:r>
          </w:p>
        </w:tc>
        <w:tc>
          <w:tcPr>
            <w:tcW w:w="6638" w:type="dxa"/>
            <w:vAlign w:val="center"/>
          </w:tcPr>
          <w:p w14:paraId="730C2DBB">
            <w:pPr>
              <w:widowControl/>
              <w:rPr>
                <w:rFonts w:ascii="宋体" w:hAnsi="宋体" w:cs="宋体"/>
                <w:kern w:val="0"/>
                <w:sz w:val="24"/>
                <w:highlight w:val="none"/>
                <w:lang w:val="zh-CN"/>
              </w:rPr>
            </w:pPr>
            <w:r>
              <w:rPr>
                <w:rFonts w:hint="eastAsia" w:ascii="宋体" w:hAnsi="宋体" w:cs="宋体"/>
                <w:kern w:val="0"/>
                <w:sz w:val="24"/>
                <w:highlight w:val="none"/>
                <w:lang w:val="zh-CN"/>
              </w:rPr>
              <w:t>青海大学2026年智慧校园建设数据治理服务项目</w:t>
            </w:r>
          </w:p>
        </w:tc>
      </w:tr>
      <w:tr w14:paraId="6860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81" w:type="dxa"/>
            <w:vAlign w:val="center"/>
          </w:tcPr>
          <w:p w14:paraId="56270A36">
            <w:pPr>
              <w:widowControl/>
              <w:rPr>
                <w:rFonts w:ascii="宋体" w:cs="宋体"/>
                <w:kern w:val="0"/>
                <w:sz w:val="24"/>
                <w:highlight w:val="none"/>
              </w:rPr>
            </w:pPr>
            <w:r>
              <w:rPr>
                <w:rFonts w:hint="eastAsia" w:ascii="宋体" w:hAnsi="宋体" w:cs="宋体"/>
                <w:kern w:val="0"/>
                <w:sz w:val="24"/>
                <w:highlight w:val="none"/>
              </w:rPr>
              <w:t>采购项目编号</w:t>
            </w:r>
          </w:p>
        </w:tc>
        <w:tc>
          <w:tcPr>
            <w:tcW w:w="6638" w:type="dxa"/>
            <w:vAlign w:val="center"/>
          </w:tcPr>
          <w:p w14:paraId="42261D2E">
            <w:pPr>
              <w:widowControl/>
              <w:rPr>
                <w:rFonts w:hint="eastAsia" w:ascii="宋体" w:eastAsia="宋体" w:cs="宋体"/>
                <w:kern w:val="0"/>
                <w:sz w:val="24"/>
                <w:highlight w:val="none"/>
                <w:lang w:eastAsia="zh-CN"/>
              </w:rPr>
            </w:pPr>
            <w:r>
              <w:rPr>
                <w:rFonts w:hint="eastAsia" w:ascii="宋体" w:hAnsi="宋体"/>
                <w:spacing w:val="-2"/>
                <w:kern w:val="16"/>
                <w:sz w:val="24"/>
                <w:highlight w:val="none"/>
                <w:lang w:eastAsia="zh-CN"/>
              </w:rPr>
              <w:t>青海浩驰磋商（服务）2026-139号</w:t>
            </w:r>
          </w:p>
        </w:tc>
      </w:tr>
      <w:tr w14:paraId="10E1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81" w:type="dxa"/>
            <w:vAlign w:val="center"/>
          </w:tcPr>
          <w:p w14:paraId="401D4833">
            <w:pPr>
              <w:widowControl/>
              <w:rPr>
                <w:rFonts w:ascii="宋体" w:cs="宋体"/>
                <w:kern w:val="0"/>
                <w:sz w:val="24"/>
                <w:highlight w:val="none"/>
              </w:rPr>
            </w:pPr>
            <w:r>
              <w:rPr>
                <w:rFonts w:hint="eastAsia" w:ascii="宋体" w:hAnsi="宋体" w:cs="宋体"/>
                <w:kern w:val="0"/>
                <w:sz w:val="24"/>
                <w:highlight w:val="none"/>
              </w:rPr>
              <w:t>采购方式</w:t>
            </w:r>
          </w:p>
        </w:tc>
        <w:tc>
          <w:tcPr>
            <w:tcW w:w="6638" w:type="dxa"/>
            <w:vAlign w:val="center"/>
          </w:tcPr>
          <w:p w14:paraId="43D5E9A6">
            <w:pPr>
              <w:widowControl/>
              <w:rPr>
                <w:rFonts w:ascii="宋体" w:cs="宋体"/>
                <w:kern w:val="0"/>
                <w:sz w:val="24"/>
                <w:highlight w:val="none"/>
              </w:rPr>
            </w:pPr>
            <w:r>
              <w:rPr>
                <w:rFonts w:hint="eastAsia" w:ascii="宋体" w:hAnsi="宋体" w:cs="宋体"/>
                <w:kern w:val="0"/>
                <w:sz w:val="24"/>
                <w:highlight w:val="none"/>
              </w:rPr>
              <w:t>竞争性磋商</w:t>
            </w:r>
          </w:p>
        </w:tc>
      </w:tr>
      <w:tr w14:paraId="7193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881" w:type="dxa"/>
            <w:vAlign w:val="center"/>
          </w:tcPr>
          <w:p w14:paraId="66EB8027">
            <w:pPr>
              <w:widowControl/>
              <w:rPr>
                <w:rFonts w:ascii="宋体" w:cs="宋体"/>
                <w:color w:val="auto"/>
                <w:kern w:val="0"/>
                <w:sz w:val="24"/>
                <w:highlight w:val="none"/>
              </w:rPr>
            </w:pPr>
            <w:r>
              <w:rPr>
                <w:rFonts w:hint="eastAsia" w:ascii="宋体" w:hAnsi="宋体" w:cs="宋体"/>
                <w:color w:val="auto"/>
                <w:kern w:val="0"/>
                <w:sz w:val="24"/>
                <w:highlight w:val="none"/>
              </w:rPr>
              <w:t>采购预算额度</w:t>
            </w:r>
          </w:p>
        </w:tc>
        <w:tc>
          <w:tcPr>
            <w:tcW w:w="6638" w:type="dxa"/>
            <w:vAlign w:val="center"/>
          </w:tcPr>
          <w:p w14:paraId="57FD2A58">
            <w:pPr>
              <w:widowControl/>
              <w:rPr>
                <w:rFonts w:ascii="宋体" w:cs="宋体"/>
                <w:color w:val="auto"/>
                <w:kern w:val="0"/>
                <w:sz w:val="24"/>
                <w:highlight w:val="none"/>
              </w:rPr>
            </w:pPr>
            <w:r>
              <w:rPr>
                <w:rFonts w:hint="eastAsia" w:ascii="宋体" w:cs="宋体"/>
                <w:color w:val="auto"/>
                <w:kern w:val="0"/>
                <w:sz w:val="24"/>
                <w:highlight w:val="none"/>
                <w:lang w:val="en-US" w:eastAsia="zh-CN"/>
              </w:rPr>
              <w:t>248</w:t>
            </w:r>
            <w:r>
              <w:rPr>
                <w:rFonts w:hint="eastAsia" w:ascii="宋体" w:cs="宋体"/>
                <w:color w:val="auto"/>
                <w:kern w:val="0"/>
                <w:sz w:val="24"/>
                <w:highlight w:val="none"/>
              </w:rPr>
              <w:t>万元</w:t>
            </w:r>
          </w:p>
        </w:tc>
      </w:tr>
      <w:tr w14:paraId="1643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881" w:type="dxa"/>
            <w:vAlign w:val="center"/>
          </w:tcPr>
          <w:p w14:paraId="39693BB3">
            <w:pPr>
              <w:widowControl/>
              <w:rPr>
                <w:rFonts w:ascii="宋体" w:cs="宋体"/>
                <w:kern w:val="0"/>
                <w:sz w:val="24"/>
                <w:highlight w:val="none"/>
              </w:rPr>
            </w:pPr>
            <w:r>
              <w:rPr>
                <w:rFonts w:hint="eastAsia" w:ascii="宋体" w:hAnsi="宋体" w:cs="宋体"/>
                <w:kern w:val="0"/>
                <w:sz w:val="24"/>
                <w:highlight w:val="none"/>
              </w:rPr>
              <w:t>项目分包个数</w:t>
            </w:r>
          </w:p>
        </w:tc>
        <w:tc>
          <w:tcPr>
            <w:tcW w:w="6638" w:type="dxa"/>
            <w:vAlign w:val="center"/>
          </w:tcPr>
          <w:p w14:paraId="50EE06AA">
            <w:pPr>
              <w:widowControl/>
              <w:rPr>
                <w:rFonts w:ascii="宋体" w:cs="宋体"/>
                <w:kern w:val="0"/>
                <w:sz w:val="24"/>
                <w:highlight w:val="none"/>
              </w:rPr>
            </w:pPr>
            <w:r>
              <w:rPr>
                <w:rFonts w:hint="eastAsia" w:ascii="宋体" w:hAnsi="宋体" w:cs="宋体"/>
                <w:kern w:val="0"/>
                <w:sz w:val="24"/>
                <w:highlight w:val="none"/>
              </w:rPr>
              <w:t>不分包</w:t>
            </w:r>
          </w:p>
        </w:tc>
      </w:tr>
      <w:tr w14:paraId="697D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881" w:type="dxa"/>
            <w:vAlign w:val="center"/>
          </w:tcPr>
          <w:p w14:paraId="02A3499A">
            <w:pPr>
              <w:widowControl/>
              <w:rPr>
                <w:rFonts w:ascii="宋体" w:cs="宋体"/>
                <w:kern w:val="0"/>
                <w:sz w:val="24"/>
                <w:highlight w:val="none"/>
              </w:rPr>
            </w:pPr>
            <w:r>
              <w:rPr>
                <w:rFonts w:hint="eastAsia" w:ascii="宋体" w:hAnsi="宋体" w:cs="宋体"/>
                <w:kern w:val="0"/>
                <w:sz w:val="24"/>
                <w:highlight w:val="none"/>
              </w:rPr>
              <w:t>采购要求</w:t>
            </w:r>
          </w:p>
        </w:tc>
        <w:tc>
          <w:tcPr>
            <w:tcW w:w="6638" w:type="dxa"/>
            <w:vAlign w:val="center"/>
          </w:tcPr>
          <w:p w14:paraId="19593522">
            <w:pPr>
              <w:pStyle w:val="41"/>
              <w:spacing w:before="156" w:after="156" w:line="240" w:lineRule="auto"/>
              <w:jc w:val="both"/>
              <w:rPr>
                <w:kern w:val="16"/>
                <w:sz w:val="24"/>
                <w:szCs w:val="24"/>
                <w:highlight w:val="none"/>
                <w:lang w:eastAsia="zh-CN"/>
              </w:rPr>
            </w:pPr>
            <w:r>
              <w:rPr>
                <w:rFonts w:hint="eastAsia"/>
                <w:kern w:val="16"/>
                <w:sz w:val="24"/>
                <w:szCs w:val="24"/>
                <w:highlight w:val="none"/>
                <w:lang w:eastAsia="zh-CN"/>
              </w:rPr>
              <w:t>具体要求详见《磋商文件》。</w:t>
            </w:r>
          </w:p>
        </w:tc>
      </w:tr>
      <w:tr w14:paraId="1303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1" w:hRule="atLeast"/>
        </w:trPr>
        <w:tc>
          <w:tcPr>
            <w:tcW w:w="1881" w:type="dxa"/>
            <w:vAlign w:val="center"/>
          </w:tcPr>
          <w:p w14:paraId="60D03E5C">
            <w:pPr>
              <w:widowControl/>
              <w:rPr>
                <w:rFonts w:ascii="宋体" w:cs="宋体"/>
                <w:kern w:val="0"/>
                <w:sz w:val="24"/>
                <w:highlight w:val="none"/>
              </w:rPr>
            </w:pPr>
            <w:r>
              <w:rPr>
                <w:rFonts w:hint="eastAsia" w:ascii="宋体" w:hAnsi="宋体" w:cs="宋体"/>
                <w:kern w:val="0"/>
                <w:sz w:val="24"/>
                <w:highlight w:val="none"/>
              </w:rPr>
              <w:t>供应商资格条件</w:t>
            </w:r>
          </w:p>
        </w:tc>
        <w:tc>
          <w:tcPr>
            <w:tcW w:w="6638" w:type="dxa"/>
            <w:shd w:val="clear" w:color="auto" w:fill="auto"/>
            <w:vAlign w:val="center"/>
          </w:tcPr>
          <w:p w14:paraId="12830B0C">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(1)符合《政府采购法》第22条规定，并提供下列材料：</w:t>
            </w:r>
          </w:p>
          <w:p w14:paraId="47158156">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&lt;1&gt;供应商的营业执照等证明文件，自然人的身份证明。</w:t>
            </w:r>
          </w:p>
          <w:p w14:paraId="0F6D7D8D">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&lt;2&gt;财务状况报告，依法缴纳税收和社会保障资金的相关材料。</w:t>
            </w:r>
          </w:p>
          <w:p w14:paraId="74C3B847">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&lt;3&gt;具备履行合同所必需的设备和专业技术能力的证明材料。</w:t>
            </w:r>
          </w:p>
          <w:p w14:paraId="76F85054">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&lt;4&gt;参加政府采购活动前3年内在经营活动中没有重大违法记录的书面声明。</w:t>
            </w:r>
          </w:p>
          <w:p w14:paraId="79EE5F6D">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&lt;5&gt;具备法律、行政法规规定的其他条件的证明材料。</w:t>
            </w:r>
          </w:p>
          <w:p w14:paraId="63F6771E">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(2)单位负责人为同一人或者存在直接控股、管理关系的不同供应商，不得参加同一合同项下的政府采购活动。否则，皆取消投标资格；</w:t>
            </w:r>
          </w:p>
          <w:p w14:paraId="025C8546">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(3)为本采购项目提供整体设计、规范编制或者项目管理、监理、检测等服务的供应商，不得再参加该采购项目的其他采购活动；</w:t>
            </w:r>
          </w:p>
          <w:p w14:paraId="32F29008">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(4)本项目不接受供应商以联合体方式进行投标；</w:t>
            </w:r>
          </w:p>
          <w:p w14:paraId="19FCAA71">
            <w:pPr>
              <w:pStyle w:val="16"/>
              <w:ind w:left="0" w:lef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(5)经信用中国（www.creditchina.gov.cn）、中国政府采购网（www.ccgp.gov.cn）等渠道查询后，列入失信被执行人、重大税收违法失信主体、政府采购严重违法失信行为记录名单的，取消投标资格。</w:t>
            </w:r>
          </w:p>
          <w:p w14:paraId="5F523D93">
            <w:pPr>
              <w:pStyle w:val="16"/>
              <w:ind w:left="0" w:leftChars="0" w:firstLine="0" w:firstLineChars="0"/>
              <w:rPr>
                <w:rFonts w:hint="eastAsia" w:hAnsi="宋体" w:eastAsia="宋体" w:cs="宋体"/>
                <w:color w:val="auto"/>
                <w:kern w:val="0"/>
                <w:sz w:val="24"/>
                <w:highlight w:val="none"/>
                <w:lang w:val="en-US" w:eastAsia="zh-CN"/>
              </w:rPr>
            </w:pPr>
            <w:r>
              <w:rPr>
                <w:rFonts w:hint="eastAsia" w:hAnsi="宋体" w:cs="宋体"/>
                <w:color w:val="auto"/>
                <w:kern w:val="0"/>
                <w:sz w:val="24"/>
                <w:highlight w:val="none"/>
                <w:lang w:val="en-US" w:eastAsia="zh-CN"/>
              </w:rPr>
              <w:t>(6)本项目专门面向中小企业采购。</w:t>
            </w:r>
          </w:p>
        </w:tc>
      </w:tr>
      <w:tr w14:paraId="0BD8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881" w:type="dxa"/>
            <w:vAlign w:val="center"/>
          </w:tcPr>
          <w:p w14:paraId="063D150E">
            <w:pPr>
              <w:widowControl/>
              <w:rPr>
                <w:rFonts w:ascii="宋体" w:cs="宋体"/>
                <w:kern w:val="0"/>
                <w:sz w:val="24"/>
                <w:highlight w:val="none"/>
              </w:rPr>
            </w:pPr>
            <w:r>
              <w:rPr>
                <w:rFonts w:hint="eastAsia" w:ascii="宋体" w:hAnsi="宋体" w:cs="宋体"/>
                <w:kern w:val="0"/>
                <w:sz w:val="24"/>
                <w:highlight w:val="none"/>
              </w:rPr>
              <w:t>公告发布时间</w:t>
            </w:r>
          </w:p>
        </w:tc>
        <w:tc>
          <w:tcPr>
            <w:tcW w:w="6638" w:type="dxa"/>
            <w:vAlign w:val="center"/>
          </w:tcPr>
          <w:p w14:paraId="757B6DE5">
            <w:pPr>
              <w:widowControl/>
              <w:rPr>
                <w:rFonts w:ascii="宋体" w:cs="宋体"/>
                <w:kern w:val="0"/>
                <w:sz w:val="24"/>
                <w:highlight w:val="none"/>
              </w:rPr>
            </w:pPr>
            <w:r>
              <w:rPr>
                <w:rFonts w:ascii="宋体" w:hAnsi="宋体" w:cs="宋体"/>
                <w:kern w:val="0"/>
                <w:sz w:val="24"/>
                <w:highlight w:val="none"/>
              </w:rPr>
              <w:t>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05</w:t>
            </w:r>
            <w:r>
              <w:rPr>
                <w:rFonts w:hint="eastAsia" w:ascii="宋体" w:hAnsi="宋体" w:cs="宋体"/>
                <w:kern w:val="0"/>
                <w:sz w:val="24"/>
                <w:highlight w:val="none"/>
              </w:rPr>
              <w:t>月</w:t>
            </w:r>
            <w:r>
              <w:rPr>
                <w:rFonts w:hint="eastAsia" w:ascii="宋体" w:hAnsi="宋体" w:cs="宋体"/>
                <w:kern w:val="0"/>
                <w:sz w:val="24"/>
                <w:highlight w:val="none"/>
                <w:lang w:val="en-US" w:eastAsia="zh-CN"/>
              </w:rPr>
              <w:t>14</w:t>
            </w:r>
            <w:r>
              <w:rPr>
                <w:rFonts w:hint="eastAsia" w:ascii="宋体" w:hAnsi="宋体" w:cs="宋体"/>
                <w:kern w:val="0"/>
                <w:sz w:val="24"/>
                <w:highlight w:val="none"/>
              </w:rPr>
              <w:t>日</w:t>
            </w:r>
          </w:p>
        </w:tc>
      </w:tr>
      <w:tr w14:paraId="3EA0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881" w:type="dxa"/>
            <w:vAlign w:val="center"/>
          </w:tcPr>
          <w:p w14:paraId="061C960D">
            <w:pPr>
              <w:widowControl/>
              <w:rPr>
                <w:rFonts w:ascii="宋体" w:cs="宋体"/>
                <w:kern w:val="0"/>
                <w:sz w:val="24"/>
                <w:highlight w:val="none"/>
              </w:rPr>
            </w:pPr>
            <w:r>
              <w:rPr>
                <w:rFonts w:hint="eastAsia" w:ascii="宋体" w:hAnsi="宋体" w:cs="宋体"/>
                <w:kern w:val="0"/>
                <w:sz w:val="24"/>
                <w:highlight w:val="none"/>
              </w:rPr>
              <w:t>报名、磋商文件发售起始时间</w:t>
            </w:r>
          </w:p>
        </w:tc>
        <w:tc>
          <w:tcPr>
            <w:tcW w:w="6638" w:type="dxa"/>
            <w:vAlign w:val="center"/>
          </w:tcPr>
          <w:p w14:paraId="2C18A577">
            <w:pPr>
              <w:widowControl/>
              <w:rPr>
                <w:rFonts w:ascii="宋体" w:cs="宋体"/>
                <w:kern w:val="0"/>
                <w:sz w:val="24"/>
                <w:highlight w:val="none"/>
              </w:rPr>
            </w:pPr>
            <w:r>
              <w:rPr>
                <w:rFonts w:ascii="宋体" w:hAnsi="宋体" w:cs="宋体"/>
                <w:kern w:val="0"/>
                <w:sz w:val="24"/>
                <w:highlight w:val="none"/>
              </w:rPr>
              <w:t>20</w:t>
            </w:r>
            <w:r>
              <w:rPr>
                <w:rFonts w:hint="eastAsia" w:ascii="宋体" w:hAnsi="宋体" w:cs="宋体"/>
                <w:kern w:val="0"/>
                <w:sz w:val="24"/>
                <w:highlight w:val="none"/>
              </w:rPr>
              <w:t>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05</w:t>
            </w:r>
            <w:r>
              <w:rPr>
                <w:rFonts w:hint="eastAsia" w:ascii="宋体" w:hAnsi="宋体" w:cs="宋体"/>
                <w:kern w:val="0"/>
                <w:sz w:val="24"/>
                <w:highlight w:val="none"/>
              </w:rPr>
              <w:t>月</w:t>
            </w:r>
            <w:r>
              <w:rPr>
                <w:rFonts w:hint="eastAsia" w:ascii="宋体" w:hAnsi="宋体" w:cs="宋体"/>
                <w:kern w:val="0"/>
                <w:sz w:val="24"/>
                <w:highlight w:val="none"/>
                <w:lang w:val="en-US" w:eastAsia="zh-CN"/>
              </w:rPr>
              <w:t>14</w:t>
            </w:r>
            <w:r>
              <w:rPr>
                <w:rFonts w:hint="eastAsia" w:ascii="宋体" w:hAnsi="宋体" w:cs="宋体"/>
                <w:kern w:val="0"/>
                <w:sz w:val="24"/>
                <w:highlight w:val="none"/>
              </w:rPr>
              <w:t>日至</w:t>
            </w:r>
            <w:r>
              <w:rPr>
                <w:rFonts w:ascii="宋体" w:hAnsi="宋体" w:cs="宋体"/>
                <w:kern w:val="0"/>
                <w:sz w:val="24"/>
                <w:highlight w:val="none"/>
              </w:rPr>
              <w:t>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05</w:t>
            </w:r>
            <w:r>
              <w:rPr>
                <w:rFonts w:hint="eastAsia" w:ascii="宋体" w:hAnsi="宋体" w:cs="宋体"/>
                <w:kern w:val="0"/>
                <w:sz w:val="24"/>
                <w:highlight w:val="none"/>
              </w:rPr>
              <w:t>月</w:t>
            </w:r>
            <w:r>
              <w:rPr>
                <w:rFonts w:hint="eastAsia" w:ascii="宋体" w:hAnsi="宋体" w:cs="宋体"/>
                <w:kern w:val="0"/>
                <w:sz w:val="24"/>
                <w:highlight w:val="none"/>
                <w:lang w:val="en-US" w:eastAsia="zh-CN"/>
              </w:rPr>
              <w:t>21</w:t>
            </w:r>
            <w:r>
              <w:rPr>
                <w:rFonts w:hint="eastAsia" w:ascii="宋体" w:hAnsi="宋体" w:cs="宋体"/>
                <w:kern w:val="0"/>
                <w:sz w:val="24"/>
                <w:highlight w:val="none"/>
              </w:rPr>
              <w:t>日止</w:t>
            </w:r>
          </w:p>
        </w:tc>
      </w:tr>
      <w:tr w14:paraId="0E51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881" w:type="dxa"/>
            <w:vAlign w:val="center"/>
          </w:tcPr>
          <w:p w14:paraId="69839BD0">
            <w:pPr>
              <w:widowControl/>
              <w:rPr>
                <w:rFonts w:ascii="宋体" w:cs="宋体"/>
                <w:kern w:val="0"/>
                <w:sz w:val="24"/>
                <w:highlight w:val="none"/>
              </w:rPr>
            </w:pPr>
            <w:r>
              <w:rPr>
                <w:rFonts w:hint="eastAsia" w:ascii="宋体" w:hAnsi="宋体" w:cs="宋体"/>
                <w:sz w:val="24"/>
                <w:highlight w:val="none"/>
              </w:rPr>
              <w:t>磋商文件发售方式</w:t>
            </w:r>
          </w:p>
        </w:tc>
        <w:tc>
          <w:tcPr>
            <w:tcW w:w="6638" w:type="dxa"/>
            <w:vAlign w:val="center"/>
          </w:tcPr>
          <w:p w14:paraId="4BBE4F28">
            <w:pPr>
              <w:autoSpaceDE w:val="0"/>
              <w:autoSpaceDN w:val="0"/>
              <w:rPr>
                <w:rFonts w:ascii="宋体" w:cs="宋体"/>
                <w:kern w:val="0"/>
                <w:sz w:val="24"/>
                <w:highlight w:val="none"/>
              </w:rPr>
            </w:pPr>
            <w:r>
              <w:rPr>
                <w:rFonts w:hint="eastAsia" w:ascii="宋体" w:hAnsi="宋体" w:cs="宋体"/>
                <w:b/>
                <w:bCs/>
                <w:kern w:val="0"/>
                <w:sz w:val="24"/>
                <w:highlight w:val="none"/>
                <w:lang w:val="zh-CN"/>
              </w:rPr>
              <w:t>供应商登录政采云平台https://www.zcygov.cn/在线申请获取采购文件（进入“项目采购”应用，在获取采购文件菜单中选择项目，申请获取采购文件） ，具体方式请咨询线上电子化交易系统：咨询电话：政采云</w:t>
            </w:r>
            <w:r>
              <w:rPr>
                <w:rFonts w:hint="eastAsia" w:ascii="宋体" w:hAnsi="宋体" w:cs="宋体"/>
                <w:b/>
                <w:bCs/>
                <w:kern w:val="0"/>
                <w:sz w:val="24"/>
                <w:highlight w:val="none"/>
              </w:rPr>
              <w:t>95763。《青海省政府采购网》下载磋商文件。（提示：请潜在供应商报名前务必完成网上企业注册及CA锁办理等手续；具体操作详见附件操作指南）</w:t>
            </w:r>
          </w:p>
        </w:tc>
      </w:tr>
      <w:tr w14:paraId="38ED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881" w:type="dxa"/>
            <w:vAlign w:val="center"/>
          </w:tcPr>
          <w:p w14:paraId="5D976F14">
            <w:pPr>
              <w:widowControl/>
              <w:rPr>
                <w:rFonts w:ascii="宋体" w:cs="宋体"/>
                <w:kern w:val="0"/>
                <w:sz w:val="24"/>
                <w:highlight w:val="none"/>
              </w:rPr>
            </w:pPr>
            <w:r>
              <w:rPr>
                <w:rFonts w:hint="eastAsia" w:ascii="宋体" w:hAnsi="宋体" w:cs="宋体"/>
                <w:sz w:val="24"/>
                <w:highlight w:val="none"/>
              </w:rPr>
              <w:t>磋商文件售价</w:t>
            </w:r>
          </w:p>
        </w:tc>
        <w:tc>
          <w:tcPr>
            <w:tcW w:w="6638" w:type="dxa"/>
            <w:vAlign w:val="center"/>
          </w:tcPr>
          <w:p w14:paraId="147183AE">
            <w:pPr>
              <w:autoSpaceDE w:val="0"/>
              <w:autoSpaceDN w:val="0"/>
              <w:rPr>
                <w:rFonts w:ascii="宋体" w:cs="宋体"/>
                <w:kern w:val="0"/>
                <w:sz w:val="24"/>
                <w:highlight w:val="none"/>
              </w:rPr>
            </w:pPr>
            <w:r>
              <w:rPr>
                <w:rFonts w:hint="eastAsia" w:ascii="宋体" w:hAnsi="宋体" w:cs="宋体"/>
                <w:kern w:val="0"/>
                <w:sz w:val="24"/>
                <w:highlight w:val="none"/>
              </w:rPr>
              <w:t>0</w:t>
            </w:r>
            <w:r>
              <w:rPr>
                <w:rFonts w:hint="eastAsia" w:ascii="宋体" w:hAnsi="宋体" w:cs="宋体"/>
                <w:kern w:val="0"/>
                <w:sz w:val="24"/>
                <w:highlight w:val="none"/>
                <w:lang w:val="zh-CN"/>
              </w:rPr>
              <w:t>元（投标资格不能转让）</w:t>
            </w:r>
          </w:p>
        </w:tc>
      </w:tr>
      <w:tr w14:paraId="4B2B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881" w:type="dxa"/>
            <w:vAlign w:val="center"/>
          </w:tcPr>
          <w:p w14:paraId="6EA510BD">
            <w:pPr>
              <w:widowControl/>
              <w:rPr>
                <w:rFonts w:ascii="宋体" w:cs="宋体"/>
                <w:kern w:val="0"/>
                <w:sz w:val="24"/>
                <w:highlight w:val="none"/>
              </w:rPr>
            </w:pPr>
            <w:r>
              <w:rPr>
                <w:rFonts w:hint="eastAsia" w:ascii="宋体" w:hAnsi="宋体" w:cs="宋体"/>
                <w:kern w:val="0"/>
                <w:sz w:val="24"/>
                <w:highlight w:val="none"/>
              </w:rPr>
              <w:t>磋商文件发售地点</w:t>
            </w:r>
          </w:p>
        </w:tc>
        <w:tc>
          <w:tcPr>
            <w:tcW w:w="6638" w:type="dxa"/>
            <w:vAlign w:val="center"/>
          </w:tcPr>
          <w:p w14:paraId="3591A69E">
            <w:pPr>
              <w:autoSpaceDE w:val="0"/>
              <w:autoSpaceDN w:val="0"/>
              <w:rPr>
                <w:rFonts w:ascii="宋体" w:cs="宋体"/>
                <w:b/>
                <w:bCs/>
                <w:kern w:val="0"/>
                <w:sz w:val="24"/>
                <w:highlight w:val="none"/>
                <w:lang w:val="zh-CN"/>
              </w:rPr>
            </w:pPr>
            <w:r>
              <w:rPr>
                <w:rFonts w:hint="eastAsia" w:ascii="宋体" w:cs="宋体"/>
                <w:b/>
                <w:bCs/>
                <w:kern w:val="0"/>
                <w:sz w:val="24"/>
                <w:highlight w:val="none"/>
                <w:lang w:val="zh-CN"/>
              </w:rPr>
              <w:t xml:space="preserve">政采云平台线上获取 </w:t>
            </w:r>
          </w:p>
          <w:p w14:paraId="31823C76">
            <w:pPr>
              <w:autoSpaceDE w:val="0"/>
              <w:autoSpaceDN w:val="0"/>
              <w:rPr>
                <w:rFonts w:ascii="宋体" w:cs="宋体"/>
                <w:kern w:val="0"/>
                <w:sz w:val="24"/>
                <w:highlight w:val="none"/>
                <w:lang w:val="zh-CN"/>
              </w:rPr>
            </w:pPr>
            <w:r>
              <w:rPr>
                <w:rFonts w:hint="eastAsia" w:ascii="宋体" w:hAnsi="宋体" w:cs="宋体"/>
                <w:kern w:val="0"/>
                <w:sz w:val="24"/>
                <w:highlight w:val="none"/>
                <w:lang w:val="zh-CN"/>
              </w:rPr>
              <w:t>联系地址：青海省西宁市城西区西关大街130号唐道637唐府公寓A座13B-11334室</w:t>
            </w:r>
          </w:p>
          <w:p w14:paraId="34872066">
            <w:pPr>
              <w:autoSpaceDE w:val="0"/>
              <w:autoSpaceDN w:val="0"/>
              <w:rPr>
                <w:rFonts w:ascii="宋体" w:cs="宋体"/>
                <w:kern w:val="0"/>
                <w:sz w:val="24"/>
                <w:highlight w:val="none"/>
                <w:lang w:val="zh-CN"/>
              </w:rPr>
            </w:pPr>
            <w:r>
              <w:rPr>
                <w:rFonts w:hint="eastAsia" w:ascii="宋体" w:hAnsi="宋体" w:cs="宋体"/>
                <w:kern w:val="0"/>
                <w:sz w:val="24"/>
                <w:highlight w:val="none"/>
                <w:lang w:val="zh-CN"/>
              </w:rPr>
              <w:t>标书购买联系人：祁先生</w:t>
            </w:r>
          </w:p>
          <w:p w14:paraId="4AAE8911">
            <w:pPr>
              <w:autoSpaceDE w:val="0"/>
              <w:autoSpaceDN w:val="0"/>
              <w:rPr>
                <w:rFonts w:ascii="宋体" w:cs="宋体"/>
                <w:kern w:val="0"/>
                <w:sz w:val="24"/>
                <w:highlight w:val="none"/>
              </w:rPr>
            </w:pPr>
            <w:r>
              <w:rPr>
                <w:rFonts w:hint="eastAsia" w:ascii="宋体" w:hAnsi="宋体" w:cs="宋体"/>
                <w:kern w:val="0"/>
                <w:sz w:val="24"/>
                <w:highlight w:val="none"/>
                <w:lang w:val="zh-CN"/>
              </w:rPr>
              <w:t>联系电话：0971-3824137</w:t>
            </w:r>
          </w:p>
          <w:p w14:paraId="766EF521">
            <w:pPr>
              <w:widowControl/>
              <w:rPr>
                <w:rFonts w:ascii="宋体" w:cs="宋体"/>
                <w:kern w:val="0"/>
                <w:sz w:val="24"/>
                <w:highlight w:val="none"/>
                <w:lang w:val="zh-CN"/>
              </w:rPr>
            </w:pPr>
            <w:r>
              <w:rPr>
                <w:rFonts w:hint="eastAsia" w:ascii="宋体" w:hAnsi="宋体" w:cs="宋体"/>
                <w:kern w:val="0"/>
                <w:sz w:val="24"/>
                <w:highlight w:val="none"/>
                <w:lang w:val="zh-CN"/>
              </w:rPr>
              <w:t xml:space="preserve">电子邮箱：qhhczb11@163.com </w:t>
            </w:r>
          </w:p>
        </w:tc>
      </w:tr>
      <w:tr w14:paraId="4805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881" w:type="dxa"/>
            <w:vAlign w:val="center"/>
          </w:tcPr>
          <w:p w14:paraId="654B3081">
            <w:pPr>
              <w:widowControl/>
              <w:rPr>
                <w:rFonts w:ascii="宋体" w:cs="宋体"/>
                <w:sz w:val="24"/>
                <w:highlight w:val="none"/>
              </w:rPr>
            </w:pPr>
            <w:r>
              <w:rPr>
                <w:rFonts w:hint="eastAsia" w:ascii="宋体" w:hAnsi="宋体" w:cs="宋体"/>
                <w:sz w:val="24"/>
                <w:highlight w:val="none"/>
              </w:rPr>
              <w:t>磋商保证金</w:t>
            </w:r>
          </w:p>
        </w:tc>
        <w:tc>
          <w:tcPr>
            <w:tcW w:w="6638" w:type="dxa"/>
            <w:vAlign w:val="center"/>
          </w:tcPr>
          <w:p w14:paraId="6AAEDE19">
            <w:pPr>
              <w:autoSpaceDE w:val="0"/>
              <w:autoSpaceDN w:val="0"/>
              <w:rPr>
                <w:rFonts w:ascii="宋体" w:hAnsi="宋体" w:cs="宋体"/>
                <w:kern w:val="0"/>
                <w:sz w:val="24"/>
                <w:highlight w:val="none"/>
                <w:lang w:val="zh-CN"/>
              </w:rPr>
            </w:pPr>
            <w:r>
              <w:rPr>
                <w:rFonts w:hint="eastAsia" w:ascii="宋体" w:hAnsi="宋体" w:cs="宋体"/>
                <w:kern w:val="0"/>
                <w:sz w:val="24"/>
                <w:highlight w:val="none"/>
                <w:lang w:val="zh-CN"/>
              </w:rPr>
              <w:t>免缴</w:t>
            </w:r>
          </w:p>
          <w:p w14:paraId="3E9CC830">
            <w:pPr>
              <w:autoSpaceDE w:val="0"/>
              <w:autoSpaceDN w:val="0"/>
              <w:rPr>
                <w:rFonts w:ascii="宋体" w:hAnsi="宋体" w:cs="宋体"/>
                <w:kern w:val="0"/>
                <w:sz w:val="24"/>
                <w:highlight w:val="none"/>
                <w:lang w:val="zh-CN"/>
              </w:rPr>
            </w:pPr>
            <w:r>
              <w:rPr>
                <w:rFonts w:hint="eastAsia" w:ascii="宋体" w:hAnsi="宋体" w:cs="宋体"/>
                <w:kern w:val="0"/>
                <w:sz w:val="24"/>
                <w:highlight w:val="none"/>
                <w:lang w:val="zh-CN"/>
              </w:rPr>
              <w:t xml:space="preserve">账户：青海浩驰招标代理有限公司  </w:t>
            </w:r>
          </w:p>
          <w:p w14:paraId="7B444C67">
            <w:pPr>
              <w:autoSpaceDE w:val="0"/>
              <w:autoSpaceDN w:val="0"/>
              <w:rPr>
                <w:rFonts w:ascii="宋体" w:hAnsi="宋体" w:cs="宋体"/>
                <w:kern w:val="0"/>
                <w:sz w:val="24"/>
                <w:highlight w:val="none"/>
                <w:lang w:val="zh-CN"/>
              </w:rPr>
            </w:pPr>
            <w:r>
              <w:rPr>
                <w:rFonts w:hint="eastAsia" w:ascii="宋体" w:hAnsi="宋体" w:cs="宋体"/>
                <w:kern w:val="0"/>
                <w:sz w:val="24"/>
                <w:highlight w:val="none"/>
                <w:lang w:val="zh-CN"/>
              </w:rPr>
              <w:t xml:space="preserve">开户行：兴业银行股份有限公司西宁分行   </w:t>
            </w:r>
          </w:p>
          <w:p w14:paraId="39DFA632">
            <w:pPr>
              <w:autoSpaceDE w:val="0"/>
              <w:autoSpaceDN w:val="0"/>
              <w:rPr>
                <w:highlight w:val="none"/>
              </w:rPr>
            </w:pPr>
            <w:r>
              <w:rPr>
                <w:rFonts w:hint="eastAsia" w:ascii="宋体" w:hAnsi="宋体" w:cs="宋体"/>
                <w:kern w:val="0"/>
                <w:sz w:val="24"/>
                <w:highlight w:val="none"/>
                <w:lang w:val="zh-CN"/>
              </w:rPr>
              <w:t>帐号：632010100100197890</w:t>
            </w:r>
          </w:p>
        </w:tc>
      </w:tr>
      <w:tr w14:paraId="6066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81" w:type="dxa"/>
            <w:vAlign w:val="center"/>
          </w:tcPr>
          <w:p w14:paraId="4F5B1FCA">
            <w:pPr>
              <w:widowControl/>
              <w:rPr>
                <w:rFonts w:ascii="宋体" w:cs="宋体"/>
                <w:kern w:val="0"/>
                <w:sz w:val="24"/>
                <w:highlight w:val="none"/>
              </w:rPr>
            </w:pPr>
            <w:r>
              <w:rPr>
                <w:rFonts w:hint="eastAsia" w:ascii="宋体" w:hAnsi="宋体" w:cs="宋体"/>
                <w:kern w:val="0"/>
                <w:sz w:val="24"/>
                <w:highlight w:val="none"/>
              </w:rPr>
              <w:t>递交磋商响应文件截止时间</w:t>
            </w:r>
          </w:p>
        </w:tc>
        <w:tc>
          <w:tcPr>
            <w:tcW w:w="6638" w:type="dxa"/>
            <w:vAlign w:val="center"/>
          </w:tcPr>
          <w:p w14:paraId="71B74032">
            <w:pPr>
              <w:widowControl/>
              <w:rPr>
                <w:sz w:val="24"/>
                <w:highlight w:val="none"/>
              </w:rPr>
            </w:pPr>
            <w:r>
              <w:rPr>
                <w:rFonts w:hint="eastAsia" w:ascii="宋体" w:hAnsi="宋体" w:cs="宋体"/>
                <w:kern w:val="0"/>
                <w:sz w:val="24"/>
                <w:highlight w:val="none"/>
              </w:rPr>
              <w:t>20</w:t>
            </w:r>
            <w:r>
              <w:rPr>
                <w:rFonts w:hint="eastAsia" w:ascii="宋体" w:hAnsi="宋体" w:cs="宋体"/>
                <w:kern w:val="0"/>
                <w:sz w:val="24"/>
                <w:highlight w:val="none"/>
                <w:lang w:val="en-US" w:eastAsia="zh-CN"/>
              </w:rPr>
              <w:t>26</w:t>
            </w:r>
            <w:r>
              <w:rPr>
                <w:rFonts w:hint="eastAsia" w:ascii="宋体" w:hAnsi="宋体" w:cs="宋体"/>
                <w:kern w:val="0"/>
                <w:sz w:val="24"/>
                <w:highlight w:val="none"/>
              </w:rPr>
              <w:t>年</w:t>
            </w:r>
            <w:r>
              <w:rPr>
                <w:rFonts w:hint="eastAsia" w:ascii="宋体" w:hAnsi="宋体" w:cs="宋体"/>
                <w:kern w:val="0"/>
                <w:sz w:val="24"/>
                <w:highlight w:val="none"/>
                <w:lang w:val="en-US" w:eastAsia="zh-CN"/>
              </w:rPr>
              <w:t>05</w:t>
            </w:r>
            <w:r>
              <w:rPr>
                <w:rFonts w:hint="eastAsia" w:ascii="宋体" w:hAnsi="宋体" w:cs="宋体"/>
                <w:kern w:val="0"/>
                <w:sz w:val="24"/>
                <w:highlight w:val="none"/>
              </w:rPr>
              <w:t>月</w:t>
            </w:r>
            <w:r>
              <w:rPr>
                <w:rFonts w:hint="eastAsia" w:ascii="宋体" w:hAnsi="宋体" w:cs="宋体"/>
                <w:kern w:val="0"/>
                <w:sz w:val="24"/>
                <w:highlight w:val="none"/>
                <w:lang w:val="en-US" w:eastAsia="zh-CN"/>
              </w:rPr>
              <w:t>25</w:t>
            </w:r>
            <w:r>
              <w:rPr>
                <w:rFonts w:hint="eastAsia" w:ascii="宋体" w:hAnsi="宋体" w:cs="宋体"/>
                <w:kern w:val="0"/>
                <w:sz w:val="24"/>
                <w:highlight w:val="none"/>
              </w:rPr>
              <w:t>日</w:t>
            </w:r>
            <w:r>
              <w:rPr>
                <w:rFonts w:hint="eastAsia" w:ascii="宋体" w:hAnsi="宋体" w:cs="宋体"/>
                <w:kern w:val="0"/>
                <w:sz w:val="24"/>
                <w:highlight w:val="none"/>
                <w:lang w:val="en-US" w:eastAsia="zh-CN"/>
              </w:rPr>
              <w:t>14</w:t>
            </w:r>
            <w:r>
              <w:rPr>
                <w:rFonts w:hint="eastAsia" w:ascii="宋体" w:hAnsi="宋体" w:cs="宋体"/>
                <w:kern w:val="0"/>
                <w:sz w:val="24"/>
                <w:highlight w:val="none"/>
              </w:rPr>
              <w:t>:30（北京时间）</w:t>
            </w:r>
          </w:p>
        </w:tc>
      </w:tr>
      <w:tr w14:paraId="73DE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881" w:type="dxa"/>
            <w:vAlign w:val="center"/>
          </w:tcPr>
          <w:p w14:paraId="24ADD58F">
            <w:pPr>
              <w:widowControl/>
              <w:rPr>
                <w:rFonts w:ascii="宋体" w:cs="宋体"/>
                <w:kern w:val="0"/>
                <w:sz w:val="24"/>
                <w:highlight w:val="none"/>
              </w:rPr>
            </w:pPr>
            <w:r>
              <w:rPr>
                <w:rFonts w:hint="eastAsia" w:ascii="宋体" w:hAnsi="宋体" w:cs="宋体"/>
                <w:kern w:val="0"/>
                <w:sz w:val="24"/>
                <w:highlight w:val="none"/>
              </w:rPr>
              <w:t>磋商时间</w:t>
            </w:r>
          </w:p>
        </w:tc>
        <w:tc>
          <w:tcPr>
            <w:tcW w:w="6638" w:type="dxa"/>
            <w:vAlign w:val="center"/>
          </w:tcPr>
          <w:p w14:paraId="631B683A">
            <w:pPr>
              <w:widowControl/>
              <w:rPr>
                <w:rFonts w:ascii="宋体" w:cs="宋体"/>
                <w:kern w:val="0"/>
                <w:sz w:val="24"/>
                <w:highlight w:val="none"/>
              </w:rPr>
            </w:pPr>
            <w:r>
              <w:rPr>
                <w:rFonts w:ascii="宋体" w:hAnsi="宋体" w:cs="宋体"/>
                <w:kern w:val="0"/>
                <w:sz w:val="24"/>
                <w:highlight w:val="none"/>
              </w:rPr>
              <w:t>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05</w:t>
            </w:r>
            <w:r>
              <w:rPr>
                <w:rFonts w:hint="eastAsia" w:ascii="宋体" w:hAnsi="宋体" w:cs="宋体"/>
                <w:kern w:val="0"/>
                <w:sz w:val="24"/>
                <w:highlight w:val="none"/>
              </w:rPr>
              <w:t>月</w:t>
            </w:r>
            <w:r>
              <w:rPr>
                <w:rFonts w:hint="eastAsia" w:ascii="宋体" w:hAnsi="宋体" w:cs="宋体"/>
                <w:kern w:val="0"/>
                <w:sz w:val="24"/>
                <w:highlight w:val="none"/>
                <w:lang w:val="en-US" w:eastAsia="zh-CN"/>
              </w:rPr>
              <w:t>25</w:t>
            </w:r>
            <w:r>
              <w:rPr>
                <w:rFonts w:hint="eastAsia" w:ascii="宋体" w:hAnsi="宋体" w:cs="宋体"/>
                <w:kern w:val="0"/>
                <w:sz w:val="24"/>
                <w:highlight w:val="none"/>
              </w:rPr>
              <w:t>日</w:t>
            </w:r>
            <w:r>
              <w:rPr>
                <w:rFonts w:hint="eastAsia" w:ascii="宋体" w:hAnsi="宋体" w:cs="宋体"/>
                <w:kern w:val="0"/>
                <w:sz w:val="24"/>
                <w:highlight w:val="none"/>
                <w:lang w:val="en-US" w:eastAsia="zh-CN"/>
              </w:rPr>
              <w:t>14</w:t>
            </w:r>
            <w:r>
              <w:rPr>
                <w:rFonts w:ascii="宋体" w:hAnsi="宋体" w:cs="宋体"/>
                <w:sz w:val="24"/>
                <w:highlight w:val="none"/>
              </w:rPr>
              <w:t>:</w:t>
            </w:r>
            <w:r>
              <w:rPr>
                <w:rFonts w:hint="eastAsia" w:ascii="宋体" w:hAnsi="宋体" w:cs="宋体"/>
                <w:sz w:val="24"/>
                <w:highlight w:val="none"/>
              </w:rPr>
              <w:t>3</w:t>
            </w:r>
            <w:r>
              <w:rPr>
                <w:rFonts w:ascii="宋体" w:hAnsi="宋体" w:cs="宋体"/>
                <w:sz w:val="24"/>
                <w:highlight w:val="none"/>
              </w:rPr>
              <w:t>0</w:t>
            </w:r>
            <w:r>
              <w:rPr>
                <w:rFonts w:hint="eastAsia" w:ascii="宋体" w:hAnsi="宋体" w:cs="宋体"/>
                <w:kern w:val="0"/>
                <w:sz w:val="24"/>
                <w:highlight w:val="none"/>
              </w:rPr>
              <w:t>（北京时间）</w:t>
            </w:r>
          </w:p>
        </w:tc>
      </w:tr>
      <w:tr w14:paraId="7C31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vAlign w:val="center"/>
          </w:tcPr>
          <w:p w14:paraId="49B32C4D">
            <w:pPr>
              <w:widowControl/>
              <w:rPr>
                <w:rFonts w:ascii="宋体" w:cs="宋体"/>
                <w:kern w:val="0"/>
                <w:sz w:val="24"/>
                <w:highlight w:val="none"/>
              </w:rPr>
            </w:pPr>
            <w:r>
              <w:rPr>
                <w:rFonts w:hint="eastAsia" w:ascii="宋体" w:hAnsi="宋体" w:cs="宋体"/>
                <w:kern w:val="0"/>
                <w:sz w:val="24"/>
                <w:highlight w:val="none"/>
              </w:rPr>
              <w:t>递交磋商响应文件及磋商地点</w:t>
            </w:r>
          </w:p>
        </w:tc>
        <w:tc>
          <w:tcPr>
            <w:tcW w:w="6638" w:type="dxa"/>
            <w:vAlign w:val="center"/>
          </w:tcPr>
          <w:p w14:paraId="6C34B6D7">
            <w:pPr>
              <w:widowControl/>
              <w:rPr>
                <w:sz w:val="24"/>
                <w:highlight w:val="none"/>
              </w:rPr>
            </w:pPr>
            <w:r>
              <w:rPr>
                <w:rFonts w:hint="eastAsia"/>
                <w:sz w:val="24"/>
                <w:highlight w:val="none"/>
              </w:rPr>
              <w:t>青海浩驰招标代理有限公司</w:t>
            </w:r>
          </w:p>
          <w:p w14:paraId="6F10C09E">
            <w:pPr>
              <w:autoSpaceDE w:val="0"/>
              <w:autoSpaceDN w:val="0"/>
              <w:rPr>
                <w:sz w:val="24"/>
                <w:highlight w:val="none"/>
              </w:rPr>
            </w:pPr>
            <w:r>
              <w:rPr>
                <w:rFonts w:hint="eastAsia"/>
                <w:sz w:val="24"/>
                <w:highlight w:val="none"/>
              </w:rPr>
              <w:t>地址：青海省西宁市城西区西关大街130号唐道637唐府公寓A座13</w:t>
            </w:r>
            <w:r>
              <w:rPr>
                <w:rFonts w:hint="eastAsia"/>
                <w:sz w:val="24"/>
                <w:highlight w:val="none"/>
                <w:lang w:val="en-US" w:eastAsia="zh-CN"/>
              </w:rPr>
              <w:t>A</w:t>
            </w:r>
            <w:r>
              <w:rPr>
                <w:rFonts w:hint="eastAsia"/>
                <w:sz w:val="24"/>
                <w:highlight w:val="none"/>
              </w:rPr>
              <w:t>-1133</w:t>
            </w:r>
            <w:r>
              <w:rPr>
                <w:rFonts w:hint="eastAsia"/>
                <w:sz w:val="24"/>
                <w:highlight w:val="none"/>
                <w:lang w:val="en-US" w:eastAsia="zh-CN"/>
              </w:rPr>
              <w:t>3</w:t>
            </w:r>
            <w:r>
              <w:rPr>
                <w:rFonts w:hint="eastAsia"/>
                <w:sz w:val="24"/>
                <w:highlight w:val="none"/>
              </w:rPr>
              <w:t>室</w:t>
            </w:r>
          </w:p>
          <w:p w14:paraId="3B91122C">
            <w:pPr>
              <w:pStyle w:val="14"/>
              <w:rPr>
                <w:sz w:val="24"/>
                <w:szCs w:val="24"/>
                <w:highlight w:val="none"/>
              </w:rPr>
            </w:pPr>
            <w:r>
              <w:rPr>
                <w:rFonts w:hint="eastAsia" w:hAnsi="宋体" w:cs="宋体"/>
                <w:b/>
                <w:bCs/>
                <w:color w:val="000000"/>
                <w:kern w:val="0"/>
                <w:sz w:val="24"/>
                <w:szCs w:val="24"/>
                <w:highlight w:val="none"/>
                <w:lang w:val="zh-CN"/>
              </w:rPr>
              <w:t>加密电子响应文件</w:t>
            </w:r>
            <w:r>
              <w:rPr>
                <w:rFonts w:hint="eastAsia" w:hAnsi="宋体" w:cs="宋体"/>
                <w:b/>
                <w:bCs/>
                <w:color w:val="000000"/>
                <w:kern w:val="0"/>
                <w:sz w:val="24"/>
                <w:szCs w:val="24"/>
                <w:highlight w:val="none"/>
              </w:rPr>
              <w:t>1份务必在开标截止前上传至电子开评标系统并进行线上签到，在规定的时间内进行解密。</w:t>
            </w:r>
          </w:p>
        </w:tc>
      </w:tr>
      <w:tr w14:paraId="7D94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881" w:type="dxa"/>
            <w:vAlign w:val="center"/>
          </w:tcPr>
          <w:p w14:paraId="2C2C1B9D">
            <w:pPr>
              <w:widowControl/>
              <w:rPr>
                <w:rFonts w:ascii="宋体"/>
                <w:sz w:val="24"/>
                <w:highlight w:val="none"/>
              </w:rPr>
            </w:pPr>
            <w:r>
              <w:rPr>
                <w:rFonts w:hint="eastAsia" w:ascii="宋体" w:hAnsi="宋体"/>
                <w:sz w:val="24"/>
                <w:highlight w:val="none"/>
              </w:rPr>
              <w:t>磋商响应文件格式及编制要求</w:t>
            </w:r>
          </w:p>
        </w:tc>
        <w:tc>
          <w:tcPr>
            <w:tcW w:w="6638" w:type="dxa"/>
            <w:vAlign w:val="center"/>
          </w:tcPr>
          <w:p w14:paraId="2192DD36">
            <w:pPr>
              <w:widowControl/>
              <w:spacing w:line="320" w:lineRule="exact"/>
              <w:rPr>
                <w:rFonts w:hAnsi="宋体" w:cs="宋体"/>
                <w:b/>
                <w:bCs/>
                <w:color w:val="000000"/>
                <w:kern w:val="0"/>
                <w:sz w:val="24"/>
                <w:highlight w:val="none"/>
              </w:rPr>
            </w:pPr>
            <w:r>
              <w:rPr>
                <w:rFonts w:hint="eastAsia" w:hAnsi="宋体" w:cs="宋体"/>
                <w:b/>
                <w:bCs/>
                <w:color w:val="000000"/>
                <w:kern w:val="0"/>
                <w:sz w:val="24"/>
                <w:highlight w:val="none"/>
                <w:lang w:val="zh-CN"/>
              </w:rPr>
              <w:t>供应商须提交加密电子响应文件</w:t>
            </w:r>
            <w:r>
              <w:rPr>
                <w:rFonts w:hint="eastAsia" w:hAnsi="宋体" w:cs="宋体"/>
                <w:b/>
                <w:bCs/>
                <w:color w:val="000000"/>
                <w:kern w:val="0"/>
                <w:sz w:val="24"/>
                <w:highlight w:val="none"/>
              </w:rPr>
              <w:t>1份务必在开标截止前上传至电子开评标系统</w:t>
            </w:r>
            <w:r>
              <w:rPr>
                <w:rFonts w:hint="eastAsia" w:hAnsi="宋体" w:cs="宋体"/>
                <w:color w:val="000000"/>
                <w:kern w:val="0"/>
                <w:sz w:val="24"/>
                <w:highlight w:val="none"/>
              </w:rPr>
              <w:t>；</w:t>
            </w:r>
            <w:r>
              <w:rPr>
                <w:rFonts w:hint="eastAsia" w:hAnsi="宋体" w:cs="宋体"/>
                <w:b/>
                <w:bCs/>
                <w:color w:val="000000"/>
                <w:kern w:val="0"/>
                <w:sz w:val="24"/>
                <w:highlight w:val="none"/>
                <w:lang w:val="zh-CN"/>
              </w:rPr>
              <w:t>加密电子响应文件制作详情请咨询政采云，咨询电话：</w:t>
            </w:r>
            <w:r>
              <w:rPr>
                <w:rFonts w:hint="eastAsia" w:hAnsi="宋体" w:cs="宋体"/>
                <w:b/>
                <w:bCs/>
                <w:color w:val="000000"/>
                <w:kern w:val="0"/>
                <w:sz w:val="24"/>
                <w:highlight w:val="none"/>
              </w:rPr>
              <w:t>95763.</w:t>
            </w:r>
          </w:p>
          <w:p w14:paraId="34A45BBE">
            <w:pPr>
              <w:widowControl/>
              <w:rPr>
                <w:rFonts w:ascii="宋体"/>
                <w:sz w:val="24"/>
                <w:highlight w:val="none"/>
              </w:rPr>
            </w:pPr>
            <w:r>
              <w:rPr>
                <w:rFonts w:hint="eastAsia" w:ascii="宋体" w:hAnsi="宋体"/>
                <w:sz w:val="24"/>
                <w:highlight w:val="none"/>
              </w:rPr>
              <w:t>按照磋商文件及线上响应文件格式要求制作电子响应文件并上传至政采云评标系统。</w:t>
            </w:r>
          </w:p>
        </w:tc>
      </w:tr>
      <w:tr w14:paraId="590D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81" w:type="dxa"/>
            <w:vAlign w:val="center"/>
          </w:tcPr>
          <w:p w14:paraId="7A4DFF52">
            <w:pPr>
              <w:widowControl/>
              <w:rPr>
                <w:rFonts w:ascii="宋体"/>
                <w:sz w:val="24"/>
                <w:highlight w:val="none"/>
              </w:rPr>
            </w:pPr>
            <w:r>
              <w:rPr>
                <w:rFonts w:hint="eastAsia" w:ascii="宋体" w:hAnsi="宋体"/>
                <w:sz w:val="24"/>
                <w:highlight w:val="none"/>
              </w:rPr>
              <w:t>递交磋商响应文件程序</w:t>
            </w:r>
          </w:p>
        </w:tc>
        <w:tc>
          <w:tcPr>
            <w:tcW w:w="6638" w:type="dxa"/>
            <w:vAlign w:val="center"/>
          </w:tcPr>
          <w:p w14:paraId="297A2932">
            <w:pPr>
              <w:widowControl/>
              <w:rPr>
                <w:rFonts w:ascii="宋体" w:cs="宋体"/>
                <w:sz w:val="24"/>
                <w:highlight w:val="none"/>
              </w:rPr>
            </w:pPr>
            <w:r>
              <w:rPr>
                <w:rFonts w:hint="eastAsia" w:ascii="宋体" w:hAnsi="宋体" w:cs="宋体"/>
                <w:sz w:val="24"/>
                <w:highlight w:val="none"/>
              </w:rPr>
              <w:t>供应商应当在磋商文件要求的截止时间前，将</w:t>
            </w:r>
            <w:r>
              <w:rPr>
                <w:rFonts w:hint="eastAsia" w:hAnsi="宋体" w:cs="宋体"/>
                <w:b/>
                <w:bCs/>
                <w:color w:val="000000"/>
                <w:kern w:val="0"/>
                <w:sz w:val="24"/>
                <w:highlight w:val="none"/>
                <w:lang w:val="zh-CN"/>
              </w:rPr>
              <w:t>加密电子响应文件</w:t>
            </w:r>
            <w:r>
              <w:rPr>
                <w:rFonts w:hint="eastAsia" w:hAnsi="宋体" w:cs="宋体"/>
                <w:b/>
                <w:bCs/>
                <w:color w:val="000000"/>
                <w:kern w:val="0"/>
                <w:sz w:val="24"/>
                <w:highlight w:val="none"/>
              </w:rPr>
              <w:t>1份务必在开标截止前上传至电子开评标系统并进行线上签到。</w:t>
            </w:r>
          </w:p>
        </w:tc>
      </w:tr>
      <w:tr w14:paraId="29C9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81" w:type="dxa"/>
            <w:vAlign w:val="center"/>
          </w:tcPr>
          <w:p w14:paraId="6517EC2E">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答疑澄清方式</w:t>
            </w:r>
          </w:p>
        </w:tc>
        <w:tc>
          <w:tcPr>
            <w:tcW w:w="6638" w:type="dxa"/>
          </w:tcPr>
          <w:p w14:paraId="01DBC098">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采用网上答疑。磋商供应商须提供准确的联系方式（手机和固定电话），应在规定的时间内进行答疑澄清，如在规定的时间内联系无果或未按时答疑的，视同放弃答疑。</w:t>
            </w:r>
          </w:p>
        </w:tc>
      </w:tr>
      <w:tr w14:paraId="7FDB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881" w:type="dxa"/>
            <w:vAlign w:val="center"/>
          </w:tcPr>
          <w:p w14:paraId="000A8FAB">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代理服务费收取</w:t>
            </w:r>
          </w:p>
        </w:tc>
        <w:tc>
          <w:tcPr>
            <w:tcW w:w="6638" w:type="dxa"/>
          </w:tcPr>
          <w:p w14:paraId="1B765A81">
            <w:pPr>
              <w:autoSpaceDE w:val="0"/>
              <w:autoSpaceDN w:val="0"/>
              <w:adjustRightInd w:val="0"/>
              <w:jc w:val="left"/>
              <w:rPr>
                <w:rFonts w:hint="eastAsia" w:ascii="宋体" w:eastAsia="宋体" w:cs="宋体"/>
                <w:kern w:val="0"/>
                <w:sz w:val="24"/>
                <w:highlight w:val="none"/>
                <w:lang w:val="zh-CN" w:eastAsia="zh-CN"/>
              </w:rPr>
            </w:pPr>
            <w:r>
              <w:rPr>
                <w:rFonts w:hint="eastAsia" w:ascii="宋体" w:hAnsi="宋体" w:cs="宋体"/>
                <w:kern w:val="0"/>
                <w:sz w:val="24"/>
                <w:highlight w:val="none"/>
                <w:lang w:val="zh-CN"/>
              </w:rPr>
              <w:t>收取对象：</w:t>
            </w:r>
            <w:r>
              <w:rPr>
                <w:rFonts w:hint="eastAsia" w:ascii="宋体" w:hAnsi="宋体" w:cs="宋体"/>
                <w:kern w:val="0"/>
                <w:sz w:val="24"/>
                <w:highlight w:val="none"/>
                <w:lang w:val="en-US" w:eastAsia="zh-CN"/>
              </w:rPr>
              <w:t>成交供应商</w:t>
            </w:r>
          </w:p>
          <w:p w14:paraId="726636B2">
            <w:pPr>
              <w:autoSpaceDE w:val="0"/>
              <w:autoSpaceDN w:val="0"/>
              <w:adjustRightInd w:val="0"/>
              <w:jc w:val="left"/>
              <w:rPr>
                <w:rFonts w:hint="eastAsia" w:ascii="宋体" w:hAnsi="宋体" w:cs="宋体"/>
                <w:kern w:val="0"/>
                <w:sz w:val="24"/>
                <w:highlight w:val="none"/>
                <w:lang w:val="zh-CN" w:eastAsia="zh-CN"/>
              </w:rPr>
            </w:pPr>
            <w:r>
              <w:rPr>
                <w:rFonts w:hint="eastAsia" w:ascii="宋体" w:hAnsi="宋体" w:cs="宋体"/>
                <w:kern w:val="0"/>
                <w:sz w:val="24"/>
                <w:highlight w:val="none"/>
                <w:lang w:val="zh-CN"/>
              </w:rPr>
              <w:t>收取金额：根据《关于进一步放开建设项目专项业务服务价格的通知》(发改价格[2015]299号)规定，实行市场调节价，应严格遵守《价格法》、《关于商品和服务实行明码标价的规定》等法律法规的规定，由采购人和采购代理机构共同确定合理的收费金额，以项目成交价为基准计算后，下浮20%核算收取。</w:t>
            </w:r>
          </w:p>
          <w:tbl>
            <w:tblPr>
              <w:tblStyle w:val="27"/>
              <w:tblW w:w="4996"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588"/>
              <w:gridCol w:w="2814"/>
            </w:tblGrid>
            <w:tr w14:paraId="491708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1" w:hRule="atLeast"/>
                <w:tblCellSpacing w:w="0" w:type="dxa"/>
              </w:trPr>
              <w:tc>
                <w:tcPr>
                  <w:tcW w:w="2802" w:type="pct"/>
                  <w:noWrap w:val="0"/>
                  <w:vAlign w:val="center"/>
                </w:tcPr>
                <w:p w14:paraId="5F5CC357">
                  <w:pPr>
                    <w:keepNext w:val="0"/>
                    <w:keepLines w:val="0"/>
                    <w:widowControl/>
                    <w:suppressLineNumbers w:val="0"/>
                    <w:spacing w:line="240" w:lineRule="auto"/>
                    <w:ind w:left="0" w:leftChars="0" w:firstLine="0" w:firstLineChars="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lang w:val="en-US" w:eastAsia="zh-CN" w:bidi="ar"/>
                    </w:rPr>
                    <w:t>中标金额（万元）</w:t>
                  </w:r>
                </w:p>
              </w:tc>
              <w:tc>
                <w:tcPr>
                  <w:tcW w:w="2197" w:type="pct"/>
                  <w:noWrap w:val="0"/>
                  <w:vAlign w:val="center"/>
                </w:tcPr>
                <w:p w14:paraId="1AD20CC0">
                  <w:pPr>
                    <w:pStyle w:val="24"/>
                    <w:keepNext w:val="0"/>
                    <w:keepLines w:val="0"/>
                    <w:widowControl/>
                    <w:suppressLineNumbers w:val="0"/>
                    <w:spacing w:beforeAutospacing="1" w:afterAutospacing="1" w:line="240" w:lineRule="auto"/>
                    <w:jc w:val="center"/>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rPr>
                    <w:t>货物招标</w:t>
                  </w:r>
                </w:p>
              </w:tc>
            </w:tr>
            <w:tr w14:paraId="5C8C20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2802" w:type="pct"/>
                  <w:noWrap w:val="0"/>
                  <w:vAlign w:val="center"/>
                </w:tcPr>
                <w:p w14:paraId="28B196BE">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100以下</w:t>
                  </w:r>
                </w:p>
              </w:tc>
              <w:tc>
                <w:tcPr>
                  <w:tcW w:w="2197" w:type="pct"/>
                  <w:noWrap w:val="0"/>
                  <w:vAlign w:val="center"/>
                </w:tcPr>
                <w:p w14:paraId="26AAC3A4">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w:t>
                  </w:r>
                </w:p>
              </w:tc>
            </w:tr>
            <w:tr w14:paraId="0D484E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2802" w:type="pct"/>
                  <w:noWrap w:val="0"/>
                  <w:vAlign w:val="center"/>
                </w:tcPr>
                <w:p w14:paraId="1190B747">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100—500</w:t>
                  </w:r>
                </w:p>
              </w:tc>
              <w:tc>
                <w:tcPr>
                  <w:tcW w:w="2197" w:type="pct"/>
                  <w:noWrap w:val="0"/>
                  <w:vAlign w:val="center"/>
                </w:tcPr>
                <w:p w14:paraId="35F702BB">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1.1％</w:t>
                  </w:r>
                </w:p>
              </w:tc>
            </w:tr>
            <w:tr w14:paraId="25A3E5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2802" w:type="pct"/>
                  <w:noWrap w:val="0"/>
                  <w:vAlign w:val="center"/>
                </w:tcPr>
                <w:p w14:paraId="5000BA98">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500—1000</w:t>
                  </w:r>
                </w:p>
              </w:tc>
              <w:tc>
                <w:tcPr>
                  <w:tcW w:w="2197" w:type="pct"/>
                  <w:noWrap w:val="0"/>
                  <w:vAlign w:val="center"/>
                </w:tcPr>
                <w:p w14:paraId="7FF73651">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0.8％</w:t>
                  </w:r>
                </w:p>
              </w:tc>
            </w:tr>
            <w:tr w14:paraId="438F2A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2802" w:type="pct"/>
                  <w:noWrap w:val="0"/>
                  <w:vAlign w:val="center"/>
                </w:tcPr>
                <w:p w14:paraId="15472B5B">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1000—5000</w:t>
                  </w:r>
                </w:p>
              </w:tc>
              <w:tc>
                <w:tcPr>
                  <w:tcW w:w="2197" w:type="pct"/>
                  <w:noWrap w:val="0"/>
                  <w:vAlign w:val="center"/>
                </w:tcPr>
                <w:p w14:paraId="4A94772E">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0.5％</w:t>
                  </w:r>
                </w:p>
              </w:tc>
            </w:tr>
            <w:tr w14:paraId="0D6CB2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2802" w:type="pct"/>
                  <w:noWrap w:val="0"/>
                  <w:vAlign w:val="center"/>
                </w:tcPr>
                <w:p w14:paraId="16E92ACD">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5000—10000</w:t>
                  </w:r>
                </w:p>
              </w:tc>
              <w:tc>
                <w:tcPr>
                  <w:tcW w:w="2197" w:type="pct"/>
                  <w:noWrap w:val="0"/>
                  <w:vAlign w:val="center"/>
                </w:tcPr>
                <w:p w14:paraId="4658F6F6">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0.25％</w:t>
                  </w:r>
                </w:p>
              </w:tc>
            </w:tr>
            <w:tr w14:paraId="1270C1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2802" w:type="pct"/>
                  <w:noWrap w:val="0"/>
                  <w:vAlign w:val="center"/>
                </w:tcPr>
                <w:p w14:paraId="652ECCA2">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10000——10</w:t>
                  </w:r>
                  <w:r>
                    <w:rPr>
                      <w:rFonts w:hint="eastAsia" w:ascii="宋体" w:hAnsi="宋体" w:cs="宋体"/>
                      <w:i w:val="0"/>
                      <w:iCs w:val="0"/>
                      <w:caps w:val="0"/>
                      <w:color w:val="auto"/>
                      <w:spacing w:val="0"/>
                      <w:kern w:val="0"/>
                      <w:sz w:val="21"/>
                      <w:szCs w:val="21"/>
                      <w:highlight w:val="none"/>
                      <w:lang w:val="en-US" w:eastAsia="zh-CN" w:bidi="ar"/>
                    </w:rPr>
                    <w:t>0</w:t>
                  </w:r>
                  <w:r>
                    <w:rPr>
                      <w:rFonts w:hint="eastAsia" w:ascii="宋体" w:hAnsi="宋体" w:eastAsia="宋体" w:cs="宋体"/>
                      <w:i w:val="0"/>
                      <w:iCs w:val="0"/>
                      <w:caps w:val="0"/>
                      <w:color w:val="auto"/>
                      <w:spacing w:val="0"/>
                      <w:kern w:val="0"/>
                      <w:sz w:val="21"/>
                      <w:szCs w:val="21"/>
                      <w:highlight w:val="none"/>
                      <w:lang w:val="en-US" w:eastAsia="zh-CN" w:bidi="ar"/>
                    </w:rPr>
                    <w:t>0000</w:t>
                  </w:r>
                </w:p>
              </w:tc>
              <w:tc>
                <w:tcPr>
                  <w:tcW w:w="2197" w:type="pct"/>
                  <w:noWrap w:val="0"/>
                  <w:vAlign w:val="center"/>
                </w:tcPr>
                <w:p w14:paraId="374453B3">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r>
            <w:tr w14:paraId="7CB461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2802" w:type="pct"/>
                  <w:noWrap w:val="0"/>
                  <w:vAlign w:val="center"/>
                </w:tcPr>
                <w:p w14:paraId="225A67F8">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1000000以上</w:t>
                  </w:r>
                </w:p>
              </w:tc>
              <w:tc>
                <w:tcPr>
                  <w:tcW w:w="2197" w:type="pct"/>
                  <w:noWrap w:val="0"/>
                  <w:vAlign w:val="center"/>
                </w:tcPr>
                <w:p w14:paraId="75ECB8EE">
                  <w:pPr>
                    <w:keepNext w:val="0"/>
                    <w:keepLines w:val="0"/>
                    <w:widowControl/>
                    <w:suppressLineNumbers w:val="0"/>
                    <w:spacing w:line="240" w:lineRule="auto"/>
                    <w:ind w:lef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r>
            <w:tr w14:paraId="2DCF49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5000" w:type="pct"/>
                  <w:gridSpan w:val="2"/>
                  <w:noWrap w:val="0"/>
                  <w:vAlign w:val="center"/>
                </w:tcPr>
                <w:p w14:paraId="645D39FF">
                  <w:pPr>
                    <w:keepNext w:val="0"/>
                    <w:keepLines w:val="0"/>
                    <w:widowControl/>
                    <w:suppressLineNumbers w:val="0"/>
                    <w:spacing w:line="240" w:lineRule="auto"/>
                    <w:ind w:left="0" w:firstLine="0"/>
                    <w:jc w:val="center"/>
                    <w:rPr>
                      <w:rFonts w:hint="default" w:ascii="宋体" w:hAnsi="宋体" w:eastAsia="宋体" w:cs="宋体"/>
                      <w:i w:val="0"/>
                      <w:iCs w:val="0"/>
                      <w:caps w:val="0"/>
                      <w:color w:val="auto"/>
                      <w:spacing w:val="0"/>
                      <w:kern w:val="0"/>
                      <w:sz w:val="21"/>
                      <w:szCs w:val="21"/>
                      <w:highlight w:val="none"/>
                      <w:lang w:val="en-US" w:eastAsia="zh-CN" w:bidi="ar"/>
                    </w:rPr>
                  </w:pPr>
                  <w:r>
                    <w:rPr>
                      <w:rFonts w:hint="default" w:ascii="宋体" w:hAnsi="宋体" w:eastAsia="宋体" w:cs="宋体"/>
                      <w:i w:val="0"/>
                      <w:iCs w:val="0"/>
                      <w:caps w:val="0"/>
                      <w:color w:val="auto"/>
                      <w:spacing w:val="0"/>
                      <w:kern w:val="0"/>
                      <w:sz w:val="21"/>
                      <w:szCs w:val="21"/>
                      <w:highlight w:val="none"/>
                      <w:lang w:val="en-US" w:eastAsia="zh-CN" w:bidi="ar"/>
                    </w:rPr>
                    <w:t>注:采用差额定率累进法计算(分档计费，累加求和)。</w:t>
                  </w:r>
                </w:p>
              </w:tc>
            </w:tr>
          </w:tbl>
          <w:p w14:paraId="7D0AE522">
            <w:pPr>
              <w:autoSpaceDE w:val="0"/>
              <w:autoSpaceDN w:val="0"/>
              <w:adjustRightInd w:val="0"/>
              <w:jc w:val="left"/>
              <w:rPr>
                <w:rFonts w:hint="eastAsia" w:ascii="宋体" w:hAnsi="宋体" w:cs="宋体"/>
                <w:kern w:val="0"/>
                <w:sz w:val="24"/>
                <w:highlight w:val="none"/>
                <w:lang w:val="en-US" w:eastAsia="zh-CN"/>
              </w:rPr>
            </w:pPr>
          </w:p>
        </w:tc>
      </w:tr>
      <w:tr w14:paraId="428A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881" w:type="dxa"/>
            <w:vAlign w:val="center"/>
          </w:tcPr>
          <w:p w14:paraId="7760E998">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合同签订有效期</w:t>
            </w:r>
          </w:p>
        </w:tc>
        <w:tc>
          <w:tcPr>
            <w:tcW w:w="6638" w:type="dxa"/>
            <w:vAlign w:val="center"/>
          </w:tcPr>
          <w:p w14:paraId="5DBCFDC3">
            <w:pPr>
              <w:autoSpaceDE w:val="0"/>
              <w:autoSpaceDN w:val="0"/>
              <w:adjustRightInd w:val="0"/>
              <w:rPr>
                <w:rFonts w:ascii="宋体" w:cs="宋体"/>
                <w:kern w:val="0"/>
                <w:sz w:val="24"/>
                <w:highlight w:val="none"/>
                <w:lang w:val="zh-CN"/>
              </w:rPr>
            </w:pPr>
            <w:r>
              <w:rPr>
                <w:rFonts w:hint="eastAsia" w:ascii="宋体" w:hAnsi="宋体" w:cs="宋体"/>
                <w:kern w:val="0"/>
                <w:sz w:val="24"/>
                <w:highlight w:val="none"/>
                <w:lang w:val="zh-CN"/>
              </w:rPr>
              <w:t>自中标通知书发出之日起</w:t>
            </w:r>
            <w:r>
              <w:rPr>
                <w:rFonts w:ascii="宋体" w:hAnsi="宋体" w:cs="Calibri"/>
                <w:kern w:val="0"/>
                <w:sz w:val="24"/>
                <w:highlight w:val="none"/>
              </w:rPr>
              <w:t>30</w:t>
            </w:r>
            <w:r>
              <w:rPr>
                <w:rFonts w:hint="eastAsia" w:ascii="宋体" w:hAnsi="宋体" w:cs="宋体"/>
                <w:kern w:val="0"/>
                <w:sz w:val="24"/>
                <w:highlight w:val="none"/>
                <w:lang w:val="zh-CN"/>
              </w:rPr>
              <w:t>日内与采购人签订供货合同。</w:t>
            </w:r>
          </w:p>
        </w:tc>
      </w:tr>
      <w:tr w14:paraId="0DD0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881" w:type="dxa"/>
            <w:vAlign w:val="center"/>
          </w:tcPr>
          <w:p w14:paraId="674B0677">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政府采购合同备案</w:t>
            </w:r>
          </w:p>
        </w:tc>
        <w:tc>
          <w:tcPr>
            <w:tcW w:w="6638" w:type="dxa"/>
          </w:tcPr>
          <w:p w14:paraId="6FDD7296">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采购合同全数返回采购代理机构鉴证，盖章。</w:t>
            </w:r>
          </w:p>
          <w:p w14:paraId="27D9B672">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采购代理机构留存</w:t>
            </w:r>
            <w:r>
              <w:rPr>
                <w:rFonts w:hint="eastAsia" w:ascii="宋体" w:hAnsi="宋体" w:cs="宋体"/>
                <w:kern w:val="0"/>
                <w:sz w:val="24"/>
                <w:highlight w:val="none"/>
              </w:rPr>
              <w:t>叁</w:t>
            </w:r>
            <w:r>
              <w:rPr>
                <w:rFonts w:hint="eastAsia" w:ascii="宋体" w:hAnsi="宋体" w:cs="宋体"/>
                <w:kern w:val="0"/>
                <w:sz w:val="24"/>
                <w:highlight w:val="none"/>
                <w:lang w:val="zh-CN"/>
              </w:rPr>
              <w:t>份原件备案。</w:t>
            </w:r>
          </w:p>
        </w:tc>
      </w:tr>
      <w:tr w14:paraId="041B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881" w:type="dxa"/>
            <w:vAlign w:val="center"/>
          </w:tcPr>
          <w:p w14:paraId="729360B0">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投标有效期</w:t>
            </w:r>
          </w:p>
        </w:tc>
        <w:tc>
          <w:tcPr>
            <w:tcW w:w="6638" w:type="dxa"/>
          </w:tcPr>
          <w:p w14:paraId="25754153">
            <w:pPr>
              <w:autoSpaceDE w:val="0"/>
              <w:autoSpaceDN w:val="0"/>
              <w:adjustRightInd w:val="0"/>
              <w:jc w:val="left"/>
              <w:rPr>
                <w:rFonts w:ascii="宋体" w:cs="宋体"/>
                <w:kern w:val="0"/>
                <w:sz w:val="24"/>
                <w:highlight w:val="none"/>
                <w:lang w:val="zh-CN"/>
              </w:rPr>
            </w:pPr>
            <w:r>
              <w:rPr>
                <w:rFonts w:hint="eastAsia" w:ascii="宋体" w:hAnsi="宋体" w:cs="宋体"/>
                <w:kern w:val="0"/>
                <w:sz w:val="24"/>
                <w:highlight w:val="none"/>
                <w:lang w:val="zh-CN"/>
              </w:rPr>
              <w:t>本次投标有效期为开标之日起</w:t>
            </w:r>
            <w:r>
              <w:rPr>
                <w:rFonts w:ascii="宋体" w:hAnsi="宋体" w:cs="宋体"/>
                <w:kern w:val="0"/>
                <w:sz w:val="24"/>
                <w:highlight w:val="none"/>
              </w:rPr>
              <w:t>60</w:t>
            </w:r>
            <w:r>
              <w:rPr>
                <w:rFonts w:hint="eastAsia" w:ascii="宋体" w:hAnsi="宋体" w:cs="宋体"/>
                <w:kern w:val="0"/>
                <w:sz w:val="24"/>
                <w:highlight w:val="none"/>
                <w:lang w:val="zh-CN"/>
              </w:rPr>
              <w:t>个日历日。</w:t>
            </w:r>
          </w:p>
        </w:tc>
      </w:tr>
      <w:tr w14:paraId="53F9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881" w:type="dxa"/>
            <w:vAlign w:val="center"/>
          </w:tcPr>
          <w:p w14:paraId="00EEDBD0">
            <w:pPr>
              <w:widowControl/>
              <w:rPr>
                <w:rFonts w:ascii="宋体" w:cs="宋体"/>
                <w:kern w:val="0"/>
                <w:sz w:val="24"/>
                <w:highlight w:val="none"/>
              </w:rPr>
            </w:pPr>
            <w:r>
              <w:rPr>
                <w:rFonts w:hint="eastAsia" w:ascii="宋体" w:hAnsi="宋体" w:cs="宋体"/>
                <w:kern w:val="0"/>
                <w:sz w:val="24"/>
                <w:highlight w:val="none"/>
              </w:rPr>
              <w:t>采购单位及联系人</w:t>
            </w:r>
          </w:p>
        </w:tc>
        <w:tc>
          <w:tcPr>
            <w:tcW w:w="6638" w:type="dxa"/>
            <w:vAlign w:val="center"/>
          </w:tcPr>
          <w:p w14:paraId="6B3D2C8E">
            <w:pPr>
              <w:autoSpaceDE w:val="0"/>
              <w:autoSpaceDN w:val="0"/>
              <w:adjustRightInd w:val="0"/>
              <w:jc w:val="left"/>
              <w:rPr>
                <w:rFonts w:ascii="宋体" w:hAnsi="宋体" w:cs="宋体"/>
                <w:kern w:val="0"/>
                <w:sz w:val="24"/>
                <w:highlight w:val="none"/>
                <w:lang w:val="zh-CN"/>
              </w:rPr>
            </w:pPr>
            <w:r>
              <w:rPr>
                <w:rFonts w:hint="eastAsia" w:ascii="宋体" w:hAnsi="宋体" w:cs="宋体"/>
                <w:kern w:val="0"/>
                <w:sz w:val="24"/>
                <w:highlight w:val="none"/>
                <w:lang w:val="zh-CN"/>
              </w:rPr>
              <w:t>采购人：青海大学</w:t>
            </w:r>
          </w:p>
          <w:p w14:paraId="634219CE">
            <w:pPr>
              <w:autoSpaceDE w:val="0"/>
              <w:autoSpaceDN w:val="0"/>
              <w:adjustRightInd w:val="0"/>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zh-CN"/>
              </w:rPr>
              <w:t>联系人：徐</w:t>
            </w:r>
            <w:r>
              <w:rPr>
                <w:rFonts w:hint="eastAsia" w:ascii="宋体" w:hAnsi="宋体" w:cs="宋体"/>
                <w:kern w:val="0"/>
                <w:sz w:val="24"/>
                <w:highlight w:val="none"/>
                <w:lang w:val="zh-CN" w:eastAsia="zh-CN"/>
              </w:rPr>
              <w:t>老师</w:t>
            </w:r>
          </w:p>
          <w:p w14:paraId="651E0F72">
            <w:pPr>
              <w:autoSpaceDE w:val="0"/>
              <w:autoSpaceDN w:val="0"/>
              <w:adjustRightInd w:val="0"/>
              <w:jc w:val="left"/>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zh-CN"/>
              </w:rPr>
              <w:t>电  话：0971-5312586</w:t>
            </w:r>
          </w:p>
          <w:p w14:paraId="390D0BE5">
            <w:pPr>
              <w:autoSpaceDE w:val="0"/>
              <w:autoSpaceDN w:val="0"/>
              <w:adjustRightInd w:val="0"/>
              <w:jc w:val="left"/>
              <w:rPr>
                <w:rFonts w:hint="default" w:ascii="宋体" w:eastAsia="宋体" w:cs="宋体"/>
                <w:kern w:val="0"/>
                <w:sz w:val="24"/>
                <w:highlight w:val="none"/>
                <w:lang w:val="en-US" w:eastAsia="zh-CN"/>
              </w:rPr>
            </w:pPr>
            <w:r>
              <w:rPr>
                <w:rFonts w:hint="eastAsia" w:ascii="宋体" w:hAnsi="宋体" w:cs="宋体"/>
                <w:kern w:val="0"/>
                <w:sz w:val="24"/>
                <w:highlight w:val="none"/>
                <w:lang w:val="zh-CN"/>
              </w:rPr>
              <w:t>联系地址：西宁市城北区宁大路251号</w:t>
            </w:r>
          </w:p>
        </w:tc>
      </w:tr>
      <w:tr w14:paraId="09FC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881" w:type="dxa"/>
            <w:vAlign w:val="center"/>
          </w:tcPr>
          <w:p w14:paraId="2EBEEFDA">
            <w:pPr>
              <w:widowControl/>
              <w:rPr>
                <w:rFonts w:ascii="宋体" w:cs="宋体"/>
                <w:kern w:val="0"/>
                <w:sz w:val="24"/>
                <w:highlight w:val="none"/>
              </w:rPr>
            </w:pPr>
            <w:r>
              <w:rPr>
                <w:rFonts w:hint="eastAsia" w:ascii="宋体" w:hAnsi="宋体" w:cs="宋体"/>
                <w:sz w:val="24"/>
                <w:highlight w:val="none"/>
              </w:rPr>
              <w:t>采购代理机构及联系人电话</w:t>
            </w:r>
          </w:p>
        </w:tc>
        <w:tc>
          <w:tcPr>
            <w:tcW w:w="6638" w:type="dxa"/>
            <w:vAlign w:val="center"/>
          </w:tcPr>
          <w:p w14:paraId="0120C368">
            <w:pPr>
              <w:autoSpaceDE w:val="0"/>
              <w:autoSpaceDN w:val="0"/>
              <w:rPr>
                <w:rFonts w:ascii="宋体" w:hAnsi="宋体" w:cs="宋体"/>
                <w:kern w:val="0"/>
                <w:sz w:val="24"/>
                <w:highlight w:val="none"/>
                <w:lang w:val="zh-CN"/>
              </w:rPr>
            </w:pPr>
            <w:r>
              <w:rPr>
                <w:rFonts w:hint="eastAsia" w:ascii="宋体" w:hAnsi="宋体" w:cs="宋体"/>
                <w:kern w:val="0"/>
                <w:sz w:val="24"/>
                <w:highlight w:val="none"/>
                <w:lang w:val="zh-CN"/>
              </w:rPr>
              <w:t>青海浩驰招标代理有限公司</w:t>
            </w:r>
          </w:p>
          <w:p w14:paraId="68D4C8BA">
            <w:pPr>
              <w:autoSpaceDE w:val="0"/>
              <w:autoSpaceDN w:val="0"/>
              <w:rPr>
                <w:rFonts w:ascii="宋体" w:cs="宋体"/>
                <w:kern w:val="0"/>
                <w:sz w:val="24"/>
                <w:highlight w:val="none"/>
                <w:lang w:val="zh-CN"/>
              </w:rPr>
            </w:pPr>
            <w:r>
              <w:rPr>
                <w:rFonts w:hint="eastAsia" w:ascii="宋体" w:hAnsi="宋体" w:cs="宋体"/>
                <w:kern w:val="0"/>
                <w:sz w:val="24"/>
                <w:highlight w:val="none"/>
                <w:lang w:val="zh-CN"/>
              </w:rPr>
              <w:t>联系人：祁先生</w:t>
            </w:r>
          </w:p>
          <w:p w14:paraId="0B78B392">
            <w:pPr>
              <w:autoSpaceDE w:val="0"/>
              <w:autoSpaceDN w:val="0"/>
              <w:rPr>
                <w:rFonts w:ascii="宋体" w:cs="宋体"/>
                <w:kern w:val="0"/>
                <w:sz w:val="24"/>
                <w:highlight w:val="none"/>
              </w:rPr>
            </w:pPr>
            <w:r>
              <w:rPr>
                <w:rFonts w:hint="eastAsia" w:ascii="宋体" w:hAnsi="宋体" w:cs="宋体"/>
                <w:kern w:val="0"/>
                <w:sz w:val="24"/>
                <w:highlight w:val="none"/>
                <w:lang w:val="zh-CN"/>
              </w:rPr>
              <w:t>联系电话：0971-3824137</w:t>
            </w:r>
          </w:p>
          <w:p w14:paraId="6C1D984C">
            <w:pPr>
              <w:autoSpaceDE w:val="0"/>
              <w:autoSpaceDN w:val="0"/>
              <w:rPr>
                <w:rFonts w:ascii="宋体" w:cs="宋体"/>
                <w:kern w:val="0"/>
                <w:sz w:val="24"/>
                <w:highlight w:val="none"/>
                <w:lang w:val="zh-CN"/>
              </w:rPr>
            </w:pPr>
            <w:r>
              <w:rPr>
                <w:rFonts w:hint="eastAsia" w:ascii="宋体" w:hAnsi="宋体" w:cs="宋体"/>
                <w:kern w:val="0"/>
                <w:sz w:val="24"/>
                <w:highlight w:val="none"/>
                <w:lang w:val="zh-CN"/>
              </w:rPr>
              <w:t xml:space="preserve">邮箱地址：qhhczb11@163.com </w:t>
            </w:r>
          </w:p>
          <w:p w14:paraId="457109C3">
            <w:pPr>
              <w:widowControl/>
              <w:rPr>
                <w:rFonts w:ascii="宋体" w:cs="宋体"/>
                <w:kern w:val="0"/>
                <w:sz w:val="24"/>
                <w:highlight w:val="none"/>
                <w:lang w:val="zh-CN"/>
              </w:rPr>
            </w:pPr>
            <w:r>
              <w:rPr>
                <w:rFonts w:hint="eastAsia" w:ascii="宋体" w:hAnsi="宋体" w:cs="宋体"/>
                <w:kern w:val="0"/>
                <w:sz w:val="24"/>
                <w:highlight w:val="none"/>
                <w:lang w:val="zh-CN"/>
              </w:rPr>
              <w:t>联系地址：青海省西宁市城西区西关大街130号唐道637唐府公寓A座13B-11334室</w:t>
            </w:r>
          </w:p>
        </w:tc>
      </w:tr>
      <w:tr w14:paraId="5CE8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81" w:type="dxa"/>
            <w:vAlign w:val="center"/>
          </w:tcPr>
          <w:p w14:paraId="11141CA8">
            <w:pPr>
              <w:widowControl/>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现场演示</w:t>
            </w:r>
          </w:p>
        </w:tc>
        <w:tc>
          <w:tcPr>
            <w:tcW w:w="6638" w:type="dxa"/>
            <w:vAlign w:val="center"/>
          </w:tcPr>
          <w:p w14:paraId="21365A95">
            <w:pPr>
              <w:autoSpaceDE w:val="0"/>
              <w:autoSpaceDN w:val="0"/>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val="en-US" w:eastAsia="zh-CN"/>
              </w:rPr>
              <w:t>1.</w:t>
            </w:r>
            <w:r>
              <w:rPr>
                <w:rFonts w:hint="eastAsia" w:ascii="宋体" w:hAnsi="宋体" w:eastAsia="宋体" w:cs="宋体"/>
                <w:kern w:val="0"/>
                <w:sz w:val="24"/>
                <w:highlight w:val="none"/>
                <w:lang w:val="zh-CN" w:eastAsia="zh-CN"/>
              </w:rPr>
              <w:t>演示设备：由供应商自行准备演示</w:t>
            </w:r>
            <w:r>
              <w:rPr>
                <w:rFonts w:hint="eastAsia" w:ascii="宋体" w:hAnsi="宋体" w:eastAsia="宋体" w:cs="宋体"/>
                <w:kern w:val="0"/>
                <w:sz w:val="24"/>
                <w:highlight w:val="none"/>
                <w:lang w:val="en-US" w:eastAsia="zh-CN"/>
              </w:rPr>
              <w:t>系统</w:t>
            </w:r>
            <w:r>
              <w:rPr>
                <w:rFonts w:hint="eastAsia" w:ascii="宋体" w:hAnsi="宋体" w:eastAsia="宋体" w:cs="宋体"/>
                <w:kern w:val="0"/>
                <w:sz w:val="24"/>
                <w:highlight w:val="none"/>
                <w:lang w:val="zh-CN" w:eastAsia="zh-CN"/>
              </w:rPr>
              <w:t>及相关设备。</w:t>
            </w:r>
          </w:p>
          <w:p w14:paraId="3B5C3F8A">
            <w:pPr>
              <w:autoSpaceDE w:val="0"/>
              <w:autoSpaceDN w:val="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en-US" w:eastAsia="zh-CN"/>
              </w:rPr>
              <w:t>2.</w:t>
            </w:r>
            <w:r>
              <w:rPr>
                <w:rFonts w:hint="eastAsia" w:ascii="宋体" w:hAnsi="宋体" w:eastAsia="宋体" w:cs="宋体"/>
                <w:kern w:val="0"/>
                <w:sz w:val="24"/>
                <w:highlight w:val="none"/>
                <w:lang w:val="zh-CN"/>
              </w:rPr>
              <w:t>演示时间：</w:t>
            </w:r>
            <w:r>
              <w:rPr>
                <w:rFonts w:hint="eastAsia" w:ascii="宋体" w:hAnsi="宋体" w:eastAsia="宋体" w:cs="宋体"/>
                <w:kern w:val="0"/>
                <w:sz w:val="24"/>
                <w:highlight w:val="none"/>
                <w:lang w:val="zh-CN" w:eastAsia="zh-CN"/>
              </w:rPr>
              <w:t>供应商</w:t>
            </w:r>
            <w:r>
              <w:rPr>
                <w:rFonts w:hint="eastAsia" w:ascii="宋体" w:hAnsi="宋体" w:eastAsia="宋体" w:cs="宋体"/>
                <w:kern w:val="0"/>
                <w:sz w:val="24"/>
                <w:highlight w:val="none"/>
                <w:lang w:val="zh-CN"/>
              </w:rPr>
              <w:t>须在20</w:t>
            </w:r>
            <w:r>
              <w:rPr>
                <w:rFonts w:hint="eastAsia" w:ascii="宋体" w:hAnsi="宋体" w:eastAsia="宋体" w:cs="宋体"/>
                <w:kern w:val="0"/>
                <w:sz w:val="24"/>
                <w:highlight w:val="none"/>
                <w:lang w:val="en-US" w:eastAsia="zh-CN"/>
              </w:rPr>
              <w:t>26</w:t>
            </w:r>
            <w:r>
              <w:rPr>
                <w:rFonts w:hint="eastAsia" w:ascii="宋体" w:hAnsi="宋体" w:eastAsia="宋体" w:cs="宋体"/>
                <w:kern w:val="0"/>
                <w:sz w:val="24"/>
                <w:highlight w:val="none"/>
                <w:lang w:val="zh-CN"/>
              </w:rPr>
              <w:t>年</w:t>
            </w:r>
            <w:r>
              <w:rPr>
                <w:rFonts w:hint="eastAsia" w:ascii="宋体" w:hAnsi="宋体" w:cs="宋体"/>
                <w:kern w:val="0"/>
                <w:sz w:val="24"/>
                <w:highlight w:val="none"/>
                <w:lang w:val="en-US" w:eastAsia="zh-CN"/>
              </w:rPr>
              <w:t>05</w:t>
            </w:r>
            <w:r>
              <w:rPr>
                <w:rFonts w:hint="eastAsia" w:ascii="宋体" w:hAnsi="宋体" w:eastAsia="宋体" w:cs="宋体"/>
                <w:kern w:val="0"/>
                <w:sz w:val="24"/>
                <w:highlight w:val="none"/>
                <w:lang w:val="zh-CN" w:eastAsia="zh-CN"/>
              </w:rPr>
              <w:t>月</w:t>
            </w:r>
            <w:r>
              <w:rPr>
                <w:rFonts w:hint="eastAsia" w:ascii="宋体" w:hAnsi="宋体" w:cs="宋体"/>
                <w:kern w:val="0"/>
                <w:sz w:val="24"/>
                <w:highlight w:val="none"/>
                <w:lang w:val="en-US" w:eastAsia="zh-CN"/>
              </w:rPr>
              <w:t>25</w:t>
            </w:r>
            <w:r>
              <w:rPr>
                <w:rFonts w:hint="eastAsia" w:ascii="宋体" w:hAnsi="宋体" w:eastAsia="宋体" w:cs="宋体"/>
                <w:kern w:val="0"/>
                <w:sz w:val="24"/>
                <w:highlight w:val="none"/>
                <w:lang w:val="zh-CN" w:eastAsia="zh-CN"/>
              </w:rPr>
              <w:t>日</w:t>
            </w:r>
            <w:r>
              <w:rPr>
                <w:rFonts w:hint="eastAsia" w:ascii="宋体" w:hAnsi="宋体" w:cs="宋体"/>
                <w:kern w:val="0"/>
                <w:sz w:val="24"/>
                <w:highlight w:val="none"/>
                <w:lang w:val="en-US" w:eastAsia="zh-CN"/>
              </w:rPr>
              <w:t>14</w:t>
            </w:r>
            <w:r>
              <w:rPr>
                <w:rFonts w:hint="eastAsia" w:ascii="宋体" w:hAnsi="宋体" w:eastAsia="宋体" w:cs="宋体"/>
                <w:kern w:val="0"/>
                <w:sz w:val="24"/>
                <w:highlight w:val="none"/>
                <w:lang w:val="en-US" w:eastAsia="zh-CN"/>
              </w:rPr>
              <w:t>:</w:t>
            </w:r>
            <w:r>
              <w:rPr>
                <w:rFonts w:hint="eastAsia" w:ascii="宋体" w:hAnsi="宋体" w:cs="宋体"/>
                <w:kern w:val="0"/>
                <w:sz w:val="24"/>
                <w:highlight w:val="none"/>
                <w:lang w:val="en-US" w:eastAsia="zh-CN"/>
              </w:rPr>
              <w:t>30</w:t>
            </w:r>
            <w:r>
              <w:rPr>
                <w:rFonts w:hint="eastAsia" w:ascii="宋体" w:hAnsi="宋体" w:eastAsia="宋体" w:cs="宋体"/>
                <w:kern w:val="0"/>
                <w:sz w:val="24"/>
                <w:highlight w:val="none"/>
                <w:lang w:val="zh-CN"/>
              </w:rPr>
              <w:t>到达青海省西宁市城西区西关大街130号唐道637唐府公寓A座13</w:t>
            </w:r>
            <w:r>
              <w:rPr>
                <w:rFonts w:hint="eastAsia" w:ascii="宋体" w:hAnsi="宋体" w:eastAsia="宋体" w:cs="宋体"/>
                <w:kern w:val="0"/>
                <w:sz w:val="24"/>
                <w:highlight w:val="none"/>
                <w:lang w:val="en-US" w:eastAsia="zh-CN"/>
              </w:rPr>
              <w:t>A</w:t>
            </w:r>
            <w:r>
              <w:rPr>
                <w:rFonts w:hint="eastAsia" w:ascii="宋体" w:hAnsi="宋体" w:eastAsia="宋体" w:cs="宋体"/>
                <w:kern w:val="0"/>
                <w:sz w:val="24"/>
                <w:highlight w:val="none"/>
                <w:lang w:val="zh-CN"/>
              </w:rPr>
              <w:t>-1133</w:t>
            </w: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lang w:val="zh-CN"/>
              </w:rPr>
              <w:t>室，等待</w:t>
            </w:r>
            <w:r>
              <w:rPr>
                <w:rFonts w:hint="eastAsia" w:ascii="宋体" w:hAnsi="宋体" w:eastAsia="宋体" w:cs="宋体"/>
                <w:kern w:val="0"/>
                <w:sz w:val="24"/>
                <w:highlight w:val="none"/>
                <w:lang w:val="en-US" w:eastAsia="zh-CN"/>
              </w:rPr>
              <w:t>采购</w:t>
            </w:r>
            <w:r>
              <w:rPr>
                <w:rFonts w:hint="eastAsia" w:ascii="宋体" w:hAnsi="宋体" w:eastAsia="宋体" w:cs="宋体"/>
                <w:kern w:val="0"/>
                <w:sz w:val="24"/>
                <w:highlight w:val="none"/>
                <w:lang w:val="zh-CN"/>
              </w:rPr>
              <w:t>代理机构工作人员安排演示，各</w:t>
            </w: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lang w:val="zh-CN"/>
              </w:rPr>
              <w:t>的演示时间控制在</w:t>
            </w:r>
            <w:r>
              <w:rPr>
                <w:rFonts w:hint="eastAsia" w:ascii="宋体" w:hAnsi="宋体" w:eastAsia="宋体" w:cs="宋体"/>
                <w:kern w:val="0"/>
                <w:sz w:val="24"/>
                <w:highlight w:val="none"/>
                <w:lang w:val="en-US" w:eastAsia="zh-CN"/>
              </w:rPr>
              <w:t>25</w:t>
            </w:r>
            <w:r>
              <w:rPr>
                <w:rFonts w:hint="eastAsia" w:ascii="宋体" w:hAnsi="宋体" w:eastAsia="宋体" w:cs="宋体"/>
                <w:kern w:val="0"/>
                <w:sz w:val="24"/>
                <w:highlight w:val="none"/>
                <w:lang w:val="zh-CN"/>
              </w:rPr>
              <w:t>分钟之内，时间包含</w:t>
            </w: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lang w:val="zh-CN"/>
              </w:rPr>
              <w:t>演示及专家问询，请各</w:t>
            </w:r>
            <w:r>
              <w:rPr>
                <w:rFonts w:hint="eastAsia" w:ascii="宋体" w:hAnsi="宋体" w:eastAsia="宋体" w:cs="宋体"/>
                <w:kern w:val="0"/>
                <w:sz w:val="24"/>
                <w:highlight w:val="none"/>
                <w:lang w:val="zh-CN" w:eastAsia="zh-CN"/>
              </w:rPr>
              <w:t>供应商</w:t>
            </w:r>
            <w:r>
              <w:rPr>
                <w:rFonts w:hint="eastAsia" w:ascii="宋体" w:hAnsi="宋体" w:eastAsia="宋体" w:cs="宋体"/>
                <w:kern w:val="0"/>
                <w:sz w:val="24"/>
                <w:highlight w:val="none"/>
                <w:lang w:val="zh-CN"/>
              </w:rPr>
              <w:t>合理控制时间。（专家问询时间不超过</w:t>
            </w: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lang w:val="zh-CN"/>
              </w:rPr>
              <w:t>分钟）</w:t>
            </w:r>
          </w:p>
          <w:p w14:paraId="2BC48B62">
            <w:pPr>
              <w:autoSpaceDE w:val="0"/>
              <w:autoSpaceDN w:val="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lang w:val="zh-CN"/>
              </w:rPr>
              <w:t>演示地点：青海省西宁市城西区西关大街130号唐道637唐府公寓A座13</w:t>
            </w:r>
            <w:r>
              <w:rPr>
                <w:rFonts w:hint="eastAsia" w:ascii="宋体" w:hAnsi="宋体" w:eastAsia="宋体" w:cs="宋体"/>
                <w:kern w:val="0"/>
                <w:sz w:val="24"/>
                <w:highlight w:val="none"/>
                <w:lang w:val="en-US" w:eastAsia="zh-CN"/>
              </w:rPr>
              <w:t>A</w:t>
            </w:r>
            <w:r>
              <w:rPr>
                <w:rFonts w:hint="eastAsia" w:ascii="宋体" w:hAnsi="宋体" w:eastAsia="宋体" w:cs="宋体"/>
                <w:kern w:val="0"/>
                <w:sz w:val="24"/>
                <w:highlight w:val="none"/>
                <w:lang w:val="zh-CN"/>
              </w:rPr>
              <w:t>-1133</w:t>
            </w: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lang w:val="zh-CN"/>
              </w:rPr>
              <w:t>室（请各</w:t>
            </w:r>
            <w:r>
              <w:rPr>
                <w:rFonts w:hint="eastAsia" w:ascii="宋体" w:hAnsi="宋体" w:eastAsia="宋体" w:cs="宋体"/>
                <w:kern w:val="0"/>
                <w:sz w:val="24"/>
                <w:highlight w:val="none"/>
                <w:lang w:val="zh-CN" w:eastAsia="zh-CN"/>
              </w:rPr>
              <w:t>供应商</w:t>
            </w:r>
            <w:r>
              <w:rPr>
                <w:rFonts w:hint="eastAsia" w:ascii="宋体" w:hAnsi="宋体" w:eastAsia="宋体" w:cs="宋体"/>
                <w:kern w:val="0"/>
                <w:sz w:val="24"/>
                <w:highlight w:val="none"/>
                <w:lang w:val="zh-CN"/>
              </w:rPr>
              <w:t>正确填写“法定代表人授权书”中被授权人联系电话，工作人员将通过电话</w:t>
            </w:r>
            <w:r>
              <w:rPr>
                <w:rFonts w:hint="eastAsia" w:ascii="宋体" w:hAnsi="宋体" w:eastAsia="宋体" w:cs="宋体"/>
                <w:kern w:val="0"/>
                <w:sz w:val="24"/>
                <w:highlight w:val="none"/>
                <w:lang w:val="en-US" w:eastAsia="zh-CN"/>
              </w:rPr>
              <w:t>联系</w:t>
            </w:r>
            <w:r>
              <w:rPr>
                <w:rFonts w:hint="eastAsia" w:ascii="宋体" w:hAnsi="宋体" w:eastAsia="宋体" w:cs="宋体"/>
                <w:kern w:val="0"/>
                <w:sz w:val="24"/>
                <w:highlight w:val="none"/>
                <w:lang w:val="zh-CN"/>
              </w:rPr>
              <w:t>，如因</w:t>
            </w:r>
            <w:r>
              <w:rPr>
                <w:rFonts w:hint="eastAsia" w:ascii="宋体" w:hAnsi="宋体" w:eastAsia="宋体" w:cs="宋体"/>
                <w:kern w:val="0"/>
                <w:sz w:val="24"/>
                <w:highlight w:val="none"/>
                <w:lang w:val="zh-CN" w:eastAsia="zh-CN"/>
              </w:rPr>
              <w:t>供应商</w:t>
            </w:r>
            <w:r>
              <w:rPr>
                <w:rFonts w:hint="eastAsia" w:ascii="宋体" w:hAnsi="宋体" w:eastAsia="宋体" w:cs="宋体"/>
                <w:kern w:val="0"/>
                <w:sz w:val="24"/>
                <w:highlight w:val="none"/>
                <w:lang w:val="zh-CN"/>
              </w:rPr>
              <w:t>原因无法通知，视为</w:t>
            </w:r>
            <w:r>
              <w:rPr>
                <w:rFonts w:hint="eastAsia" w:ascii="宋体" w:hAnsi="宋体" w:eastAsia="宋体" w:cs="宋体"/>
                <w:kern w:val="0"/>
                <w:sz w:val="24"/>
                <w:highlight w:val="none"/>
                <w:lang w:val="zh-CN" w:eastAsia="zh-CN"/>
              </w:rPr>
              <w:t>供应商</w:t>
            </w:r>
            <w:r>
              <w:rPr>
                <w:rFonts w:hint="eastAsia" w:ascii="宋体" w:hAnsi="宋体" w:eastAsia="宋体" w:cs="宋体"/>
                <w:kern w:val="0"/>
                <w:sz w:val="24"/>
                <w:highlight w:val="none"/>
                <w:lang w:val="zh-CN"/>
              </w:rPr>
              <w:t>放弃该项评分）</w:t>
            </w:r>
          </w:p>
          <w:p w14:paraId="610D0703">
            <w:pPr>
              <w:autoSpaceDE w:val="0"/>
              <w:autoSpaceDN w:val="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en-US" w:eastAsia="zh-CN"/>
              </w:rPr>
              <w:t>4.</w:t>
            </w:r>
            <w:r>
              <w:rPr>
                <w:rFonts w:hint="eastAsia" w:ascii="宋体" w:hAnsi="宋体" w:eastAsia="宋体" w:cs="宋体"/>
                <w:kern w:val="0"/>
                <w:sz w:val="24"/>
                <w:highlight w:val="none"/>
                <w:lang w:val="zh-CN"/>
              </w:rPr>
              <w:t>演示方式：由</w:t>
            </w:r>
            <w:r>
              <w:rPr>
                <w:rFonts w:hint="eastAsia" w:ascii="宋体" w:hAnsi="宋体" w:eastAsia="宋体" w:cs="宋体"/>
                <w:kern w:val="0"/>
                <w:sz w:val="24"/>
                <w:highlight w:val="none"/>
                <w:lang w:val="zh-CN" w:eastAsia="zh-CN"/>
              </w:rPr>
              <w:t>供应商</w:t>
            </w:r>
            <w:r>
              <w:rPr>
                <w:rFonts w:hint="eastAsia" w:ascii="宋体" w:hAnsi="宋体" w:eastAsia="宋体" w:cs="宋体"/>
                <w:kern w:val="0"/>
                <w:sz w:val="24"/>
                <w:highlight w:val="none"/>
                <w:lang w:val="zh-CN"/>
              </w:rPr>
              <w:t>自行准备演示</w:t>
            </w:r>
            <w:r>
              <w:rPr>
                <w:rFonts w:hint="eastAsia" w:ascii="宋体" w:hAnsi="宋体" w:eastAsia="宋体" w:cs="宋体"/>
                <w:kern w:val="0"/>
                <w:sz w:val="24"/>
                <w:highlight w:val="none"/>
                <w:lang w:val="en-US" w:eastAsia="zh-CN"/>
              </w:rPr>
              <w:t>系统</w:t>
            </w:r>
            <w:r>
              <w:rPr>
                <w:rFonts w:hint="eastAsia" w:ascii="宋体" w:hAnsi="宋体" w:eastAsia="宋体" w:cs="宋体"/>
                <w:kern w:val="0"/>
                <w:sz w:val="24"/>
                <w:highlight w:val="none"/>
                <w:lang w:val="zh-CN"/>
              </w:rPr>
              <w:t>及相关设备，进行现场演示。演示功能需满足演示评分所列内容。</w:t>
            </w:r>
            <w:r>
              <w:rPr>
                <w:rFonts w:hint="eastAsia" w:ascii="宋体" w:hAnsi="宋体" w:eastAsia="宋体" w:cs="宋体"/>
                <w:kern w:val="0"/>
                <w:sz w:val="24"/>
                <w:highlight w:val="none"/>
                <w:lang w:val="zh-CN" w:eastAsia="zh-CN"/>
              </w:rPr>
              <w:t>现场演示须基于拟提供服务的配套真实产品，不得采用录屏视频或者原型进行演示</w:t>
            </w:r>
            <w:r>
              <w:rPr>
                <w:rFonts w:hint="eastAsia" w:ascii="宋体" w:hAnsi="宋体" w:eastAsia="宋体" w:cs="宋体"/>
                <w:kern w:val="0"/>
                <w:sz w:val="24"/>
                <w:highlight w:val="none"/>
                <w:lang w:val="zh-CN"/>
              </w:rPr>
              <w:t>；因设备问题导致演示失败的，后果自行承担。</w:t>
            </w:r>
          </w:p>
          <w:p w14:paraId="4E2FAF02">
            <w:pPr>
              <w:autoSpaceDE w:val="0"/>
              <w:autoSpaceDN w:val="0"/>
              <w:rPr>
                <w:rFonts w:hint="eastAsia" w:ascii="宋体" w:hAnsi="宋体" w:eastAsia="宋体" w:cs="宋体"/>
                <w:sz w:val="24"/>
                <w:highlight w:val="none"/>
                <w:lang w:val="zh-CN"/>
              </w:rPr>
            </w:pP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lang w:val="zh-CN"/>
              </w:rPr>
              <w:t>演示人员：1-2人（包含法定代表人或委托代理人）</w:t>
            </w:r>
          </w:p>
        </w:tc>
      </w:tr>
      <w:tr w14:paraId="2C14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81" w:type="dxa"/>
            <w:vAlign w:val="center"/>
          </w:tcPr>
          <w:p w14:paraId="474C7DD2">
            <w:pPr>
              <w:autoSpaceDE w:val="0"/>
              <w:autoSpaceDN w:val="0"/>
              <w:rPr>
                <w:rFonts w:ascii="宋体" w:cs="宋体"/>
                <w:sz w:val="24"/>
                <w:highlight w:val="none"/>
              </w:rPr>
            </w:pPr>
            <w:r>
              <w:rPr>
                <w:rFonts w:hint="eastAsia" w:ascii="宋体" w:hAnsi="宋体" w:cs="宋体"/>
                <w:kern w:val="0"/>
                <w:sz w:val="24"/>
                <w:highlight w:val="none"/>
                <w:lang w:val="zh-CN"/>
              </w:rPr>
              <w:t>其他事项</w:t>
            </w:r>
          </w:p>
        </w:tc>
        <w:tc>
          <w:tcPr>
            <w:tcW w:w="6638" w:type="dxa"/>
            <w:vAlign w:val="center"/>
          </w:tcPr>
          <w:p w14:paraId="79264AE2">
            <w:pPr>
              <w:autoSpaceDE w:val="0"/>
              <w:autoSpaceDN w:val="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1、本次项目招标采用线上进行，线上电子加密响应文件必须在响应文件递交截止时间前上传至电子开评标系统；</w:t>
            </w:r>
          </w:p>
          <w:p w14:paraId="15EE1546">
            <w:pPr>
              <w:autoSpaceDE w:val="0"/>
              <w:autoSpaceDN w:val="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2、线上电子化开评标系统操作及办理CA锁等相关事宜请咨询政采云：咨询电话：95763。</w:t>
            </w:r>
          </w:p>
          <w:p w14:paraId="4F577917">
            <w:pPr>
              <w:autoSpaceDE w:val="0"/>
              <w:autoSpaceDN w:val="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3、线上CA：</w:t>
            </w:r>
          </w:p>
          <w:p w14:paraId="7FCDB86F">
            <w:pPr>
              <w:autoSpaceDE w:val="0"/>
              <w:autoSpaceDN w:val="0"/>
              <w:rPr>
                <w:rFonts w:hint="eastAsia" w:ascii="宋体" w:hAnsi="宋体" w:cs="宋体"/>
                <w:b/>
                <w:bCs/>
                <w:kern w:val="0"/>
                <w:sz w:val="24"/>
                <w:highlight w:val="none"/>
                <w:lang w:val="zh-CN"/>
              </w:rPr>
            </w:pPr>
            <w:r>
              <w:rPr>
                <w:rFonts w:hint="eastAsia" w:ascii="宋体" w:hAnsi="宋体" w:cs="宋体"/>
                <w:b/>
                <w:bCs/>
                <w:kern w:val="0"/>
                <w:sz w:val="24"/>
                <w:highlight w:val="none"/>
                <w:lang w:val="zh-CN"/>
              </w:rPr>
              <w:t>PC咨询网址（可及时反馈问题截图，让客服快速定位问题）:http://tseal.cn/k.html，咨询电话：95763。</w:t>
            </w:r>
          </w:p>
          <w:p w14:paraId="2230AC20">
            <w:pPr>
              <w:autoSpaceDE w:val="0"/>
              <w:autoSpaceDN w:val="0"/>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4、不同供应商编制或者提交响应文件的计算机网卡MAC地址、IP地址、CPU序列号、硬盘序列号等硬件信息异常一致并触发预警的，由此原因导致响应无效的责任自负。</w:t>
            </w:r>
          </w:p>
          <w:p w14:paraId="01F26358">
            <w:pPr>
              <w:autoSpaceDE w:val="0"/>
              <w:autoSpaceDN w:val="0"/>
              <w:rPr>
                <w:rFonts w:hint="eastAsia" w:ascii="宋体" w:hAnsi="宋体" w:cs="宋体"/>
                <w:b/>
                <w:bCs/>
                <w:kern w:val="0"/>
                <w:sz w:val="24"/>
                <w:highlight w:val="none"/>
                <w:lang w:val="zh-CN"/>
              </w:rPr>
            </w:pPr>
            <w:r>
              <w:rPr>
                <w:rFonts w:hint="eastAsia" w:ascii="宋体" w:hAnsi="宋体" w:cs="宋体"/>
                <w:b/>
                <w:bCs/>
                <w:kern w:val="0"/>
                <w:sz w:val="24"/>
                <w:highlight w:val="none"/>
                <w:lang w:val="en-US" w:eastAsia="zh-CN"/>
              </w:rPr>
              <w:t>5</w:t>
            </w:r>
            <w:r>
              <w:rPr>
                <w:rFonts w:hint="eastAsia" w:ascii="宋体" w:hAnsi="宋体" w:cs="宋体"/>
                <w:b/>
                <w:bCs/>
                <w:kern w:val="0"/>
                <w:sz w:val="24"/>
                <w:highlight w:val="none"/>
                <w:lang w:val="zh-CN"/>
              </w:rPr>
              <w:t>、公示网址：</w:t>
            </w:r>
          </w:p>
          <w:p w14:paraId="6FC37DE6">
            <w:pPr>
              <w:autoSpaceDE w:val="0"/>
              <w:autoSpaceDN w:val="0"/>
              <w:jc w:val="left"/>
              <w:rPr>
                <w:sz w:val="24"/>
                <w:szCs w:val="24"/>
                <w:highlight w:val="none"/>
                <w:lang w:val="zh-CN"/>
              </w:rPr>
            </w:pPr>
            <w:r>
              <w:rPr>
                <w:rFonts w:hint="eastAsia" w:ascii="宋体" w:hAnsi="宋体" w:cs="宋体"/>
                <w:b/>
                <w:bCs/>
                <w:kern w:val="0"/>
                <w:sz w:val="24"/>
                <w:highlight w:val="none"/>
                <w:lang w:val="zh-CN"/>
              </w:rPr>
              <w:t>青海省政府采购网（http://www.ccgp-qinghai.gov.cn/home.html）</w:t>
            </w:r>
          </w:p>
        </w:tc>
      </w:tr>
      <w:tr w14:paraId="220D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881" w:type="dxa"/>
            <w:vAlign w:val="center"/>
          </w:tcPr>
          <w:p w14:paraId="2A591B18">
            <w:pPr>
              <w:autoSpaceDE w:val="0"/>
              <w:autoSpaceDN w:val="0"/>
              <w:rPr>
                <w:rFonts w:ascii="宋体" w:cs="宋体"/>
                <w:kern w:val="0"/>
                <w:sz w:val="24"/>
                <w:highlight w:val="none"/>
              </w:rPr>
            </w:pPr>
            <w:r>
              <w:rPr>
                <w:rFonts w:hint="eastAsia" w:ascii="宋体" w:hAnsi="宋体" w:cs="宋体"/>
                <w:kern w:val="0"/>
                <w:sz w:val="24"/>
                <w:highlight w:val="none"/>
                <w:lang w:val="zh-CN"/>
              </w:rPr>
              <w:t>财政部门监督电话</w:t>
            </w:r>
          </w:p>
        </w:tc>
        <w:tc>
          <w:tcPr>
            <w:tcW w:w="6638" w:type="dxa"/>
            <w:vAlign w:val="center"/>
          </w:tcPr>
          <w:p w14:paraId="5D977768">
            <w:pPr>
              <w:autoSpaceDE w:val="0"/>
              <w:autoSpaceDN w:val="0"/>
              <w:rPr>
                <w:rFonts w:hint="default" w:ascii="宋体" w:eastAsia="宋体" w:cs="宋体"/>
                <w:kern w:val="0"/>
                <w:sz w:val="24"/>
                <w:highlight w:val="none"/>
                <w:lang w:val="en-US" w:eastAsia="zh-CN"/>
              </w:rPr>
            </w:pPr>
            <w:r>
              <w:rPr>
                <w:rFonts w:hint="default" w:ascii="宋体" w:eastAsia="宋体" w:cs="宋体"/>
                <w:kern w:val="0"/>
                <w:sz w:val="24"/>
                <w:highlight w:val="none"/>
                <w:lang w:val="en-US" w:eastAsia="zh-CN"/>
              </w:rPr>
              <w:t>监督单位：</w:t>
            </w:r>
            <w:r>
              <w:rPr>
                <w:rFonts w:hint="eastAsia" w:ascii="宋体" w:cs="宋体"/>
                <w:kern w:val="0"/>
                <w:sz w:val="24"/>
                <w:highlight w:val="none"/>
                <w:lang w:val="en-US" w:eastAsia="zh-CN"/>
              </w:rPr>
              <w:t>青海省财政厅</w:t>
            </w:r>
          </w:p>
          <w:p w14:paraId="202FB846">
            <w:pPr>
              <w:autoSpaceDE w:val="0"/>
              <w:autoSpaceDN w:val="0"/>
              <w:rPr>
                <w:rFonts w:hint="default" w:ascii="宋体" w:eastAsia="宋体" w:cs="宋体"/>
                <w:kern w:val="0"/>
                <w:sz w:val="24"/>
                <w:highlight w:val="none"/>
                <w:lang w:val="en-US" w:eastAsia="zh-CN"/>
              </w:rPr>
            </w:pPr>
            <w:r>
              <w:rPr>
                <w:rFonts w:hint="default" w:ascii="宋体" w:eastAsia="宋体" w:cs="宋体"/>
                <w:kern w:val="0"/>
                <w:sz w:val="24"/>
                <w:highlight w:val="none"/>
                <w:lang w:val="en-US" w:eastAsia="zh-CN"/>
              </w:rPr>
              <w:t xml:space="preserve">联系电话：0971-3660357  </w:t>
            </w:r>
          </w:p>
        </w:tc>
      </w:tr>
    </w:tbl>
    <w:p w14:paraId="600E2A9B">
      <w:pPr>
        <w:keepNext/>
        <w:keepLines/>
        <w:widowControl/>
        <w:snapToGrid w:val="0"/>
        <w:spacing w:line="400" w:lineRule="atLeast"/>
        <w:jc w:val="center"/>
        <w:outlineLvl w:val="0"/>
        <w:rPr>
          <w:rFonts w:ascii="宋体"/>
          <w:b/>
          <w:kern w:val="28"/>
          <w:sz w:val="36"/>
          <w:szCs w:val="20"/>
          <w:highlight w:val="none"/>
        </w:rPr>
      </w:pPr>
      <w:bookmarkStart w:id="3" w:name="_Toc376936727"/>
      <w:r>
        <w:rPr>
          <w:rFonts w:ascii="宋体"/>
          <w:b/>
          <w:kern w:val="28"/>
          <w:sz w:val="36"/>
          <w:szCs w:val="20"/>
          <w:highlight w:val="none"/>
        </w:rPr>
        <w:br w:type="page"/>
      </w:r>
      <w:bookmarkStart w:id="4" w:name="_Toc496626192"/>
      <w:bookmarkStart w:id="5" w:name="_Toc25798"/>
      <w:r>
        <w:rPr>
          <w:rFonts w:hint="eastAsia" w:ascii="宋体"/>
          <w:b/>
          <w:kern w:val="28"/>
          <w:sz w:val="36"/>
          <w:szCs w:val="20"/>
          <w:highlight w:val="none"/>
        </w:rPr>
        <w:t>第二部分</w:t>
      </w:r>
      <w:r>
        <w:rPr>
          <w:rFonts w:ascii="宋体"/>
          <w:b/>
          <w:kern w:val="28"/>
          <w:sz w:val="36"/>
          <w:szCs w:val="20"/>
          <w:highlight w:val="none"/>
        </w:rPr>
        <w:t xml:space="preserve">  </w:t>
      </w:r>
      <w:r>
        <w:rPr>
          <w:rFonts w:hint="eastAsia" w:ascii="宋体"/>
          <w:b/>
          <w:kern w:val="28"/>
          <w:sz w:val="36"/>
          <w:szCs w:val="20"/>
          <w:highlight w:val="none"/>
        </w:rPr>
        <w:t>投标人须知</w:t>
      </w:r>
      <w:bookmarkEnd w:id="3"/>
      <w:bookmarkEnd w:id="4"/>
      <w:bookmarkEnd w:id="5"/>
      <w:bookmarkStart w:id="6" w:name="_Toc325725997"/>
    </w:p>
    <w:p w14:paraId="5F647F9A">
      <w:pPr>
        <w:widowControl/>
        <w:spacing w:beforeLines="200" w:afterLines="200"/>
        <w:jc w:val="center"/>
        <w:outlineLvl w:val="1"/>
        <w:rPr>
          <w:rFonts w:ascii="宋体"/>
          <w:b/>
          <w:bCs/>
          <w:kern w:val="0"/>
          <w:sz w:val="36"/>
          <w:szCs w:val="36"/>
          <w:highlight w:val="none"/>
        </w:rPr>
      </w:pPr>
      <w:bookmarkStart w:id="7" w:name="_Toc496626193"/>
      <w:bookmarkStart w:id="8" w:name="_Toc376936728"/>
      <w:bookmarkStart w:id="9" w:name="_Toc26467"/>
      <w:r>
        <w:rPr>
          <w:rFonts w:hint="eastAsia" w:ascii="宋体" w:hAnsi="宋体"/>
          <w:b/>
          <w:bCs/>
          <w:kern w:val="0"/>
          <w:sz w:val="36"/>
          <w:szCs w:val="36"/>
          <w:highlight w:val="none"/>
        </w:rPr>
        <w:t>一、说</w:t>
      </w:r>
      <w:r>
        <w:rPr>
          <w:rFonts w:ascii="宋体" w:hAnsi="宋体"/>
          <w:b/>
          <w:bCs/>
          <w:kern w:val="0"/>
          <w:sz w:val="36"/>
          <w:szCs w:val="36"/>
          <w:highlight w:val="none"/>
        </w:rPr>
        <w:t xml:space="preserve">  </w:t>
      </w:r>
      <w:r>
        <w:rPr>
          <w:rFonts w:hint="eastAsia" w:ascii="宋体" w:hAnsi="宋体"/>
          <w:b/>
          <w:bCs/>
          <w:kern w:val="0"/>
          <w:sz w:val="36"/>
          <w:szCs w:val="36"/>
          <w:highlight w:val="none"/>
        </w:rPr>
        <w:t>明</w:t>
      </w:r>
      <w:bookmarkEnd w:id="6"/>
      <w:bookmarkEnd w:id="7"/>
      <w:bookmarkEnd w:id="8"/>
      <w:bookmarkEnd w:id="9"/>
    </w:p>
    <w:p w14:paraId="5D4D9A9F">
      <w:pPr>
        <w:widowControl/>
        <w:spacing w:before="100" w:beforeAutospacing="1" w:after="100" w:afterAutospacing="1"/>
        <w:ind w:firstLine="542"/>
        <w:jc w:val="left"/>
        <w:outlineLvl w:val="2"/>
        <w:rPr>
          <w:rFonts w:ascii="宋体"/>
          <w:b/>
          <w:bCs/>
          <w:kern w:val="0"/>
          <w:sz w:val="27"/>
          <w:szCs w:val="27"/>
          <w:highlight w:val="none"/>
        </w:rPr>
      </w:pPr>
      <w:bookmarkStart w:id="10" w:name="_Toc27889"/>
      <w:bookmarkStart w:id="11" w:name="_Toc496626194"/>
      <w:bookmarkStart w:id="12" w:name="_Toc325725998"/>
      <w:bookmarkStart w:id="13" w:name="_Toc376936729"/>
      <w:r>
        <w:rPr>
          <w:rFonts w:ascii="宋体" w:hAnsi="宋体"/>
          <w:b/>
          <w:bCs/>
          <w:kern w:val="0"/>
          <w:sz w:val="27"/>
          <w:szCs w:val="27"/>
          <w:highlight w:val="none"/>
        </w:rPr>
        <w:t>1.</w:t>
      </w:r>
      <w:r>
        <w:rPr>
          <w:rFonts w:hint="eastAsia" w:ascii="宋体" w:hAnsi="宋体"/>
          <w:b/>
          <w:bCs/>
          <w:kern w:val="0"/>
          <w:sz w:val="27"/>
          <w:szCs w:val="27"/>
          <w:highlight w:val="none"/>
        </w:rPr>
        <w:t>适用范围</w:t>
      </w:r>
      <w:bookmarkEnd w:id="10"/>
      <w:bookmarkEnd w:id="11"/>
      <w:bookmarkEnd w:id="12"/>
      <w:bookmarkEnd w:id="13"/>
    </w:p>
    <w:p w14:paraId="5A4884D1">
      <w:pPr>
        <w:tabs>
          <w:tab w:val="left" w:pos="840"/>
        </w:tabs>
        <w:spacing w:line="360" w:lineRule="auto"/>
        <w:ind w:firstLine="315" w:firstLineChars="150"/>
        <w:rPr>
          <w:rFonts w:ascii="宋体"/>
          <w:highlight w:val="none"/>
        </w:rPr>
      </w:pPr>
      <w:r>
        <w:rPr>
          <w:rFonts w:ascii="宋体" w:hAnsi="宋体"/>
          <w:highlight w:val="none"/>
        </w:rPr>
        <w:t>1.1</w:t>
      </w:r>
      <w:r>
        <w:rPr>
          <w:rFonts w:hint="eastAsia" w:ascii="宋体" w:hAnsi="宋体"/>
          <w:highlight w:val="none"/>
        </w:rPr>
        <w:t>本次采购依据政府采购下达的采购计划，仅适用于本竞争性磋商文件（以下简称“磋商文件”）中所叙述的项目。</w:t>
      </w:r>
    </w:p>
    <w:p w14:paraId="3362A285">
      <w:pPr>
        <w:widowControl/>
        <w:spacing w:before="100" w:beforeAutospacing="1" w:after="100" w:afterAutospacing="1"/>
        <w:ind w:firstLine="542"/>
        <w:jc w:val="left"/>
        <w:outlineLvl w:val="2"/>
        <w:rPr>
          <w:rFonts w:ascii="宋体"/>
          <w:b/>
          <w:bCs/>
          <w:kern w:val="0"/>
          <w:sz w:val="27"/>
          <w:szCs w:val="27"/>
          <w:highlight w:val="none"/>
        </w:rPr>
      </w:pPr>
      <w:bookmarkStart w:id="14" w:name="_Toc376936730"/>
      <w:bookmarkStart w:id="15" w:name="_Toc496626195"/>
      <w:bookmarkStart w:id="16" w:name="_Toc18820"/>
      <w:bookmarkStart w:id="17" w:name="_Toc325725999"/>
      <w:r>
        <w:rPr>
          <w:rFonts w:ascii="宋体" w:hAnsi="宋体"/>
          <w:b/>
          <w:bCs/>
          <w:kern w:val="0"/>
          <w:sz w:val="27"/>
          <w:szCs w:val="27"/>
          <w:highlight w:val="none"/>
        </w:rPr>
        <w:t>2.</w:t>
      </w:r>
      <w:r>
        <w:rPr>
          <w:rFonts w:hint="eastAsia" w:ascii="宋体" w:hAnsi="宋体"/>
          <w:b/>
          <w:bCs/>
          <w:kern w:val="0"/>
          <w:sz w:val="27"/>
          <w:szCs w:val="27"/>
          <w:highlight w:val="none"/>
        </w:rPr>
        <w:t>采购方式、合格的投标人</w:t>
      </w:r>
      <w:bookmarkEnd w:id="14"/>
      <w:bookmarkEnd w:id="15"/>
      <w:bookmarkEnd w:id="16"/>
      <w:bookmarkEnd w:id="17"/>
    </w:p>
    <w:p w14:paraId="05064210">
      <w:pPr>
        <w:tabs>
          <w:tab w:val="left" w:pos="840"/>
        </w:tabs>
        <w:spacing w:line="360" w:lineRule="auto"/>
        <w:ind w:firstLine="315" w:firstLineChars="150"/>
        <w:rPr>
          <w:rFonts w:ascii="宋体"/>
          <w:highlight w:val="none"/>
        </w:rPr>
      </w:pPr>
      <w:r>
        <w:rPr>
          <w:rFonts w:ascii="宋体" w:hAnsi="宋体"/>
          <w:highlight w:val="none"/>
        </w:rPr>
        <w:t>2.1</w:t>
      </w:r>
      <w:r>
        <w:rPr>
          <w:rFonts w:hint="eastAsia" w:ascii="宋体" w:hAnsi="宋体"/>
          <w:highlight w:val="none"/>
        </w:rPr>
        <w:t>本次采购采取竞争性磋商方式。</w:t>
      </w:r>
    </w:p>
    <w:p w14:paraId="6A16B987">
      <w:pPr>
        <w:tabs>
          <w:tab w:val="left" w:pos="840"/>
        </w:tabs>
        <w:spacing w:line="360" w:lineRule="auto"/>
        <w:ind w:firstLine="315" w:firstLineChars="150"/>
        <w:rPr>
          <w:rFonts w:ascii="宋体"/>
          <w:highlight w:val="none"/>
        </w:rPr>
      </w:pPr>
      <w:r>
        <w:rPr>
          <w:rFonts w:ascii="宋体" w:hAnsi="宋体"/>
          <w:highlight w:val="none"/>
        </w:rPr>
        <w:t>2.2</w:t>
      </w:r>
      <w:r>
        <w:rPr>
          <w:rFonts w:hint="eastAsia" w:ascii="宋体" w:hAnsi="宋体"/>
          <w:highlight w:val="none"/>
        </w:rPr>
        <w:t>合格的投标人：详见第一部分投标人须知前附表“供应商资格条件”。</w:t>
      </w:r>
    </w:p>
    <w:p w14:paraId="4424C86C">
      <w:pPr>
        <w:widowControl/>
        <w:spacing w:before="100" w:beforeAutospacing="1" w:after="100" w:afterAutospacing="1"/>
        <w:ind w:firstLine="542"/>
        <w:jc w:val="left"/>
        <w:outlineLvl w:val="2"/>
        <w:rPr>
          <w:rFonts w:ascii="宋体"/>
          <w:b/>
          <w:bCs/>
          <w:kern w:val="0"/>
          <w:sz w:val="27"/>
          <w:szCs w:val="27"/>
          <w:highlight w:val="none"/>
        </w:rPr>
      </w:pPr>
      <w:bookmarkStart w:id="18" w:name="_Toc27592"/>
      <w:bookmarkStart w:id="19" w:name="_Toc325726000"/>
      <w:bookmarkStart w:id="20" w:name="_Toc496626196"/>
      <w:bookmarkStart w:id="21" w:name="_Toc376936731"/>
      <w:r>
        <w:rPr>
          <w:rFonts w:ascii="宋体" w:hAnsi="宋体"/>
          <w:b/>
          <w:bCs/>
          <w:kern w:val="0"/>
          <w:sz w:val="27"/>
          <w:szCs w:val="27"/>
          <w:highlight w:val="none"/>
        </w:rPr>
        <w:t>3.</w:t>
      </w:r>
      <w:r>
        <w:rPr>
          <w:rFonts w:hint="eastAsia" w:ascii="宋体" w:hAnsi="宋体"/>
          <w:b/>
          <w:bCs/>
          <w:kern w:val="0"/>
          <w:sz w:val="27"/>
          <w:szCs w:val="27"/>
          <w:highlight w:val="none"/>
        </w:rPr>
        <w:t>磋商费用</w:t>
      </w:r>
      <w:bookmarkEnd w:id="18"/>
      <w:bookmarkEnd w:id="19"/>
      <w:bookmarkEnd w:id="20"/>
      <w:bookmarkEnd w:id="21"/>
    </w:p>
    <w:p w14:paraId="2B496FA2">
      <w:pPr>
        <w:tabs>
          <w:tab w:val="left" w:pos="840"/>
        </w:tabs>
        <w:spacing w:line="360" w:lineRule="auto"/>
        <w:ind w:firstLine="315" w:firstLineChars="150"/>
        <w:rPr>
          <w:rFonts w:ascii="宋体"/>
          <w:highlight w:val="none"/>
        </w:rPr>
      </w:pPr>
      <w:r>
        <w:rPr>
          <w:rFonts w:hint="eastAsia" w:ascii="宋体" w:hAnsi="宋体"/>
          <w:highlight w:val="none"/>
        </w:rPr>
        <w:t>供应商应自愿承担准备和参加本次投标有关的所有费用。采购人和采购代理机构对供应商发生的费用均不承担任何责任。</w:t>
      </w:r>
    </w:p>
    <w:p w14:paraId="1E061972">
      <w:pPr>
        <w:widowControl/>
        <w:spacing w:beforeLines="200" w:afterLines="200"/>
        <w:jc w:val="center"/>
        <w:outlineLvl w:val="1"/>
        <w:rPr>
          <w:rFonts w:ascii="宋体"/>
          <w:b/>
          <w:bCs/>
          <w:kern w:val="0"/>
          <w:sz w:val="36"/>
          <w:szCs w:val="36"/>
          <w:highlight w:val="none"/>
        </w:rPr>
      </w:pPr>
      <w:bookmarkStart w:id="22" w:name="_Toc496626197"/>
      <w:bookmarkStart w:id="23" w:name="_Toc325726001"/>
      <w:bookmarkStart w:id="24" w:name="_Toc376936732"/>
      <w:bookmarkStart w:id="25" w:name="_Toc7673"/>
      <w:r>
        <w:rPr>
          <w:rFonts w:hint="eastAsia" w:ascii="宋体" w:hAnsi="宋体"/>
          <w:b/>
          <w:bCs/>
          <w:kern w:val="0"/>
          <w:sz w:val="36"/>
          <w:szCs w:val="36"/>
          <w:highlight w:val="none"/>
        </w:rPr>
        <w:t>二、磋商文件说明</w:t>
      </w:r>
      <w:bookmarkEnd w:id="22"/>
      <w:bookmarkEnd w:id="23"/>
      <w:bookmarkEnd w:id="24"/>
      <w:bookmarkEnd w:id="25"/>
    </w:p>
    <w:p w14:paraId="4842BD5B">
      <w:pPr>
        <w:widowControl/>
        <w:spacing w:before="100" w:beforeAutospacing="1" w:after="100" w:afterAutospacing="1"/>
        <w:ind w:firstLine="542"/>
        <w:jc w:val="left"/>
        <w:outlineLvl w:val="2"/>
        <w:rPr>
          <w:rFonts w:ascii="宋体"/>
          <w:b/>
          <w:bCs/>
          <w:kern w:val="0"/>
          <w:sz w:val="27"/>
          <w:szCs w:val="27"/>
          <w:highlight w:val="none"/>
        </w:rPr>
      </w:pPr>
      <w:bookmarkStart w:id="26" w:name="_Toc325726002"/>
      <w:bookmarkStart w:id="27" w:name="_Toc376936733"/>
      <w:bookmarkStart w:id="28" w:name="_Toc14749"/>
      <w:bookmarkStart w:id="29" w:name="_Toc496626198"/>
      <w:r>
        <w:rPr>
          <w:rFonts w:ascii="宋体" w:hAnsi="宋体"/>
          <w:b/>
          <w:bCs/>
          <w:kern w:val="0"/>
          <w:sz w:val="27"/>
          <w:szCs w:val="27"/>
          <w:highlight w:val="none"/>
        </w:rPr>
        <w:t>4.</w:t>
      </w:r>
      <w:r>
        <w:rPr>
          <w:rFonts w:hint="eastAsia" w:ascii="宋体" w:hAnsi="宋体"/>
          <w:b/>
          <w:bCs/>
          <w:kern w:val="0"/>
          <w:sz w:val="27"/>
          <w:szCs w:val="27"/>
          <w:highlight w:val="none"/>
        </w:rPr>
        <w:t>磋商文件的构成</w:t>
      </w:r>
      <w:bookmarkEnd w:id="26"/>
      <w:bookmarkEnd w:id="27"/>
      <w:bookmarkEnd w:id="28"/>
      <w:bookmarkEnd w:id="29"/>
    </w:p>
    <w:p w14:paraId="4D3657AA">
      <w:pPr>
        <w:spacing w:line="360" w:lineRule="auto"/>
        <w:ind w:firstLine="480"/>
        <w:rPr>
          <w:rFonts w:ascii="宋体"/>
          <w:highlight w:val="none"/>
        </w:rPr>
      </w:pPr>
      <w:r>
        <w:rPr>
          <w:rFonts w:ascii="宋体" w:hAnsi="宋体"/>
          <w:highlight w:val="none"/>
        </w:rPr>
        <w:t>4.1</w:t>
      </w:r>
      <w:r>
        <w:rPr>
          <w:rFonts w:hint="eastAsia" w:ascii="宋体" w:hAnsi="宋体"/>
          <w:highlight w:val="none"/>
        </w:rPr>
        <w:t>磋商文件包括：</w:t>
      </w:r>
    </w:p>
    <w:p w14:paraId="558C1398">
      <w:pPr>
        <w:spacing w:line="360" w:lineRule="auto"/>
        <w:ind w:firstLine="480"/>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）投标人须知前附表</w:t>
      </w:r>
    </w:p>
    <w:p w14:paraId="2397487D">
      <w:pPr>
        <w:spacing w:line="360" w:lineRule="auto"/>
        <w:ind w:firstLine="480"/>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）投标人须知</w:t>
      </w:r>
    </w:p>
    <w:p w14:paraId="2C78B62A">
      <w:pPr>
        <w:spacing w:line="360" w:lineRule="auto"/>
        <w:ind w:firstLine="480"/>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）政府采购项目合同书范本</w:t>
      </w:r>
    </w:p>
    <w:p w14:paraId="1ED41A19">
      <w:pPr>
        <w:spacing w:line="360" w:lineRule="auto"/>
        <w:ind w:firstLine="480"/>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）磋商响应文件格式（相关附件）</w:t>
      </w:r>
    </w:p>
    <w:p w14:paraId="3EE08224">
      <w:pPr>
        <w:spacing w:line="360" w:lineRule="auto"/>
        <w:ind w:firstLine="480"/>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）磋商及采购项目服务要求</w:t>
      </w:r>
    </w:p>
    <w:p w14:paraId="2299B9D5">
      <w:pPr>
        <w:spacing w:line="360" w:lineRule="auto"/>
        <w:ind w:firstLine="480"/>
        <w:rPr>
          <w:rFonts w:asci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）磋商过程中发生的澄清、变更和补充文件</w:t>
      </w:r>
    </w:p>
    <w:p w14:paraId="1079744F">
      <w:pPr>
        <w:spacing w:line="360" w:lineRule="auto"/>
        <w:ind w:firstLine="480"/>
        <w:rPr>
          <w:rFonts w:ascii="宋体"/>
          <w:highlight w:val="none"/>
        </w:rPr>
      </w:pPr>
      <w:r>
        <w:rPr>
          <w:rFonts w:ascii="宋体" w:hAnsi="宋体"/>
          <w:highlight w:val="none"/>
        </w:rPr>
        <w:t>4.2</w:t>
      </w:r>
      <w:r>
        <w:rPr>
          <w:rFonts w:hint="eastAsia" w:ascii="Arial" w:hAnsi="Arial" w:cs="Arial"/>
          <w:kern w:val="0"/>
          <w:highlight w:val="none"/>
        </w:rPr>
        <w:t>供应商应当按照磋商文件的要求编制磋商响应文件。磋商响应文件应当对磋商文件提出的要求和条件作出明确响应。</w:t>
      </w:r>
    </w:p>
    <w:p w14:paraId="1AB65BC1">
      <w:pPr>
        <w:widowControl/>
        <w:spacing w:before="100" w:beforeAutospacing="1" w:after="100" w:afterAutospacing="1"/>
        <w:ind w:firstLine="542"/>
        <w:jc w:val="left"/>
        <w:outlineLvl w:val="2"/>
        <w:rPr>
          <w:rFonts w:ascii="宋体"/>
          <w:b/>
          <w:bCs/>
          <w:kern w:val="0"/>
          <w:sz w:val="27"/>
          <w:szCs w:val="27"/>
          <w:highlight w:val="none"/>
        </w:rPr>
      </w:pPr>
      <w:bookmarkStart w:id="30" w:name="_Toc376936734"/>
      <w:bookmarkStart w:id="31" w:name="_Toc325726003"/>
      <w:bookmarkStart w:id="32" w:name="_Toc6266"/>
      <w:bookmarkStart w:id="33" w:name="_Toc496626199"/>
      <w:r>
        <w:rPr>
          <w:rFonts w:ascii="宋体" w:hAnsi="宋体"/>
          <w:b/>
          <w:bCs/>
          <w:kern w:val="0"/>
          <w:sz w:val="27"/>
          <w:szCs w:val="27"/>
          <w:highlight w:val="none"/>
        </w:rPr>
        <w:t>5.</w:t>
      </w:r>
      <w:r>
        <w:rPr>
          <w:rFonts w:hint="eastAsia" w:ascii="宋体" w:hAnsi="宋体"/>
          <w:b/>
          <w:bCs/>
          <w:kern w:val="0"/>
          <w:sz w:val="27"/>
          <w:szCs w:val="27"/>
          <w:highlight w:val="none"/>
        </w:rPr>
        <w:t>磋商文件的</w:t>
      </w:r>
      <w:bookmarkEnd w:id="30"/>
      <w:bookmarkEnd w:id="31"/>
      <w:r>
        <w:rPr>
          <w:rFonts w:hint="eastAsia" w:ascii="宋体" w:hAnsi="宋体"/>
          <w:b/>
          <w:bCs/>
          <w:kern w:val="0"/>
          <w:sz w:val="27"/>
          <w:szCs w:val="27"/>
          <w:highlight w:val="none"/>
        </w:rPr>
        <w:t>质疑</w:t>
      </w:r>
      <w:bookmarkEnd w:id="32"/>
      <w:bookmarkEnd w:id="33"/>
    </w:p>
    <w:p w14:paraId="433AA4BE">
      <w:pPr>
        <w:spacing w:line="360" w:lineRule="auto"/>
        <w:ind w:firstLine="480"/>
        <w:rPr>
          <w:rFonts w:ascii="宋体"/>
          <w:highlight w:val="none"/>
        </w:rPr>
      </w:pPr>
      <w:bookmarkStart w:id="34" w:name="_Toc376936735"/>
      <w:bookmarkStart w:id="35" w:name="_Toc325726004"/>
      <w:r>
        <w:rPr>
          <w:rFonts w:hint="eastAsia" w:ascii="宋体" w:hAnsi="宋体"/>
          <w:highlight w:val="none"/>
        </w:rPr>
        <w:t>供应商认为磋商文件使自己的权益受到损害的，应在获取磋商文件之后以书面形式提出质疑（不接受匿名质疑），采购代理机构在收到供应商的书面质疑后</w:t>
      </w:r>
      <w:r>
        <w:rPr>
          <w:rFonts w:ascii="宋体" w:hAnsi="宋体"/>
          <w:highlight w:val="none"/>
        </w:rPr>
        <w:t>7</w:t>
      </w:r>
      <w:r>
        <w:rPr>
          <w:rFonts w:hint="eastAsia" w:ascii="宋体" w:hAnsi="宋体"/>
          <w:highlight w:val="none"/>
        </w:rPr>
        <w:t>个工作日内予以答复，并将变更事宜在</w:t>
      </w:r>
      <w:r>
        <w:rPr>
          <w:rFonts w:hint="eastAsia" w:ascii="宋体" w:hAnsi="宋体"/>
          <w:highlight w:val="none"/>
          <w:lang w:eastAsia="zh-CN"/>
        </w:rPr>
        <w:t>青海省政府采购网</w:t>
      </w:r>
      <w:r>
        <w:rPr>
          <w:rFonts w:hint="eastAsia" w:ascii="宋体" w:hAnsi="宋体"/>
          <w:highlight w:val="none"/>
        </w:rPr>
        <w:t>上发布公告，告知本项目的所有潜在供应商。</w:t>
      </w:r>
    </w:p>
    <w:p w14:paraId="34AB255D">
      <w:pPr>
        <w:widowControl/>
        <w:spacing w:before="100" w:beforeAutospacing="1" w:after="100" w:afterAutospacing="1"/>
        <w:ind w:firstLine="542"/>
        <w:jc w:val="left"/>
        <w:outlineLvl w:val="2"/>
        <w:rPr>
          <w:rFonts w:ascii="宋体"/>
          <w:b/>
          <w:bCs/>
          <w:kern w:val="0"/>
          <w:sz w:val="27"/>
          <w:szCs w:val="27"/>
          <w:highlight w:val="none"/>
        </w:rPr>
      </w:pPr>
      <w:bookmarkStart w:id="36" w:name="_Toc496626200"/>
      <w:bookmarkStart w:id="37" w:name="_Toc19765"/>
      <w:r>
        <w:rPr>
          <w:rFonts w:ascii="宋体" w:hAnsi="宋体"/>
          <w:b/>
          <w:bCs/>
          <w:kern w:val="0"/>
          <w:sz w:val="27"/>
          <w:szCs w:val="27"/>
          <w:highlight w:val="none"/>
        </w:rPr>
        <w:t>6.</w:t>
      </w:r>
      <w:r>
        <w:rPr>
          <w:rFonts w:hint="eastAsia" w:ascii="宋体" w:hAnsi="宋体"/>
          <w:b/>
          <w:bCs/>
          <w:kern w:val="0"/>
          <w:sz w:val="27"/>
          <w:szCs w:val="27"/>
          <w:highlight w:val="none"/>
        </w:rPr>
        <w:t>磋商文件的澄清、修改</w:t>
      </w:r>
      <w:bookmarkEnd w:id="34"/>
      <w:bookmarkEnd w:id="35"/>
      <w:bookmarkEnd w:id="36"/>
      <w:bookmarkEnd w:id="37"/>
    </w:p>
    <w:p w14:paraId="2F7C5B14">
      <w:pPr>
        <w:spacing w:line="360" w:lineRule="auto"/>
        <w:ind w:firstLine="480"/>
        <w:rPr>
          <w:rFonts w:ascii="宋体"/>
          <w:highlight w:val="none"/>
        </w:rPr>
      </w:pPr>
      <w:r>
        <w:rPr>
          <w:rFonts w:ascii="宋体" w:hAnsi="宋体"/>
          <w:highlight w:val="none"/>
        </w:rPr>
        <w:t xml:space="preserve">6.1 </w:t>
      </w:r>
      <w:r>
        <w:rPr>
          <w:rFonts w:hint="eastAsia" w:ascii="宋体" w:hAnsi="宋体"/>
          <w:highlight w:val="none"/>
        </w:rPr>
        <w:t>在投标截止期前，采购代理机构可对磋商文件进行必要的修改或者澄清。</w:t>
      </w:r>
    </w:p>
    <w:p w14:paraId="4241908E">
      <w:pPr>
        <w:spacing w:line="360" w:lineRule="auto"/>
        <w:ind w:firstLine="480"/>
        <w:rPr>
          <w:rFonts w:ascii="宋体"/>
          <w:highlight w:val="none"/>
        </w:rPr>
      </w:pPr>
      <w:r>
        <w:rPr>
          <w:rFonts w:ascii="宋体" w:hAnsi="宋体"/>
          <w:highlight w:val="none"/>
        </w:rPr>
        <w:t>6.2</w:t>
      </w:r>
      <w:r>
        <w:rPr>
          <w:rFonts w:hint="eastAsia" w:ascii="宋体" w:hAnsi="宋体"/>
          <w:highlight w:val="none"/>
        </w:rPr>
        <w:t>澄清或者修改的内容可能影响磋商响应文件编制的，采购人、采购代理机构应当在提交首次响应文件截止时间至少</w:t>
      </w:r>
      <w:r>
        <w:rPr>
          <w:rFonts w:ascii="宋体" w:hAnsi="宋体"/>
          <w:highlight w:val="none"/>
        </w:rPr>
        <w:t>5</w:t>
      </w:r>
      <w:r>
        <w:rPr>
          <w:rFonts w:hint="eastAsia" w:ascii="宋体" w:hAnsi="宋体"/>
          <w:highlight w:val="none"/>
        </w:rPr>
        <w:t>日前，在</w:t>
      </w:r>
      <w:r>
        <w:rPr>
          <w:rFonts w:hint="eastAsia" w:ascii="宋体" w:hAnsi="宋体"/>
          <w:highlight w:val="none"/>
          <w:lang w:eastAsia="zh-CN"/>
        </w:rPr>
        <w:t>青海省政府采购网</w:t>
      </w:r>
      <w:r>
        <w:rPr>
          <w:rFonts w:hint="eastAsia" w:ascii="宋体" w:hAnsi="宋体"/>
          <w:highlight w:val="none"/>
        </w:rPr>
        <w:t>上发布公告；不足</w:t>
      </w:r>
      <w:r>
        <w:rPr>
          <w:rFonts w:ascii="宋体" w:hAnsi="宋体"/>
          <w:highlight w:val="none"/>
        </w:rPr>
        <w:t>5</w:t>
      </w:r>
      <w:r>
        <w:rPr>
          <w:rFonts w:hint="eastAsia" w:ascii="宋体" w:hAnsi="宋体"/>
          <w:highlight w:val="none"/>
        </w:rPr>
        <w:t>日的，采购人、采购代理机构应当顺延提交首次响应文件截止时间。该澄清或者修改的内容为磋商文件的组成部分。</w:t>
      </w:r>
    </w:p>
    <w:p w14:paraId="4ABB577B">
      <w:pPr>
        <w:spacing w:line="360" w:lineRule="auto"/>
        <w:ind w:firstLine="480"/>
        <w:rPr>
          <w:rFonts w:ascii="宋体"/>
          <w:highlight w:val="none"/>
        </w:rPr>
      </w:pPr>
      <w:r>
        <w:rPr>
          <w:rFonts w:ascii="宋体" w:hAnsi="宋体"/>
          <w:highlight w:val="none"/>
        </w:rPr>
        <w:t>6.3</w:t>
      </w:r>
      <w:r>
        <w:rPr>
          <w:rFonts w:hint="eastAsia" w:ascii="宋体" w:hAnsi="宋体"/>
          <w:highlight w:val="none"/>
        </w:rPr>
        <w:t>在投标截止时间前，采购人或采购代理机构可以视采购具体情况，延长投标截止时间和开标时间，并在磋商文件中要求的磋商截止时间和磋商时间的三日前，将变更公告发布在</w:t>
      </w:r>
      <w:r>
        <w:rPr>
          <w:rFonts w:hint="eastAsia" w:ascii="宋体" w:hAnsi="宋体"/>
          <w:highlight w:val="none"/>
          <w:lang w:eastAsia="zh-CN"/>
        </w:rPr>
        <w:t>青海省政府采购网</w:t>
      </w:r>
      <w:r>
        <w:rPr>
          <w:rFonts w:hint="eastAsia" w:ascii="宋体" w:hAnsi="宋体"/>
          <w:highlight w:val="none"/>
        </w:rPr>
        <w:t>上。</w:t>
      </w:r>
    </w:p>
    <w:p w14:paraId="41B6D554">
      <w:pPr>
        <w:widowControl/>
        <w:spacing w:beforeLines="200" w:afterLines="200"/>
        <w:jc w:val="center"/>
        <w:outlineLvl w:val="1"/>
        <w:rPr>
          <w:rFonts w:ascii="宋体"/>
          <w:b/>
          <w:bCs/>
          <w:kern w:val="0"/>
          <w:sz w:val="36"/>
          <w:szCs w:val="36"/>
          <w:highlight w:val="none"/>
        </w:rPr>
      </w:pPr>
      <w:bookmarkStart w:id="38" w:name="_Toc325726005"/>
      <w:bookmarkStart w:id="39" w:name="_Toc496626201"/>
      <w:bookmarkStart w:id="40" w:name="_Toc18175"/>
      <w:bookmarkStart w:id="41" w:name="_Toc376936736"/>
      <w:r>
        <w:rPr>
          <w:rFonts w:hint="eastAsia" w:ascii="宋体" w:hAnsi="宋体"/>
          <w:b/>
          <w:bCs/>
          <w:kern w:val="0"/>
          <w:sz w:val="36"/>
          <w:szCs w:val="36"/>
          <w:highlight w:val="none"/>
        </w:rPr>
        <w:t>三、磋商响应文件的编制</w:t>
      </w:r>
      <w:bookmarkEnd w:id="38"/>
      <w:bookmarkEnd w:id="39"/>
      <w:bookmarkEnd w:id="40"/>
      <w:bookmarkEnd w:id="41"/>
    </w:p>
    <w:p w14:paraId="758284A6">
      <w:pPr>
        <w:widowControl/>
        <w:spacing w:before="100" w:beforeAutospacing="1" w:after="100" w:afterAutospacing="1"/>
        <w:ind w:firstLine="542"/>
        <w:jc w:val="left"/>
        <w:outlineLvl w:val="2"/>
        <w:rPr>
          <w:rFonts w:ascii="宋体"/>
          <w:b/>
          <w:bCs/>
          <w:kern w:val="0"/>
          <w:sz w:val="27"/>
          <w:szCs w:val="27"/>
          <w:highlight w:val="none"/>
        </w:rPr>
      </w:pPr>
      <w:bookmarkStart w:id="42" w:name="_Toc325726006"/>
      <w:bookmarkStart w:id="43" w:name="_Toc496626202"/>
      <w:bookmarkStart w:id="44" w:name="_Toc376936737"/>
      <w:bookmarkStart w:id="45" w:name="_Toc11747"/>
      <w:r>
        <w:rPr>
          <w:rFonts w:ascii="宋体" w:hAnsi="宋体"/>
          <w:b/>
          <w:bCs/>
          <w:kern w:val="0"/>
          <w:sz w:val="27"/>
          <w:szCs w:val="27"/>
          <w:highlight w:val="none"/>
        </w:rPr>
        <w:t>7.</w:t>
      </w:r>
      <w:r>
        <w:rPr>
          <w:rFonts w:hint="eastAsia" w:ascii="宋体" w:hAnsi="宋体"/>
          <w:b/>
          <w:bCs/>
          <w:kern w:val="0"/>
          <w:sz w:val="27"/>
          <w:szCs w:val="27"/>
          <w:highlight w:val="none"/>
        </w:rPr>
        <w:t>磋商响应文件的语言及度量衡单位</w:t>
      </w:r>
      <w:bookmarkEnd w:id="42"/>
      <w:bookmarkEnd w:id="43"/>
      <w:bookmarkEnd w:id="44"/>
      <w:bookmarkEnd w:id="45"/>
    </w:p>
    <w:p w14:paraId="2B08BA66">
      <w:pPr>
        <w:spacing w:line="360" w:lineRule="auto"/>
        <w:ind w:firstLine="480"/>
        <w:rPr>
          <w:rFonts w:ascii="宋体"/>
          <w:highlight w:val="none"/>
        </w:rPr>
      </w:pPr>
      <w:r>
        <w:rPr>
          <w:rFonts w:ascii="宋体" w:hAnsi="宋体"/>
          <w:highlight w:val="none"/>
        </w:rPr>
        <w:t>7.1</w:t>
      </w:r>
      <w:r>
        <w:rPr>
          <w:rFonts w:hint="eastAsia" w:ascii="宋体" w:hAnsi="宋体"/>
          <w:highlight w:val="none"/>
        </w:rPr>
        <w:t>供应商提交的磋商响应文件以及供应商与采购代理机构就此磋商发生的所有来往函电均应使用简体中文。</w:t>
      </w:r>
    </w:p>
    <w:p w14:paraId="1BEF2D83">
      <w:pPr>
        <w:spacing w:line="360" w:lineRule="auto"/>
        <w:ind w:firstLine="480"/>
        <w:rPr>
          <w:rFonts w:ascii="宋体"/>
          <w:highlight w:val="none"/>
        </w:rPr>
      </w:pPr>
      <w:r>
        <w:rPr>
          <w:rFonts w:ascii="宋体" w:hAnsi="宋体"/>
          <w:highlight w:val="none"/>
        </w:rPr>
        <w:t xml:space="preserve">7.2 </w:t>
      </w:r>
      <w:r>
        <w:rPr>
          <w:rFonts w:hint="eastAsia" w:ascii="宋体" w:hAnsi="宋体"/>
          <w:highlight w:val="none"/>
        </w:rPr>
        <w:t>除磋商文件中另有规定外，磋商响应文件所使用的度量衡单位，均须采用国家法定计量单位。</w:t>
      </w:r>
    </w:p>
    <w:p w14:paraId="7B45CF5C">
      <w:pPr>
        <w:spacing w:line="360" w:lineRule="auto"/>
        <w:ind w:firstLine="480"/>
        <w:rPr>
          <w:rFonts w:ascii="宋体"/>
          <w:highlight w:val="none"/>
        </w:rPr>
      </w:pPr>
      <w:r>
        <w:rPr>
          <w:rFonts w:ascii="宋体" w:hAnsi="宋体"/>
          <w:highlight w:val="none"/>
        </w:rPr>
        <w:t>7.3</w:t>
      </w:r>
      <w:r>
        <w:rPr>
          <w:rFonts w:hint="eastAsia" w:ascii="宋体" w:hAnsi="宋体"/>
          <w:highlight w:val="none"/>
        </w:rPr>
        <w:t>附有外文资料的，须翻译成中文并加盖供应商公章，如果翻译的中文资料与外文资料存在差异和矛盾时，以中文资料为准。其准确性由供应商负责。</w:t>
      </w:r>
    </w:p>
    <w:p w14:paraId="7C72DEFE">
      <w:pPr>
        <w:widowControl/>
        <w:spacing w:before="100" w:beforeAutospacing="1" w:after="100" w:afterAutospacing="1"/>
        <w:ind w:firstLine="542"/>
        <w:jc w:val="left"/>
        <w:outlineLvl w:val="2"/>
        <w:rPr>
          <w:rFonts w:ascii="宋体"/>
          <w:b/>
          <w:bCs/>
          <w:kern w:val="0"/>
          <w:sz w:val="27"/>
          <w:szCs w:val="27"/>
          <w:highlight w:val="none"/>
        </w:rPr>
      </w:pPr>
      <w:bookmarkStart w:id="46" w:name="_Toc325726007"/>
      <w:bookmarkStart w:id="47" w:name="_Toc376936738"/>
      <w:bookmarkStart w:id="48" w:name="_Toc496626203"/>
      <w:bookmarkStart w:id="49" w:name="_Toc26587"/>
      <w:r>
        <w:rPr>
          <w:rFonts w:ascii="宋体" w:hAnsi="宋体"/>
          <w:b/>
          <w:bCs/>
          <w:kern w:val="0"/>
          <w:sz w:val="27"/>
          <w:szCs w:val="27"/>
          <w:highlight w:val="none"/>
        </w:rPr>
        <w:t>8.</w:t>
      </w:r>
      <w:r>
        <w:rPr>
          <w:rFonts w:hint="eastAsia" w:ascii="宋体" w:hAnsi="宋体"/>
          <w:b/>
          <w:bCs/>
          <w:kern w:val="0"/>
          <w:sz w:val="27"/>
          <w:szCs w:val="27"/>
          <w:highlight w:val="none"/>
        </w:rPr>
        <w:t>磋商报价及币种</w:t>
      </w:r>
      <w:bookmarkEnd w:id="46"/>
      <w:bookmarkEnd w:id="47"/>
      <w:bookmarkEnd w:id="48"/>
      <w:bookmarkEnd w:id="49"/>
    </w:p>
    <w:p w14:paraId="1C2A8057">
      <w:pPr>
        <w:spacing w:before="240" w:line="360" w:lineRule="auto"/>
        <w:ind w:firstLine="480"/>
        <w:rPr>
          <w:rFonts w:ascii="宋体"/>
          <w:highlight w:val="none"/>
        </w:rPr>
      </w:pPr>
      <w:r>
        <w:rPr>
          <w:rFonts w:ascii="宋体" w:hAnsi="宋体"/>
          <w:highlight w:val="none"/>
        </w:rPr>
        <w:t>8.l</w:t>
      </w:r>
      <w:r>
        <w:rPr>
          <w:rFonts w:hint="eastAsia" w:ascii="宋体" w:hAnsi="宋体" w:cs="宋体"/>
          <w:kern w:val="0"/>
          <w:highlight w:val="none"/>
          <w:lang w:val="zh-CN"/>
        </w:rPr>
        <w:t>磋商报价为投标总价。投标报价必须包括：</w:t>
      </w:r>
      <w:r>
        <w:rPr>
          <w:rFonts w:hint="eastAsia" w:ascii="宋体" w:cs="宋体"/>
          <w:kern w:val="0"/>
          <w:highlight w:val="none"/>
          <w:lang w:val="zh-CN"/>
        </w:rPr>
        <w:t>该项目规定的服务费用、配套该项目提供的技术服务费用、培训费、保险费、税金及不可预见费等全部费用</w:t>
      </w:r>
      <w:r>
        <w:rPr>
          <w:rFonts w:hint="eastAsia" w:ascii="宋体"/>
          <w:highlight w:val="none"/>
        </w:rPr>
        <w:t>。</w:t>
      </w:r>
    </w:p>
    <w:p w14:paraId="7A7BE886">
      <w:pPr>
        <w:spacing w:line="360" w:lineRule="auto"/>
        <w:ind w:firstLine="480"/>
        <w:rPr>
          <w:rFonts w:ascii="宋体"/>
          <w:highlight w:val="none"/>
        </w:rPr>
      </w:pPr>
      <w:r>
        <w:rPr>
          <w:rFonts w:ascii="宋体" w:hAnsi="宋体"/>
          <w:highlight w:val="none"/>
        </w:rPr>
        <w:t xml:space="preserve">8.2 </w:t>
      </w:r>
      <w:r>
        <w:rPr>
          <w:rFonts w:hint="eastAsia" w:ascii="宋体" w:hAnsi="宋体"/>
          <w:highlight w:val="none"/>
        </w:rPr>
        <w:t>磋商函中应注明磋商有效期。</w:t>
      </w:r>
    </w:p>
    <w:p w14:paraId="2D6B7EA3">
      <w:pPr>
        <w:spacing w:line="360" w:lineRule="auto"/>
        <w:ind w:firstLine="480"/>
        <w:rPr>
          <w:rFonts w:ascii="宋体" w:cs="宋体"/>
          <w:kern w:val="0"/>
          <w:highlight w:val="none"/>
          <w:shd w:val="pct10" w:color="auto" w:fill="FFFFFF"/>
        </w:rPr>
      </w:pPr>
      <w:r>
        <w:rPr>
          <w:rFonts w:ascii="宋体" w:hAnsi="宋体"/>
          <w:highlight w:val="none"/>
        </w:rPr>
        <w:t xml:space="preserve">8.3 </w:t>
      </w:r>
      <w:r>
        <w:rPr>
          <w:rFonts w:hint="eastAsia" w:ascii="宋体" w:hAnsi="宋体"/>
          <w:highlight w:val="none"/>
        </w:rPr>
        <w:t>供应商应根据磋商文件规定的格式完整填写所有内容，</w:t>
      </w:r>
      <w:r>
        <w:rPr>
          <w:rFonts w:hint="eastAsia" w:ascii="宋体" w:hAnsi="宋体" w:cs="宋体"/>
          <w:highlight w:val="none"/>
        </w:rPr>
        <w:t>并保证所提供的全部资料真实可信，自愿承担相应责任</w:t>
      </w:r>
      <w:r>
        <w:rPr>
          <w:rFonts w:hint="eastAsia" w:ascii="宋体" w:hAnsi="宋体"/>
          <w:highlight w:val="none"/>
        </w:rPr>
        <w:t>。</w:t>
      </w:r>
    </w:p>
    <w:p w14:paraId="74676083">
      <w:pPr>
        <w:spacing w:line="360" w:lineRule="auto"/>
        <w:ind w:firstLine="480"/>
        <w:rPr>
          <w:rFonts w:ascii="宋体"/>
          <w:highlight w:val="none"/>
        </w:rPr>
      </w:pPr>
      <w:r>
        <w:rPr>
          <w:rFonts w:ascii="宋体" w:hAnsi="宋体"/>
          <w:highlight w:val="none"/>
        </w:rPr>
        <w:t xml:space="preserve">8.4 </w:t>
      </w:r>
      <w:r>
        <w:rPr>
          <w:rFonts w:hint="eastAsia" w:ascii="宋体" w:hAnsi="宋体"/>
          <w:highlight w:val="none"/>
        </w:rPr>
        <w:t>最后磋商报价为闭口价，即成交后在合同有效期内价格不变。</w:t>
      </w:r>
    </w:p>
    <w:p w14:paraId="44A49569">
      <w:pPr>
        <w:spacing w:line="360" w:lineRule="auto"/>
        <w:ind w:firstLine="480"/>
        <w:rPr>
          <w:rFonts w:ascii="宋体"/>
          <w:highlight w:val="none"/>
        </w:rPr>
      </w:pPr>
      <w:r>
        <w:rPr>
          <w:rFonts w:ascii="宋体" w:hAnsi="宋体"/>
          <w:highlight w:val="none"/>
        </w:rPr>
        <w:t xml:space="preserve">8.5 </w:t>
      </w:r>
      <w:r>
        <w:rPr>
          <w:rFonts w:hint="eastAsia" w:ascii="宋体" w:hAnsi="宋体"/>
          <w:highlight w:val="none"/>
        </w:rPr>
        <w:t>磋商币种为人民币。</w:t>
      </w:r>
    </w:p>
    <w:p w14:paraId="6BC7D3CF">
      <w:pPr>
        <w:widowControl/>
        <w:spacing w:before="100" w:beforeAutospacing="1" w:after="100" w:afterAutospacing="1"/>
        <w:ind w:firstLine="542"/>
        <w:jc w:val="left"/>
        <w:outlineLvl w:val="2"/>
        <w:rPr>
          <w:rFonts w:ascii="宋体"/>
          <w:b/>
          <w:bCs/>
          <w:kern w:val="0"/>
          <w:sz w:val="27"/>
          <w:szCs w:val="27"/>
          <w:highlight w:val="none"/>
        </w:rPr>
      </w:pPr>
      <w:bookmarkStart w:id="50" w:name="_Toc27578"/>
      <w:bookmarkStart w:id="51" w:name="_Toc496626204"/>
      <w:bookmarkStart w:id="52" w:name="_Toc376936743"/>
      <w:bookmarkStart w:id="53" w:name="_Toc325726012"/>
      <w:r>
        <w:rPr>
          <w:rFonts w:ascii="宋体" w:hAnsi="宋体"/>
          <w:b/>
          <w:bCs/>
          <w:kern w:val="0"/>
          <w:sz w:val="27"/>
          <w:szCs w:val="27"/>
          <w:highlight w:val="none"/>
        </w:rPr>
        <w:t>9.</w:t>
      </w:r>
      <w:r>
        <w:rPr>
          <w:rFonts w:hint="eastAsia" w:ascii="宋体" w:hAnsi="宋体"/>
          <w:b/>
          <w:bCs/>
          <w:kern w:val="0"/>
          <w:sz w:val="27"/>
          <w:szCs w:val="27"/>
          <w:highlight w:val="none"/>
        </w:rPr>
        <w:t>磋商保证金</w:t>
      </w:r>
      <w:bookmarkEnd w:id="50"/>
      <w:bookmarkEnd w:id="51"/>
      <w:bookmarkEnd w:id="52"/>
      <w:bookmarkEnd w:id="53"/>
    </w:p>
    <w:p w14:paraId="03E68A0C">
      <w:pPr>
        <w:autoSpaceDE w:val="0"/>
        <w:autoSpaceDN w:val="0"/>
        <w:adjustRightInd w:val="0"/>
        <w:spacing w:line="360" w:lineRule="auto"/>
        <w:ind w:firstLine="464" w:firstLineChars="221"/>
        <w:rPr>
          <w:rFonts w:ascii="宋体" w:cs="宋体"/>
          <w:highlight w:val="none"/>
          <w:lang w:val="zh-CN"/>
        </w:rPr>
      </w:pPr>
      <w:r>
        <w:rPr>
          <w:rFonts w:ascii="宋体" w:hAnsi="宋体" w:cs="宋体"/>
          <w:highlight w:val="none"/>
          <w:lang w:val="zh-CN"/>
        </w:rPr>
        <w:t xml:space="preserve">9.1 </w:t>
      </w:r>
      <w:r>
        <w:rPr>
          <w:rFonts w:hint="eastAsia" w:ascii="宋体" w:hAnsi="宋体" w:cs="宋体"/>
          <w:highlight w:val="none"/>
          <w:lang w:val="zh-CN"/>
        </w:rPr>
        <w:t>供应商须在递交磋商响应文件截止时间前</w:t>
      </w:r>
      <w:r>
        <w:rPr>
          <w:rFonts w:hint="eastAsia" w:ascii="宋体" w:hAnsi="宋体"/>
          <w:highlight w:val="none"/>
        </w:rPr>
        <w:t>按采购预算额度的</w:t>
      </w:r>
      <w:r>
        <w:rPr>
          <w:rFonts w:ascii="宋体" w:hAnsi="宋体"/>
          <w:highlight w:val="none"/>
        </w:rPr>
        <w:t>2%</w:t>
      </w:r>
      <w:r>
        <w:rPr>
          <w:rFonts w:hint="eastAsia" w:ascii="宋体" w:hAnsi="宋体"/>
          <w:highlight w:val="none"/>
        </w:rPr>
        <w:t>缴纳投标保证金</w:t>
      </w:r>
      <w:r>
        <w:rPr>
          <w:rFonts w:hint="eastAsia" w:ascii="宋体" w:hAnsi="宋体" w:cs="宋体"/>
          <w:highlight w:val="none"/>
          <w:lang w:val="zh-CN"/>
        </w:rPr>
        <w:t>。本次采购活动中未成交且供应商未发生违规行为的，</w:t>
      </w:r>
      <w:r>
        <w:rPr>
          <w:rFonts w:hint="eastAsia" w:ascii="宋体" w:hAnsi="宋体"/>
          <w:szCs w:val="20"/>
          <w:highlight w:val="none"/>
        </w:rPr>
        <w:t>由</w:t>
      </w:r>
      <w:r>
        <w:rPr>
          <w:rFonts w:hint="eastAsia" w:ascii="宋体" w:hAnsi="宋体" w:cs="宋体"/>
          <w:highlight w:val="none"/>
          <w:lang w:val="zh-CN"/>
        </w:rPr>
        <w:t>采购代理机构在规定的时间内退还磋商保证金；</w:t>
      </w:r>
      <w:r>
        <w:rPr>
          <w:rFonts w:hint="eastAsia" w:ascii="宋体" w:hAnsi="宋体"/>
          <w:szCs w:val="20"/>
          <w:highlight w:val="none"/>
        </w:rPr>
        <w:t>成交供应商的</w:t>
      </w:r>
      <w:r>
        <w:rPr>
          <w:rFonts w:hint="eastAsia" w:ascii="宋体" w:hAnsi="宋体" w:cs="宋体"/>
          <w:highlight w:val="none"/>
          <w:lang w:val="zh-CN"/>
        </w:rPr>
        <w:t>投标保证金自采购合同签订后</w:t>
      </w:r>
      <w:r>
        <w:rPr>
          <w:rFonts w:hint="eastAsia" w:ascii="宋体" w:hAnsi="宋体"/>
          <w:szCs w:val="20"/>
          <w:highlight w:val="none"/>
        </w:rPr>
        <w:t>在规定的时间内予以退还。</w:t>
      </w:r>
    </w:p>
    <w:p w14:paraId="4BF5B177">
      <w:pPr>
        <w:autoSpaceDE w:val="0"/>
        <w:autoSpaceDN w:val="0"/>
        <w:adjustRightInd w:val="0"/>
        <w:spacing w:line="360" w:lineRule="auto"/>
        <w:ind w:firstLine="464" w:firstLineChars="221"/>
        <w:rPr>
          <w:rFonts w:ascii="宋体" w:cs="宋体"/>
          <w:highlight w:val="none"/>
          <w:lang w:val="zh-CN"/>
        </w:rPr>
      </w:pPr>
      <w:r>
        <w:rPr>
          <w:rFonts w:ascii="宋体" w:hAnsi="宋体" w:cs="宋体"/>
          <w:highlight w:val="none"/>
          <w:lang w:val="zh-CN"/>
        </w:rPr>
        <w:t xml:space="preserve">9.2 </w:t>
      </w:r>
      <w:r>
        <w:rPr>
          <w:rFonts w:hint="eastAsia" w:ascii="宋体" w:hAnsi="宋体" w:cs="宋体"/>
          <w:highlight w:val="none"/>
          <w:lang w:val="zh-CN"/>
        </w:rPr>
        <w:t>磋商保证金由供应商基本户转账的方式直接缴入“青海浩驰招标代理有限公司”银行帐户。</w:t>
      </w:r>
    </w:p>
    <w:p w14:paraId="3F9C4F57">
      <w:pPr>
        <w:widowControl/>
        <w:spacing w:before="100" w:beforeAutospacing="1" w:after="100" w:afterAutospacing="1"/>
        <w:ind w:firstLine="542"/>
        <w:jc w:val="left"/>
        <w:outlineLvl w:val="2"/>
        <w:rPr>
          <w:rFonts w:ascii="宋体"/>
          <w:b/>
          <w:bCs/>
          <w:kern w:val="0"/>
          <w:sz w:val="27"/>
          <w:szCs w:val="27"/>
          <w:highlight w:val="none"/>
        </w:rPr>
      </w:pPr>
      <w:bookmarkStart w:id="54" w:name="_Toc325726013"/>
      <w:bookmarkStart w:id="55" w:name="_Toc496626205"/>
      <w:bookmarkStart w:id="56" w:name="_Toc4542"/>
      <w:bookmarkStart w:id="57" w:name="_Toc376936744"/>
      <w:r>
        <w:rPr>
          <w:rFonts w:ascii="宋体" w:hAnsi="宋体"/>
          <w:b/>
          <w:bCs/>
          <w:kern w:val="0"/>
          <w:sz w:val="27"/>
          <w:szCs w:val="27"/>
          <w:highlight w:val="none"/>
        </w:rPr>
        <w:t>10.</w:t>
      </w:r>
      <w:r>
        <w:rPr>
          <w:rFonts w:hint="eastAsia" w:ascii="宋体" w:hAnsi="宋体"/>
          <w:b/>
          <w:bCs/>
          <w:kern w:val="0"/>
          <w:sz w:val="27"/>
          <w:szCs w:val="27"/>
          <w:highlight w:val="none"/>
        </w:rPr>
        <w:t>磋商有效期</w:t>
      </w:r>
      <w:bookmarkEnd w:id="54"/>
      <w:bookmarkEnd w:id="55"/>
      <w:bookmarkEnd w:id="56"/>
      <w:bookmarkEnd w:id="57"/>
    </w:p>
    <w:p w14:paraId="2D779CD8">
      <w:pPr>
        <w:ind w:firstLine="480"/>
        <w:rPr>
          <w:rFonts w:ascii="宋体"/>
          <w:highlight w:val="none"/>
        </w:rPr>
      </w:pPr>
      <w:r>
        <w:rPr>
          <w:rFonts w:hint="eastAsia" w:ascii="宋体" w:hAnsi="宋体"/>
          <w:highlight w:val="none"/>
        </w:rPr>
        <w:t>磋商有效期为自磋商开始之日起</w:t>
      </w:r>
      <w:r>
        <w:rPr>
          <w:rFonts w:ascii="宋体" w:hAnsi="宋体"/>
          <w:highlight w:val="none"/>
        </w:rPr>
        <w:t>60</w:t>
      </w:r>
      <w:r>
        <w:rPr>
          <w:rFonts w:hint="eastAsia" w:ascii="宋体" w:hAnsi="宋体"/>
          <w:highlight w:val="none"/>
        </w:rPr>
        <w:t>天。</w:t>
      </w:r>
    </w:p>
    <w:p w14:paraId="2D2133E5">
      <w:pPr>
        <w:pStyle w:val="25"/>
        <w:spacing w:line="360" w:lineRule="auto"/>
        <w:jc w:val="left"/>
        <w:outlineLvl w:val="2"/>
        <w:rPr>
          <w:rFonts w:ascii="宋体" w:cs="宋体"/>
          <w:highlight w:val="none"/>
          <w:lang w:val="zh-CN"/>
        </w:rPr>
      </w:pPr>
      <w:bookmarkStart w:id="58" w:name="_Toc30206"/>
      <w:bookmarkStart w:id="59" w:name="_Toc515908182"/>
      <w:bookmarkStart w:id="60" w:name="_Toc412617729"/>
      <w:bookmarkStart w:id="61" w:name="_Toc496626207"/>
      <w:bookmarkStart w:id="62" w:name="_Toc373392580"/>
      <w:r>
        <w:rPr>
          <w:rFonts w:ascii="宋体" w:hAnsi="宋体" w:cs="宋体"/>
          <w:sz w:val="28"/>
          <w:szCs w:val="28"/>
          <w:highlight w:val="none"/>
          <w:lang w:val="zh-CN"/>
        </w:rPr>
        <w:t>11.</w:t>
      </w:r>
      <w:r>
        <w:rPr>
          <w:rFonts w:hint="eastAsia" w:ascii="宋体" w:hAnsi="宋体" w:cs="宋体"/>
          <w:sz w:val="28"/>
          <w:szCs w:val="28"/>
          <w:highlight w:val="none"/>
          <w:lang w:val="zh-CN"/>
        </w:rPr>
        <w:t>磋商响应文件构成</w:t>
      </w:r>
      <w:bookmarkEnd w:id="58"/>
      <w:bookmarkEnd w:id="59"/>
    </w:p>
    <w:p w14:paraId="0074826B">
      <w:pPr>
        <w:autoSpaceDE w:val="0"/>
        <w:autoSpaceDN w:val="0"/>
        <w:spacing w:line="360" w:lineRule="auto"/>
        <w:ind w:firstLine="420" w:firstLineChars="200"/>
        <w:rPr>
          <w:rFonts w:ascii="宋体" w:cs="宋体"/>
          <w:kern w:val="0"/>
          <w:highlight w:val="none"/>
          <w:lang w:val="zh-CN"/>
        </w:rPr>
      </w:pPr>
      <w:r>
        <w:rPr>
          <w:rFonts w:hint="eastAsia" w:ascii="宋体" w:hAnsi="宋体" w:cs="宋体"/>
          <w:kern w:val="0"/>
          <w:highlight w:val="none"/>
          <w:lang w:val="zh-CN"/>
        </w:rPr>
        <w:t>投标人应提交相关证明材料，作为其参加投标和中标后有能力履行合同的证明。编写的磋商响应文件须包括以下内容（格式见磋商文件第四部分）：</w:t>
      </w:r>
    </w:p>
    <w:p w14:paraId="69CA084A">
      <w:pPr>
        <w:autoSpaceDE w:val="0"/>
        <w:autoSpaceDN w:val="0"/>
        <w:spacing w:line="360" w:lineRule="auto"/>
        <w:ind w:firstLine="422" w:firstLineChars="200"/>
        <w:rPr>
          <w:rFonts w:ascii="宋体" w:cs="宋体"/>
          <w:highlight w:val="none"/>
        </w:rPr>
      </w:pPr>
      <w:r>
        <w:rPr>
          <w:rFonts w:ascii="宋体" w:hAnsi="宋体" w:cs="宋体"/>
          <w:b/>
          <w:bCs/>
          <w:kern w:val="0"/>
          <w:highlight w:val="none"/>
        </w:rPr>
        <w:t>11.1</w:t>
      </w:r>
      <w:r>
        <w:rPr>
          <w:rFonts w:hint="eastAsia" w:ascii="宋体" w:hAnsi="宋体" w:cs="宋体"/>
          <w:b/>
          <w:bCs/>
          <w:kern w:val="0"/>
          <w:highlight w:val="none"/>
          <w:lang w:val="zh-CN"/>
        </w:rPr>
        <w:t>磋商响应文件（上册）（资格审查）</w:t>
      </w:r>
    </w:p>
    <w:p w14:paraId="56DFF7E7">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（1）</w:t>
      </w:r>
      <w:r>
        <w:rPr>
          <w:rFonts w:hint="eastAsia" w:ascii="宋体" w:cs="宋体"/>
          <w:kern w:val="0"/>
          <w:highlight w:val="none"/>
          <w:lang w:val="zh-CN"/>
        </w:rPr>
        <w:t>磋商函</w:t>
      </w:r>
    </w:p>
    <w:p w14:paraId="71B5C325">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（2）</w:t>
      </w:r>
      <w:r>
        <w:rPr>
          <w:rFonts w:hint="eastAsia" w:ascii="宋体" w:hAnsi="宋体" w:cs="宋体"/>
          <w:kern w:val="0"/>
          <w:highlight w:val="none"/>
          <w:lang w:val="zh-CN"/>
        </w:rPr>
        <w:t>法定代表人证明书</w:t>
      </w:r>
    </w:p>
    <w:p w14:paraId="7FC4AA1E">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（3）</w:t>
      </w:r>
      <w:r>
        <w:rPr>
          <w:rFonts w:hint="eastAsia" w:ascii="宋体" w:hAnsi="宋体" w:cs="宋体"/>
          <w:kern w:val="0"/>
          <w:highlight w:val="none"/>
          <w:lang w:val="zh-CN"/>
        </w:rPr>
        <w:t>法定代表人授权书</w:t>
      </w:r>
    </w:p>
    <w:p w14:paraId="4D21D151">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（4）</w:t>
      </w:r>
      <w:r>
        <w:rPr>
          <w:rFonts w:hint="eastAsia" w:ascii="宋体" w:hAnsi="宋体" w:cs="宋体"/>
          <w:kern w:val="0"/>
          <w:highlight w:val="none"/>
          <w:lang w:val="zh-CN"/>
        </w:rPr>
        <w:t>供应商承诺函</w:t>
      </w:r>
    </w:p>
    <w:p w14:paraId="20B67A1B">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（5）</w:t>
      </w:r>
      <w:r>
        <w:rPr>
          <w:rFonts w:hint="eastAsia" w:ascii="宋体" w:hAnsi="宋体" w:cs="宋体"/>
          <w:kern w:val="0"/>
          <w:highlight w:val="none"/>
          <w:lang w:val="zh-CN"/>
        </w:rPr>
        <w:t>供应商诚信承诺书</w:t>
      </w:r>
    </w:p>
    <w:p w14:paraId="35102D71">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（6）</w:t>
      </w:r>
      <w:r>
        <w:rPr>
          <w:rFonts w:hint="eastAsia" w:ascii="宋体" w:hAnsi="宋体" w:cs="宋体"/>
          <w:kern w:val="0"/>
          <w:highlight w:val="none"/>
          <w:lang w:val="zh-CN"/>
        </w:rPr>
        <w:t>供应商资格证明材料</w:t>
      </w:r>
    </w:p>
    <w:p w14:paraId="1ED54654">
      <w:pPr>
        <w:numPr>
          <w:ilvl w:val="0"/>
          <w:numId w:val="0"/>
        </w:numPr>
        <w:autoSpaceDE w:val="0"/>
        <w:autoSpaceDN w:val="0"/>
        <w:spacing w:line="360" w:lineRule="auto"/>
        <w:ind w:firstLine="420" w:firstLineChars="200"/>
        <w:rPr>
          <w:rFonts w:ascii="宋体" w:cs="宋体"/>
          <w:kern w:val="0"/>
          <w:highlight w:val="none"/>
          <w:lang w:val="zh-CN"/>
        </w:rPr>
      </w:pPr>
      <w:r>
        <w:rPr>
          <w:rFonts w:ascii="宋体" w:hAnsi="Times New Roman" w:eastAsia="宋体" w:cs="Times New Roman"/>
          <w:kern w:val="0"/>
          <w:sz w:val="21"/>
          <w:szCs w:val="24"/>
          <w:highlight w:val="none"/>
          <w:lang w:val="zh-CN" w:eastAsia="zh-CN" w:bidi="ar-SA"/>
        </w:rPr>
        <w:t>（7）</w:t>
      </w:r>
      <w:r>
        <w:rPr>
          <w:rFonts w:hint="eastAsia" w:ascii="宋体" w:hAnsi="宋体" w:cs="宋体"/>
          <w:kern w:val="0"/>
          <w:highlight w:val="none"/>
          <w:lang w:val="zh-CN"/>
        </w:rPr>
        <w:t>财务状况、缴纳税收和社会保障资金证明</w:t>
      </w:r>
    </w:p>
    <w:p w14:paraId="573668BD">
      <w:pPr>
        <w:numPr>
          <w:ilvl w:val="0"/>
          <w:numId w:val="0"/>
        </w:numPr>
        <w:autoSpaceDE w:val="0"/>
        <w:autoSpaceDN w:val="0"/>
        <w:spacing w:line="360" w:lineRule="auto"/>
        <w:ind w:firstLine="420" w:firstLineChars="200"/>
        <w:rPr>
          <w:highlight w:val="none"/>
          <w:lang w:val="zh-CN"/>
        </w:rPr>
      </w:pPr>
      <w:r>
        <w:rPr>
          <w:rFonts w:ascii="Times New Roman" w:hAnsi="Times New Roman" w:eastAsia="宋体" w:cs="Times New Roman"/>
          <w:kern w:val="2"/>
          <w:sz w:val="21"/>
          <w:szCs w:val="24"/>
          <w:highlight w:val="none"/>
          <w:lang w:val="zh-CN" w:eastAsia="zh-CN" w:bidi="ar-SA"/>
        </w:rPr>
        <w:t>（8）</w:t>
      </w:r>
      <w:r>
        <w:rPr>
          <w:rFonts w:hint="eastAsia" w:ascii="宋体" w:hAnsi="宋体" w:cs="宋体"/>
          <w:kern w:val="0"/>
          <w:highlight w:val="none"/>
          <w:lang w:val="zh-CN"/>
        </w:rPr>
        <w:t>无重大违法记录声明</w:t>
      </w:r>
    </w:p>
    <w:p w14:paraId="23124BAC">
      <w:pPr>
        <w:numPr>
          <w:ilvl w:val="0"/>
          <w:numId w:val="0"/>
        </w:numPr>
        <w:autoSpaceDE w:val="0"/>
        <w:autoSpaceDN w:val="0"/>
        <w:spacing w:line="360" w:lineRule="auto"/>
        <w:ind w:firstLine="420" w:firstLineChars="200"/>
        <w:rPr>
          <w:highlight w:val="none"/>
          <w:lang w:val="zh-CN"/>
        </w:rPr>
      </w:pPr>
      <w:r>
        <w:rPr>
          <w:rFonts w:ascii="Times New Roman" w:hAnsi="Times New Roman" w:eastAsia="宋体" w:cs="Times New Roman"/>
          <w:kern w:val="2"/>
          <w:sz w:val="21"/>
          <w:szCs w:val="24"/>
          <w:highlight w:val="none"/>
          <w:lang w:val="zh-CN" w:eastAsia="zh-CN" w:bidi="ar-SA"/>
        </w:rPr>
        <w:t>（9）</w:t>
      </w:r>
      <w:r>
        <w:rPr>
          <w:rFonts w:hint="eastAsia" w:cs="宋体"/>
          <w:highlight w:val="none"/>
          <w:lang w:val="zh-CN"/>
        </w:rPr>
        <w:t>具备履行合同所必需的设备和专业技术能力的证明材料</w:t>
      </w:r>
    </w:p>
    <w:p w14:paraId="16A58549">
      <w:pPr>
        <w:autoSpaceDE w:val="0"/>
        <w:autoSpaceDN w:val="0"/>
        <w:spacing w:line="360" w:lineRule="auto"/>
        <w:ind w:firstLine="422" w:firstLineChars="200"/>
        <w:rPr>
          <w:rFonts w:ascii="宋体" w:cs="宋体"/>
          <w:kern w:val="0"/>
          <w:highlight w:val="none"/>
          <w:lang w:val="zh-CN"/>
        </w:rPr>
      </w:pPr>
      <w:r>
        <w:rPr>
          <w:rFonts w:ascii="宋体" w:hAnsi="宋体" w:cs="宋体"/>
          <w:b/>
          <w:bCs/>
          <w:kern w:val="0"/>
          <w:highlight w:val="none"/>
        </w:rPr>
        <w:t xml:space="preserve">11.2 </w:t>
      </w:r>
      <w:r>
        <w:rPr>
          <w:rFonts w:hint="eastAsia" w:ascii="宋体" w:hAnsi="宋体" w:cs="宋体"/>
          <w:b/>
          <w:bCs/>
          <w:kern w:val="0"/>
          <w:highlight w:val="none"/>
          <w:lang w:val="zh-CN"/>
        </w:rPr>
        <w:t>磋商响应文件（下册）（符合性审查）</w:t>
      </w:r>
    </w:p>
    <w:p w14:paraId="5243F708">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（10）竞争性磋商首次报价表</w:t>
      </w:r>
    </w:p>
    <w:p w14:paraId="70A91110">
      <w:pPr>
        <w:autoSpaceDE w:val="0"/>
        <w:autoSpaceDN w:val="0"/>
        <w:spacing w:line="360" w:lineRule="auto"/>
        <w:ind w:firstLine="420" w:firstLineChars="200"/>
        <w:rPr>
          <w:rFonts w:hint="eastAsia" w:ascii="宋体" w:hAnsi="宋体" w:eastAsia="宋体" w:cs="宋体"/>
          <w:kern w:val="0"/>
          <w:highlight w:val="none"/>
          <w:lang w:val="zh-CN"/>
        </w:rPr>
      </w:pPr>
      <w:r>
        <w:rPr>
          <w:rFonts w:hint="eastAsia" w:ascii="宋体" w:hAnsi="宋体" w:eastAsia="宋体" w:cs="宋体"/>
          <w:kern w:val="0"/>
          <w:highlight w:val="none"/>
          <w:lang w:val="zh-CN"/>
        </w:rPr>
        <w:t>（</w:t>
      </w:r>
      <w:r>
        <w:rPr>
          <w:rFonts w:hint="eastAsia" w:ascii="宋体" w:hAnsi="宋体" w:eastAsia="宋体" w:cs="宋体"/>
          <w:kern w:val="0"/>
          <w:highlight w:val="none"/>
          <w:lang w:val="en-US" w:eastAsia="zh-CN"/>
        </w:rPr>
        <w:t>11</w:t>
      </w:r>
      <w:r>
        <w:rPr>
          <w:rFonts w:hint="eastAsia" w:ascii="宋体" w:hAnsi="宋体" w:eastAsia="宋体" w:cs="宋体"/>
          <w:kern w:val="0"/>
          <w:highlight w:val="none"/>
          <w:lang w:val="zh-CN"/>
        </w:rPr>
        <w:t>）分项报价表</w:t>
      </w:r>
    </w:p>
    <w:p w14:paraId="04138432">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lang w:val="en-US" w:eastAsia="zh-CN"/>
        </w:rPr>
        <w:t>2</w:t>
      </w:r>
      <w:r>
        <w:rPr>
          <w:rFonts w:hint="eastAsia" w:ascii="宋体" w:hAnsi="宋体" w:cs="宋体"/>
          <w:kern w:val="0"/>
          <w:highlight w:val="none"/>
          <w:lang w:val="zh-CN"/>
        </w:rPr>
        <w:t>）服务响应表</w:t>
      </w:r>
    </w:p>
    <w:p w14:paraId="4D35FE00">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lang w:val="en-US" w:eastAsia="zh-CN"/>
        </w:rPr>
        <w:t>3</w:t>
      </w:r>
      <w:r>
        <w:rPr>
          <w:rFonts w:hint="eastAsia" w:ascii="宋体" w:hAnsi="宋体" w:cs="宋体"/>
          <w:kern w:val="0"/>
          <w:highlight w:val="none"/>
          <w:lang w:val="zh-CN"/>
        </w:rPr>
        <w:t>）其他资格证明材料</w:t>
      </w:r>
    </w:p>
    <w:p w14:paraId="5B6F02EB">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lang w:val="en-US" w:eastAsia="zh-CN"/>
        </w:rPr>
        <w:t>4</w:t>
      </w:r>
      <w:r>
        <w:rPr>
          <w:rFonts w:hint="eastAsia" w:ascii="宋体" w:hAnsi="宋体" w:cs="宋体"/>
          <w:kern w:val="0"/>
          <w:highlight w:val="none"/>
          <w:lang w:val="zh-CN"/>
        </w:rPr>
        <w:t>）服务方案</w:t>
      </w:r>
    </w:p>
    <w:p w14:paraId="7A2D58B7">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lang w:val="en-US" w:eastAsia="zh-CN"/>
        </w:rPr>
        <w:t>5</w:t>
      </w:r>
      <w:r>
        <w:rPr>
          <w:rFonts w:hint="eastAsia" w:ascii="宋体" w:hAnsi="宋体" w:cs="宋体"/>
          <w:kern w:val="0"/>
          <w:highlight w:val="none"/>
          <w:lang w:val="zh-CN"/>
        </w:rPr>
        <w:t>）供应商类似业绩证明材料</w:t>
      </w:r>
    </w:p>
    <w:p w14:paraId="3F0DC1C5">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lang w:val="en-US" w:eastAsia="zh-CN"/>
        </w:rPr>
        <w:t>6</w:t>
      </w:r>
      <w:r>
        <w:rPr>
          <w:rFonts w:hint="eastAsia" w:ascii="宋体" w:hAnsi="宋体" w:cs="宋体"/>
          <w:kern w:val="0"/>
          <w:highlight w:val="none"/>
          <w:lang w:val="zh-CN"/>
        </w:rPr>
        <w:t>）中小企业声明函</w:t>
      </w:r>
    </w:p>
    <w:p w14:paraId="5C0CAB21">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lang w:val="en-US" w:eastAsia="zh-CN"/>
        </w:rPr>
        <w:t>7</w:t>
      </w:r>
      <w:r>
        <w:rPr>
          <w:rFonts w:hint="eastAsia" w:ascii="宋体" w:hAnsi="宋体" w:cs="宋体"/>
          <w:kern w:val="0"/>
          <w:highlight w:val="none"/>
          <w:lang w:val="zh-CN"/>
        </w:rPr>
        <w:t>）残疾人福利性单位声明函</w:t>
      </w:r>
    </w:p>
    <w:p w14:paraId="188219B2">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lang w:val="en-US" w:eastAsia="zh-CN"/>
        </w:rPr>
        <w:t>8</w:t>
      </w:r>
      <w:r>
        <w:rPr>
          <w:rFonts w:hint="eastAsia" w:ascii="宋体" w:hAnsi="宋体" w:cs="宋体"/>
          <w:kern w:val="0"/>
          <w:highlight w:val="none"/>
          <w:lang w:val="zh-CN"/>
        </w:rPr>
        <w:t>）监狱企业证明资料</w:t>
      </w:r>
    </w:p>
    <w:p w14:paraId="396BB4BE">
      <w:pPr>
        <w:autoSpaceDE w:val="0"/>
        <w:autoSpaceDN w:val="0"/>
        <w:spacing w:line="360" w:lineRule="auto"/>
        <w:ind w:firstLine="420" w:firstLineChars="200"/>
        <w:rPr>
          <w:rFonts w:hint="eastAsia" w:ascii="宋体" w:hAnsi="宋体" w:cs="宋体"/>
          <w:kern w:val="0"/>
          <w:highlight w:val="none"/>
          <w:lang w:val="zh-CN"/>
        </w:rPr>
      </w:pPr>
      <w:r>
        <w:rPr>
          <w:rFonts w:hint="eastAsia" w:ascii="宋体" w:hAnsi="宋体" w:cs="宋体"/>
          <w:kern w:val="0"/>
          <w:highlight w:val="none"/>
          <w:lang w:val="zh-CN"/>
        </w:rPr>
        <w:t>（1</w:t>
      </w:r>
      <w:r>
        <w:rPr>
          <w:rFonts w:hint="eastAsia" w:ascii="宋体" w:hAnsi="宋体" w:cs="宋体"/>
          <w:kern w:val="0"/>
          <w:highlight w:val="none"/>
          <w:lang w:val="en-US" w:eastAsia="zh-CN"/>
        </w:rPr>
        <w:t>9</w:t>
      </w:r>
      <w:r>
        <w:rPr>
          <w:rFonts w:hint="eastAsia" w:ascii="宋体" w:hAnsi="宋体" w:cs="宋体"/>
          <w:kern w:val="0"/>
          <w:highlight w:val="none"/>
          <w:lang w:val="zh-CN"/>
        </w:rPr>
        <w:t>）供应商认为在其他方面有必要说明的事项</w:t>
      </w:r>
    </w:p>
    <w:p w14:paraId="3BB98010">
      <w:pPr>
        <w:autoSpaceDE w:val="0"/>
        <w:autoSpaceDN w:val="0"/>
        <w:spacing w:line="360" w:lineRule="auto"/>
        <w:ind w:firstLine="525" w:firstLineChars="250"/>
        <w:rPr>
          <w:rFonts w:ascii="宋体" w:cs="宋体"/>
          <w:kern w:val="0"/>
          <w:highlight w:val="none"/>
          <w:lang w:val="zh-CN"/>
        </w:rPr>
      </w:pPr>
      <w:r>
        <w:rPr>
          <w:rFonts w:hint="eastAsia" w:ascii="宋体" w:hAnsi="宋体" w:cs="宋体"/>
          <w:kern w:val="0"/>
          <w:highlight w:val="none"/>
          <w:lang w:val="zh-CN"/>
        </w:rPr>
        <w:t>注：投标人须按上述内容、顺序和格式编制磋商响应文件，并按要求编制目录、页码，并保证所提供的全部资料真实可信，自愿承担相应责任。</w:t>
      </w:r>
    </w:p>
    <w:bookmarkEnd w:id="60"/>
    <w:bookmarkEnd w:id="61"/>
    <w:bookmarkEnd w:id="62"/>
    <w:p w14:paraId="53ACD537">
      <w:pPr>
        <w:widowControl/>
        <w:spacing w:before="100" w:beforeAutospacing="1" w:after="100" w:afterAutospacing="1"/>
        <w:ind w:firstLine="542"/>
        <w:jc w:val="left"/>
        <w:outlineLvl w:val="2"/>
        <w:rPr>
          <w:rFonts w:ascii="宋体" w:cs="宋体"/>
          <w:b/>
          <w:bCs/>
          <w:kern w:val="0"/>
          <w:sz w:val="27"/>
          <w:szCs w:val="27"/>
          <w:highlight w:val="none"/>
        </w:rPr>
      </w:pPr>
      <w:bookmarkStart w:id="63" w:name="_Toc9679"/>
      <w:bookmarkStart w:id="64" w:name="_Toc17606"/>
      <w:bookmarkStart w:id="65" w:name="_Toc412617730"/>
      <w:bookmarkStart w:id="66" w:name="_Toc496626208"/>
      <w:bookmarkStart w:id="67" w:name="_Toc376936748"/>
      <w:bookmarkStart w:id="68" w:name="_Toc371090029"/>
      <w:r>
        <w:rPr>
          <w:rFonts w:ascii="宋体" w:hAnsi="宋体" w:cs="宋体"/>
          <w:b/>
          <w:bCs/>
          <w:kern w:val="0"/>
          <w:sz w:val="27"/>
          <w:szCs w:val="27"/>
          <w:highlight w:val="none"/>
        </w:rPr>
        <w:t>12.</w:t>
      </w:r>
      <w:bookmarkEnd w:id="63"/>
      <w:r>
        <w:rPr>
          <w:rFonts w:hint="eastAsia" w:ascii="宋体" w:hAnsi="宋体" w:cs="宋体"/>
          <w:b/>
          <w:bCs/>
          <w:kern w:val="0"/>
          <w:sz w:val="27"/>
          <w:szCs w:val="27"/>
          <w:highlight w:val="none"/>
        </w:rPr>
        <w:t>响应文件编制要求</w:t>
      </w:r>
      <w:bookmarkEnd w:id="64"/>
    </w:p>
    <w:p w14:paraId="6AA3736A">
      <w:pPr>
        <w:pStyle w:val="14"/>
        <w:ind w:firstLine="480"/>
        <w:rPr>
          <w:rFonts w:hAnsi="宋体"/>
          <w:highlight w:val="none"/>
        </w:rPr>
      </w:pPr>
      <w:r>
        <w:rPr>
          <w:rFonts w:hint="eastAsia" w:hAnsi="宋体"/>
          <w:highlight w:val="none"/>
        </w:rPr>
        <w:t>12.1磋商响应文件格式及编制要求：详见第一部分投标人须知前附表“磋商响应文件格式及编制要求”。</w:t>
      </w:r>
    </w:p>
    <w:p w14:paraId="270AB702">
      <w:pPr>
        <w:pStyle w:val="14"/>
        <w:ind w:firstLine="480"/>
        <w:rPr>
          <w:rFonts w:hAnsi="宋体"/>
          <w:highlight w:val="none"/>
        </w:rPr>
      </w:pPr>
      <w:r>
        <w:rPr>
          <w:rFonts w:hint="eastAsia" w:hAnsi="宋体"/>
          <w:highlight w:val="none"/>
        </w:rPr>
        <w:t>12.2 供应商须在“法定代表人授权书”中提供被授权人（委托代理人）准确的联系方式。</w:t>
      </w:r>
    </w:p>
    <w:p w14:paraId="43EDA069">
      <w:pPr>
        <w:widowControl/>
        <w:spacing w:beforeLines="200" w:afterLines="200"/>
        <w:jc w:val="center"/>
        <w:outlineLvl w:val="1"/>
        <w:rPr>
          <w:rFonts w:ascii="宋体"/>
          <w:b/>
          <w:bCs/>
          <w:kern w:val="0"/>
          <w:sz w:val="36"/>
          <w:szCs w:val="36"/>
          <w:highlight w:val="none"/>
        </w:rPr>
      </w:pPr>
      <w:bookmarkStart w:id="69" w:name="_Toc10883"/>
      <w:r>
        <w:rPr>
          <w:rFonts w:hint="eastAsia" w:ascii="宋体" w:hAnsi="宋体"/>
          <w:b/>
          <w:bCs/>
          <w:kern w:val="0"/>
          <w:sz w:val="36"/>
          <w:szCs w:val="36"/>
          <w:highlight w:val="none"/>
        </w:rPr>
        <w:t>四、磋商响应文件的递交</w:t>
      </w:r>
      <w:bookmarkEnd w:id="65"/>
      <w:bookmarkEnd w:id="66"/>
      <w:bookmarkEnd w:id="69"/>
    </w:p>
    <w:bookmarkEnd w:id="67"/>
    <w:bookmarkEnd w:id="68"/>
    <w:p w14:paraId="71A2B349">
      <w:pPr>
        <w:widowControl/>
        <w:spacing w:before="100" w:beforeAutospacing="1" w:after="100" w:afterAutospacing="1"/>
        <w:ind w:firstLine="542"/>
        <w:jc w:val="left"/>
        <w:outlineLvl w:val="2"/>
        <w:rPr>
          <w:rFonts w:ascii="宋体" w:cs="宋体"/>
          <w:b/>
          <w:bCs/>
          <w:kern w:val="0"/>
          <w:sz w:val="27"/>
          <w:szCs w:val="27"/>
          <w:highlight w:val="none"/>
        </w:rPr>
      </w:pPr>
      <w:bookmarkStart w:id="70" w:name="_Toc29953"/>
      <w:bookmarkStart w:id="71" w:name="_Toc325726016"/>
      <w:bookmarkStart w:id="72" w:name="_Toc12087"/>
      <w:bookmarkStart w:id="73" w:name="_Toc373392582"/>
      <w:bookmarkStart w:id="74" w:name="_Toc412617731"/>
      <w:bookmarkStart w:id="75" w:name="_Toc412617732"/>
      <w:bookmarkStart w:id="76" w:name="_Toc325726017"/>
      <w:bookmarkStart w:id="77" w:name="_Toc373392583"/>
      <w:bookmarkStart w:id="78" w:name="_Toc496626210"/>
      <w:bookmarkStart w:id="79" w:name="_Toc371090030"/>
      <w:bookmarkStart w:id="80" w:name="_Toc376936749"/>
      <w:r>
        <w:rPr>
          <w:rFonts w:ascii="宋体" w:hAnsi="宋体" w:cs="宋体"/>
          <w:b/>
          <w:bCs/>
          <w:kern w:val="0"/>
          <w:sz w:val="27"/>
          <w:szCs w:val="27"/>
          <w:highlight w:val="none"/>
        </w:rPr>
        <w:t>13.</w:t>
      </w:r>
      <w:r>
        <w:rPr>
          <w:rFonts w:hint="eastAsia" w:ascii="宋体" w:hAnsi="宋体" w:cs="宋体"/>
          <w:b/>
          <w:bCs/>
          <w:kern w:val="0"/>
          <w:sz w:val="27"/>
          <w:szCs w:val="27"/>
          <w:highlight w:val="none"/>
        </w:rPr>
        <w:t>响应文件的密封和标记</w:t>
      </w:r>
      <w:bookmarkEnd w:id="70"/>
      <w:bookmarkEnd w:id="71"/>
      <w:bookmarkEnd w:id="72"/>
      <w:bookmarkEnd w:id="73"/>
      <w:bookmarkEnd w:id="74"/>
    </w:p>
    <w:p w14:paraId="125CAC93">
      <w:pPr>
        <w:pStyle w:val="14"/>
        <w:spacing w:line="360" w:lineRule="auto"/>
        <w:ind w:firstLine="480"/>
        <w:rPr>
          <w:rFonts w:hAnsi="宋体"/>
          <w:highlight w:val="none"/>
        </w:rPr>
      </w:pPr>
      <w:r>
        <w:rPr>
          <w:rFonts w:hint="eastAsia" w:hAnsi="宋体"/>
          <w:highlight w:val="none"/>
          <w:lang w:val="zh-CN"/>
        </w:rPr>
        <w:t>13.1供应商将加密的响应文在磋商截止时间前上传至政采云开标系统，</w:t>
      </w:r>
      <w:r>
        <w:rPr>
          <w:rFonts w:hint="eastAsia" w:hAnsi="宋体"/>
          <w:highlight w:val="none"/>
        </w:rPr>
        <w:t>如果供应商未按要求将加密的磋商响应文件进行上传，采购代理机构将不予受理。</w:t>
      </w:r>
    </w:p>
    <w:p w14:paraId="12C67D6C">
      <w:pPr>
        <w:pStyle w:val="14"/>
        <w:spacing w:line="360" w:lineRule="auto"/>
        <w:ind w:firstLine="480"/>
        <w:rPr>
          <w:rFonts w:hint="eastAsia" w:hAnsi="宋体"/>
          <w:highlight w:val="none"/>
          <w:lang w:val="zh-CN"/>
        </w:rPr>
      </w:pPr>
      <w:r>
        <w:rPr>
          <w:rFonts w:hint="eastAsia" w:hAnsi="宋体"/>
          <w:highlight w:val="none"/>
          <w:lang w:val="zh-CN"/>
        </w:rPr>
        <w:t>13.</w:t>
      </w:r>
      <w:r>
        <w:rPr>
          <w:rFonts w:hint="eastAsia" w:hAnsi="宋体"/>
          <w:highlight w:val="none"/>
        </w:rPr>
        <w:t>2</w:t>
      </w:r>
      <w:r>
        <w:rPr>
          <w:rFonts w:hint="eastAsia" w:hAnsi="宋体"/>
          <w:highlight w:val="none"/>
          <w:lang w:val="zh-CN"/>
        </w:rPr>
        <w:t>供应商以电报、电话、传真形式投标的，采购代理机构概不接受。</w:t>
      </w:r>
    </w:p>
    <w:p w14:paraId="49803219">
      <w:pPr>
        <w:pStyle w:val="14"/>
        <w:spacing w:line="360" w:lineRule="auto"/>
        <w:ind w:firstLine="480"/>
        <w:rPr>
          <w:rFonts w:hint="default" w:hAnsi="宋体" w:eastAsia="宋体"/>
          <w:highlight w:val="none"/>
          <w:lang w:val="en-US" w:eastAsia="zh-CN"/>
        </w:rPr>
      </w:pPr>
      <w:r>
        <w:rPr>
          <w:rFonts w:hint="eastAsia" w:hAnsi="宋体"/>
          <w:highlight w:val="none"/>
          <w:lang w:val="en-US" w:eastAsia="zh-CN"/>
        </w:rPr>
        <w:t>13.3不同供应商编制或者提交响应文件的计算机网卡MAC地址、IP地址、CPU序列号、硬盘序列号等硬件信息异常一致并触发预警的，由此原因导致响应无效的责任自负。</w:t>
      </w:r>
    </w:p>
    <w:p w14:paraId="324831CB">
      <w:pPr>
        <w:widowControl/>
        <w:spacing w:before="100" w:beforeAutospacing="1" w:after="100" w:afterAutospacing="1"/>
        <w:ind w:firstLine="542"/>
        <w:jc w:val="left"/>
        <w:outlineLvl w:val="2"/>
        <w:rPr>
          <w:rFonts w:ascii="宋体"/>
          <w:b/>
          <w:bCs/>
          <w:kern w:val="0"/>
          <w:sz w:val="27"/>
          <w:szCs w:val="27"/>
          <w:highlight w:val="none"/>
        </w:rPr>
      </w:pPr>
      <w:bookmarkStart w:id="81" w:name="_Toc3224"/>
      <w:r>
        <w:rPr>
          <w:rFonts w:ascii="宋体" w:hAnsi="宋体"/>
          <w:b/>
          <w:bCs/>
          <w:kern w:val="0"/>
          <w:sz w:val="27"/>
          <w:szCs w:val="27"/>
          <w:highlight w:val="none"/>
        </w:rPr>
        <w:t>14.</w:t>
      </w:r>
      <w:r>
        <w:rPr>
          <w:rFonts w:hint="eastAsia" w:ascii="宋体" w:hAnsi="宋体"/>
          <w:b/>
          <w:bCs/>
          <w:kern w:val="0"/>
          <w:sz w:val="27"/>
          <w:szCs w:val="27"/>
          <w:highlight w:val="none"/>
        </w:rPr>
        <w:t>递交磋商响应文件</w:t>
      </w:r>
      <w:bookmarkEnd w:id="75"/>
      <w:bookmarkEnd w:id="76"/>
      <w:bookmarkEnd w:id="77"/>
      <w:r>
        <w:rPr>
          <w:rFonts w:hint="eastAsia" w:ascii="宋体" w:hAnsi="宋体"/>
          <w:b/>
          <w:bCs/>
          <w:kern w:val="0"/>
          <w:sz w:val="27"/>
          <w:szCs w:val="27"/>
          <w:highlight w:val="none"/>
        </w:rPr>
        <w:t>程序</w:t>
      </w:r>
      <w:bookmarkEnd w:id="78"/>
      <w:bookmarkEnd w:id="81"/>
    </w:p>
    <w:bookmarkEnd w:id="79"/>
    <w:bookmarkEnd w:id="80"/>
    <w:p w14:paraId="6E3F9302">
      <w:pPr>
        <w:pStyle w:val="14"/>
        <w:spacing w:line="360" w:lineRule="auto"/>
        <w:ind w:firstLine="480"/>
        <w:rPr>
          <w:rFonts w:hAnsi="宋体"/>
          <w:highlight w:val="none"/>
        </w:rPr>
      </w:pPr>
      <w:bookmarkStart w:id="82" w:name="_Toc325726019"/>
      <w:bookmarkStart w:id="83" w:name="_Toc376936750"/>
      <w:bookmarkStart w:id="84" w:name="_Toc496626211"/>
      <w:r>
        <w:rPr>
          <w:rFonts w:hAnsi="宋体"/>
          <w:highlight w:val="none"/>
        </w:rPr>
        <w:t>14.1</w:t>
      </w:r>
      <w:r>
        <w:rPr>
          <w:rFonts w:hint="eastAsia" w:hAnsi="宋体"/>
          <w:highlight w:val="none"/>
        </w:rPr>
        <w:t>递交磋商响应文件程序：详见第一部分投标人须知前附表“递交磋商响应文件程序”。</w:t>
      </w:r>
    </w:p>
    <w:p w14:paraId="6691B2C0">
      <w:pPr>
        <w:pStyle w:val="14"/>
        <w:spacing w:line="360" w:lineRule="auto"/>
        <w:ind w:firstLine="480"/>
        <w:rPr>
          <w:rFonts w:hAnsi="宋体"/>
          <w:highlight w:val="none"/>
        </w:rPr>
      </w:pPr>
      <w:r>
        <w:rPr>
          <w:rFonts w:hAnsi="宋体"/>
          <w:highlight w:val="none"/>
        </w:rPr>
        <w:t>14.2</w:t>
      </w:r>
      <w:r>
        <w:rPr>
          <w:rFonts w:hint="eastAsia" w:hAnsi="宋体"/>
          <w:highlight w:val="none"/>
        </w:rPr>
        <w:t>供应商在提交磋商响应文件截止时间前，可以对所提交的磋商响应文件进行补充、修改或者撤回，并书面通知采购代理机构。补充、修改的内容作为响应文件的组成部分。补充、修改的内容与磋商响应文件不一致的，以补充、修改的内容为准。</w:t>
      </w:r>
    </w:p>
    <w:p w14:paraId="236304F9">
      <w:pPr>
        <w:pStyle w:val="14"/>
        <w:spacing w:line="360" w:lineRule="auto"/>
        <w:ind w:firstLine="480"/>
        <w:rPr>
          <w:rFonts w:hAnsi="宋体"/>
          <w:highlight w:val="none"/>
        </w:rPr>
      </w:pPr>
      <w:r>
        <w:rPr>
          <w:rFonts w:hAnsi="宋体"/>
          <w:highlight w:val="none"/>
        </w:rPr>
        <w:t>14.3</w:t>
      </w:r>
      <w:r>
        <w:rPr>
          <w:rFonts w:hint="eastAsia" w:hAnsi="宋体"/>
          <w:highlight w:val="none"/>
        </w:rPr>
        <w:t>供应商以电报、电话、传真形式递交磋商响应文件的，采购代理机构概不接受。</w:t>
      </w:r>
    </w:p>
    <w:p w14:paraId="0625A56D">
      <w:pPr>
        <w:widowControl/>
        <w:spacing w:beforeLines="200" w:afterLines="200"/>
        <w:jc w:val="center"/>
        <w:outlineLvl w:val="1"/>
        <w:rPr>
          <w:rFonts w:ascii="宋体"/>
          <w:b/>
          <w:bCs/>
          <w:kern w:val="0"/>
          <w:sz w:val="36"/>
          <w:szCs w:val="36"/>
          <w:highlight w:val="none"/>
        </w:rPr>
      </w:pPr>
      <w:bookmarkStart w:id="85" w:name="_Toc25101"/>
      <w:r>
        <w:rPr>
          <w:rFonts w:hint="eastAsia" w:ascii="宋体" w:hAnsi="宋体"/>
          <w:b/>
          <w:bCs/>
          <w:kern w:val="0"/>
          <w:sz w:val="36"/>
          <w:szCs w:val="36"/>
          <w:highlight w:val="none"/>
        </w:rPr>
        <w:t>五、</w:t>
      </w:r>
      <w:bookmarkEnd w:id="82"/>
      <w:bookmarkEnd w:id="83"/>
      <w:r>
        <w:rPr>
          <w:rFonts w:hint="eastAsia" w:ascii="宋体" w:hAnsi="宋体"/>
          <w:b/>
          <w:bCs/>
          <w:kern w:val="0"/>
          <w:sz w:val="36"/>
          <w:szCs w:val="36"/>
          <w:highlight w:val="none"/>
        </w:rPr>
        <w:t>资格审查程序及方法</w:t>
      </w:r>
      <w:bookmarkEnd w:id="84"/>
      <w:bookmarkEnd w:id="85"/>
    </w:p>
    <w:p w14:paraId="26D457E2">
      <w:pPr>
        <w:widowControl/>
        <w:spacing w:before="100" w:beforeAutospacing="1" w:after="100" w:afterAutospacing="1"/>
        <w:ind w:firstLine="542"/>
        <w:jc w:val="left"/>
        <w:outlineLvl w:val="2"/>
        <w:rPr>
          <w:rFonts w:ascii="宋体"/>
          <w:b/>
          <w:bCs/>
          <w:kern w:val="0"/>
          <w:sz w:val="27"/>
          <w:szCs w:val="27"/>
          <w:highlight w:val="none"/>
        </w:rPr>
      </w:pPr>
      <w:bookmarkStart w:id="86" w:name="_Toc496004007"/>
      <w:bookmarkStart w:id="87" w:name="_Toc496626212"/>
      <w:bookmarkStart w:id="88" w:name="_Toc496189551"/>
      <w:bookmarkStart w:id="89" w:name="_Toc18606"/>
      <w:r>
        <w:rPr>
          <w:rFonts w:ascii="宋体" w:hAnsi="宋体"/>
          <w:b/>
          <w:bCs/>
          <w:kern w:val="0"/>
          <w:sz w:val="27"/>
          <w:szCs w:val="27"/>
          <w:highlight w:val="none"/>
        </w:rPr>
        <w:t xml:space="preserve">15. </w:t>
      </w:r>
      <w:r>
        <w:rPr>
          <w:rFonts w:hint="eastAsia" w:ascii="宋体" w:hAnsi="宋体"/>
          <w:b/>
          <w:bCs/>
          <w:kern w:val="0"/>
          <w:sz w:val="27"/>
          <w:szCs w:val="27"/>
          <w:highlight w:val="none"/>
        </w:rPr>
        <w:t>资格审查程序</w:t>
      </w:r>
      <w:bookmarkEnd w:id="86"/>
      <w:bookmarkEnd w:id="87"/>
      <w:bookmarkEnd w:id="88"/>
      <w:bookmarkEnd w:id="89"/>
    </w:p>
    <w:p w14:paraId="19B25187">
      <w:pPr>
        <w:ind w:firstLine="480"/>
        <w:rPr>
          <w:rFonts w:ascii="宋体"/>
          <w:highlight w:val="none"/>
        </w:rPr>
      </w:pPr>
      <w:r>
        <w:rPr>
          <w:rFonts w:ascii="宋体" w:hAnsi="宋体"/>
          <w:highlight w:val="none"/>
        </w:rPr>
        <w:t>15.1</w:t>
      </w:r>
      <w:r>
        <w:rPr>
          <w:rFonts w:hint="eastAsia" w:ascii="宋体" w:hAnsi="宋体" w:cs="Arial"/>
          <w:kern w:val="0"/>
          <w:highlight w:val="none"/>
        </w:rPr>
        <w:t>递交首次磋商响应文件截止时间后</w:t>
      </w:r>
      <w:r>
        <w:rPr>
          <w:rFonts w:hint="eastAsia" w:ascii="宋体" w:hAnsi="宋体"/>
          <w:highlight w:val="none"/>
        </w:rPr>
        <w:t>，由采购人、磋商小组依法对供应商的资格进行审查。</w:t>
      </w:r>
    </w:p>
    <w:p w14:paraId="0A498E82">
      <w:pPr>
        <w:ind w:firstLine="480"/>
        <w:rPr>
          <w:rFonts w:ascii="宋体"/>
          <w:highlight w:val="none"/>
        </w:rPr>
      </w:pPr>
      <w:r>
        <w:rPr>
          <w:rFonts w:ascii="宋体" w:hAnsi="宋体"/>
          <w:highlight w:val="none"/>
        </w:rPr>
        <w:t xml:space="preserve">15.2 </w:t>
      </w:r>
      <w:r>
        <w:rPr>
          <w:rFonts w:hint="eastAsia" w:ascii="宋体" w:hAnsi="宋体"/>
          <w:highlight w:val="none"/>
        </w:rPr>
        <w:t>供应商数量不满足相关规定的，不得评审。</w:t>
      </w:r>
    </w:p>
    <w:p w14:paraId="6C2DBDDE">
      <w:pPr>
        <w:widowControl/>
        <w:spacing w:before="100" w:beforeAutospacing="1" w:after="100" w:afterAutospacing="1"/>
        <w:ind w:firstLine="542"/>
        <w:jc w:val="left"/>
        <w:outlineLvl w:val="2"/>
        <w:rPr>
          <w:rFonts w:ascii="宋体"/>
          <w:b/>
          <w:bCs/>
          <w:kern w:val="0"/>
          <w:sz w:val="27"/>
          <w:szCs w:val="27"/>
          <w:highlight w:val="none"/>
        </w:rPr>
      </w:pPr>
      <w:bookmarkStart w:id="90" w:name="_Toc496626213"/>
      <w:bookmarkStart w:id="91" w:name="_Toc496004008"/>
      <w:bookmarkStart w:id="92" w:name="_Toc27838"/>
      <w:bookmarkStart w:id="93" w:name="_Toc496189552"/>
      <w:r>
        <w:rPr>
          <w:rFonts w:ascii="宋体" w:hAnsi="宋体"/>
          <w:b/>
          <w:bCs/>
          <w:kern w:val="0"/>
          <w:sz w:val="27"/>
          <w:szCs w:val="27"/>
          <w:highlight w:val="none"/>
        </w:rPr>
        <w:t>16.</w:t>
      </w:r>
      <w:r>
        <w:rPr>
          <w:rFonts w:hint="eastAsia" w:ascii="宋体" w:hAnsi="宋体"/>
          <w:b/>
          <w:bCs/>
          <w:kern w:val="0"/>
          <w:sz w:val="27"/>
          <w:szCs w:val="27"/>
          <w:highlight w:val="none"/>
        </w:rPr>
        <w:t>资格审查不通过的情形</w:t>
      </w:r>
      <w:bookmarkEnd w:id="90"/>
      <w:bookmarkEnd w:id="91"/>
      <w:bookmarkEnd w:id="92"/>
      <w:bookmarkEnd w:id="93"/>
    </w:p>
    <w:p w14:paraId="1F953F59">
      <w:pPr>
        <w:spacing w:line="360" w:lineRule="auto"/>
        <w:ind w:firstLine="480"/>
        <w:rPr>
          <w:rFonts w:ascii="宋体"/>
          <w:highlight w:val="none"/>
        </w:rPr>
      </w:pPr>
      <w:r>
        <w:rPr>
          <w:rFonts w:hint="eastAsia" w:ascii="宋体" w:hAnsi="宋体"/>
          <w:highlight w:val="none"/>
        </w:rPr>
        <w:t>资格审查时，供应商存在下列情况之一的，按无效投标处理：</w:t>
      </w:r>
    </w:p>
    <w:p w14:paraId="3CF2AFD3">
      <w:pPr>
        <w:spacing w:line="360" w:lineRule="auto"/>
        <w:ind w:firstLine="480"/>
        <w:rPr>
          <w:rFonts w:ascii="宋体"/>
          <w:highlight w:val="none"/>
        </w:rPr>
      </w:pPr>
      <w:r>
        <w:rPr>
          <w:rFonts w:ascii="宋体" w:hAnsi="宋体"/>
          <w:highlight w:val="none"/>
        </w:rPr>
        <w:t xml:space="preserve">16.1 </w:t>
      </w:r>
      <w:r>
        <w:rPr>
          <w:rFonts w:hint="eastAsia" w:ascii="宋体" w:hAnsi="宋体"/>
          <w:highlight w:val="none"/>
        </w:rPr>
        <w:t>不符合磋商文件第一部分投标人须知前附表“供应商资格条件”的；</w:t>
      </w:r>
    </w:p>
    <w:p w14:paraId="620B309E">
      <w:pPr>
        <w:spacing w:line="360" w:lineRule="auto"/>
        <w:ind w:firstLine="480"/>
        <w:rPr>
          <w:rFonts w:ascii="宋体"/>
          <w:highlight w:val="none"/>
        </w:rPr>
      </w:pPr>
      <w:r>
        <w:rPr>
          <w:rFonts w:ascii="宋体" w:hAnsi="宋体"/>
          <w:highlight w:val="none"/>
        </w:rPr>
        <w:t>16.</w:t>
      </w:r>
      <w:r>
        <w:rPr>
          <w:rFonts w:hint="eastAsia" w:ascii="宋体" w:hAnsi="宋体"/>
          <w:highlight w:val="none"/>
          <w:lang w:val="en-US" w:eastAsia="zh-CN"/>
        </w:rPr>
        <w:t>2</w:t>
      </w:r>
      <w:r>
        <w:rPr>
          <w:rFonts w:ascii="宋体" w:hAnsi="宋体"/>
          <w:highlight w:val="none"/>
        </w:rPr>
        <w:t xml:space="preserve"> </w:t>
      </w:r>
      <w:r>
        <w:rPr>
          <w:rFonts w:hint="eastAsia" w:ascii="宋体" w:hAnsi="宋体"/>
          <w:highlight w:val="none"/>
        </w:rPr>
        <w:t>未按第</w:t>
      </w:r>
      <w:r>
        <w:rPr>
          <w:rFonts w:ascii="宋体" w:hAnsi="宋体"/>
          <w:highlight w:val="none"/>
        </w:rPr>
        <w:t>11.1</w:t>
      </w:r>
      <w:r>
        <w:rPr>
          <w:rFonts w:hint="eastAsia" w:ascii="宋体" w:hAnsi="宋体"/>
          <w:highlight w:val="none"/>
        </w:rPr>
        <w:t>款（</w:t>
      </w:r>
      <w:r>
        <w:rPr>
          <w:rFonts w:ascii="宋体" w:hAnsi="宋体"/>
          <w:highlight w:val="none"/>
        </w:rPr>
        <w:t>1</w:t>
      </w:r>
      <w:r>
        <w:rPr>
          <w:rFonts w:hint="eastAsia" w:ascii="宋体" w:hAnsi="宋体"/>
          <w:highlight w:val="none"/>
        </w:rPr>
        <w:t>）</w:t>
      </w:r>
      <w:r>
        <w:rPr>
          <w:rFonts w:ascii="宋体"/>
          <w:highlight w:val="none"/>
        </w:rPr>
        <w:t>-</w:t>
      </w:r>
      <w:r>
        <w:rPr>
          <w:rFonts w:hint="eastAsia" w:ascii="宋体" w:hAnsi="宋体"/>
          <w:highlight w:val="none"/>
        </w:rPr>
        <w:t>（9）要求提供相关资料的；</w:t>
      </w:r>
    </w:p>
    <w:p w14:paraId="01C2BEEA">
      <w:pPr>
        <w:spacing w:line="360" w:lineRule="auto"/>
        <w:ind w:firstLine="480"/>
        <w:rPr>
          <w:rFonts w:ascii="宋体"/>
          <w:highlight w:val="none"/>
        </w:rPr>
      </w:pPr>
      <w:r>
        <w:rPr>
          <w:rFonts w:ascii="宋体" w:hAnsi="宋体"/>
          <w:highlight w:val="none"/>
        </w:rPr>
        <w:t>16.</w:t>
      </w:r>
      <w:r>
        <w:rPr>
          <w:rFonts w:hint="eastAsia" w:ascii="宋体" w:hAnsi="宋体"/>
          <w:highlight w:val="none"/>
          <w:lang w:val="en-US" w:eastAsia="zh-CN"/>
        </w:rPr>
        <w:t>3</w:t>
      </w:r>
      <w:r>
        <w:rPr>
          <w:rFonts w:ascii="宋体" w:hAnsi="宋体"/>
          <w:highlight w:val="none"/>
        </w:rPr>
        <w:t xml:space="preserve"> </w:t>
      </w:r>
      <w:r>
        <w:rPr>
          <w:rFonts w:hint="eastAsia" w:ascii="宋体" w:hAnsi="宋体"/>
          <w:highlight w:val="none"/>
        </w:rPr>
        <w:t>资格审查文件没有按磋商文件规定和要求签字、盖章的；</w:t>
      </w:r>
    </w:p>
    <w:p w14:paraId="1EAD25E7">
      <w:pPr>
        <w:spacing w:line="360" w:lineRule="auto"/>
        <w:ind w:firstLine="480"/>
        <w:rPr>
          <w:rFonts w:ascii="宋体"/>
          <w:highlight w:val="none"/>
        </w:rPr>
      </w:pPr>
      <w:r>
        <w:rPr>
          <w:rFonts w:ascii="宋体" w:hAnsi="宋体"/>
          <w:highlight w:val="none"/>
        </w:rPr>
        <w:t>16.</w:t>
      </w:r>
      <w:r>
        <w:rPr>
          <w:rFonts w:hint="eastAsia" w:ascii="宋体" w:hAnsi="宋体"/>
          <w:highlight w:val="none"/>
          <w:lang w:val="en-US" w:eastAsia="zh-CN"/>
        </w:rPr>
        <w:t>4</w:t>
      </w:r>
      <w:r>
        <w:rPr>
          <w:rFonts w:ascii="宋体" w:hAnsi="宋体"/>
          <w:highlight w:val="none"/>
        </w:rPr>
        <w:t xml:space="preserve"> </w:t>
      </w:r>
      <w:r>
        <w:rPr>
          <w:rFonts w:hint="eastAsia" w:ascii="宋体" w:hAnsi="宋体"/>
          <w:highlight w:val="none"/>
        </w:rPr>
        <w:t>擅自修改磋商文件规定的磋商响应文件格式以及编制要求的。</w:t>
      </w:r>
    </w:p>
    <w:p w14:paraId="2E4BE4F3">
      <w:pPr>
        <w:widowControl/>
        <w:spacing w:beforeLines="200" w:afterLines="200"/>
        <w:jc w:val="center"/>
        <w:outlineLvl w:val="1"/>
        <w:rPr>
          <w:rFonts w:ascii="宋体"/>
          <w:b/>
          <w:bCs/>
          <w:kern w:val="0"/>
          <w:sz w:val="36"/>
          <w:szCs w:val="36"/>
          <w:highlight w:val="none"/>
        </w:rPr>
      </w:pPr>
      <w:bookmarkStart w:id="94" w:name="_Toc496626214"/>
      <w:bookmarkStart w:id="95" w:name="_Toc325726021"/>
      <w:bookmarkStart w:id="96" w:name="_Toc376936752"/>
      <w:bookmarkStart w:id="97" w:name="_Toc4576"/>
      <w:r>
        <w:rPr>
          <w:rFonts w:hint="eastAsia" w:ascii="宋体" w:hAnsi="宋体"/>
          <w:b/>
          <w:bCs/>
          <w:kern w:val="0"/>
          <w:sz w:val="36"/>
          <w:szCs w:val="36"/>
          <w:highlight w:val="none"/>
        </w:rPr>
        <w:t>六、磋商程序及方法</w:t>
      </w:r>
      <w:bookmarkEnd w:id="94"/>
      <w:bookmarkEnd w:id="95"/>
      <w:bookmarkEnd w:id="96"/>
      <w:bookmarkEnd w:id="97"/>
    </w:p>
    <w:p w14:paraId="5966B4F8">
      <w:pPr>
        <w:widowControl/>
        <w:spacing w:before="100" w:beforeAutospacing="1" w:after="100" w:afterAutospacing="1"/>
        <w:ind w:firstLine="542"/>
        <w:jc w:val="left"/>
        <w:outlineLvl w:val="2"/>
        <w:rPr>
          <w:rFonts w:ascii="宋体"/>
          <w:b/>
          <w:bCs/>
          <w:kern w:val="0"/>
          <w:sz w:val="27"/>
          <w:szCs w:val="27"/>
          <w:highlight w:val="none"/>
        </w:rPr>
      </w:pPr>
      <w:bookmarkStart w:id="98" w:name="_Toc25331"/>
      <w:bookmarkStart w:id="99" w:name="_Toc376936753"/>
      <w:bookmarkStart w:id="100" w:name="_Toc325726022"/>
      <w:bookmarkStart w:id="101" w:name="_Toc496626215"/>
      <w:r>
        <w:rPr>
          <w:rFonts w:ascii="宋体" w:hAnsi="宋体"/>
          <w:b/>
          <w:bCs/>
          <w:kern w:val="0"/>
          <w:sz w:val="27"/>
          <w:szCs w:val="27"/>
          <w:highlight w:val="none"/>
        </w:rPr>
        <w:t>17.</w:t>
      </w:r>
      <w:r>
        <w:rPr>
          <w:rFonts w:hint="eastAsia" w:ascii="宋体" w:hAnsi="宋体"/>
          <w:b/>
          <w:bCs/>
          <w:kern w:val="0"/>
          <w:sz w:val="27"/>
          <w:szCs w:val="27"/>
          <w:highlight w:val="none"/>
        </w:rPr>
        <w:t>磋商小组</w:t>
      </w:r>
      <w:bookmarkEnd w:id="98"/>
      <w:bookmarkEnd w:id="99"/>
      <w:bookmarkEnd w:id="100"/>
      <w:bookmarkEnd w:id="101"/>
    </w:p>
    <w:p w14:paraId="4F88F994">
      <w:pPr>
        <w:spacing w:line="360" w:lineRule="auto"/>
        <w:ind w:firstLine="480"/>
        <w:jc w:val="left"/>
        <w:rPr>
          <w:rFonts w:ascii="宋体"/>
          <w:highlight w:val="none"/>
        </w:rPr>
      </w:pPr>
      <w:r>
        <w:rPr>
          <w:rFonts w:ascii="宋体" w:hAnsi="宋体"/>
          <w:highlight w:val="none"/>
        </w:rPr>
        <w:t xml:space="preserve">17.1 </w:t>
      </w:r>
      <w:r>
        <w:rPr>
          <w:rFonts w:hint="eastAsia" w:ascii="宋体" w:hAnsi="宋体"/>
          <w:highlight w:val="none"/>
        </w:rPr>
        <w:t>采购人、采购代理机构将根据采购项目的特点依法组建磋商小组，其成员由具有一定专业水平的技术、经济等方面的专家和采购人代表等三人以上单数组成。其中技术、经济等方面的专家不少于成员总数的三分之二。</w:t>
      </w:r>
    </w:p>
    <w:p w14:paraId="4C679FD9">
      <w:pPr>
        <w:spacing w:line="360" w:lineRule="auto"/>
        <w:ind w:firstLine="480"/>
        <w:jc w:val="left"/>
        <w:rPr>
          <w:rFonts w:ascii="宋体"/>
          <w:highlight w:val="none"/>
        </w:rPr>
      </w:pPr>
      <w:r>
        <w:rPr>
          <w:rFonts w:ascii="宋体" w:hAnsi="宋体"/>
          <w:highlight w:val="none"/>
        </w:rPr>
        <w:t>17.2</w:t>
      </w:r>
      <w:r>
        <w:rPr>
          <w:rFonts w:hint="eastAsia" w:ascii="宋体" w:hAnsi="宋体"/>
          <w:highlight w:val="none"/>
        </w:rPr>
        <w:t>磋商由采购代理机构负责组织，具体磋商事务由依法组建的磋商小组负责，并独立履行下列职责：</w:t>
      </w:r>
    </w:p>
    <w:p w14:paraId="45F33750">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）审查通过资格条件供应商的磋商响应文件，并作出评价；</w:t>
      </w:r>
    </w:p>
    <w:p w14:paraId="61D41870">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）要求供应商对解释或澄清其磋商响应文件；</w:t>
      </w:r>
    </w:p>
    <w:p w14:paraId="1D46182B">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）推荐预成交候选供应商；</w:t>
      </w:r>
    </w:p>
    <w:p w14:paraId="00337051">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）对非法干预评标工作的人员和机构进行举报或投诉。</w:t>
      </w:r>
    </w:p>
    <w:p w14:paraId="3708BCB0">
      <w:pPr>
        <w:spacing w:line="360" w:lineRule="auto"/>
        <w:ind w:firstLine="480"/>
        <w:jc w:val="left"/>
        <w:rPr>
          <w:rFonts w:ascii="宋体"/>
          <w:highlight w:val="none"/>
        </w:rPr>
      </w:pPr>
      <w:r>
        <w:rPr>
          <w:rFonts w:ascii="宋体" w:hAnsi="宋体"/>
          <w:highlight w:val="none"/>
        </w:rPr>
        <w:t>17.3</w:t>
      </w:r>
      <w:r>
        <w:rPr>
          <w:rFonts w:hint="eastAsia" w:ascii="宋体" w:hAnsi="宋体"/>
          <w:highlight w:val="none"/>
        </w:rPr>
        <w:t>磋商小组应遵守并履行下列义务：</w:t>
      </w:r>
    </w:p>
    <w:p w14:paraId="4812EF96">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）遵纪守法，客观、公正、廉洁地履行职责；</w:t>
      </w:r>
    </w:p>
    <w:p w14:paraId="6E83F66C">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）按照磋商文件规定的评审方法和评审标准进行评审，对评审意见承担磋商小组成员责任；</w:t>
      </w:r>
    </w:p>
    <w:p w14:paraId="598D05F2">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）对磋商响应文件、磋商情况和磋商中获悉的商业秘密保密；</w:t>
      </w:r>
    </w:p>
    <w:p w14:paraId="38627346">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）参与磋商报告的起草；</w:t>
      </w:r>
    </w:p>
    <w:p w14:paraId="2E06ED94">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）解答供应商及有关方面的质疑；</w:t>
      </w:r>
    </w:p>
    <w:p w14:paraId="44A6E5AB">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）配合纪检部门进行投诉处理工作。</w:t>
      </w:r>
    </w:p>
    <w:p w14:paraId="7146380A">
      <w:pPr>
        <w:spacing w:line="360" w:lineRule="auto"/>
        <w:ind w:firstLine="480"/>
        <w:jc w:val="left"/>
        <w:rPr>
          <w:rFonts w:ascii="宋体"/>
          <w:highlight w:val="none"/>
        </w:rPr>
      </w:pPr>
      <w:r>
        <w:rPr>
          <w:rFonts w:ascii="宋体" w:hAnsi="宋体"/>
          <w:highlight w:val="none"/>
        </w:rPr>
        <w:t>17.4</w:t>
      </w:r>
      <w:r>
        <w:rPr>
          <w:rFonts w:hint="eastAsia" w:ascii="宋体" w:hAnsi="宋体"/>
          <w:highlight w:val="none"/>
        </w:rPr>
        <w:t>磋商工作由采购代理机构组织，采购人、采购监管、纪检监察等有关方面代表可根据采购项目的具体情况列席。</w:t>
      </w:r>
    </w:p>
    <w:p w14:paraId="18B03C0A">
      <w:pPr>
        <w:spacing w:line="360" w:lineRule="auto"/>
        <w:ind w:firstLine="480"/>
        <w:jc w:val="left"/>
        <w:rPr>
          <w:rFonts w:ascii="宋体"/>
          <w:highlight w:val="none"/>
        </w:rPr>
      </w:pPr>
      <w:r>
        <w:rPr>
          <w:rFonts w:ascii="宋体" w:hAnsi="宋体"/>
          <w:highlight w:val="none"/>
        </w:rPr>
        <w:t>17.5</w:t>
      </w:r>
      <w:r>
        <w:rPr>
          <w:rFonts w:hint="eastAsia" w:ascii="宋体" w:hAnsi="宋体"/>
          <w:highlight w:val="none"/>
        </w:rPr>
        <w:t>磋商工作在有关部门的监督和严格保密的情况下依法进行，任何单位和个人不得非法干预、影响磋商工作和磋商结果。</w:t>
      </w:r>
    </w:p>
    <w:p w14:paraId="5703F17A">
      <w:pPr>
        <w:spacing w:line="360" w:lineRule="auto"/>
        <w:ind w:firstLine="480"/>
        <w:jc w:val="left"/>
        <w:rPr>
          <w:rFonts w:ascii="宋体"/>
          <w:highlight w:val="none"/>
        </w:rPr>
      </w:pPr>
      <w:r>
        <w:rPr>
          <w:rFonts w:ascii="宋体" w:hAnsi="宋体"/>
          <w:highlight w:val="none"/>
        </w:rPr>
        <w:t>17.6</w:t>
      </w:r>
      <w:r>
        <w:rPr>
          <w:rFonts w:hint="eastAsia" w:ascii="宋体" w:hAnsi="宋体"/>
          <w:highlight w:val="none"/>
        </w:rPr>
        <w:t>磋商小组应当根据评审记录和评审结果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727AEC5">
      <w:pPr>
        <w:widowControl/>
        <w:spacing w:before="100" w:beforeAutospacing="1" w:after="100" w:afterAutospacing="1"/>
        <w:ind w:firstLine="542"/>
        <w:jc w:val="left"/>
        <w:outlineLvl w:val="2"/>
        <w:rPr>
          <w:rFonts w:ascii="宋体"/>
          <w:b/>
          <w:bCs/>
          <w:kern w:val="0"/>
          <w:sz w:val="27"/>
          <w:szCs w:val="27"/>
          <w:highlight w:val="none"/>
        </w:rPr>
      </w:pPr>
      <w:bookmarkStart w:id="102" w:name="_Toc376936754"/>
      <w:bookmarkStart w:id="103" w:name="_Toc496626216"/>
      <w:bookmarkStart w:id="104" w:name="_Toc4352"/>
      <w:bookmarkStart w:id="105" w:name="_Toc325726023"/>
      <w:r>
        <w:rPr>
          <w:rFonts w:ascii="宋体" w:hAnsi="宋体"/>
          <w:b/>
          <w:bCs/>
          <w:kern w:val="0"/>
          <w:sz w:val="27"/>
          <w:szCs w:val="27"/>
          <w:highlight w:val="none"/>
        </w:rPr>
        <w:t>18.</w:t>
      </w:r>
      <w:r>
        <w:rPr>
          <w:rFonts w:hint="eastAsia" w:ascii="宋体" w:hAnsi="宋体"/>
          <w:b/>
          <w:bCs/>
          <w:kern w:val="0"/>
          <w:sz w:val="27"/>
          <w:szCs w:val="27"/>
          <w:highlight w:val="none"/>
        </w:rPr>
        <w:t>磋商工作程序</w:t>
      </w:r>
      <w:bookmarkEnd w:id="102"/>
      <w:bookmarkEnd w:id="103"/>
      <w:bookmarkEnd w:id="104"/>
      <w:bookmarkEnd w:id="105"/>
    </w:p>
    <w:p w14:paraId="5F33E61E">
      <w:pPr>
        <w:spacing w:line="360" w:lineRule="auto"/>
        <w:ind w:firstLine="480"/>
        <w:jc w:val="left"/>
        <w:rPr>
          <w:rFonts w:ascii="宋体"/>
          <w:highlight w:val="none"/>
        </w:rPr>
      </w:pPr>
      <w:r>
        <w:rPr>
          <w:rFonts w:ascii="宋体" w:hAnsi="Courier New"/>
          <w:szCs w:val="20"/>
          <w:highlight w:val="none"/>
        </w:rPr>
        <w:t>18.1</w:t>
      </w:r>
      <w:r>
        <w:rPr>
          <w:rFonts w:hint="eastAsia" w:ascii="宋体" w:hAnsi="宋体"/>
          <w:highlight w:val="none"/>
        </w:rPr>
        <w:t>进入磋商阶段后，由磋商小组独立开展评审工作，磋商小组所有成员应当集中与单一供应商分别进行磋商，给予所有参加磋商的供应商平等的磋商机会，并负责审议所有通过资格条件供应商的磋商响应文件。</w:t>
      </w:r>
    </w:p>
    <w:p w14:paraId="3AE9EC20">
      <w:pPr>
        <w:spacing w:line="360" w:lineRule="auto"/>
        <w:ind w:firstLine="480"/>
        <w:jc w:val="left"/>
        <w:rPr>
          <w:rFonts w:ascii="宋体"/>
          <w:highlight w:val="none"/>
        </w:rPr>
      </w:pPr>
      <w:r>
        <w:rPr>
          <w:rFonts w:ascii="宋体" w:hAnsi="宋体"/>
          <w:highlight w:val="none"/>
        </w:rPr>
        <w:t>18.2</w:t>
      </w:r>
      <w:r>
        <w:rPr>
          <w:rFonts w:hint="eastAsia" w:ascii="宋体" w:hAnsi="宋体"/>
          <w:highlight w:val="none"/>
        </w:rPr>
        <w:t>符合性审查时，存在下列情况之一的，按无效处理：</w:t>
      </w:r>
    </w:p>
    <w:p w14:paraId="08C214FD">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）未按第</w:t>
      </w:r>
      <w:r>
        <w:rPr>
          <w:rFonts w:ascii="宋体" w:hAnsi="宋体"/>
          <w:highlight w:val="none"/>
        </w:rPr>
        <w:t>11.2</w:t>
      </w:r>
      <w:r>
        <w:rPr>
          <w:rFonts w:hint="eastAsia" w:ascii="宋体" w:hAnsi="宋体"/>
          <w:highlight w:val="none"/>
        </w:rPr>
        <w:t>款（</w:t>
      </w:r>
      <w:r>
        <w:rPr>
          <w:rFonts w:hint="eastAsia" w:ascii="宋体" w:hAnsi="宋体"/>
          <w:highlight w:val="none"/>
          <w:lang w:val="en-US" w:eastAsia="zh-CN"/>
        </w:rPr>
        <w:t>10</w:t>
      </w:r>
      <w:r>
        <w:rPr>
          <w:rFonts w:hint="eastAsia" w:ascii="宋体" w:hAnsi="宋体"/>
          <w:highlight w:val="none"/>
        </w:rPr>
        <w:t>）</w:t>
      </w:r>
      <w:r>
        <w:rPr>
          <w:rFonts w:ascii="宋体"/>
          <w:highlight w:val="none"/>
        </w:rPr>
        <w:t>-</w:t>
      </w:r>
      <w:r>
        <w:rPr>
          <w:rFonts w:hint="eastAsia" w:ascii="宋体" w:hAnsi="宋体"/>
          <w:highlight w:val="none"/>
        </w:rPr>
        <w:t>（</w:t>
      </w:r>
      <w:r>
        <w:rPr>
          <w:rFonts w:hint="eastAsia" w:ascii="宋体" w:hAnsi="宋体"/>
          <w:highlight w:val="none"/>
          <w:lang w:val="en-US" w:eastAsia="zh-CN"/>
        </w:rPr>
        <w:t>12</w:t>
      </w:r>
      <w:r>
        <w:rPr>
          <w:rFonts w:hint="eastAsia" w:ascii="宋体" w:hAnsi="宋体"/>
          <w:highlight w:val="none"/>
        </w:rPr>
        <w:t>）要求提供相关资料的；</w:t>
      </w:r>
    </w:p>
    <w:p w14:paraId="502FE865">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）符合性审查文件没有按磋商文件规定和要求签字、盖章的；</w:t>
      </w:r>
    </w:p>
    <w:p w14:paraId="1F3FBD98">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）供应商最后磋商报价出现两个或两个以上报价方案的；</w:t>
      </w:r>
    </w:p>
    <w:p w14:paraId="247D703F">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w:t>
      </w:r>
      <w:r>
        <w:rPr>
          <w:rFonts w:hint="eastAsia" w:ascii="宋体" w:hAnsi="宋体"/>
          <w:highlight w:val="none"/>
          <w:lang w:val="en-US" w:eastAsia="zh-CN"/>
        </w:rPr>
        <w:t>服务期</w:t>
      </w:r>
      <w:r>
        <w:rPr>
          <w:rFonts w:hint="eastAsia" w:ascii="宋体" w:hAnsi="宋体"/>
          <w:highlight w:val="none"/>
        </w:rPr>
        <w:t>、投标有效期不能满足磋商文件要求的；</w:t>
      </w:r>
    </w:p>
    <w:p w14:paraId="18B42D0C">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）投标报价超过磋商文件规定的采购预算额度；</w:t>
      </w:r>
    </w:p>
    <w:p w14:paraId="718A3684">
      <w:pPr>
        <w:spacing w:line="360" w:lineRule="auto"/>
        <w:ind w:firstLine="480"/>
        <w:jc w:val="left"/>
        <w:rPr>
          <w:rFonts w:hint="eastAsia" w:ascii="宋体" w:hAns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）投标产品的技术规格、技术标准明显不符合采购项目要求的；</w:t>
      </w:r>
    </w:p>
    <w:p w14:paraId="069428AF">
      <w:pPr>
        <w:spacing w:line="360" w:lineRule="auto"/>
        <w:ind w:firstLine="480"/>
        <w:jc w:val="left"/>
        <w:rPr>
          <w:rFonts w:hint="eastAsia" w:ascii="宋体" w:hAnsi="宋体" w:eastAsia="宋体"/>
          <w:highlight w:val="none"/>
        </w:rPr>
      </w:pPr>
      <w:r>
        <w:rPr>
          <w:rFonts w:hint="eastAsia" w:ascii="宋体" w:hAnsi="宋体" w:eastAsia="宋体"/>
          <w:highlight w:val="none"/>
        </w:rPr>
        <w:t>（</w:t>
      </w:r>
      <w:r>
        <w:rPr>
          <w:rFonts w:hint="eastAsia" w:ascii="宋体" w:hAnsi="宋体" w:eastAsia="宋体"/>
          <w:highlight w:val="none"/>
          <w:lang w:val="en-US" w:eastAsia="zh-CN"/>
        </w:rPr>
        <w:t>7</w:t>
      </w:r>
      <w:r>
        <w:rPr>
          <w:rFonts w:hint="eastAsia" w:ascii="宋体" w:hAnsi="宋体" w:eastAsia="宋体"/>
          <w:highlight w:val="none"/>
        </w:rPr>
        <w:t>）参与的不同供应商制作电子投标(响应)文件的计算机网卡MAC地址相同的；</w:t>
      </w:r>
    </w:p>
    <w:p w14:paraId="044D0BA4">
      <w:pPr>
        <w:spacing w:line="360" w:lineRule="auto"/>
        <w:ind w:firstLine="480"/>
        <w:jc w:val="left"/>
        <w:rPr>
          <w:rFonts w:hint="eastAsia" w:ascii="宋体" w:hAnsi="宋体" w:eastAsia="宋体"/>
          <w:highlight w:val="none"/>
        </w:rPr>
      </w:pPr>
      <w:r>
        <w:rPr>
          <w:rFonts w:hint="eastAsia" w:ascii="宋体" w:hAnsi="宋体" w:eastAsia="宋体"/>
          <w:highlight w:val="none"/>
        </w:rPr>
        <w:t>（</w:t>
      </w:r>
      <w:r>
        <w:rPr>
          <w:rFonts w:hint="eastAsia" w:ascii="宋体" w:hAnsi="宋体" w:eastAsia="宋体"/>
          <w:highlight w:val="none"/>
          <w:lang w:val="en-US" w:eastAsia="zh-CN"/>
        </w:rPr>
        <w:t>8</w:t>
      </w:r>
      <w:r>
        <w:rPr>
          <w:rFonts w:hint="eastAsia" w:ascii="宋体" w:hAnsi="宋体" w:eastAsia="宋体"/>
          <w:highlight w:val="none"/>
        </w:rPr>
        <w:t>）参与的不同供应商制作电子投标(响应)文件的计算机硬盘序列号相同的；</w:t>
      </w:r>
    </w:p>
    <w:p w14:paraId="5E1C84DE">
      <w:pPr>
        <w:spacing w:line="360" w:lineRule="auto"/>
        <w:ind w:firstLine="480"/>
        <w:jc w:val="left"/>
        <w:rPr>
          <w:rFonts w:hint="eastAsia" w:ascii="宋体" w:hAnsi="宋体" w:eastAsia="宋体"/>
          <w:highlight w:val="none"/>
        </w:rPr>
      </w:pPr>
      <w:r>
        <w:rPr>
          <w:rFonts w:hint="eastAsia" w:ascii="宋体" w:hAnsi="宋体" w:eastAsia="宋体"/>
          <w:highlight w:val="none"/>
        </w:rPr>
        <w:t>（</w:t>
      </w:r>
      <w:r>
        <w:rPr>
          <w:rFonts w:hint="eastAsia" w:ascii="宋体" w:hAnsi="宋体" w:eastAsia="宋体"/>
          <w:highlight w:val="none"/>
          <w:lang w:val="en-US" w:eastAsia="zh-CN"/>
        </w:rPr>
        <w:t>9</w:t>
      </w:r>
      <w:r>
        <w:rPr>
          <w:rFonts w:hint="eastAsia" w:ascii="宋体" w:hAnsi="宋体" w:eastAsia="宋体"/>
          <w:highlight w:val="none"/>
        </w:rPr>
        <w:t>）磋商响应文件含有采购人不能接受的附加条件的；</w:t>
      </w:r>
    </w:p>
    <w:p w14:paraId="35120162">
      <w:pPr>
        <w:spacing w:line="360" w:lineRule="auto"/>
        <w:ind w:firstLine="480"/>
        <w:jc w:val="left"/>
        <w:rPr>
          <w:rFonts w:ascii="宋体"/>
          <w:highlight w:val="none"/>
        </w:rPr>
      </w:pPr>
      <w:r>
        <w:rPr>
          <w:rFonts w:hint="eastAsia" w:ascii="宋体" w:hAnsi="宋体" w:eastAsia="宋体"/>
          <w:highlight w:val="none"/>
        </w:rPr>
        <w:t>（</w:t>
      </w:r>
      <w:r>
        <w:rPr>
          <w:rFonts w:hint="eastAsia" w:ascii="宋体" w:hAnsi="宋体" w:eastAsia="宋体"/>
          <w:highlight w:val="none"/>
          <w:lang w:val="en-US" w:eastAsia="zh-CN"/>
        </w:rPr>
        <w:t>10</w:t>
      </w:r>
      <w:r>
        <w:rPr>
          <w:rFonts w:hint="eastAsia" w:ascii="宋体" w:hAnsi="宋体" w:eastAsia="宋体"/>
          <w:highlight w:val="none"/>
        </w:rPr>
        <w:t>）磋商小组认为应按无效投标处理的其他</w:t>
      </w:r>
      <w:r>
        <w:rPr>
          <w:rFonts w:hint="eastAsia" w:ascii="宋体" w:hAnsi="宋体"/>
          <w:highlight w:val="none"/>
        </w:rPr>
        <w:t>情况；</w:t>
      </w:r>
    </w:p>
    <w:p w14:paraId="2A413659">
      <w:pPr>
        <w:spacing w:line="360" w:lineRule="auto"/>
        <w:ind w:firstLine="480"/>
        <w:jc w:val="left"/>
        <w:rPr>
          <w:rFonts w:ascii="宋体"/>
          <w:highlight w:val="none"/>
        </w:rPr>
      </w:pPr>
      <w:r>
        <w:rPr>
          <w:rFonts w:hint="eastAsia" w:ascii="宋体" w:hAnsi="宋体"/>
          <w:highlight w:val="none"/>
        </w:rPr>
        <w:t>（</w:t>
      </w:r>
      <w:r>
        <w:rPr>
          <w:rFonts w:hint="eastAsia" w:ascii="宋体" w:hAnsi="宋体"/>
          <w:highlight w:val="none"/>
          <w:lang w:val="en-US" w:eastAsia="zh-CN"/>
        </w:rPr>
        <w:t>11</w:t>
      </w:r>
      <w:r>
        <w:rPr>
          <w:rFonts w:hint="eastAsia" w:ascii="宋体" w:hAnsi="宋体"/>
          <w:highlight w:val="none"/>
        </w:rPr>
        <w:t>）法律、法规规定的其他情形。</w:t>
      </w:r>
    </w:p>
    <w:p w14:paraId="19EBE79D">
      <w:pPr>
        <w:spacing w:line="360" w:lineRule="auto"/>
        <w:ind w:firstLine="480"/>
        <w:jc w:val="left"/>
        <w:rPr>
          <w:rFonts w:ascii="宋体"/>
          <w:highlight w:val="none"/>
        </w:rPr>
      </w:pPr>
      <w:r>
        <w:rPr>
          <w:rFonts w:ascii="宋体" w:hAnsi="宋体"/>
          <w:highlight w:val="none"/>
        </w:rPr>
        <w:t xml:space="preserve">18.3 </w:t>
      </w:r>
      <w:r>
        <w:rPr>
          <w:rFonts w:hint="eastAsia" w:ascii="宋体" w:hAnsi="宋体"/>
          <w:highlight w:val="none"/>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投标处理。</w:t>
      </w:r>
    </w:p>
    <w:p w14:paraId="26FD65D4">
      <w:pPr>
        <w:spacing w:line="360" w:lineRule="auto"/>
        <w:ind w:firstLine="480"/>
        <w:jc w:val="left"/>
        <w:rPr>
          <w:rFonts w:ascii="宋体"/>
          <w:highlight w:val="none"/>
        </w:rPr>
      </w:pPr>
      <w:r>
        <w:rPr>
          <w:rFonts w:ascii="宋体" w:hAnsi="宋体"/>
          <w:highlight w:val="none"/>
        </w:rPr>
        <w:t xml:space="preserve">18.4 </w:t>
      </w:r>
      <w:r>
        <w:rPr>
          <w:rFonts w:hint="eastAsia" w:ascii="宋体" w:hAnsi="宋体" w:cs="宋体"/>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供应商为自然人的，应当由本人签字并附身份证明。</w:t>
      </w:r>
    </w:p>
    <w:p w14:paraId="27789751">
      <w:pPr>
        <w:widowControl/>
        <w:spacing w:before="100" w:beforeAutospacing="1" w:after="100" w:afterAutospacing="1"/>
        <w:ind w:firstLine="542"/>
        <w:jc w:val="left"/>
        <w:outlineLvl w:val="2"/>
        <w:rPr>
          <w:rFonts w:ascii="宋体"/>
          <w:b/>
          <w:bCs/>
          <w:kern w:val="0"/>
          <w:sz w:val="27"/>
          <w:szCs w:val="27"/>
          <w:highlight w:val="none"/>
        </w:rPr>
      </w:pPr>
      <w:bookmarkStart w:id="106" w:name="_Toc15097"/>
      <w:bookmarkStart w:id="107" w:name="_Toc496626217"/>
      <w:bookmarkStart w:id="108" w:name="_Toc496004012"/>
      <w:r>
        <w:rPr>
          <w:rFonts w:ascii="宋体" w:hAnsi="宋体"/>
          <w:b/>
          <w:bCs/>
          <w:kern w:val="0"/>
          <w:sz w:val="27"/>
          <w:szCs w:val="27"/>
          <w:highlight w:val="none"/>
        </w:rPr>
        <w:t>19.</w:t>
      </w:r>
      <w:r>
        <w:rPr>
          <w:rFonts w:hint="eastAsia" w:ascii="宋体" w:hAnsi="宋体"/>
          <w:b/>
          <w:bCs/>
          <w:kern w:val="0"/>
          <w:sz w:val="27"/>
          <w:szCs w:val="27"/>
          <w:highlight w:val="none"/>
        </w:rPr>
        <w:t>答疑的方式和情形</w:t>
      </w:r>
      <w:bookmarkEnd w:id="106"/>
      <w:bookmarkEnd w:id="107"/>
      <w:bookmarkEnd w:id="108"/>
    </w:p>
    <w:p w14:paraId="7B431457">
      <w:pPr>
        <w:spacing w:line="360" w:lineRule="auto"/>
        <w:ind w:firstLine="480"/>
        <w:jc w:val="left"/>
        <w:rPr>
          <w:rFonts w:ascii="宋体"/>
          <w:highlight w:val="none"/>
        </w:rPr>
      </w:pPr>
      <w:r>
        <w:rPr>
          <w:rFonts w:ascii="宋体" w:hAnsi="宋体"/>
          <w:highlight w:val="none"/>
        </w:rPr>
        <w:t>19.1</w:t>
      </w:r>
      <w:r>
        <w:rPr>
          <w:rFonts w:hint="eastAsia" w:ascii="宋体" w:hAnsi="宋体"/>
          <w:highlight w:val="none"/>
        </w:rPr>
        <w:t>磋商小组在对磋商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8E0D9C4">
      <w:pPr>
        <w:tabs>
          <w:tab w:val="left" w:pos="8787"/>
        </w:tabs>
        <w:spacing w:line="360" w:lineRule="auto"/>
        <w:ind w:firstLine="480"/>
        <w:jc w:val="left"/>
        <w:rPr>
          <w:rFonts w:ascii="宋体"/>
          <w:highlight w:val="none"/>
        </w:rPr>
      </w:pPr>
      <w:r>
        <w:rPr>
          <w:rFonts w:ascii="宋体" w:hAnsi="宋体"/>
          <w:highlight w:val="none"/>
        </w:rPr>
        <w:t xml:space="preserve">19.2 </w:t>
      </w:r>
      <w:r>
        <w:rPr>
          <w:rFonts w:hint="eastAsia" w:ascii="宋体" w:hAnsi="宋体"/>
          <w:highlight w:val="none"/>
        </w:rPr>
        <w:t>磋商小组应当要求供应商在规定的时间内予以澄清、说明或者更正。澄清、说明或者更正材料由供应商法定代表人或委托代理人在</w:t>
      </w:r>
      <w:r>
        <w:rPr>
          <w:rFonts w:hint="eastAsia" w:hAnsi="宋体"/>
          <w:highlight w:val="none"/>
        </w:rPr>
        <w:t>规定的时间到达指定地点等候答疑，并对评委提出的问题做出应答（如不在场则视为自动放弃）。</w:t>
      </w:r>
      <w:r>
        <w:rPr>
          <w:rFonts w:hint="eastAsia" w:ascii="宋体" w:hAnsi="宋体"/>
          <w:highlight w:val="none"/>
        </w:rPr>
        <w:t>该内容不得超出磋商响应文件的范围或者改变磋商响应文件的实质性内容，并作为磋商响应文件的组成部分。</w:t>
      </w:r>
    </w:p>
    <w:p w14:paraId="1B10952D">
      <w:pPr>
        <w:spacing w:line="360" w:lineRule="auto"/>
        <w:ind w:firstLine="480"/>
        <w:jc w:val="left"/>
        <w:rPr>
          <w:rFonts w:ascii="宋体"/>
          <w:highlight w:val="none"/>
        </w:rPr>
      </w:pPr>
      <w:r>
        <w:rPr>
          <w:rFonts w:ascii="宋体" w:hAnsi="宋体"/>
          <w:highlight w:val="none"/>
        </w:rPr>
        <w:t xml:space="preserve">19.3 </w:t>
      </w:r>
      <w:r>
        <w:rPr>
          <w:rFonts w:hint="eastAsia" w:ascii="宋体" w:hAnsi="宋体"/>
          <w:highlight w:val="none"/>
        </w:rPr>
        <w:t>答疑期间，供应商存在以下情况的，澄清、说明或者更正的内容将不予接受，磋商小组将按照磋商文件的要求对现有的资料做出评审意见：</w:t>
      </w:r>
    </w:p>
    <w:p w14:paraId="30C93862">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）拒绝或在规定的时间内未做出澄清、说明或者更正；</w:t>
      </w:r>
    </w:p>
    <w:p w14:paraId="3B73AB32">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w:t>
      </w:r>
      <w:r>
        <w:rPr>
          <w:rFonts w:hint="eastAsia" w:ascii="Arial" w:hAnsi="Arial" w:cs="Arial"/>
          <w:kern w:val="0"/>
          <w:highlight w:val="none"/>
        </w:rPr>
        <w:t>供应商的澄清、说明或者更正</w:t>
      </w:r>
      <w:r>
        <w:rPr>
          <w:rFonts w:hint="eastAsia" w:ascii="宋体" w:hAnsi="宋体"/>
          <w:highlight w:val="none"/>
        </w:rPr>
        <w:t>超出磋商响应文件的范围或者改变磋商响应文件的实质性内容；</w:t>
      </w:r>
    </w:p>
    <w:p w14:paraId="6170F2AD">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）澄清、说明或者更正的内容仍不能说明问题的；</w:t>
      </w:r>
    </w:p>
    <w:p w14:paraId="2D70C620">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）供应商主动提出的澄清、说明或者更正的内容；</w:t>
      </w:r>
    </w:p>
    <w:p w14:paraId="7747D4A5">
      <w:pPr>
        <w:tabs>
          <w:tab w:val="left" w:pos="8787"/>
        </w:tabs>
        <w:spacing w:line="360" w:lineRule="auto"/>
        <w:ind w:firstLine="480"/>
        <w:jc w:val="left"/>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）磋商小组认为应不予接受的其他情况</w:t>
      </w:r>
    </w:p>
    <w:p w14:paraId="7E52AA3B">
      <w:pPr>
        <w:widowControl/>
        <w:spacing w:before="100" w:beforeAutospacing="1" w:after="100" w:afterAutospacing="1"/>
        <w:ind w:firstLine="542"/>
        <w:jc w:val="left"/>
        <w:outlineLvl w:val="2"/>
        <w:rPr>
          <w:rFonts w:ascii="宋体"/>
          <w:b/>
          <w:bCs/>
          <w:kern w:val="0"/>
          <w:sz w:val="27"/>
          <w:szCs w:val="27"/>
          <w:highlight w:val="none"/>
        </w:rPr>
      </w:pPr>
      <w:bookmarkStart w:id="109" w:name="_Toc6365"/>
      <w:bookmarkStart w:id="110" w:name="_Toc325726024"/>
      <w:bookmarkStart w:id="111" w:name="_Toc496626218"/>
      <w:bookmarkStart w:id="112" w:name="_Toc376936755"/>
      <w:r>
        <w:rPr>
          <w:rFonts w:ascii="宋体" w:hAnsi="宋体"/>
          <w:b/>
          <w:bCs/>
          <w:kern w:val="0"/>
          <w:sz w:val="27"/>
          <w:szCs w:val="27"/>
          <w:highlight w:val="none"/>
        </w:rPr>
        <w:t>20.</w:t>
      </w:r>
      <w:r>
        <w:rPr>
          <w:rFonts w:hint="eastAsia" w:ascii="宋体" w:hAnsi="宋体"/>
          <w:b/>
          <w:bCs/>
          <w:kern w:val="0"/>
          <w:sz w:val="27"/>
          <w:szCs w:val="27"/>
          <w:highlight w:val="none"/>
        </w:rPr>
        <w:t>评审办法</w:t>
      </w:r>
      <w:bookmarkEnd w:id="109"/>
      <w:bookmarkEnd w:id="110"/>
      <w:bookmarkEnd w:id="111"/>
      <w:bookmarkEnd w:id="112"/>
    </w:p>
    <w:p w14:paraId="498B6FBE">
      <w:pPr>
        <w:spacing w:line="360" w:lineRule="auto"/>
        <w:ind w:firstLine="480"/>
        <w:jc w:val="left"/>
        <w:rPr>
          <w:rFonts w:ascii="宋体"/>
          <w:highlight w:val="none"/>
        </w:rPr>
      </w:pPr>
      <w:r>
        <w:rPr>
          <w:rFonts w:ascii="宋体" w:hAnsi="宋体"/>
          <w:highlight w:val="none"/>
        </w:rPr>
        <w:t>20.1</w:t>
      </w:r>
      <w:r>
        <w:rPr>
          <w:rFonts w:hint="eastAsia" w:ascii="宋体" w:hAnsi="宋体"/>
          <w:highlight w:val="none"/>
        </w:rPr>
        <w:t>依照《中华人民共和国政府采购法》、《中华人民共和国政府采购法实施条例》、《政府采购竞争性磋商采购方式管理暂行办法》的规定，结合该项目的特点制定本评审办法。本次评审采用综合评分法。</w:t>
      </w:r>
    </w:p>
    <w:p w14:paraId="4C0FC715">
      <w:pPr>
        <w:spacing w:line="360" w:lineRule="auto"/>
        <w:ind w:firstLine="480"/>
        <w:jc w:val="left"/>
        <w:rPr>
          <w:rFonts w:ascii="宋体"/>
          <w:bCs/>
          <w:highlight w:val="none"/>
        </w:rPr>
      </w:pPr>
      <w:r>
        <w:rPr>
          <w:rFonts w:hint="eastAsia" w:ascii="宋体" w:hAnsi="宋体"/>
          <w:highlight w:val="none"/>
        </w:rPr>
        <w:t>本次综合评分的主要因素是：根据《</w:t>
      </w:r>
      <w:r>
        <w:rPr>
          <w:rFonts w:hint="eastAsia" w:ascii="宋体" w:hAnsi="宋体"/>
          <w:highlight w:val="none"/>
          <w:lang w:eastAsia="zh-CN"/>
        </w:rPr>
        <w:t>政府采购促进中小企业发展管理办法</w:t>
      </w:r>
      <w:r>
        <w:rPr>
          <w:rFonts w:hint="eastAsia" w:ascii="宋体" w:hAnsi="宋体"/>
          <w:highlight w:val="none"/>
        </w:rPr>
        <w:t>》，属小型、微型企业制造的货物（产品），供应商须提供该制造（生产）企业出具的《</w:t>
      </w:r>
      <w:r>
        <w:rPr>
          <w:rFonts w:hint="eastAsia" w:ascii="宋体" w:hAnsi="宋体"/>
          <w:bCs/>
          <w:highlight w:val="none"/>
          <w:lang w:val="en-US" w:eastAsia="zh-CN"/>
        </w:rPr>
        <w:t>中小企业声明函</w:t>
      </w:r>
      <w:r>
        <w:rPr>
          <w:rFonts w:hint="eastAsia" w:ascii="宋体" w:hAnsi="宋体"/>
          <w:highlight w:val="none"/>
        </w:rPr>
        <w:t>》（详见附件</w:t>
      </w:r>
      <w:r>
        <w:rPr>
          <w:rFonts w:hint="eastAsia" w:ascii="宋体" w:hAnsi="宋体"/>
          <w:highlight w:val="none"/>
          <w:lang w:val="en-US" w:eastAsia="zh-CN"/>
        </w:rPr>
        <w:t>16</w:t>
      </w:r>
      <w:r>
        <w:rPr>
          <w:rFonts w:hint="eastAsia" w:ascii="宋体" w:hAnsi="宋体"/>
          <w:highlight w:val="none"/>
        </w:rPr>
        <w:t>），并由供应商加盖公章，其划型标准严格按照国家工信部、国家统计局、国家发改委、财政部出台的《中小企业划型标准规定》（工信部联企业</w:t>
      </w:r>
      <w:r>
        <w:rPr>
          <w:rFonts w:ascii="宋体" w:hAnsi="宋体"/>
          <w:highlight w:val="none"/>
        </w:rPr>
        <w:t>[2011]300</w:t>
      </w:r>
      <w:r>
        <w:rPr>
          <w:rFonts w:hint="eastAsia" w:ascii="宋体" w:hAnsi="宋体"/>
          <w:highlight w:val="none"/>
        </w:rPr>
        <w:t>号）执行。</w:t>
      </w:r>
      <w:r>
        <w:rPr>
          <w:rFonts w:hint="eastAsia" w:ascii="宋体" w:hAnsi="宋体"/>
          <w:bCs/>
          <w:highlight w:val="none"/>
        </w:rPr>
        <w:t>供应商提供的《</w:t>
      </w:r>
      <w:r>
        <w:rPr>
          <w:rFonts w:hint="eastAsia" w:ascii="宋体" w:hAnsi="宋体"/>
          <w:bCs/>
          <w:highlight w:val="none"/>
          <w:lang w:val="en-US" w:eastAsia="zh-CN"/>
        </w:rPr>
        <w:t>中小企业声明函</w:t>
      </w:r>
      <w:r>
        <w:rPr>
          <w:rFonts w:hint="eastAsia" w:ascii="宋体" w:hAnsi="宋体"/>
          <w:bCs/>
          <w:highlight w:val="none"/>
        </w:rPr>
        <w:t>》资料必须真实，否则，按照有关规定予以处理。</w:t>
      </w:r>
    </w:p>
    <w:p w14:paraId="2A928FF5">
      <w:pPr>
        <w:spacing w:line="360" w:lineRule="auto"/>
        <w:ind w:firstLine="480"/>
        <w:jc w:val="left"/>
        <w:rPr>
          <w:rFonts w:ascii="宋体"/>
          <w:bCs/>
          <w:highlight w:val="none"/>
        </w:rPr>
      </w:pPr>
      <w:r>
        <w:rPr>
          <w:rFonts w:hint="eastAsia" w:ascii="宋体" w:hAnsi="宋体"/>
          <w:bCs/>
          <w:highlight w:val="none"/>
        </w:rPr>
        <w:t>根据财政部、民政部、中国残疾人联合会出台的《关于促进残疾人就业政府采购政策的通知》（财库</w:t>
      </w:r>
      <w:r>
        <w:rPr>
          <w:rFonts w:ascii="宋体" w:hAnsi="宋体"/>
          <w:bCs/>
          <w:highlight w:val="none"/>
        </w:rPr>
        <w:t>[2017]141</w:t>
      </w:r>
      <w:r>
        <w:rPr>
          <w:rFonts w:hint="eastAsia" w:ascii="宋体" w:hAnsi="宋体"/>
          <w:bCs/>
          <w:highlight w:val="none"/>
        </w:rPr>
        <w:t>号），属残疾人福利性单位的，供应商须提供《残疾人福利性单位声明函》（详见附件</w:t>
      </w:r>
      <w:r>
        <w:rPr>
          <w:rFonts w:ascii="宋体" w:hAnsi="宋体"/>
          <w:bCs/>
          <w:highlight w:val="none"/>
        </w:rPr>
        <w:t>1</w:t>
      </w:r>
      <w:r>
        <w:rPr>
          <w:rFonts w:hint="eastAsia" w:ascii="宋体" w:hAnsi="宋体"/>
          <w:bCs/>
          <w:highlight w:val="none"/>
          <w:lang w:val="en-US" w:eastAsia="zh-CN"/>
        </w:rPr>
        <w:t>7</w:t>
      </w:r>
      <w:r>
        <w:rPr>
          <w:rFonts w:hint="eastAsia" w:ascii="宋体" w:hAnsi="宋体"/>
          <w:bCs/>
          <w:highlight w:val="none"/>
        </w:rPr>
        <w:t>），并由供应商加盖公章，残疾人福利性单位视同小型、微型企业，享受预留份额、评标中价格扣除等促进中小企业发展的政府采购政策。向残疾人福利性单位采购的金额，计入面向中小企业采购的统计数据。供应商提供的《残疾人福利性单位声明函》资料必须真实，否则，按照有关规定予以处理。</w:t>
      </w:r>
    </w:p>
    <w:p w14:paraId="53EB5335">
      <w:pPr>
        <w:spacing w:line="360" w:lineRule="auto"/>
        <w:ind w:firstLine="480"/>
        <w:jc w:val="left"/>
        <w:rPr>
          <w:rFonts w:hint="eastAsia" w:ascii="宋体" w:hAnsi="宋体" w:cs="宋体"/>
          <w:highlight w:val="none"/>
        </w:rPr>
      </w:pPr>
      <w:r>
        <w:rPr>
          <w:rFonts w:ascii="宋体" w:hAnsi="宋体" w:cs="宋体"/>
          <w:highlight w:val="none"/>
        </w:rPr>
        <w:t xml:space="preserve">20.2 </w:t>
      </w:r>
      <w:r>
        <w:rPr>
          <w:rFonts w:hint="eastAsia" w:ascii="宋体" w:hAnsi="宋体" w:cs="宋体"/>
          <w:highlight w:val="none"/>
        </w:rPr>
        <w:t>比较与评价：经磋商小组确定最终采购需求和提交最后磋商报价的供应商名单后，由确定的供应商在规定的时间内提交最后磋商报价。磋商小组将按磋商文件中规定的评审办法和标准，对合格的磋商响应文件进行综合比较与评价。即在最大限度地满足磋商文件实质性要求的前提下，按照磋商文件中规定的各项因素进行综合评审，以评审总得分由高到低排序推荐预成交候选人。若得分相同时，按最后磋商报价由低到高顺序排列；得分相同且最后磋商报价相同的，按服务能力与方案得分由高到低顺序排列。</w:t>
      </w:r>
    </w:p>
    <w:p w14:paraId="4DA5DEFB">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政府采购评审中出现下列情形之一的，评审委员会应当启动异常低价投标（响应）审查程序：</w:t>
      </w:r>
    </w:p>
    <w:p w14:paraId="7FB36A08">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1.投标（响应）报价低于全部通过符合性审查供应商投标（响应）报价平均值65%的，即投标（响应）报价&lt;全部通过符合性审查供应商投标（响应）报价平均值×65%；</w:t>
      </w:r>
    </w:p>
    <w:p w14:paraId="756F6C4C">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2.投标（响应）报价低于通过符合性审查的次低报价供应商投标（响应）报价65%的，即投标（响应）报价&lt;通过符合性审查的次低报价供应商投标（响应）报价×65%；</w:t>
      </w:r>
    </w:p>
    <w:p w14:paraId="56EC4918">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3.投标（响应）报价低于采购项目最高限价65%的，即投标（响应）报价&lt;采购项目最高限价×65%；</w:t>
      </w:r>
    </w:p>
    <w:p w14:paraId="37227C81">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4.评审委员会基于专业判断，认为供应商报价过低，有可能影响产品质量或者不能诚信履约的其他情形。</w:t>
      </w:r>
    </w:p>
    <w:p w14:paraId="5663ED1C">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相关法律法规对供应商报价有规定的，从其规定。</w:t>
      </w:r>
    </w:p>
    <w:p w14:paraId="49979E95">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DF5C7CF">
      <w:pPr>
        <w:spacing w:line="360" w:lineRule="auto"/>
        <w:ind w:firstLine="480"/>
        <w:jc w:val="left"/>
        <w:rPr>
          <w:rFonts w:hint="eastAsia" w:ascii="宋体" w:hAnsi="宋体" w:eastAsia="宋体" w:cs="宋体"/>
          <w:highlight w:val="none"/>
        </w:rPr>
      </w:pPr>
      <w:r>
        <w:rPr>
          <w:rFonts w:hint="eastAsia" w:ascii="宋体" w:hAnsi="宋体" w:eastAsia="宋体" w:cs="宋体"/>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2619F6F">
      <w:pPr>
        <w:spacing w:line="360" w:lineRule="auto"/>
        <w:ind w:firstLine="480"/>
        <w:jc w:val="left"/>
        <w:rPr>
          <w:rFonts w:hint="eastAsia" w:ascii="宋体" w:hAnsi="宋体"/>
          <w:highlight w:val="none"/>
        </w:rPr>
      </w:pPr>
      <w:r>
        <w:rPr>
          <w:rFonts w:hint="eastAsia" w:ascii="宋体" w:hAnsi="宋体"/>
          <w:highlight w:val="none"/>
        </w:rPr>
        <w:t>评审标准和分值分配：</w:t>
      </w:r>
      <w:bookmarkStart w:id="113" w:name="_Toc325726025"/>
      <w:bookmarkStart w:id="114" w:name="_Toc376936756"/>
      <w:bookmarkStart w:id="115" w:name="_Toc496626219"/>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1210"/>
        <w:gridCol w:w="6135"/>
      </w:tblGrid>
      <w:tr w14:paraId="4B01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89" w:type="pct"/>
            <w:vAlign w:val="center"/>
          </w:tcPr>
          <w:p w14:paraId="5B0077D4">
            <w:pPr>
              <w:widowControl/>
              <w:spacing w:line="240" w:lineRule="auto"/>
              <w:ind w:firstLine="0" w:firstLineChars="0"/>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评审内容</w:t>
            </w:r>
          </w:p>
        </w:tc>
        <w:tc>
          <w:tcPr>
            <w:tcW w:w="710" w:type="pct"/>
            <w:vAlign w:val="center"/>
          </w:tcPr>
          <w:p w14:paraId="54D3A119">
            <w:pPr>
              <w:widowControl/>
              <w:spacing w:line="24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zh-CN"/>
              </w:rPr>
              <w:t>评审</w:t>
            </w:r>
            <w:r>
              <w:rPr>
                <w:rFonts w:hint="eastAsia" w:ascii="宋体" w:hAnsi="宋体" w:eastAsia="宋体" w:cs="宋体"/>
                <w:b/>
                <w:color w:val="auto"/>
                <w:kern w:val="0"/>
                <w:sz w:val="21"/>
                <w:szCs w:val="21"/>
                <w:highlight w:val="none"/>
              </w:rPr>
              <w:t>因素</w:t>
            </w:r>
          </w:p>
        </w:tc>
        <w:tc>
          <w:tcPr>
            <w:tcW w:w="3600" w:type="pct"/>
            <w:vAlign w:val="center"/>
          </w:tcPr>
          <w:p w14:paraId="7CAB119A">
            <w:pPr>
              <w:widowControl/>
              <w:spacing w:line="240" w:lineRule="auto"/>
              <w:ind w:firstLine="0" w:firstLineChars="0"/>
              <w:jc w:val="center"/>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rPr>
              <w:t>评审标准</w:t>
            </w:r>
          </w:p>
        </w:tc>
      </w:tr>
      <w:tr w14:paraId="7E36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89" w:type="pct"/>
            <w:vAlign w:val="center"/>
          </w:tcPr>
          <w:p w14:paraId="3A1A7391">
            <w:pPr>
              <w:spacing w:line="240" w:lineRule="auto"/>
              <w:ind w:firstLine="0" w:firstLineChars="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rPr>
              <w:t>磋商</w:t>
            </w:r>
            <w:r>
              <w:rPr>
                <w:rFonts w:hint="eastAsia" w:ascii="宋体" w:hAnsi="宋体" w:eastAsia="宋体" w:cs="宋体"/>
                <w:b/>
                <w:bCs w:val="0"/>
                <w:color w:val="auto"/>
                <w:kern w:val="0"/>
                <w:sz w:val="21"/>
                <w:szCs w:val="21"/>
                <w:highlight w:val="none"/>
              </w:rPr>
              <w:t>报价</w:t>
            </w:r>
          </w:p>
          <w:p w14:paraId="7D1EB149">
            <w:pPr>
              <w:spacing w:line="24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bCs w:val="0"/>
                <w:color w:val="auto"/>
                <w:kern w:val="0"/>
                <w:sz w:val="21"/>
                <w:szCs w:val="21"/>
                <w:highlight w:val="none"/>
              </w:rPr>
              <w:t>(1</w:t>
            </w:r>
            <w:r>
              <w:rPr>
                <w:rFonts w:hint="eastAsia" w:ascii="宋体" w:hAnsi="宋体" w:eastAsia="宋体" w:cs="宋体"/>
                <w:b/>
                <w:bCs w:val="0"/>
                <w:color w:val="auto"/>
                <w:kern w:val="0"/>
                <w:sz w:val="21"/>
                <w:szCs w:val="21"/>
                <w:highlight w:val="none"/>
                <w:lang w:val="en-US" w:eastAsia="zh-CN"/>
              </w:rPr>
              <w:t>0</w:t>
            </w:r>
            <w:r>
              <w:rPr>
                <w:rFonts w:hint="eastAsia" w:ascii="宋体" w:hAnsi="宋体" w:eastAsia="宋体" w:cs="宋体"/>
                <w:b/>
                <w:bCs w:val="0"/>
                <w:color w:val="auto"/>
                <w:kern w:val="0"/>
                <w:sz w:val="21"/>
                <w:szCs w:val="21"/>
                <w:highlight w:val="none"/>
              </w:rPr>
              <w:t>分)</w:t>
            </w:r>
          </w:p>
        </w:tc>
        <w:tc>
          <w:tcPr>
            <w:tcW w:w="710" w:type="pct"/>
            <w:vAlign w:val="center"/>
          </w:tcPr>
          <w:p w14:paraId="2C289C2E">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报价分</w:t>
            </w:r>
          </w:p>
          <w:p w14:paraId="7CCCF7A4">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（10分）</w:t>
            </w:r>
          </w:p>
        </w:tc>
        <w:tc>
          <w:tcPr>
            <w:tcW w:w="3600" w:type="pct"/>
            <w:vAlign w:val="center"/>
          </w:tcPr>
          <w:p w14:paraId="29F98199">
            <w:pPr>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满足磋商文件要求且最后报价最低的供应商的价格为磋商基准价，其价格分为满分。其他供应商的价格分统一按照下列公式计算：</w:t>
            </w:r>
          </w:p>
          <w:p w14:paraId="53F56EDE">
            <w:pPr>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磋商报价得分=（磋商基准价/最后磋商报价）×</w:t>
            </w:r>
            <w:r>
              <w:rPr>
                <w:rFonts w:hint="eastAsia" w:ascii="宋体" w:hAnsi="宋体" w:eastAsia="宋体" w:cs="宋体"/>
                <w:color w:val="auto"/>
                <w:kern w:val="0"/>
                <w:sz w:val="21"/>
                <w:szCs w:val="21"/>
                <w:highlight w:val="none"/>
                <w:lang w:val="en-US" w:eastAsia="zh-CN"/>
              </w:rPr>
              <w:t>10（四舍五入后保留小数点后两位）</w:t>
            </w:r>
          </w:p>
        </w:tc>
      </w:tr>
      <w:tr w14:paraId="2D3D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689" w:type="pct"/>
            <w:vMerge w:val="restart"/>
            <w:vAlign w:val="center"/>
          </w:tcPr>
          <w:p w14:paraId="3EF7A055">
            <w:pPr>
              <w:spacing w:line="240" w:lineRule="auto"/>
              <w:ind w:firstLine="0" w:firstLineChars="0"/>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商务部分（34分）</w:t>
            </w:r>
          </w:p>
        </w:tc>
        <w:tc>
          <w:tcPr>
            <w:tcW w:w="710" w:type="pct"/>
            <w:shd w:val="clear" w:color="auto" w:fill="auto"/>
            <w:vAlign w:val="center"/>
          </w:tcPr>
          <w:p w14:paraId="65E61B66">
            <w:pPr>
              <w:pStyle w:val="24"/>
              <w:spacing w:before="0" w:beforeAutospacing="0" w:after="0" w:afterAutospacing="0" w:line="240" w:lineRule="auto"/>
              <w:jc w:val="center"/>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rPr>
              <w:t>企业实力（11分）</w:t>
            </w:r>
          </w:p>
        </w:tc>
        <w:tc>
          <w:tcPr>
            <w:tcW w:w="3600" w:type="pct"/>
            <w:shd w:val="clear" w:color="auto" w:fill="auto"/>
            <w:vAlign w:val="center"/>
          </w:tcPr>
          <w:p w14:paraId="44554E38">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1、供应商须具备数据管理能力成熟度三级及以上，且信息系统建设服务能力达到CS4级及以上，每具备1项得1分，不具备不得分，最多得2分。</w:t>
            </w:r>
          </w:p>
          <w:p w14:paraId="03D01143">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2、提供数据治理服务配套工具应具有自主知识产权，出具与本次项目相关的数据治理、数据标准、数据仓库、数据分类分级、数据安全、数据分析等计算机软件著作权登记证书，每有一项得1分，最多得5分。</w:t>
            </w:r>
          </w:p>
          <w:p w14:paraId="7FA03B81">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3、所投数据治理配套服务工具满足无后门、无恶意代码，具备访问控制、安全审计、数据完整性、数据</w:t>
            </w:r>
            <w:r>
              <w:rPr>
                <w:rFonts w:hint="eastAsia" w:ascii="宋体" w:hAnsi="宋体" w:cs="宋体"/>
                <w:color w:val="auto"/>
                <w:kern w:val="0"/>
                <w:sz w:val="21"/>
                <w:szCs w:val="21"/>
                <w:highlight w:val="none"/>
                <w:lang w:val="en-US" w:eastAsia="zh-CN"/>
              </w:rPr>
              <w:t>守</w:t>
            </w:r>
            <w:r>
              <w:rPr>
                <w:rFonts w:hint="eastAsia" w:ascii="宋体" w:hAnsi="宋体" w:eastAsia="宋体" w:cs="宋体"/>
                <w:color w:val="auto"/>
                <w:kern w:val="0"/>
                <w:sz w:val="21"/>
                <w:szCs w:val="21"/>
                <w:highlight w:val="none"/>
                <w:lang w:val="en-US" w:eastAsia="zh-CN"/>
              </w:rPr>
              <w:t>密性、会话管理等安全功能机制，且提供带有CNAS或CMA标识的国家认可第三方测试报告（检测结论明确体现工具符合该类安全要求），得2分；未提供报告、检测结论不支持要求的，不得分。​</w:t>
            </w:r>
          </w:p>
          <w:p w14:paraId="789B438A">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4、所投数据治理配套服务工具需满足以下全部性能参数要求，且提供带有 CNAS 或 CMA 标识的国家认可第三方测试报告（报告需明确体现各参数实测结果，且实测值不低于要求值），得 2 分；未提供报告、报告未覆盖全部参数或任意一项参数实测值不达标，不得分：​</w:t>
            </w:r>
          </w:p>
          <w:p w14:paraId="7AC76839">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单节点吞吐能力≥50万条/秒、数据抽取能力≥100Mb/s；​</w:t>
            </w:r>
          </w:p>
          <w:p w14:paraId="29CB8FA2">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数据处理峰值≥10亿条/小时、吞吐能力≥100G/小时；​</w:t>
            </w:r>
          </w:p>
          <w:p w14:paraId="4E5B3D87">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任务并发处理能力≥80条/秒；​</w:t>
            </w:r>
          </w:p>
          <w:p w14:paraId="6C160E3E">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支持不少于500个API 服务、日均API调用处理能力≥75万次，且实现万条数据秒级响应。</w:t>
            </w:r>
          </w:p>
          <w:p w14:paraId="2CE2430F">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注：需提供以上证书复印（或扫描）件，未提供不得分。</w:t>
            </w:r>
          </w:p>
        </w:tc>
      </w:tr>
      <w:tr w14:paraId="30A7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89" w:type="pct"/>
            <w:vMerge w:val="continue"/>
            <w:vAlign w:val="center"/>
          </w:tcPr>
          <w:p w14:paraId="3D06B619">
            <w:pPr>
              <w:spacing w:line="240" w:lineRule="auto"/>
              <w:ind w:firstLine="0" w:firstLineChars="0"/>
              <w:jc w:val="center"/>
              <w:rPr>
                <w:rFonts w:hint="eastAsia" w:ascii="宋体" w:hAnsi="宋体" w:eastAsia="宋体" w:cs="宋体"/>
                <w:b/>
                <w:color w:val="auto"/>
                <w:kern w:val="0"/>
                <w:sz w:val="21"/>
                <w:szCs w:val="21"/>
                <w:highlight w:val="none"/>
                <w:lang w:val="en-US" w:eastAsia="zh-CN"/>
              </w:rPr>
            </w:pPr>
          </w:p>
        </w:tc>
        <w:tc>
          <w:tcPr>
            <w:tcW w:w="710" w:type="pct"/>
            <w:shd w:val="clear" w:color="auto" w:fill="auto"/>
            <w:vAlign w:val="center"/>
          </w:tcPr>
          <w:p w14:paraId="14F8BBFF">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类似业绩</w:t>
            </w:r>
          </w:p>
          <w:p w14:paraId="2DBF613C">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12</w:t>
            </w:r>
            <w:r>
              <w:rPr>
                <w:rFonts w:hint="eastAsia" w:ascii="宋体" w:hAnsi="宋体" w:eastAsia="宋体" w:cs="宋体"/>
                <w:b w:val="0"/>
                <w:bCs/>
                <w:color w:val="auto"/>
                <w:kern w:val="0"/>
                <w:sz w:val="21"/>
                <w:szCs w:val="21"/>
                <w:highlight w:val="none"/>
              </w:rPr>
              <w:t>分)</w:t>
            </w:r>
          </w:p>
        </w:tc>
        <w:tc>
          <w:tcPr>
            <w:tcW w:w="3600" w:type="pct"/>
            <w:shd w:val="clear" w:color="auto" w:fill="auto"/>
            <w:vAlign w:val="center"/>
          </w:tcPr>
          <w:p w14:paraId="7CB33E3D">
            <w:pPr>
              <w:numPr>
                <w:ilvl w:val="0"/>
                <w:numId w:val="0"/>
              </w:num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rPr>
              <w:t>供应商须提供2023年1月1日（以合同签订时间为准）以来类似项目业绩（包含数据标准建设、数据应用场景建设、数据中台建设等），每提供一份得2分，满分10分。</w:t>
            </w:r>
          </w:p>
          <w:p w14:paraId="4196637C">
            <w:pPr>
              <w:numPr>
                <w:ilvl w:val="0"/>
                <w:numId w:val="0"/>
              </w:num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rPr>
              <w:t>所投数据治理配套服务工具，在其他项目中已完成三级及以上等级保护测评工作，提供以下证明材料齐全得2分，缺项或材料无效不得分：对应项目的等保三级及以上测评证书（或测评合格报告）；该工具在对应项目的应用证明（如项目合同关键页、甲方验收证明等，需体现工具名称及等保测评完成情况）。</w:t>
            </w:r>
          </w:p>
          <w:p w14:paraId="2FB3C46C">
            <w:pPr>
              <w:spacing w:line="24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注：响应文件中需附上述业绩合同的复印件，至少包含合同首页、合同盖章页、采购清单页、中标通知书和验收报告。同一业主单位的业绩不重复计算得分，同时提供对应业绩使用单位的联系方式。</w:t>
            </w:r>
          </w:p>
        </w:tc>
      </w:tr>
      <w:tr w14:paraId="1C66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9" w:type="pct"/>
            <w:vMerge w:val="continue"/>
            <w:vAlign w:val="center"/>
          </w:tcPr>
          <w:p w14:paraId="60E28393">
            <w:pPr>
              <w:spacing w:line="240" w:lineRule="auto"/>
              <w:ind w:firstLine="0" w:firstLineChars="0"/>
              <w:jc w:val="center"/>
              <w:rPr>
                <w:rFonts w:hint="eastAsia" w:ascii="宋体" w:hAnsi="宋体" w:eastAsia="宋体" w:cs="宋体"/>
                <w:b/>
                <w:color w:val="auto"/>
                <w:kern w:val="0"/>
                <w:sz w:val="21"/>
                <w:szCs w:val="21"/>
                <w:highlight w:val="none"/>
                <w:lang w:val="en-US" w:eastAsia="zh-CN"/>
              </w:rPr>
            </w:pPr>
          </w:p>
        </w:tc>
        <w:tc>
          <w:tcPr>
            <w:tcW w:w="710" w:type="pct"/>
            <w:vAlign w:val="center"/>
          </w:tcPr>
          <w:p w14:paraId="66EB85F0">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拟派团队人员</w:t>
            </w:r>
          </w:p>
          <w:p w14:paraId="2E8EE415">
            <w:pPr>
              <w:spacing w:line="240" w:lineRule="auto"/>
              <w:ind w:firstLine="0" w:firstLineChars="0"/>
              <w:jc w:val="center"/>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11分</w:t>
            </w:r>
            <w:r>
              <w:rPr>
                <w:rFonts w:hint="eastAsia" w:ascii="宋体" w:hAnsi="宋体" w:eastAsia="宋体" w:cs="宋体"/>
                <w:b w:val="0"/>
                <w:bCs/>
                <w:color w:val="auto"/>
                <w:kern w:val="0"/>
                <w:sz w:val="21"/>
                <w:szCs w:val="21"/>
                <w:highlight w:val="none"/>
                <w:lang w:eastAsia="zh-CN"/>
              </w:rPr>
              <w:t>）</w:t>
            </w:r>
          </w:p>
        </w:tc>
        <w:tc>
          <w:tcPr>
            <w:tcW w:w="3600" w:type="pct"/>
            <w:shd w:val="clear" w:color="auto" w:fill="auto"/>
            <w:vAlign w:val="center"/>
          </w:tcPr>
          <w:p w14:paraId="3998B5E6">
            <w:pPr>
              <w:spacing w:line="24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1、项目经理（1人）</w:t>
            </w:r>
          </w:p>
          <w:p w14:paraId="4DC36791">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具有不少于2个数据治理相关项目经验，提供相关合同等证明材料，满足要求得1分，不提供不得分；具备项目管理、大数据、信息安全、软件开发相关</w:t>
            </w:r>
            <w:r>
              <w:rPr>
                <w:rFonts w:hint="eastAsia" w:ascii="宋体" w:hAnsi="宋体" w:eastAsia="宋体" w:cs="宋体"/>
                <w:b w:val="0"/>
                <w:bCs w:val="0"/>
                <w:color w:val="auto"/>
                <w:kern w:val="0"/>
                <w:sz w:val="21"/>
                <w:szCs w:val="21"/>
                <w:highlight w:val="none"/>
                <w:lang w:val="en-US" w:eastAsia="zh-CN"/>
              </w:rPr>
              <w:t>国家软考等中级及以上职业资格证书</w:t>
            </w:r>
            <w:r>
              <w:rPr>
                <w:rFonts w:hint="eastAsia" w:ascii="宋体" w:hAnsi="宋体" w:eastAsia="宋体" w:cs="宋体"/>
                <w:color w:val="auto"/>
                <w:kern w:val="0"/>
                <w:sz w:val="21"/>
                <w:szCs w:val="21"/>
                <w:highlight w:val="none"/>
                <w:lang w:val="en-US" w:eastAsia="zh-CN"/>
              </w:rPr>
              <w:t>，每提供一类证书得1分，重复提供相同类别证书不得分。此项最多得4分。</w:t>
            </w:r>
          </w:p>
          <w:p w14:paraId="5C93F4A8">
            <w:pPr>
              <w:spacing w:line="24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2、实施人员（5人，不含项目经理）</w:t>
            </w:r>
          </w:p>
          <w:p w14:paraId="5F636DDD">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团队中提供人员具有数据标准、数据应用场景（含工程开发）、数据仓库、数据管理、数据分类分级、数据安全（含信息安全）、数据分析等数据治理类的项目服务经验，提供以上职业资格或专业技术认证证书及负责、参与相关项目证明材料，每提供1人得1分，最多得5分，不满足或不提供不得分。</w:t>
            </w:r>
          </w:p>
          <w:p w14:paraId="0389A7DC">
            <w:pPr>
              <w:spacing w:line="24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3、驻场运维工程师（2人）</w:t>
            </w:r>
          </w:p>
          <w:p w14:paraId="2D839E56">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供应商须为本项目提供1年驻场服务，驻场运维工程师需具备至少两个相关数据治理项目经验，提供能力与经验证明材料。满足以上要求的得2分，不能充分满足的得1分，不满足或不提供不得分。</w:t>
            </w:r>
          </w:p>
          <w:p w14:paraId="2B91EB66">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注：以上涉及到的人员证书、证件，须提供人员有效期内身份证、对应资质证书复印件，及近6个月在本次投标单位的连续社保缴纳证明复印件，所有资料真实有效；</w:t>
            </w:r>
          </w:p>
          <w:p w14:paraId="3FABABF3">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证书须为国家人社部、工信部及工信部教育与考试中心等官方授权评价机构颁发的正规有效资质；</w:t>
            </w:r>
          </w:p>
          <w:p w14:paraId="5368A8F9">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证书不在有效期、材料不全、人员社保不符或资质不符合对应专业类别要求的，本项不得分。</w:t>
            </w:r>
          </w:p>
        </w:tc>
      </w:tr>
      <w:tr w14:paraId="4473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89" w:type="pct"/>
            <w:vMerge w:val="restart"/>
            <w:vAlign w:val="center"/>
          </w:tcPr>
          <w:p w14:paraId="458D7774">
            <w:pPr>
              <w:spacing w:line="240" w:lineRule="auto"/>
              <w:ind w:firstLine="0" w:firstLineChars="0"/>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技术部分（46分）</w:t>
            </w:r>
          </w:p>
        </w:tc>
        <w:tc>
          <w:tcPr>
            <w:tcW w:w="710" w:type="pct"/>
            <w:shd w:val="clear" w:color="auto" w:fill="auto"/>
            <w:vAlign w:val="center"/>
          </w:tcPr>
          <w:p w14:paraId="6C55D328">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项目需求理解</w:t>
            </w:r>
          </w:p>
          <w:p w14:paraId="2A5A23F6">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（4分）</w:t>
            </w:r>
          </w:p>
        </w:tc>
        <w:tc>
          <w:tcPr>
            <w:tcW w:w="3600" w:type="pct"/>
            <w:shd w:val="clear" w:color="auto" w:fill="auto"/>
            <w:vAlign w:val="center"/>
          </w:tcPr>
          <w:p w14:paraId="2C5407D6">
            <w:pPr>
              <w:keepNext w:val="0"/>
              <w:keepLines w:val="0"/>
              <w:pageBreakBefore w:val="0"/>
              <w:widowControl w:val="0"/>
              <w:kinsoku/>
              <w:wordWrap/>
              <w:overflowPunct/>
              <w:topLinePunct w:val="0"/>
              <w:autoSpaceDE/>
              <w:autoSpaceDN/>
              <w:bidi w:val="0"/>
              <w:adjustRightInd/>
              <w:snapToGrid/>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需针对本项目提供项目需求理解方案，包含：①项目理解②对用户整体需求分析和重点难点分析。方案内容完全满足以上要求且专门针对本项目的得4分，每缺少一项内容扣2分，每有一项内容存在缺陷，或此项内容部分不能满足采购需求的扣1分。</w:t>
            </w:r>
          </w:p>
          <w:p w14:paraId="7BB8058F">
            <w:pPr>
              <w:keepNext w:val="0"/>
              <w:keepLines w:val="0"/>
              <w:pageBreakBefore w:val="0"/>
              <w:widowControl w:val="0"/>
              <w:kinsoku/>
              <w:wordWrap/>
              <w:overflowPunct/>
              <w:topLinePunct w:val="0"/>
              <w:autoSpaceDE/>
              <w:autoSpaceDN/>
              <w:bidi w:val="0"/>
              <w:adjustRightInd/>
              <w:snapToGrid/>
              <w:ind w:left="0"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内容存在缺陷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等任意一种情形。</w:t>
            </w:r>
          </w:p>
        </w:tc>
      </w:tr>
      <w:tr w14:paraId="2C6F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89" w:type="pct"/>
            <w:vMerge w:val="continue"/>
            <w:vAlign w:val="center"/>
          </w:tcPr>
          <w:p w14:paraId="0E5FD27C">
            <w:pPr>
              <w:spacing w:line="240" w:lineRule="auto"/>
              <w:ind w:firstLine="0" w:firstLineChars="0"/>
              <w:jc w:val="center"/>
              <w:rPr>
                <w:rFonts w:hint="eastAsia" w:ascii="宋体" w:hAnsi="宋体" w:eastAsia="宋体" w:cs="宋体"/>
                <w:b/>
                <w:color w:val="auto"/>
                <w:kern w:val="0"/>
                <w:sz w:val="21"/>
                <w:szCs w:val="21"/>
                <w:highlight w:val="none"/>
                <w:lang w:val="en-US" w:eastAsia="zh-CN"/>
              </w:rPr>
            </w:pPr>
          </w:p>
        </w:tc>
        <w:tc>
          <w:tcPr>
            <w:tcW w:w="710" w:type="pct"/>
            <w:shd w:val="clear" w:color="auto" w:fill="auto"/>
            <w:vAlign w:val="center"/>
          </w:tcPr>
          <w:p w14:paraId="791906BD">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eastAsia="zh-CN"/>
              </w:rPr>
              <w:t>数据标准建设服务</w:t>
            </w:r>
            <w:r>
              <w:rPr>
                <w:rFonts w:hint="eastAsia" w:ascii="宋体" w:hAnsi="宋体" w:eastAsia="宋体" w:cs="宋体"/>
                <w:b w:val="0"/>
                <w:bCs/>
                <w:color w:val="auto"/>
                <w:kern w:val="0"/>
                <w:sz w:val="21"/>
                <w:szCs w:val="21"/>
                <w:highlight w:val="none"/>
                <w:lang w:val="en-US" w:eastAsia="zh-CN"/>
              </w:rPr>
              <w:t>方案（6分）</w:t>
            </w:r>
          </w:p>
        </w:tc>
        <w:tc>
          <w:tcPr>
            <w:tcW w:w="3600" w:type="pct"/>
            <w:shd w:val="clear" w:color="auto" w:fill="auto"/>
            <w:vAlign w:val="center"/>
          </w:tcPr>
          <w:p w14:paraId="10861948">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需针对本项目提供方案，包含：①技术服务团队与数据标准调研；②数据标准建设文案编制；③“一数一源”与数据责任确权。针对上述每一项要求作出了详细的方案且符合采购需求的得6分；每缺少一项内容扣2分；所提供的每项内容中每有一处具有缺陷的扣1分，扣完为止。</w:t>
            </w:r>
          </w:p>
          <w:p w14:paraId="0228C0D4">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注：内容存在缺陷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等任意一种情形。</w:t>
            </w:r>
          </w:p>
        </w:tc>
      </w:tr>
      <w:tr w14:paraId="765A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89" w:type="pct"/>
            <w:vMerge w:val="continue"/>
            <w:vAlign w:val="center"/>
          </w:tcPr>
          <w:p w14:paraId="6E89E6E7">
            <w:pPr>
              <w:spacing w:line="240" w:lineRule="auto"/>
              <w:ind w:firstLine="0" w:firstLineChars="0"/>
              <w:jc w:val="center"/>
              <w:rPr>
                <w:rFonts w:hint="eastAsia" w:ascii="宋体" w:hAnsi="宋体" w:eastAsia="宋体" w:cs="宋体"/>
                <w:b/>
                <w:color w:val="auto"/>
                <w:kern w:val="0"/>
                <w:sz w:val="21"/>
                <w:szCs w:val="21"/>
                <w:highlight w:val="none"/>
                <w:lang w:val="en-US" w:eastAsia="zh-CN"/>
              </w:rPr>
            </w:pPr>
          </w:p>
        </w:tc>
        <w:tc>
          <w:tcPr>
            <w:tcW w:w="710" w:type="pct"/>
            <w:shd w:val="clear" w:color="auto" w:fill="auto"/>
            <w:vAlign w:val="center"/>
          </w:tcPr>
          <w:p w14:paraId="0263EFC8">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eastAsia="zh-CN"/>
              </w:rPr>
              <w:t>数据标准实施服务</w:t>
            </w:r>
            <w:r>
              <w:rPr>
                <w:rFonts w:hint="eastAsia" w:ascii="宋体" w:hAnsi="宋体" w:eastAsia="宋体" w:cs="宋体"/>
                <w:b w:val="0"/>
                <w:bCs/>
                <w:color w:val="auto"/>
                <w:kern w:val="0"/>
                <w:sz w:val="21"/>
                <w:szCs w:val="21"/>
                <w:highlight w:val="none"/>
                <w:lang w:val="en-US" w:eastAsia="zh-CN"/>
              </w:rPr>
              <w:t>方案</w:t>
            </w:r>
          </w:p>
          <w:p w14:paraId="7816AB3A">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（12分）</w:t>
            </w:r>
          </w:p>
        </w:tc>
        <w:tc>
          <w:tcPr>
            <w:tcW w:w="3600" w:type="pct"/>
            <w:shd w:val="clear" w:color="auto" w:fill="auto"/>
            <w:vAlign w:val="center"/>
          </w:tcPr>
          <w:p w14:paraId="153D2969">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需针对本项目提供方案，包含：①数据源治理与数据识别；②多形态数据源对接与调度；③数据仓库搭建与历史数据管理及接口替代服务；④数据资源目录构建；⑤个人工作台与事项管理；⑥配套数据治理工具部署和迁移。针对上述每一项要求作出了详细的方案且符合采购需求的得12分；每缺少一项内容扣2分；所提供的每项内容中每有一处具有缺陷的扣1分，扣完为止。</w:t>
            </w:r>
          </w:p>
          <w:p w14:paraId="6A92EB56">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注：内容存在缺陷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等任意一种情形。</w:t>
            </w:r>
          </w:p>
        </w:tc>
      </w:tr>
      <w:tr w14:paraId="7E99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89" w:type="pct"/>
            <w:vMerge w:val="continue"/>
            <w:vAlign w:val="center"/>
          </w:tcPr>
          <w:p w14:paraId="0F03E004">
            <w:pPr>
              <w:spacing w:line="240" w:lineRule="auto"/>
              <w:ind w:firstLine="0" w:firstLineChars="0"/>
              <w:jc w:val="center"/>
              <w:rPr>
                <w:rFonts w:hint="eastAsia" w:ascii="宋体" w:hAnsi="宋体" w:eastAsia="宋体" w:cs="宋体"/>
                <w:b/>
                <w:color w:val="auto"/>
                <w:kern w:val="0"/>
                <w:sz w:val="21"/>
                <w:szCs w:val="21"/>
                <w:highlight w:val="none"/>
                <w:lang w:val="en-US" w:eastAsia="zh-CN"/>
              </w:rPr>
            </w:pPr>
          </w:p>
        </w:tc>
        <w:tc>
          <w:tcPr>
            <w:tcW w:w="710" w:type="pct"/>
            <w:shd w:val="clear" w:color="auto" w:fill="auto"/>
            <w:vAlign w:val="center"/>
          </w:tcPr>
          <w:p w14:paraId="26DCB6F2">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eastAsia="zh-CN"/>
              </w:rPr>
              <w:t>数据应用场景服务</w:t>
            </w:r>
            <w:r>
              <w:rPr>
                <w:rFonts w:hint="eastAsia" w:ascii="宋体" w:hAnsi="宋体" w:eastAsia="宋体" w:cs="宋体"/>
                <w:b w:val="0"/>
                <w:bCs/>
                <w:color w:val="auto"/>
                <w:kern w:val="0"/>
                <w:sz w:val="21"/>
                <w:szCs w:val="21"/>
                <w:highlight w:val="none"/>
                <w:lang w:val="en-US" w:eastAsia="zh-CN"/>
              </w:rPr>
              <w:t>方案</w:t>
            </w:r>
          </w:p>
          <w:p w14:paraId="5BA2BD48">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10分</w:t>
            </w:r>
            <w:r>
              <w:rPr>
                <w:rFonts w:hint="eastAsia" w:ascii="宋体" w:hAnsi="宋体" w:eastAsia="宋体" w:cs="宋体"/>
                <w:b w:val="0"/>
                <w:bCs/>
                <w:color w:val="auto"/>
                <w:kern w:val="0"/>
                <w:sz w:val="21"/>
                <w:szCs w:val="21"/>
                <w:highlight w:val="none"/>
                <w:lang w:eastAsia="zh-CN"/>
              </w:rPr>
              <w:t>）</w:t>
            </w:r>
          </w:p>
        </w:tc>
        <w:tc>
          <w:tcPr>
            <w:tcW w:w="3600" w:type="pct"/>
            <w:shd w:val="clear" w:color="auto" w:fill="auto"/>
            <w:vAlign w:val="center"/>
          </w:tcPr>
          <w:p w14:paraId="14736BF3">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需针对本项目提供方案，包含：①指标体系构建、全生命周期管理及校内指标市场运营服务；②数据可视化与决策驾驶舱开发服务；③人才数据应用场景深度开发服务；④人才引进全流程开发与数据采集服务；⑤学生数据预警体系建设与闭环处置服务。针对上述每一项要求作出了详细的方案且符合采购需求的得10分；每缺少一项内容扣2分；所提供的每项内容中每有一处具有缺陷的扣1分，扣完为止。</w:t>
            </w:r>
          </w:p>
          <w:p w14:paraId="6B5998FD">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注：内容存在缺陷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等任意一种情形。</w:t>
            </w:r>
          </w:p>
        </w:tc>
      </w:tr>
      <w:tr w14:paraId="58BA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89" w:type="pct"/>
            <w:vMerge w:val="continue"/>
            <w:vAlign w:val="center"/>
          </w:tcPr>
          <w:p w14:paraId="13D80FCA">
            <w:pPr>
              <w:spacing w:line="240" w:lineRule="auto"/>
              <w:ind w:firstLine="0" w:firstLineChars="0"/>
              <w:jc w:val="center"/>
              <w:rPr>
                <w:rFonts w:hint="eastAsia" w:ascii="宋体" w:hAnsi="宋体" w:eastAsia="宋体" w:cs="宋体"/>
                <w:b/>
                <w:color w:val="auto"/>
                <w:kern w:val="0"/>
                <w:sz w:val="21"/>
                <w:szCs w:val="21"/>
                <w:highlight w:val="none"/>
                <w:lang w:val="en-US" w:eastAsia="zh-CN"/>
              </w:rPr>
            </w:pPr>
          </w:p>
        </w:tc>
        <w:tc>
          <w:tcPr>
            <w:tcW w:w="710" w:type="pct"/>
            <w:shd w:val="clear" w:color="auto" w:fill="auto"/>
            <w:vAlign w:val="center"/>
          </w:tcPr>
          <w:p w14:paraId="11030AD2">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数据质量与安全保障服务方案</w:t>
            </w:r>
          </w:p>
          <w:p w14:paraId="117AAF63">
            <w:pPr>
              <w:spacing w:line="240" w:lineRule="auto"/>
              <w:ind w:firstLine="0" w:firstLineChars="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（8分）</w:t>
            </w:r>
          </w:p>
        </w:tc>
        <w:tc>
          <w:tcPr>
            <w:tcW w:w="3600" w:type="pct"/>
            <w:shd w:val="clear" w:color="auto" w:fill="auto"/>
            <w:vAlign w:val="center"/>
          </w:tcPr>
          <w:p w14:paraId="77581872">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需针对本项目提供方案，包含：①数据质量规则与检测服务②数据质量评价、报告与持续改进服务③数据分类分级梳理与智能识别服务④数据安全策略、审计审批与备份保障服务。针对上述每一项要求作出了详细的方案且符合采购需求的得8分；每缺少一项内容扣2分；所提供的每项内容中每有一处具有缺陷的扣1分，扣完为止。</w:t>
            </w:r>
          </w:p>
          <w:p w14:paraId="36875390">
            <w:pPr>
              <w:spacing w:line="240" w:lineRule="auto"/>
              <w:ind w:firstLine="420" w:firstLineChars="200"/>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sz w:val="21"/>
                <w:szCs w:val="21"/>
                <w:highlight w:val="none"/>
                <w:lang w:val="en-US" w:eastAsia="zh-CN"/>
              </w:rPr>
              <w:t>注：内容存在缺陷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等任意一种情形。</w:t>
            </w:r>
          </w:p>
        </w:tc>
      </w:tr>
      <w:tr w14:paraId="49F6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89" w:type="pct"/>
            <w:vMerge w:val="continue"/>
            <w:vAlign w:val="center"/>
          </w:tcPr>
          <w:p w14:paraId="0D368295">
            <w:pPr>
              <w:spacing w:line="240" w:lineRule="auto"/>
              <w:ind w:firstLine="0" w:firstLineChars="0"/>
              <w:jc w:val="center"/>
              <w:rPr>
                <w:rFonts w:hint="eastAsia" w:ascii="宋体" w:hAnsi="宋体" w:eastAsia="宋体" w:cs="宋体"/>
                <w:b/>
                <w:color w:val="auto"/>
                <w:kern w:val="0"/>
                <w:sz w:val="21"/>
                <w:szCs w:val="21"/>
                <w:highlight w:val="none"/>
                <w:lang w:val="en-US" w:eastAsia="zh-CN"/>
              </w:rPr>
            </w:pPr>
          </w:p>
        </w:tc>
        <w:tc>
          <w:tcPr>
            <w:tcW w:w="710" w:type="pct"/>
            <w:vAlign w:val="center"/>
          </w:tcPr>
          <w:p w14:paraId="0B57BBB9">
            <w:pPr>
              <w:spacing w:line="240" w:lineRule="auto"/>
              <w:ind w:firstLine="0" w:firstLineChars="0"/>
              <w:jc w:val="center"/>
              <w:rPr>
                <w:rFonts w:hint="eastAsia" w:ascii="宋体" w:hAnsi="宋体" w:eastAsia="宋体" w:cs="宋体"/>
                <w:b w:val="0"/>
                <w:bCs/>
                <w:color w:val="auto"/>
                <w:kern w:val="0"/>
                <w:sz w:val="21"/>
                <w:szCs w:val="21"/>
                <w:highlight w:val="none"/>
                <w:lang w:val="zh-CN" w:eastAsia="zh-CN"/>
              </w:rPr>
            </w:pPr>
            <w:r>
              <w:rPr>
                <w:rFonts w:hint="eastAsia" w:ascii="宋体" w:hAnsi="宋体" w:eastAsia="宋体" w:cs="宋体"/>
                <w:b w:val="0"/>
                <w:bCs/>
                <w:color w:val="auto"/>
                <w:kern w:val="0"/>
                <w:sz w:val="21"/>
                <w:szCs w:val="21"/>
                <w:highlight w:val="none"/>
                <w:lang w:val="zh-CN" w:eastAsia="zh-CN"/>
              </w:rPr>
              <w:t>售后服务方案</w:t>
            </w:r>
          </w:p>
          <w:p w14:paraId="784C6131">
            <w:pPr>
              <w:spacing w:line="240" w:lineRule="auto"/>
              <w:ind w:firstLine="0" w:firstLineChars="0"/>
              <w:jc w:val="center"/>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lang w:val="zh-CN" w:eastAsia="zh-CN"/>
              </w:rPr>
              <w:t>（</w:t>
            </w:r>
            <w:r>
              <w:rPr>
                <w:rFonts w:hint="eastAsia" w:ascii="宋体" w:hAnsi="宋体" w:eastAsia="宋体" w:cs="宋体"/>
                <w:b w:val="0"/>
                <w:bCs/>
                <w:color w:val="auto"/>
                <w:kern w:val="0"/>
                <w:sz w:val="21"/>
                <w:szCs w:val="21"/>
                <w:highlight w:val="none"/>
                <w:lang w:val="en-US" w:eastAsia="zh-CN"/>
              </w:rPr>
              <w:t>6分</w:t>
            </w:r>
            <w:r>
              <w:rPr>
                <w:rFonts w:hint="eastAsia" w:ascii="宋体" w:hAnsi="宋体" w:eastAsia="宋体" w:cs="宋体"/>
                <w:b w:val="0"/>
                <w:bCs/>
                <w:color w:val="auto"/>
                <w:kern w:val="0"/>
                <w:sz w:val="21"/>
                <w:szCs w:val="21"/>
                <w:highlight w:val="none"/>
                <w:lang w:val="zh-CN" w:eastAsia="zh-CN"/>
              </w:rPr>
              <w:t>）</w:t>
            </w:r>
          </w:p>
        </w:tc>
        <w:tc>
          <w:tcPr>
            <w:tcW w:w="3600" w:type="pct"/>
          </w:tcPr>
          <w:p w14:paraId="6BC2B10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针对该项目须有完善的售后服务体系。包含：①服务保障流程及服务保障质量②培训内容及安排③应急响应方案及</w:t>
            </w:r>
            <w:r>
              <w:rPr>
                <w:rFonts w:hint="eastAsia" w:ascii="宋体" w:hAnsi="宋体" w:eastAsia="宋体" w:cs="宋体"/>
                <w:color w:val="auto"/>
                <w:spacing w:val="1"/>
                <w:sz w:val="21"/>
                <w:szCs w:val="21"/>
                <w:highlight w:val="none"/>
                <w:lang w:val="zh-CN"/>
              </w:rPr>
              <w:t>售后服务相关承诺</w:t>
            </w:r>
            <w:r>
              <w:rPr>
                <w:rFonts w:hint="eastAsia" w:ascii="宋体" w:hAnsi="宋体" w:eastAsia="宋体" w:cs="宋体"/>
                <w:color w:val="auto"/>
                <w:sz w:val="21"/>
                <w:szCs w:val="21"/>
                <w:highlight w:val="none"/>
                <w:lang w:val="en-US" w:eastAsia="zh-CN"/>
              </w:rPr>
              <w:t>。方案内容完全满足以上要求且专门针对本项目的得6分，每缺少一项内容扣2分，每有一项内容存在缺陷，或此项内容部分不能满足采购需求的扣1分。</w:t>
            </w:r>
          </w:p>
          <w:p w14:paraId="6B337F9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内容存在缺陷是指方案内容不切合行业实际、不符合行业政策；或存在项目名称错误、地点区域错误、内容与本项目需求无关、方案内容矛盾或表述前后不一致、仅有框架或标题、适用的标准（方法）错误、明显复制其他项目内容；或内容不适用项目实际情况；或内容逻辑漏洞或原理错误等任意一种情形。</w:t>
            </w:r>
          </w:p>
        </w:tc>
      </w:tr>
      <w:tr w14:paraId="6AE5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89" w:type="pct"/>
            <w:vAlign w:val="center"/>
          </w:tcPr>
          <w:p w14:paraId="207D1F03">
            <w:pPr>
              <w:spacing w:line="240" w:lineRule="auto"/>
              <w:ind w:firstLine="0" w:firstLineChars="0"/>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功能演示（10分）</w:t>
            </w:r>
          </w:p>
        </w:tc>
        <w:tc>
          <w:tcPr>
            <w:tcW w:w="710" w:type="pct"/>
            <w:vAlign w:val="center"/>
          </w:tcPr>
          <w:p w14:paraId="52AD483D">
            <w:pPr>
              <w:spacing w:line="240" w:lineRule="auto"/>
              <w:ind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演示</w:t>
            </w:r>
          </w:p>
          <w:p w14:paraId="35689F4B">
            <w:pPr>
              <w:spacing w:line="240" w:lineRule="auto"/>
              <w:ind w:firstLine="0" w:firstLineChar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（10分）</w:t>
            </w:r>
          </w:p>
        </w:tc>
        <w:tc>
          <w:tcPr>
            <w:tcW w:w="3600" w:type="pct"/>
          </w:tcPr>
          <w:p w14:paraId="59F6B4A9">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系统演示，现场系统演示环节时间控制在25分钟内（请供应商自带演示设备进行现场系统演示）。根据演示情况进行评分，演示总共5条，每满足演示要求1条得2分，满分10分，不演示或者演示不全，且不满足不得分。现场演示须基于拟提供服务的真实配套的工具，不得采用录屏视频或者原型进行演示。</w:t>
            </w:r>
          </w:p>
          <w:p w14:paraId="735DEEB8">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1、数据确权工具功能</w:t>
            </w:r>
          </w:p>
          <w:p w14:paraId="6CF91A53">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涉及确权任务管理、数据需求与问题反馈、确权进度监控等。【对应参数指标：一 ・（三）・ 2】</w:t>
            </w:r>
          </w:p>
          <w:p w14:paraId="431A8F9F">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2、API接口数据采集与多级嵌套开发</w:t>
            </w:r>
          </w:p>
          <w:p w14:paraId="300DE02B">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涉及可视化编排、参数传递过滤、多模式API发布等。【对应参数指标：二 ・（一）・ 2 ・（4）】</w:t>
            </w:r>
          </w:p>
          <w:p w14:paraId="70983A16">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3、简历智能处理及人才引进全流程</w:t>
            </w:r>
          </w:p>
          <w:p w14:paraId="104E633C">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涉及简历智能处理、岗位推荐、智能遴选多级审核、全流程考核录用管理以及人才数据脱敏安全、简历库运维和招聘全过程统计溯源等。【对应参数指标：三 ・（三）・ 5 ・（1）】</w:t>
            </w:r>
          </w:p>
          <w:p w14:paraId="45A48E86">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4、学生数据预警场景下预警处置与闭环反馈</w:t>
            </w:r>
          </w:p>
          <w:p w14:paraId="28025DD2">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涉及责任人查看待办预警、在线填报处置意见、自动更新状态并抄送相关人员，超时未处理自动升级提醒等。【对应参数指标：三 ・（四）・ 4】</w:t>
            </w:r>
          </w:p>
          <w:p w14:paraId="1FE1C87D">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5、基于数据安全等级动态生成审批流程</w:t>
            </w:r>
          </w:p>
          <w:p w14:paraId="38A325AC">
            <w:pPr>
              <w:spacing w:line="24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涉及基于数据安全等级、字段所属部门，自动触发差异化审批流程，自动完成字段、文件权限授予等内容。【对应参数指标：四 ・（二）・ 3 ・（3）】</w:t>
            </w:r>
          </w:p>
          <w:p w14:paraId="56E8C9D4">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注：严格按照对应参数指标内容演示。</w:t>
            </w:r>
          </w:p>
        </w:tc>
      </w:tr>
    </w:tbl>
    <w:p w14:paraId="5E9FD317">
      <w:pPr>
        <w:widowControl/>
        <w:spacing w:beforeLines="200" w:afterLines="200"/>
        <w:jc w:val="center"/>
        <w:outlineLvl w:val="1"/>
        <w:rPr>
          <w:rFonts w:ascii="宋体"/>
          <w:b/>
          <w:bCs/>
          <w:kern w:val="0"/>
          <w:sz w:val="36"/>
          <w:szCs w:val="36"/>
          <w:highlight w:val="none"/>
        </w:rPr>
      </w:pPr>
      <w:bookmarkStart w:id="116" w:name="_Toc17204"/>
      <w:r>
        <w:rPr>
          <w:rFonts w:hint="eastAsia" w:ascii="宋体" w:hAnsi="宋体"/>
          <w:b/>
          <w:bCs/>
          <w:kern w:val="0"/>
          <w:sz w:val="36"/>
          <w:szCs w:val="36"/>
          <w:highlight w:val="none"/>
        </w:rPr>
        <w:t>七、</w:t>
      </w:r>
      <w:bookmarkEnd w:id="113"/>
      <w:bookmarkEnd w:id="114"/>
      <w:r>
        <w:rPr>
          <w:rFonts w:hint="eastAsia" w:ascii="宋体" w:hAnsi="宋体"/>
          <w:b/>
          <w:bCs/>
          <w:kern w:val="0"/>
          <w:sz w:val="36"/>
          <w:szCs w:val="36"/>
          <w:highlight w:val="none"/>
        </w:rPr>
        <w:t>成交办法</w:t>
      </w:r>
      <w:bookmarkEnd w:id="115"/>
      <w:bookmarkEnd w:id="116"/>
    </w:p>
    <w:p w14:paraId="4B5B5388">
      <w:pPr>
        <w:widowControl/>
        <w:spacing w:before="100" w:beforeAutospacing="1" w:after="100" w:afterAutospacing="1"/>
        <w:ind w:firstLine="542"/>
        <w:jc w:val="left"/>
        <w:outlineLvl w:val="2"/>
        <w:rPr>
          <w:rFonts w:ascii="宋体"/>
          <w:b/>
          <w:bCs/>
          <w:kern w:val="0"/>
          <w:sz w:val="27"/>
          <w:szCs w:val="27"/>
          <w:highlight w:val="none"/>
        </w:rPr>
      </w:pPr>
      <w:bookmarkStart w:id="117" w:name="_Toc325726026"/>
      <w:bookmarkStart w:id="118" w:name="_Toc376936757"/>
      <w:bookmarkStart w:id="119" w:name="_Toc496626220"/>
      <w:bookmarkStart w:id="120" w:name="_Toc12759"/>
      <w:r>
        <w:rPr>
          <w:rFonts w:ascii="宋体" w:hAnsi="宋体"/>
          <w:b/>
          <w:bCs/>
          <w:kern w:val="0"/>
          <w:sz w:val="27"/>
          <w:szCs w:val="27"/>
          <w:highlight w:val="none"/>
        </w:rPr>
        <w:t>21.</w:t>
      </w:r>
      <w:r>
        <w:rPr>
          <w:rFonts w:hint="eastAsia" w:ascii="宋体" w:hAnsi="宋体"/>
          <w:b/>
          <w:bCs/>
          <w:kern w:val="0"/>
          <w:sz w:val="27"/>
          <w:szCs w:val="27"/>
          <w:highlight w:val="none"/>
        </w:rPr>
        <w:t>推荐并确定成交</w:t>
      </w:r>
      <w:bookmarkEnd w:id="117"/>
      <w:bookmarkEnd w:id="118"/>
      <w:r>
        <w:rPr>
          <w:rFonts w:hint="eastAsia" w:ascii="宋体" w:hAnsi="宋体"/>
          <w:b/>
          <w:bCs/>
          <w:kern w:val="0"/>
          <w:sz w:val="27"/>
          <w:szCs w:val="27"/>
          <w:highlight w:val="none"/>
        </w:rPr>
        <w:t>供应商</w:t>
      </w:r>
      <w:bookmarkEnd w:id="119"/>
      <w:bookmarkEnd w:id="120"/>
    </w:p>
    <w:p w14:paraId="3C0DAFEA">
      <w:pPr>
        <w:spacing w:line="360" w:lineRule="auto"/>
        <w:ind w:firstLine="480"/>
        <w:jc w:val="left"/>
        <w:rPr>
          <w:rFonts w:ascii="宋体"/>
          <w:highlight w:val="none"/>
        </w:rPr>
      </w:pPr>
      <w:r>
        <w:rPr>
          <w:rFonts w:ascii="宋体" w:hAnsi="宋体"/>
          <w:highlight w:val="none"/>
        </w:rPr>
        <w:t>21.1</w:t>
      </w:r>
      <w:r>
        <w:rPr>
          <w:rFonts w:hint="eastAsia" w:ascii="宋体" w:hAnsi="宋体"/>
          <w:highlight w:val="none"/>
        </w:rPr>
        <w:t>磋商小组根据</w:t>
      </w:r>
      <w:r>
        <w:rPr>
          <w:rFonts w:hint="eastAsia" w:ascii="宋体" w:hAnsi="宋体" w:cs="宋体"/>
          <w:highlight w:val="none"/>
        </w:rPr>
        <w:t>评审总得分由高到低排序推荐预中标候选人，并由采购人按顺序确定成交供应商</w:t>
      </w:r>
      <w:r>
        <w:rPr>
          <w:rFonts w:hint="eastAsia" w:ascii="宋体" w:hAnsi="宋体"/>
          <w:highlight w:val="none"/>
        </w:rPr>
        <w:t>。</w:t>
      </w:r>
    </w:p>
    <w:p w14:paraId="7480F10C">
      <w:pPr>
        <w:spacing w:line="360" w:lineRule="auto"/>
        <w:ind w:firstLine="480"/>
        <w:jc w:val="left"/>
        <w:rPr>
          <w:rFonts w:ascii="宋体"/>
          <w:highlight w:val="none"/>
        </w:rPr>
      </w:pPr>
      <w:r>
        <w:rPr>
          <w:rFonts w:ascii="宋体" w:hAnsi="宋体"/>
          <w:highlight w:val="none"/>
        </w:rPr>
        <w:t>21.2</w:t>
      </w:r>
      <w:r>
        <w:rPr>
          <w:rFonts w:hint="eastAsia" w:ascii="宋体" w:hAnsi="宋体"/>
          <w:highlight w:val="none"/>
        </w:rPr>
        <w:t>成交</w:t>
      </w:r>
      <w:r>
        <w:rPr>
          <w:rFonts w:hint="eastAsia" w:ascii="宋体" w:hAnsi="宋体" w:cs="宋体"/>
          <w:highlight w:val="none"/>
        </w:rPr>
        <w:t>供应商</w:t>
      </w:r>
      <w:r>
        <w:rPr>
          <w:rFonts w:hint="eastAsia" w:ascii="宋体" w:hAnsi="宋体"/>
          <w:highlight w:val="none"/>
        </w:rPr>
        <w:t>因不可抗力或自身原因不能履行合同时，采购人可以按照磋商报告推荐的预成交供应商候选人名单排序，确定下一候选人为成交</w:t>
      </w:r>
      <w:r>
        <w:rPr>
          <w:rFonts w:hint="eastAsia" w:ascii="宋体" w:hAnsi="宋体" w:cs="宋体"/>
          <w:highlight w:val="none"/>
        </w:rPr>
        <w:t>供应商</w:t>
      </w:r>
      <w:r>
        <w:rPr>
          <w:rFonts w:hint="eastAsia" w:ascii="宋体" w:hAnsi="宋体"/>
          <w:highlight w:val="none"/>
        </w:rPr>
        <w:t>，也可重新开展政府采购活动。</w:t>
      </w:r>
      <w:bookmarkStart w:id="121" w:name="_Toc325726027"/>
    </w:p>
    <w:p w14:paraId="5E994839">
      <w:pPr>
        <w:widowControl/>
        <w:spacing w:before="100" w:beforeAutospacing="1" w:after="100" w:afterAutospacing="1"/>
        <w:ind w:firstLine="542" w:firstLineChars="200"/>
        <w:jc w:val="left"/>
        <w:outlineLvl w:val="2"/>
        <w:rPr>
          <w:rFonts w:ascii="宋体"/>
          <w:b/>
          <w:bCs/>
          <w:kern w:val="0"/>
          <w:sz w:val="27"/>
          <w:szCs w:val="27"/>
          <w:highlight w:val="none"/>
        </w:rPr>
      </w:pPr>
      <w:bookmarkStart w:id="122" w:name="_Toc12262"/>
      <w:bookmarkStart w:id="123" w:name="_Toc376936759"/>
      <w:bookmarkStart w:id="124" w:name="_Toc325726028"/>
      <w:bookmarkStart w:id="125" w:name="_Toc496626221"/>
      <w:r>
        <w:rPr>
          <w:rFonts w:ascii="宋体" w:hAnsi="宋体"/>
          <w:b/>
          <w:bCs/>
          <w:kern w:val="0"/>
          <w:sz w:val="27"/>
          <w:szCs w:val="27"/>
          <w:highlight w:val="none"/>
        </w:rPr>
        <w:t>22.</w:t>
      </w:r>
      <w:r>
        <w:rPr>
          <w:rFonts w:hint="eastAsia" w:ascii="宋体" w:hAnsi="宋体"/>
          <w:b/>
          <w:bCs/>
          <w:kern w:val="0"/>
          <w:sz w:val="27"/>
          <w:szCs w:val="27"/>
          <w:highlight w:val="none"/>
        </w:rPr>
        <w:t>成交通知</w:t>
      </w:r>
      <w:bookmarkEnd w:id="122"/>
      <w:bookmarkEnd w:id="123"/>
      <w:bookmarkEnd w:id="124"/>
      <w:bookmarkEnd w:id="125"/>
    </w:p>
    <w:p w14:paraId="0BBCFC65">
      <w:pPr>
        <w:spacing w:line="360" w:lineRule="auto"/>
        <w:ind w:firstLine="480"/>
        <w:jc w:val="left"/>
        <w:rPr>
          <w:rFonts w:ascii="宋体"/>
          <w:highlight w:val="none"/>
        </w:rPr>
      </w:pPr>
      <w:r>
        <w:rPr>
          <w:rFonts w:ascii="宋体" w:hAnsi="宋体"/>
          <w:highlight w:val="none"/>
        </w:rPr>
        <w:t>22.1</w:t>
      </w:r>
      <w:r>
        <w:rPr>
          <w:rFonts w:hint="eastAsia" w:ascii="宋体" w:hAnsi="宋体"/>
          <w:highlight w:val="none"/>
        </w:rPr>
        <w:t>采购代理机构自成交供应商确定之日起</w:t>
      </w:r>
      <w:r>
        <w:rPr>
          <w:rFonts w:ascii="宋体" w:hAnsi="宋体"/>
          <w:highlight w:val="none"/>
        </w:rPr>
        <w:t>2</w:t>
      </w:r>
      <w:r>
        <w:rPr>
          <w:rFonts w:hint="eastAsia" w:ascii="宋体" w:hAnsi="宋体"/>
          <w:highlight w:val="none"/>
        </w:rPr>
        <w:t>个工作日内发出《成交通知书》，并在</w:t>
      </w:r>
      <w:r>
        <w:rPr>
          <w:rFonts w:hint="eastAsia" w:ascii="宋体" w:hAnsi="宋体"/>
          <w:highlight w:val="none"/>
          <w:lang w:eastAsia="zh-CN"/>
        </w:rPr>
        <w:t>青海省政府采购网</w:t>
      </w:r>
      <w:r>
        <w:rPr>
          <w:rFonts w:hint="eastAsia" w:ascii="宋体" w:hAnsi="宋体"/>
          <w:highlight w:val="none"/>
        </w:rPr>
        <w:t>上公告成交结果，公告期限为</w:t>
      </w:r>
      <w:r>
        <w:rPr>
          <w:rFonts w:ascii="宋体" w:hAnsi="宋体"/>
          <w:highlight w:val="none"/>
        </w:rPr>
        <w:t>1</w:t>
      </w:r>
      <w:r>
        <w:rPr>
          <w:rFonts w:hint="eastAsia" w:ascii="宋体" w:hAnsi="宋体"/>
          <w:highlight w:val="none"/>
        </w:rPr>
        <w:t>个工作日。在公告成交结果的同时，采购代理机构应当向成交供应商发出成交通知书；对未通过资格审查的供应商，告知其未通过的原因；告知未成交供应商本人的评审得分与排序。</w:t>
      </w:r>
    </w:p>
    <w:p w14:paraId="15E5ACA9">
      <w:pPr>
        <w:spacing w:line="360" w:lineRule="auto"/>
        <w:ind w:firstLine="480"/>
        <w:jc w:val="left"/>
        <w:rPr>
          <w:rFonts w:ascii="宋体"/>
          <w:highlight w:val="none"/>
        </w:rPr>
      </w:pPr>
      <w:r>
        <w:rPr>
          <w:rFonts w:ascii="宋体" w:hAnsi="宋体"/>
          <w:highlight w:val="none"/>
        </w:rPr>
        <w:t>22.2</w:t>
      </w:r>
      <w:r>
        <w:rPr>
          <w:rFonts w:hint="eastAsia" w:ascii="宋体" w:hAnsi="宋体"/>
          <w:highlight w:val="none"/>
        </w:rPr>
        <w:t>《成交通知书》发出后，采购人改变成交结果的，或者成交供应商无正当理由放弃成交项目的，依法承担法律责任。</w:t>
      </w:r>
    </w:p>
    <w:p w14:paraId="61D3646E">
      <w:pPr>
        <w:widowControl/>
        <w:spacing w:beforeLines="200" w:afterLines="200"/>
        <w:jc w:val="center"/>
        <w:outlineLvl w:val="1"/>
        <w:rPr>
          <w:rFonts w:ascii="宋体"/>
          <w:b/>
          <w:bCs/>
          <w:kern w:val="0"/>
          <w:sz w:val="36"/>
          <w:szCs w:val="36"/>
          <w:highlight w:val="none"/>
        </w:rPr>
      </w:pPr>
      <w:bookmarkStart w:id="126" w:name="_Toc496626222"/>
      <w:bookmarkStart w:id="127" w:name="_Toc24322"/>
      <w:bookmarkStart w:id="128" w:name="_Toc376936758"/>
      <w:r>
        <w:rPr>
          <w:rFonts w:hint="eastAsia" w:ascii="宋体" w:hAnsi="宋体"/>
          <w:b/>
          <w:bCs/>
          <w:kern w:val="0"/>
          <w:sz w:val="36"/>
          <w:szCs w:val="36"/>
          <w:highlight w:val="none"/>
        </w:rPr>
        <w:t>八、授予合同</w:t>
      </w:r>
      <w:bookmarkEnd w:id="121"/>
      <w:bookmarkEnd w:id="126"/>
      <w:bookmarkEnd w:id="127"/>
      <w:bookmarkEnd w:id="128"/>
    </w:p>
    <w:p w14:paraId="57428108">
      <w:pPr>
        <w:widowControl/>
        <w:spacing w:before="100" w:beforeAutospacing="1" w:after="100" w:afterAutospacing="1"/>
        <w:ind w:firstLine="542"/>
        <w:jc w:val="left"/>
        <w:outlineLvl w:val="2"/>
        <w:rPr>
          <w:rFonts w:ascii="宋体"/>
          <w:b/>
          <w:bCs/>
          <w:kern w:val="0"/>
          <w:sz w:val="27"/>
          <w:szCs w:val="27"/>
          <w:highlight w:val="none"/>
        </w:rPr>
      </w:pPr>
      <w:bookmarkStart w:id="129" w:name="_Toc376936760"/>
      <w:bookmarkStart w:id="130" w:name="_Toc325726029"/>
      <w:bookmarkStart w:id="131" w:name="_Toc496626223"/>
      <w:bookmarkStart w:id="132" w:name="_Toc70"/>
      <w:r>
        <w:rPr>
          <w:rFonts w:ascii="宋体" w:hAnsi="宋体"/>
          <w:b/>
          <w:bCs/>
          <w:kern w:val="0"/>
          <w:sz w:val="27"/>
          <w:szCs w:val="27"/>
          <w:highlight w:val="none"/>
        </w:rPr>
        <w:t>23.</w:t>
      </w:r>
      <w:r>
        <w:rPr>
          <w:rFonts w:hint="eastAsia" w:ascii="宋体" w:hAnsi="宋体"/>
          <w:b/>
          <w:bCs/>
          <w:kern w:val="0"/>
          <w:sz w:val="27"/>
          <w:szCs w:val="27"/>
          <w:highlight w:val="none"/>
        </w:rPr>
        <w:t>签订合同</w:t>
      </w:r>
      <w:bookmarkEnd w:id="129"/>
      <w:bookmarkEnd w:id="130"/>
      <w:bookmarkEnd w:id="131"/>
      <w:bookmarkEnd w:id="132"/>
    </w:p>
    <w:p w14:paraId="143E1A25">
      <w:pPr>
        <w:spacing w:line="360" w:lineRule="auto"/>
        <w:ind w:firstLine="480"/>
        <w:jc w:val="left"/>
        <w:rPr>
          <w:rFonts w:ascii="宋体"/>
          <w:highlight w:val="none"/>
        </w:rPr>
      </w:pPr>
      <w:bookmarkStart w:id="133" w:name="_Toc325726030"/>
      <w:bookmarkStart w:id="134" w:name="_Toc376936761"/>
      <w:r>
        <w:rPr>
          <w:rFonts w:ascii="宋体" w:hAnsi="宋体"/>
          <w:highlight w:val="none"/>
        </w:rPr>
        <w:t>23.1</w:t>
      </w:r>
      <w:r>
        <w:rPr>
          <w:rFonts w:hint="eastAsia" w:ascii="宋体" w:hAnsi="宋体"/>
          <w:highlight w:val="none"/>
        </w:rPr>
        <w:t>采购人与成交供应商双方应当自《成交通知书》发出之日起</w:t>
      </w:r>
      <w:r>
        <w:rPr>
          <w:rFonts w:ascii="宋体" w:hAnsi="宋体"/>
          <w:highlight w:val="none"/>
        </w:rPr>
        <w:t>30</w:t>
      </w:r>
      <w:r>
        <w:rPr>
          <w:rFonts w:hint="eastAsia" w:ascii="宋体" w:hAnsi="宋体"/>
          <w:highlight w:val="none"/>
        </w:rPr>
        <w:t>日内，按照磋商文件确定的合同文本以及采购标的、规格型号、采购金额、采购数量、技术和服务要求等事项签订政府采购合同，并报青海浩驰招标代理有限公司审核备案。</w:t>
      </w:r>
    </w:p>
    <w:p w14:paraId="10BAD4F7">
      <w:pPr>
        <w:spacing w:line="360" w:lineRule="auto"/>
        <w:ind w:firstLine="480"/>
        <w:jc w:val="left"/>
        <w:rPr>
          <w:rFonts w:ascii="宋体"/>
          <w:highlight w:val="none"/>
        </w:rPr>
      </w:pPr>
      <w:r>
        <w:rPr>
          <w:rFonts w:ascii="宋体" w:hAnsi="宋体"/>
          <w:highlight w:val="none"/>
        </w:rPr>
        <w:t>23.2</w:t>
      </w:r>
      <w:r>
        <w:rPr>
          <w:rFonts w:hint="eastAsia" w:ascii="宋体" w:hAnsi="宋体"/>
          <w:highlight w:val="none"/>
        </w:rPr>
        <w:t>采购人不得向成交供应商提出超出磋商文件以外的任何要求作为订立合同的条件，不得与成交供应商订立背离磋商文件确定的合同文本以及采购标的、规格型号、采购金额、采购数量、技术和服务要求等实质性内容的协议。</w:t>
      </w:r>
    </w:p>
    <w:p w14:paraId="42E00BC5">
      <w:pPr>
        <w:spacing w:line="360" w:lineRule="auto"/>
        <w:ind w:firstLine="480"/>
        <w:rPr>
          <w:rFonts w:ascii="宋体"/>
          <w:szCs w:val="20"/>
          <w:highlight w:val="none"/>
        </w:rPr>
      </w:pPr>
      <w:r>
        <w:rPr>
          <w:rFonts w:ascii="宋体" w:hAnsi="宋体"/>
          <w:highlight w:val="none"/>
        </w:rPr>
        <w:t>23.3</w:t>
      </w:r>
      <w:r>
        <w:rPr>
          <w:rFonts w:hint="eastAsia" w:ascii="宋体" w:hAnsi="宋体"/>
          <w:szCs w:val="20"/>
          <w:highlight w:val="none"/>
        </w:rPr>
        <w:t>签订合同时，成交供应商应按规定向采购人提交履约保证金</w:t>
      </w:r>
      <w:r>
        <w:rPr>
          <w:rFonts w:hint="eastAsia" w:ascii="宋体" w:hAnsi="宋体" w:cs="宋体"/>
          <w:highlight w:val="none"/>
          <w:lang w:val="zh-CN"/>
        </w:rPr>
        <w:t>（履约保证金的数额由采购人与成交供应商商定，但数额不得超出采购合同总金额的</w:t>
      </w:r>
      <w:r>
        <w:rPr>
          <w:rFonts w:ascii="宋体" w:hAnsi="宋体" w:cs="宋体"/>
          <w:highlight w:val="none"/>
          <w:lang w:val="zh-CN"/>
        </w:rPr>
        <w:t>10%</w:t>
      </w:r>
      <w:r>
        <w:rPr>
          <w:rFonts w:hint="eastAsia" w:ascii="宋体" w:hAnsi="宋体" w:cs="宋体"/>
          <w:highlight w:val="none"/>
          <w:lang w:val="zh-CN"/>
        </w:rPr>
        <w:t>）</w:t>
      </w:r>
      <w:r>
        <w:rPr>
          <w:rFonts w:hint="eastAsia" w:ascii="宋体" w:hAnsi="宋体"/>
          <w:szCs w:val="20"/>
          <w:highlight w:val="none"/>
        </w:rPr>
        <w:t>，履约保证金须缴纳到采购人指定的账户。</w:t>
      </w:r>
    </w:p>
    <w:p w14:paraId="1A86BB52">
      <w:pPr>
        <w:spacing w:line="360" w:lineRule="auto"/>
        <w:ind w:firstLine="480"/>
        <w:jc w:val="left"/>
        <w:rPr>
          <w:rFonts w:ascii="宋体"/>
          <w:highlight w:val="none"/>
        </w:rPr>
      </w:pPr>
      <w:r>
        <w:rPr>
          <w:rFonts w:ascii="宋体" w:hAnsi="宋体"/>
          <w:highlight w:val="none"/>
        </w:rPr>
        <w:t>23.4</w:t>
      </w:r>
      <w:r>
        <w:rPr>
          <w:rFonts w:hint="eastAsia" w:ascii="宋体" w:hAnsi="宋体"/>
          <w:highlight w:val="none"/>
        </w:rPr>
        <w:t>成交供应商在法定期限内无正当理由拒签合同的，按违约处理。同时，采购代理机构和采购人可依成交供应商候选人排序重新确定成交供应商，并协调双方签订采购合同。</w:t>
      </w:r>
    </w:p>
    <w:p w14:paraId="06EF5E80">
      <w:pPr>
        <w:spacing w:line="360" w:lineRule="auto"/>
        <w:ind w:firstLine="480"/>
        <w:jc w:val="left"/>
        <w:rPr>
          <w:rFonts w:ascii="宋体"/>
          <w:highlight w:val="none"/>
        </w:rPr>
      </w:pPr>
      <w:r>
        <w:rPr>
          <w:rFonts w:ascii="宋体" w:hAnsi="宋体"/>
          <w:highlight w:val="none"/>
        </w:rPr>
        <w:t>23.5</w:t>
      </w:r>
      <w:r>
        <w:rPr>
          <w:rFonts w:hint="eastAsia" w:ascii="宋体" w:hAnsi="宋体"/>
          <w:highlight w:val="none"/>
        </w:rPr>
        <w:t>磋商文件、成交供应商的磋商响应文件、《成交通知书》及其澄清、说明文件等，均为签订采购合同的依据。</w:t>
      </w:r>
    </w:p>
    <w:p w14:paraId="41C56678">
      <w:pPr>
        <w:spacing w:line="360" w:lineRule="auto"/>
        <w:ind w:firstLine="480"/>
        <w:jc w:val="left"/>
        <w:rPr>
          <w:rFonts w:ascii="宋体"/>
          <w:highlight w:val="none"/>
        </w:rPr>
      </w:pPr>
      <w:r>
        <w:rPr>
          <w:rFonts w:ascii="宋体" w:hAnsi="宋体"/>
          <w:highlight w:val="none"/>
        </w:rPr>
        <w:t>23.6</w:t>
      </w:r>
      <w:r>
        <w:rPr>
          <w:rFonts w:hint="eastAsia" w:ascii="宋体" w:hAnsi="宋体"/>
          <w:highlight w:val="none"/>
        </w:rPr>
        <w:t>采购人或采购代理机构应当自采购合同签订之日起</w:t>
      </w:r>
      <w:r>
        <w:rPr>
          <w:rFonts w:ascii="宋体" w:hAnsi="宋体"/>
          <w:highlight w:val="none"/>
        </w:rPr>
        <w:t>2</w:t>
      </w:r>
      <w:r>
        <w:rPr>
          <w:rFonts w:hint="eastAsia" w:ascii="宋体" w:hAnsi="宋体"/>
          <w:highlight w:val="none"/>
        </w:rPr>
        <w:t>个工作日内，将采购合同在</w:t>
      </w:r>
      <w:r>
        <w:rPr>
          <w:rFonts w:hint="eastAsia" w:ascii="宋体" w:hAnsi="宋体"/>
          <w:highlight w:val="none"/>
          <w:lang w:eastAsia="zh-CN"/>
        </w:rPr>
        <w:t>青海省政府采购网</w:t>
      </w:r>
      <w:r>
        <w:rPr>
          <w:rFonts w:hint="eastAsia" w:ascii="宋体" w:hAnsi="宋体"/>
          <w:highlight w:val="none"/>
        </w:rPr>
        <w:t>上公告，但政府采购合同中涉及国家秘密、商业秘密的内容除外。</w:t>
      </w:r>
    </w:p>
    <w:p w14:paraId="7BDB7BC9">
      <w:pPr>
        <w:widowControl/>
        <w:spacing w:beforeLines="200" w:afterLines="200"/>
        <w:jc w:val="center"/>
        <w:outlineLvl w:val="1"/>
        <w:rPr>
          <w:rFonts w:ascii="宋体"/>
          <w:b/>
          <w:bCs/>
          <w:kern w:val="0"/>
          <w:sz w:val="36"/>
          <w:szCs w:val="36"/>
          <w:highlight w:val="none"/>
        </w:rPr>
      </w:pPr>
      <w:bookmarkStart w:id="135" w:name="_Toc496626224"/>
      <w:bookmarkStart w:id="136" w:name="_Toc20832"/>
      <w:r>
        <w:rPr>
          <w:rFonts w:hint="eastAsia" w:ascii="宋体" w:hAnsi="宋体"/>
          <w:b/>
          <w:bCs/>
          <w:kern w:val="0"/>
          <w:sz w:val="36"/>
          <w:szCs w:val="36"/>
          <w:highlight w:val="none"/>
        </w:rPr>
        <w:t>九、串通投标的认定及处理办法</w:t>
      </w:r>
      <w:bookmarkEnd w:id="135"/>
      <w:bookmarkEnd w:id="136"/>
    </w:p>
    <w:p w14:paraId="4147B443">
      <w:pPr>
        <w:widowControl/>
        <w:spacing w:before="100" w:beforeAutospacing="1" w:after="100" w:afterAutospacing="1"/>
        <w:ind w:firstLine="542"/>
        <w:jc w:val="left"/>
        <w:outlineLvl w:val="2"/>
        <w:rPr>
          <w:rFonts w:ascii="宋体"/>
          <w:b/>
          <w:bCs/>
          <w:kern w:val="0"/>
          <w:sz w:val="27"/>
          <w:szCs w:val="27"/>
          <w:highlight w:val="none"/>
        </w:rPr>
      </w:pPr>
      <w:bookmarkStart w:id="137" w:name="_Toc496189563"/>
      <w:bookmarkStart w:id="138" w:name="_Toc496004020"/>
      <w:bookmarkStart w:id="139" w:name="_Toc15694"/>
      <w:bookmarkStart w:id="140" w:name="_Toc496626225"/>
      <w:r>
        <w:rPr>
          <w:rFonts w:ascii="宋体" w:hAnsi="宋体"/>
          <w:b/>
          <w:bCs/>
          <w:kern w:val="0"/>
          <w:sz w:val="27"/>
          <w:szCs w:val="27"/>
          <w:highlight w:val="none"/>
        </w:rPr>
        <w:t>24.</w:t>
      </w:r>
      <w:r>
        <w:rPr>
          <w:rFonts w:hint="eastAsia" w:ascii="宋体" w:hAnsi="宋体"/>
          <w:b/>
          <w:bCs/>
          <w:kern w:val="0"/>
          <w:sz w:val="27"/>
          <w:szCs w:val="27"/>
          <w:highlight w:val="none"/>
        </w:rPr>
        <w:t>串通投标的情形</w:t>
      </w:r>
      <w:bookmarkEnd w:id="137"/>
      <w:bookmarkEnd w:id="138"/>
      <w:bookmarkEnd w:id="139"/>
      <w:bookmarkEnd w:id="140"/>
    </w:p>
    <w:p w14:paraId="07A4BF5F">
      <w:pPr>
        <w:spacing w:line="360" w:lineRule="auto"/>
        <w:ind w:firstLine="480"/>
        <w:jc w:val="left"/>
        <w:rPr>
          <w:rFonts w:ascii="宋体"/>
          <w:highlight w:val="none"/>
        </w:rPr>
      </w:pPr>
      <w:r>
        <w:rPr>
          <w:rFonts w:ascii="宋体" w:hAnsi="宋体"/>
          <w:highlight w:val="none"/>
        </w:rPr>
        <w:t>24.1</w:t>
      </w:r>
      <w:r>
        <w:rPr>
          <w:rFonts w:hint="eastAsia" w:ascii="宋体" w:hAnsi="宋体"/>
          <w:highlight w:val="none"/>
        </w:rPr>
        <w:t>供应商应当遵循公平竞争的原则，不得恶意串通，不得妨碍其他供应商的竞争行为，不得损害采购人或者其他供应商的合法权益。</w:t>
      </w:r>
    </w:p>
    <w:p w14:paraId="645134A6">
      <w:pPr>
        <w:spacing w:line="360" w:lineRule="auto"/>
        <w:ind w:firstLine="480"/>
        <w:jc w:val="left"/>
        <w:rPr>
          <w:rFonts w:ascii="宋体"/>
          <w:highlight w:val="none"/>
        </w:rPr>
      </w:pPr>
      <w:r>
        <w:rPr>
          <w:rFonts w:ascii="宋体" w:hAnsi="宋体"/>
          <w:highlight w:val="none"/>
        </w:rPr>
        <w:t xml:space="preserve">24.2 </w:t>
      </w:r>
      <w:r>
        <w:rPr>
          <w:rFonts w:hint="eastAsia" w:ascii="宋体" w:hAnsi="宋体"/>
          <w:highlight w:val="none"/>
        </w:rPr>
        <w:t>有下列情形之一的，视为供应商串通投标，其投标无效：</w:t>
      </w:r>
    </w:p>
    <w:p w14:paraId="5635E572">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）不同供应商的磋商响应文件由同一单位或者个人编制；</w:t>
      </w:r>
    </w:p>
    <w:p w14:paraId="18CD41E1">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）不同供应商委托同一单位或者个人办理投标事宜；</w:t>
      </w:r>
    </w:p>
    <w:p w14:paraId="5E544EAA">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）不同供应商的磋商响应文件载明的项目管理成员或者联系人员为同一人；</w:t>
      </w:r>
    </w:p>
    <w:p w14:paraId="54432A01">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）不同供应商的磋商响应文件异常一致或者投标报价呈规律性差异；</w:t>
      </w:r>
    </w:p>
    <w:p w14:paraId="64338D9C">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）不同供应商的磋商响应文件相互混装；</w:t>
      </w:r>
    </w:p>
    <w:p w14:paraId="07D4FB19">
      <w:pPr>
        <w:spacing w:line="360" w:lineRule="auto"/>
        <w:ind w:firstLine="480"/>
        <w:jc w:val="left"/>
        <w:rPr>
          <w:rFonts w:hint="eastAsia" w:ascii="宋体" w:hAnsi="宋体" w:eastAsia="宋体"/>
          <w:highlight w:val="none"/>
          <w:lang w:eastAsia="zh-CN"/>
        </w:rPr>
      </w:pPr>
      <w:r>
        <w:rPr>
          <w:rFonts w:hint="eastAsia" w:ascii="宋体" w:hAnsi="宋体"/>
          <w:highlight w:val="none"/>
        </w:rPr>
        <w:t>（</w:t>
      </w:r>
      <w:r>
        <w:rPr>
          <w:rFonts w:ascii="宋体" w:hAnsi="宋体"/>
          <w:highlight w:val="none"/>
        </w:rPr>
        <w:t>6</w:t>
      </w:r>
      <w:r>
        <w:rPr>
          <w:rFonts w:hint="eastAsia" w:ascii="宋体" w:hAnsi="宋体"/>
          <w:highlight w:val="none"/>
        </w:rPr>
        <w:t>）不同供应商的投标保证金从同一单位或者个人的账户转出</w:t>
      </w:r>
      <w:r>
        <w:rPr>
          <w:rFonts w:hint="eastAsia" w:ascii="宋体" w:hAnsi="宋体"/>
          <w:highlight w:val="none"/>
          <w:lang w:eastAsia="zh-CN"/>
        </w:rPr>
        <w:t>；</w:t>
      </w:r>
    </w:p>
    <w:p w14:paraId="6EDD7F94">
      <w:pPr>
        <w:widowControl/>
        <w:spacing w:beforeLines="200" w:afterLines="200"/>
        <w:jc w:val="center"/>
        <w:outlineLvl w:val="1"/>
        <w:rPr>
          <w:rFonts w:ascii="宋体"/>
          <w:b/>
          <w:bCs/>
          <w:kern w:val="0"/>
          <w:sz w:val="36"/>
          <w:szCs w:val="36"/>
          <w:highlight w:val="none"/>
        </w:rPr>
      </w:pPr>
      <w:bookmarkStart w:id="141" w:name="_Toc8706"/>
      <w:bookmarkStart w:id="142" w:name="_Toc496626226"/>
      <w:r>
        <w:rPr>
          <w:rFonts w:hint="eastAsia" w:ascii="宋体" w:hAnsi="宋体"/>
          <w:b/>
          <w:bCs/>
          <w:kern w:val="0"/>
          <w:sz w:val="36"/>
          <w:szCs w:val="36"/>
          <w:highlight w:val="none"/>
        </w:rPr>
        <w:t>十、</w:t>
      </w:r>
      <w:bookmarkEnd w:id="133"/>
      <w:bookmarkEnd w:id="134"/>
      <w:r>
        <w:rPr>
          <w:rFonts w:hint="eastAsia" w:ascii="宋体" w:hAnsi="宋体"/>
          <w:b/>
          <w:bCs/>
          <w:kern w:val="0"/>
          <w:sz w:val="36"/>
          <w:szCs w:val="36"/>
          <w:highlight w:val="none"/>
        </w:rPr>
        <w:t>磋商活动终止</w:t>
      </w:r>
      <w:bookmarkEnd w:id="141"/>
      <w:bookmarkEnd w:id="142"/>
    </w:p>
    <w:p w14:paraId="581F1198">
      <w:pPr>
        <w:widowControl/>
        <w:spacing w:before="100" w:beforeAutospacing="1" w:after="100" w:afterAutospacing="1"/>
        <w:ind w:firstLine="542"/>
        <w:jc w:val="left"/>
        <w:outlineLvl w:val="2"/>
        <w:rPr>
          <w:rFonts w:ascii="宋体"/>
          <w:b/>
          <w:bCs/>
          <w:kern w:val="0"/>
          <w:sz w:val="27"/>
          <w:szCs w:val="27"/>
          <w:highlight w:val="none"/>
        </w:rPr>
      </w:pPr>
      <w:bookmarkStart w:id="143" w:name="_Toc26591"/>
      <w:bookmarkStart w:id="144" w:name="_Toc496626227"/>
      <w:bookmarkStart w:id="145" w:name="_Toc376936762"/>
      <w:bookmarkStart w:id="146" w:name="_Toc325726031"/>
      <w:r>
        <w:rPr>
          <w:rFonts w:ascii="宋体" w:hAnsi="宋体"/>
          <w:b/>
          <w:bCs/>
          <w:kern w:val="0"/>
          <w:sz w:val="27"/>
          <w:szCs w:val="27"/>
          <w:highlight w:val="none"/>
        </w:rPr>
        <w:t xml:space="preserve">25. </w:t>
      </w:r>
      <w:r>
        <w:rPr>
          <w:rFonts w:hint="eastAsia" w:ascii="宋体" w:hAnsi="宋体"/>
          <w:b/>
          <w:bCs/>
          <w:kern w:val="0"/>
          <w:sz w:val="27"/>
          <w:szCs w:val="27"/>
          <w:highlight w:val="none"/>
        </w:rPr>
        <w:t>终止情形</w:t>
      </w:r>
      <w:bookmarkEnd w:id="143"/>
      <w:bookmarkEnd w:id="144"/>
    </w:p>
    <w:p w14:paraId="0E839D7A">
      <w:pPr>
        <w:spacing w:line="360" w:lineRule="auto"/>
        <w:ind w:firstLine="480"/>
        <w:jc w:val="left"/>
        <w:rPr>
          <w:rFonts w:ascii="宋体"/>
          <w:highlight w:val="none"/>
        </w:rPr>
      </w:pPr>
      <w:r>
        <w:rPr>
          <w:rFonts w:ascii="宋体" w:hAnsi="宋体"/>
          <w:highlight w:val="none"/>
        </w:rPr>
        <w:t>25.1</w:t>
      </w:r>
      <w:r>
        <w:rPr>
          <w:rFonts w:hint="eastAsia" w:ascii="宋体" w:hAnsi="宋体"/>
          <w:highlight w:val="none"/>
        </w:rPr>
        <w:t>在竞争性磋商采购中，出现下列情形之一的，终止磋商活动：</w:t>
      </w:r>
      <w:bookmarkEnd w:id="145"/>
      <w:bookmarkEnd w:id="146"/>
    </w:p>
    <w:p w14:paraId="0E3D76D9">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）因情况变化，不再符合规定的竞争性磋商采购方式适用情形的。</w:t>
      </w:r>
    </w:p>
    <w:p w14:paraId="59FA998B">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）出现影响采购活动公正的违法、违规行为的。</w:t>
      </w:r>
    </w:p>
    <w:p w14:paraId="053794DC">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）符合要求的供应商或者报价未超过采购预算额度的供应商数量不满足相关规定的。</w:t>
      </w:r>
    </w:p>
    <w:p w14:paraId="23610BBE">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）因重大变故，采购任务取消的。</w:t>
      </w:r>
    </w:p>
    <w:p w14:paraId="403F1F41">
      <w:pPr>
        <w:spacing w:line="360" w:lineRule="auto"/>
        <w:ind w:firstLine="480"/>
        <w:rPr>
          <w:rFonts w:ascii="宋体" w:hAnsi="Courier New"/>
          <w:szCs w:val="20"/>
          <w:highlight w:val="none"/>
        </w:rPr>
      </w:pPr>
      <w:r>
        <w:rPr>
          <w:rFonts w:ascii="宋体" w:hAnsi="宋体"/>
          <w:highlight w:val="none"/>
        </w:rPr>
        <w:t>25.2</w:t>
      </w:r>
      <w:r>
        <w:rPr>
          <w:rFonts w:hint="eastAsia" w:ascii="宋体" w:hAnsi="宋体"/>
          <w:highlight w:val="none"/>
        </w:rPr>
        <w:t>终止磋商活动</w:t>
      </w:r>
      <w:r>
        <w:rPr>
          <w:rFonts w:hint="eastAsia" w:ascii="宋体" w:hAnsi="Courier New"/>
          <w:szCs w:val="20"/>
          <w:highlight w:val="none"/>
        </w:rPr>
        <w:t>后，由</w:t>
      </w:r>
      <w:r>
        <w:rPr>
          <w:rFonts w:hint="eastAsia" w:ascii="宋体" w:hAnsi="宋体"/>
          <w:highlight w:val="none"/>
        </w:rPr>
        <w:t>采购代理机构</w:t>
      </w:r>
      <w:r>
        <w:rPr>
          <w:rFonts w:hint="eastAsia" w:ascii="宋体" w:hAnsi="Courier New" w:cs="宋体"/>
          <w:szCs w:val="20"/>
          <w:highlight w:val="none"/>
        </w:rPr>
        <w:t>发布终止公告并说明原因</w:t>
      </w:r>
      <w:r>
        <w:rPr>
          <w:rFonts w:hint="eastAsia" w:ascii="宋体" w:hAnsi="Courier New"/>
          <w:szCs w:val="20"/>
          <w:highlight w:val="none"/>
        </w:rPr>
        <w:t>。</w:t>
      </w:r>
      <w:bookmarkStart w:id="147" w:name="_Toc325726032"/>
    </w:p>
    <w:p w14:paraId="215B59DA">
      <w:pPr>
        <w:widowControl/>
        <w:numPr>
          <w:ilvl w:val="0"/>
          <w:numId w:val="2"/>
        </w:numPr>
        <w:spacing w:beforeLines="200" w:afterLines="200"/>
        <w:jc w:val="center"/>
        <w:outlineLvl w:val="1"/>
        <w:rPr>
          <w:rFonts w:ascii="宋体" w:hAnsi="宋体"/>
          <w:b/>
          <w:bCs/>
          <w:kern w:val="0"/>
          <w:sz w:val="36"/>
          <w:szCs w:val="36"/>
          <w:highlight w:val="none"/>
        </w:rPr>
      </w:pPr>
      <w:bookmarkStart w:id="148" w:name="_Toc496626228"/>
      <w:bookmarkStart w:id="149" w:name="_Toc376936763"/>
      <w:bookmarkStart w:id="150" w:name="_Toc12810"/>
      <w:r>
        <w:rPr>
          <w:rFonts w:hint="eastAsia" w:ascii="宋体" w:hAnsi="宋体"/>
          <w:b/>
          <w:bCs/>
          <w:kern w:val="0"/>
          <w:sz w:val="36"/>
          <w:szCs w:val="36"/>
          <w:highlight w:val="none"/>
        </w:rPr>
        <w:t>处罚</w:t>
      </w:r>
      <w:bookmarkEnd w:id="147"/>
      <w:bookmarkEnd w:id="148"/>
      <w:bookmarkEnd w:id="149"/>
      <w:bookmarkEnd w:id="150"/>
      <w:bookmarkStart w:id="151" w:name="_Toc496626229"/>
      <w:bookmarkStart w:id="152" w:name="_Toc325726033"/>
      <w:bookmarkStart w:id="153" w:name="_Toc376936764"/>
    </w:p>
    <w:p w14:paraId="58240D5A">
      <w:pPr>
        <w:widowControl/>
        <w:spacing w:beforeLines="200" w:afterLines="200"/>
        <w:ind w:firstLine="271" w:firstLineChars="100"/>
        <w:outlineLvl w:val="1"/>
        <w:rPr>
          <w:rFonts w:ascii="宋体"/>
          <w:b/>
          <w:bCs/>
          <w:kern w:val="0"/>
          <w:sz w:val="27"/>
          <w:szCs w:val="27"/>
          <w:highlight w:val="none"/>
        </w:rPr>
      </w:pPr>
      <w:bookmarkStart w:id="154" w:name="_Toc22835"/>
      <w:r>
        <w:rPr>
          <w:rFonts w:ascii="宋体" w:hAnsi="宋体"/>
          <w:b/>
          <w:bCs/>
          <w:kern w:val="0"/>
          <w:sz w:val="27"/>
          <w:szCs w:val="27"/>
          <w:highlight w:val="none"/>
        </w:rPr>
        <w:t>26.</w:t>
      </w:r>
      <w:r>
        <w:rPr>
          <w:rFonts w:hint="eastAsia" w:ascii="宋体" w:hAnsi="宋体"/>
          <w:b/>
          <w:bCs/>
          <w:kern w:val="0"/>
          <w:sz w:val="27"/>
          <w:szCs w:val="27"/>
          <w:highlight w:val="none"/>
        </w:rPr>
        <w:t>处罚情形</w:t>
      </w:r>
      <w:bookmarkEnd w:id="151"/>
      <w:bookmarkEnd w:id="152"/>
      <w:bookmarkEnd w:id="153"/>
      <w:bookmarkEnd w:id="154"/>
    </w:p>
    <w:p w14:paraId="6D70CA5E">
      <w:pPr>
        <w:spacing w:line="360" w:lineRule="auto"/>
        <w:ind w:firstLine="480"/>
        <w:jc w:val="left"/>
        <w:rPr>
          <w:rFonts w:ascii="宋体"/>
          <w:highlight w:val="none"/>
        </w:rPr>
      </w:pPr>
      <w:r>
        <w:rPr>
          <w:rFonts w:ascii="宋体" w:hAnsi="宋体"/>
          <w:highlight w:val="none"/>
        </w:rPr>
        <w:t>26.1</w:t>
      </w:r>
      <w:r>
        <w:rPr>
          <w:rFonts w:hint="eastAsia" w:ascii="宋体" w:hAnsi="宋体"/>
          <w:highlight w:val="none"/>
        </w:rPr>
        <w:t>有下列情形之一的，供应商的磋商保证金不予退还；成交供应商的成交结果无效，履约保证金不予退还。</w:t>
      </w:r>
    </w:p>
    <w:p w14:paraId="3E3E29C4">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）供应商在提交磋商响应文件截止时间后撤回磋商响应文件的；</w:t>
      </w:r>
    </w:p>
    <w:p w14:paraId="1D0E3360">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）供应商在响应文件中提供虚假材料的；</w:t>
      </w:r>
    </w:p>
    <w:p w14:paraId="659DC567">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）采取不正当手段诋毁、排挤其他供应商的；</w:t>
      </w:r>
    </w:p>
    <w:p w14:paraId="52774679">
      <w:pPr>
        <w:spacing w:line="360" w:lineRule="auto"/>
        <w:ind w:firstLine="384" w:firstLineChars="183"/>
        <w:jc w:val="left"/>
        <w:rPr>
          <w:rFonts w:asci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）有恶意串通等不正当竞争行为的；</w:t>
      </w:r>
    </w:p>
    <w:p w14:paraId="71C561FD">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）成交后无正当理由拒不与采购人签订采购合同的；</w:t>
      </w:r>
    </w:p>
    <w:p w14:paraId="16786E53">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）未按照磋商文件、磋商响应文件确定的事项签订采购合同的；</w:t>
      </w:r>
    </w:p>
    <w:p w14:paraId="78EB2A64">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7</w:t>
      </w:r>
      <w:r>
        <w:rPr>
          <w:rFonts w:hint="eastAsia" w:ascii="宋体" w:hAnsi="宋体"/>
          <w:highlight w:val="none"/>
        </w:rPr>
        <w:t>）擅自变更、中止或者终止政府采购合同的；</w:t>
      </w:r>
    </w:p>
    <w:p w14:paraId="5500064E">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8</w:t>
      </w:r>
      <w:r>
        <w:rPr>
          <w:rFonts w:hint="eastAsia" w:ascii="宋体" w:hAnsi="宋体"/>
          <w:highlight w:val="none"/>
        </w:rPr>
        <w:t>）成交供应商签订合同后，因种种原因不能履约或无故拖延履约期的；</w:t>
      </w:r>
    </w:p>
    <w:p w14:paraId="43C8762D">
      <w:pPr>
        <w:spacing w:line="360" w:lineRule="auto"/>
        <w:ind w:firstLine="480"/>
        <w:jc w:val="left"/>
        <w:rPr>
          <w:rFonts w:ascii="宋体"/>
          <w:highlight w:val="none"/>
        </w:rPr>
      </w:pPr>
      <w:r>
        <w:rPr>
          <w:rFonts w:hint="eastAsia" w:ascii="宋体" w:hAnsi="宋体"/>
          <w:highlight w:val="none"/>
        </w:rPr>
        <w:t>（</w:t>
      </w:r>
      <w:r>
        <w:rPr>
          <w:rFonts w:ascii="宋体" w:hAnsi="宋体"/>
          <w:highlight w:val="none"/>
        </w:rPr>
        <w:t>9</w:t>
      </w:r>
      <w:r>
        <w:rPr>
          <w:rFonts w:hint="eastAsia" w:ascii="宋体" w:hAnsi="宋体"/>
          <w:highlight w:val="none"/>
        </w:rPr>
        <w:t>）法律、法规规定的其他情形的。</w:t>
      </w:r>
    </w:p>
    <w:p w14:paraId="1B1D45EC">
      <w:pPr>
        <w:spacing w:line="360" w:lineRule="auto"/>
        <w:ind w:firstLine="480"/>
        <w:jc w:val="left"/>
        <w:rPr>
          <w:rFonts w:ascii="宋体"/>
          <w:highlight w:val="none"/>
        </w:rPr>
      </w:pPr>
      <w:r>
        <w:rPr>
          <w:rFonts w:ascii="宋体" w:hAnsi="宋体"/>
          <w:highlight w:val="none"/>
        </w:rPr>
        <w:t>26.2</w:t>
      </w:r>
      <w:r>
        <w:rPr>
          <w:rFonts w:hint="eastAsia" w:ascii="宋体" w:hAnsi="宋体"/>
          <w:highlight w:val="none"/>
        </w:rPr>
        <w:t>出现上述情况，情节严重的，报省财政厅依法进行处理。</w:t>
      </w:r>
    </w:p>
    <w:p w14:paraId="5A1AE9DE">
      <w:pPr>
        <w:widowControl/>
        <w:spacing w:beforeLines="200" w:afterLines="200"/>
        <w:jc w:val="center"/>
        <w:outlineLvl w:val="1"/>
        <w:rPr>
          <w:rFonts w:ascii="宋体"/>
          <w:b/>
          <w:bCs/>
          <w:kern w:val="0"/>
          <w:sz w:val="36"/>
          <w:szCs w:val="36"/>
          <w:highlight w:val="none"/>
        </w:rPr>
      </w:pPr>
      <w:bookmarkStart w:id="155" w:name="_Toc325726034"/>
      <w:bookmarkStart w:id="156" w:name="_Toc376936765"/>
      <w:bookmarkStart w:id="157" w:name="_Toc2022"/>
      <w:bookmarkStart w:id="158" w:name="_Toc496626230"/>
      <w:r>
        <w:rPr>
          <w:rFonts w:hint="eastAsia" w:ascii="宋体" w:hAnsi="宋体"/>
          <w:b/>
          <w:bCs/>
          <w:kern w:val="0"/>
          <w:sz w:val="36"/>
          <w:szCs w:val="36"/>
          <w:highlight w:val="none"/>
        </w:rPr>
        <w:t>十二、其他</w:t>
      </w:r>
      <w:bookmarkEnd w:id="155"/>
      <w:bookmarkEnd w:id="156"/>
      <w:bookmarkEnd w:id="157"/>
      <w:bookmarkEnd w:id="158"/>
    </w:p>
    <w:p w14:paraId="51424EC6">
      <w:pPr>
        <w:spacing w:line="360" w:lineRule="auto"/>
        <w:ind w:firstLine="480"/>
        <w:jc w:val="left"/>
        <w:rPr>
          <w:rFonts w:ascii="宋体"/>
          <w:highlight w:val="none"/>
        </w:rPr>
      </w:pPr>
      <w:r>
        <w:rPr>
          <w:rFonts w:hint="eastAsia" w:ascii="宋体" w:hAnsi="宋体"/>
          <w:highlight w:val="none"/>
        </w:rPr>
        <w:t>其他未尽事宜，按照《中华人民共和国政府采购法》、《中华人民共和国民法典》、《中华人民共和国政府采购法实施条例》、《政府采购竞争性磋商采购方式管理暂行办法》等法律法规的有关条款执行。</w:t>
      </w:r>
    </w:p>
    <w:p w14:paraId="6D5C6587">
      <w:pPr>
        <w:pStyle w:val="14"/>
        <w:rPr>
          <w:highlight w:val="none"/>
        </w:rPr>
      </w:pPr>
    </w:p>
    <w:p w14:paraId="1CF0A80E">
      <w:pPr>
        <w:pStyle w:val="14"/>
        <w:rPr>
          <w:highlight w:val="none"/>
        </w:rPr>
      </w:pPr>
    </w:p>
    <w:p w14:paraId="3CB11F72">
      <w:pPr>
        <w:pStyle w:val="14"/>
        <w:rPr>
          <w:highlight w:val="none"/>
        </w:rPr>
      </w:pPr>
    </w:p>
    <w:p w14:paraId="49F71145">
      <w:pPr>
        <w:pStyle w:val="14"/>
        <w:rPr>
          <w:highlight w:val="none"/>
        </w:rPr>
      </w:pPr>
    </w:p>
    <w:p w14:paraId="1D3A1C23">
      <w:pPr>
        <w:pStyle w:val="14"/>
        <w:rPr>
          <w:highlight w:val="none"/>
        </w:rPr>
      </w:pPr>
    </w:p>
    <w:p w14:paraId="5AD09294">
      <w:pPr>
        <w:pStyle w:val="14"/>
        <w:rPr>
          <w:highlight w:val="none"/>
        </w:rPr>
      </w:pPr>
    </w:p>
    <w:p w14:paraId="412FBC85">
      <w:pPr>
        <w:pStyle w:val="14"/>
        <w:rPr>
          <w:highlight w:val="none"/>
        </w:rPr>
      </w:pPr>
    </w:p>
    <w:p w14:paraId="6641B2CF">
      <w:pPr>
        <w:pStyle w:val="14"/>
        <w:rPr>
          <w:highlight w:val="none"/>
        </w:rPr>
      </w:pPr>
    </w:p>
    <w:p w14:paraId="4DC2FBFB">
      <w:pPr>
        <w:pStyle w:val="14"/>
        <w:rPr>
          <w:highlight w:val="none"/>
        </w:rPr>
      </w:pPr>
    </w:p>
    <w:p w14:paraId="33AFFF11">
      <w:pPr>
        <w:keepNext/>
        <w:keepLines/>
        <w:widowControl/>
        <w:snapToGrid w:val="0"/>
        <w:spacing w:line="400" w:lineRule="atLeast"/>
        <w:jc w:val="center"/>
        <w:outlineLvl w:val="0"/>
        <w:rPr>
          <w:rFonts w:ascii="宋体"/>
          <w:b/>
          <w:kern w:val="28"/>
          <w:sz w:val="36"/>
          <w:szCs w:val="20"/>
          <w:highlight w:val="none"/>
        </w:rPr>
      </w:pPr>
      <w:bookmarkStart w:id="159" w:name="_Toc376936766"/>
      <w:bookmarkStart w:id="160" w:name="_Toc12215"/>
      <w:bookmarkStart w:id="161" w:name="_Toc496626231"/>
      <w:r>
        <w:rPr>
          <w:rFonts w:hint="eastAsia" w:ascii="宋体"/>
          <w:b/>
          <w:kern w:val="28"/>
          <w:sz w:val="36"/>
          <w:szCs w:val="20"/>
          <w:highlight w:val="none"/>
        </w:rPr>
        <w:t>第三部分</w:t>
      </w:r>
      <w:r>
        <w:rPr>
          <w:rFonts w:ascii="宋体"/>
          <w:b/>
          <w:kern w:val="28"/>
          <w:sz w:val="36"/>
          <w:szCs w:val="20"/>
          <w:highlight w:val="none"/>
        </w:rPr>
        <w:t xml:space="preserve">  </w:t>
      </w:r>
      <w:bookmarkEnd w:id="159"/>
      <w:r>
        <w:rPr>
          <w:rFonts w:hint="eastAsia" w:ascii="宋体"/>
          <w:b/>
          <w:kern w:val="28"/>
          <w:sz w:val="36"/>
          <w:szCs w:val="20"/>
          <w:highlight w:val="none"/>
        </w:rPr>
        <w:t>青海省政府采购项目合同书范本</w:t>
      </w:r>
      <w:bookmarkEnd w:id="160"/>
    </w:p>
    <w:p w14:paraId="6F049381">
      <w:pPr>
        <w:keepNext/>
        <w:keepLines/>
        <w:widowControl/>
        <w:snapToGrid w:val="0"/>
        <w:spacing w:line="400" w:lineRule="atLeast"/>
        <w:jc w:val="center"/>
        <w:outlineLvl w:val="9"/>
        <w:rPr>
          <w:rFonts w:ascii="宋体"/>
          <w:b/>
          <w:kern w:val="28"/>
          <w:sz w:val="36"/>
          <w:szCs w:val="20"/>
          <w:highlight w:val="none"/>
        </w:rPr>
      </w:pPr>
      <w:r>
        <w:rPr>
          <w:rFonts w:hint="eastAsia" w:ascii="宋体"/>
          <w:b/>
          <w:kern w:val="28"/>
          <w:sz w:val="36"/>
          <w:szCs w:val="20"/>
          <w:highlight w:val="none"/>
        </w:rPr>
        <w:t>（服务类）</w:t>
      </w:r>
      <w:bookmarkEnd w:id="161"/>
    </w:p>
    <w:p w14:paraId="1115F005">
      <w:pPr>
        <w:ind w:firstLine="480"/>
        <w:rPr>
          <w:highlight w:val="none"/>
        </w:rPr>
      </w:pPr>
    </w:p>
    <w:p w14:paraId="422E93D4">
      <w:pPr>
        <w:ind w:firstLine="480"/>
        <w:rPr>
          <w:highlight w:val="none"/>
        </w:rPr>
      </w:pPr>
      <w:bookmarkStart w:id="162" w:name="_Toc375576842"/>
      <w:bookmarkStart w:id="163" w:name="_Toc373954603"/>
      <w:bookmarkStart w:id="164" w:name="_Toc373936315"/>
    </w:p>
    <w:p w14:paraId="554D1BFA">
      <w:pPr>
        <w:ind w:firstLine="1372" w:firstLineChars="286"/>
        <w:jc w:val="both"/>
        <w:outlineLvl w:val="9"/>
        <w:rPr>
          <w:sz w:val="48"/>
          <w:szCs w:val="48"/>
          <w:highlight w:val="none"/>
        </w:rPr>
      </w:pPr>
    </w:p>
    <w:p w14:paraId="07AAD96B">
      <w:pPr>
        <w:ind w:firstLine="1372" w:firstLineChars="286"/>
        <w:jc w:val="both"/>
        <w:outlineLvl w:val="9"/>
        <w:rPr>
          <w:sz w:val="48"/>
          <w:szCs w:val="48"/>
          <w:highlight w:val="none"/>
        </w:rPr>
      </w:pPr>
      <w:bookmarkStart w:id="165" w:name="_Toc496626232"/>
      <w:r>
        <w:rPr>
          <w:rFonts w:hint="eastAsia"/>
          <w:sz w:val="48"/>
          <w:szCs w:val="48"/>
          <w:highlight w:val="none"/>
        </w:rPr>
        <w:t>青海省政府采购项目合同</w:t>
      </w:r>
      <w:bookmarkEnd w:id="162"/>
      <w:bookmarkEnd w:id="163"/>
      <w:bookmarkEnd w:id="164"/>
      <w:r>
        <w:rPr>
          <w:rFonts w:hint="eastAsia"/>
          <w:sz w:val="48"/>
          <w:szCs w:val="48"/>
          <w:highlight w:val="none"/>
        </w:rPr>
        <w:t>书</w:t>
      </w:r>
      <w:bookmarkEnd w:id="165"/>
    </w:p>
    <w:p w14:paraId="581EF899">
      <w:pPr>
        <w:ind w:firstLine="480"/>
        <w:outlineLvl w:val="9"/>
        <w:rPr>
          <w:highlight w:val="none"/>
        </w:rPr>
      </w:pPr>
    </w:p>
    <w:p w14:paraId="41C70E11">
      <w:pPr>
        <w:ind w:firstLine="480"/>
        <w:outlineLvl w:val="9"/>
        <w:rPr>
          <w:highlight w:val="none"/>
        </w:rPr>
      </w:pPr>
    </w:p>
    <w:p w14:paraId="36974DEC">
      <w:pPr>
        <w:ind w:firstLine="480"/>
        <w:outlineLvl w:val="9"/>
        <w:rPr>
          <w:highlight w:val="none"/>
        </w:rPr>
      </w:pPr>
    </w:p>
    <w:p w14:paraId="36F5CB09">
      <w:pPr>
        <w:pStyle w:val="14"/>
        <w:outlineLvl w:val="9"/>
        <w:rPr>
          <w:highlight w:val="none"/>
        </w:rPr>
      </w:pPr>
    </w:p>
    <w:p w14:paraId="6F62C5A9">
      <w:pPr>
        <w:pStyle w:val="14"/>
        <w:outlineLvl w:val="9"/>
        <w:rPr>
          <w:highlight w:val="none"/>
        </w:rPr>
      </w:pPr>
    </w:p>
    <w:p w14:paraId="64618475">
      <w:pPr>
        <w:outlineLvl w:val="9"/>
        <w:rPr>
          <w:highlight w:val="none"/>
        </w:rPr>
      </w:pPr>
    </w:p>
    <w:p w14:paraId="61433DAF">
      <w:pPr>
        <w:ind w:firstLine="480"/>
        <w:outlineLvl w:val="9"/>
        <w:rPr>
          <w:highlight w:val="none"/>
        </w:rPr>
      </w:pPr>
    </w:p>
    <w:p w14:paraId="3BB06121">
      <w:pPr>
        <w:spacing w:line="360" w:lineRule="auto"/>
        <w:ind w:left="2709" w:leftChars="286" w:hanging="2108" w:hangingChars="700"/>
        <w:outlineLvl w:val="9"/>
        <w:rPr>
          <w:rFonts w:hint="eastAsia" w:eastAsia="宋体"/>
          <w:b/>
          <w:sz w:val="30"/>
          <w:szCs w:val="30"/>
          <w:highlight w:val="none"/>
          <w:u w:val="single"/>
          <w:lang w:eastAsia="zh-CN"/>
        </w:rPr>
      </w:pPr>
      <w:r>
        <w:rPr>
          <w:rFonts w:hint="eastAsia"/>
          <w:b/>
          <w:sz w:val="30"/>
          <w:szCs w:val="30"/>
          <w:highlight w:val="none"/>
        </w:rPr>
        <w:t>采购项目名称：</w:t>
      </w:r>
      <w:r>
        <w:rPr>
          <w:rFonts w:hint="eastAsia"/>
          <w:b/>
          <w:sz w:val="30"/>
          <w:szCs w:val="30"/>
          <w:highlight w:val="none"/>
          <w:u w:val="single"/>
          <w:lang w:eastAsia="zh-CN"/>
        </w:rPr>
        <w:t>青海大学2026年智慧校园建设数据治理服务项目</w:t>
      </w:r>
    </w:p>
    <w:p w14:paraId="35D0B0A0">
      <w:pPr>
        <w:spacing w:line="360" w:lineRule="auto"/>
        <w:ind w:left="2709" w:leftChars="286" w:hanging="2108" w:hangingChars="700"/>
        <w:outlineLvl w:val="9"/>
        <w:rPr>
          <w:b/>
          <w:sz w:val="30"/>
          <w:szCs w:val="30"/>
          <w:highlight w:val="none"/>
          <w:u w:val="single"/>
        </w:rPr>
      </w:pPr>
      <w:r>
        <w:rPr>
          <w:rFonts w:hint="eastAsia"/>
          <w:b/>
          <w:sz w:val="30"/>
          <w:szCs w:val="30"/>
          <w:highlight w:val="none"/>
        </w:rPr>
        <w:t>采购项目编号：</w:t>
      </w:r>
      <w:r>
        <w:rPr>
          <w:rFonts w:hint="eastAsia" w:ascii="宋体" w:hAnsi="宋体" w:cs="宋体"/>
          <w:b/>
          <w:bCs/>
          <w:kern w:val="0"/>
          <w:sz w:val="30"/>
          <w:szCs w:val="30"/>
          <w:highlight w:val="none"/>
          <w:u w:val="single"/>
          <w:lang w:val="zh-CN"/>
        </w:rPr>
        <w:t>青海浩驰磋商（服务）2026-139号</w:t>
      </w:r>
      <w:r>
        <w:rPr>
          <w:b/>
          <w:sz w:val="30"/>
          <w:szCs w:val="30"/>
          <w:highlight w:val="none"/>
          <w:u w:val="single"/>
        </w:rPr>
        <w:t xml:space="preserve">   </w:t>
      </w:r>
      <w:r>
        <w:rPr>
          <w:b/>
          <w:sz w:val="30"/>
          <w:szCs w:val="30"/>
          <w:highlight w:val="none"/>
        </w:rPr>
        <w:t xml:space="preserve">                                              </w:t>
      </w:r>
    </w:p>
    <w:p w14:paraId="536811D9">
      <w:pPr>
        <w:spacing w:line="360" w:lineRule="auto"/>
        <w:ind w:firstLine="602"/>
        <w:outlineLvl w:val="9"/>
        <w:rPr>
          <w:b/>
          <w:sz w:val="30"/>
          <w:szCs w:val="30"/>
          <w:highlight w:val="none"/>
          <w:u w:val="single"/>
        </w:rPr>
      </w:pPr>
      <w:r>
        <w:rPr>
          <w:rFonts w:hint="eastAsia"/>
          <w:b/>
          <w:sz w:val="30"/>
          <w:szCs w:val="30"/>
          <w:highlight w:val="none"/>
        </w:rPr>
        <w:t>采购合同编号：</w:t>
      </w:r>
      <w:r>
        <w:rPr>
          <w:b/>
          <w:sz w:val="30"/>
          <w:szCs w:val="30"/>
          <w:highlight w:val="none"/>
          <w:u w:val="single"/>
        </w:rPr>
        <w:t xml:space="preserve">        </w:t>
      </w:r>
      <w:r>
        <w:rPr>
          <w:rFonts w:hint="eastAsia"/>
          <w:b/>
          <w:sz w:val="30"/>
          <w:szCs w:val="30"/>
          <w:highlight w:val="none"/>
          <w:u w:val="single"/>
        </w:rPr>
        <w:t>QHHC</w:t>
      </w:r>
      <w:r>
        <w:rPr>
          <w:b/>
          <w:sz w:val="30"/>
          <w:szCs w:val="30"/>
          <w:highlight w:val="none"/>
          <w:u w:val="single"/>
        </w:rPr>
        <w:t>-20</w:t>
      </w:r>
      <w:r>
        <w:rPr>
          <w:rFonts w:hint="eastAsia"/>
          <w:b/>
          <w:sz w:val="30"/>
          <w:szCs w:val="30"/>
          <w:highlight w:val="none"/>
          <w:u w:val="single"/>
          <w:lang w:val="en-US" w:eastAsia="zh-CN"/>
        </w:rPr>
        <w:t>26</w:t>
      </w:r>
      <w:r>
        <w:rPr>
          <w:b/>
          <w:sz w:val="30"/>
          <w:szCs w:val="30"/>
          <w:highlight w:val="none"/>
          <w:u w:val="single"/>
        </w:rPr>
        <w:t>-</w:t>
      </w:r>
      <w:r>
        <w:rPr>
          <w:rFonts w:hint="eastAsia"/>
          <w:b/>
          <w:sz w:val="30"/>
          <w:szCs w:val="30"/>
          <w:highlight w:val="none"/>
          <w:u w:val="single"/>
          <w:lang w:val="en-US" w:eastAsia="zh-CN"/>
        </w:rPr>
        <w:t>139</w:t>
      </w:r>
      <w:r>
        <w:rPr>
          <w:rFonts w:hint="eastAsia"/>
          <w:b/>
          <w:sz w:val="30"/>
          <w:szCs w:val="30"/>
          <w:highlight w:val="none"/>
          <w:u w:val="single"/>
        </w:rPr>
        <w:t>号</w:t>
      </w:r>
      <w:r>
        <w:rPr>
          <w:b/>
          <w:sz w:val="30"/>
          <w:szCs w:val="30"/>
          <w:highlight w:val="none"/>
          <w:u w:val="single"/>
        </w:rPr>
        <w:t xml:space="preserve">            </w:t>
      </w:r>
    </w:p>
    <w:p w14:paraId="444C214D">
      <w:pPr>
        <w:spacing w:line="360" w:lineRule="auto"/>
        <w:ind w:firstLine="602"/>
        <w:outlineLvl w:val="9"/>
        <w:rPr>
          <w:b/>
          <w:sz w:val="30"/>
          <w:szCs w:val="30"/>
          <w:highlight w:val="none"/>
        </w:rPr>
      </w:pPr>
      <w:r>
        <w:rPr>
          <w:rFonts w:hint="eastAsia"/>
          <w:b/>
          <w:sz w:val="30"/>
          <w:szCs w:val="30"/>
          <w:highlight w:val="none"/>
        </w:rPr>
        <w:t>合同金额（人民币）：</w:t>
      </w:r>
      <w:r>
        <w:rPr>
          <w:b/>
          <w:sz w:val="30"/>
          <w:szCs w:val="30"/>
          <w:highlight w:val="none"/>
          <w:u w:val="single"/>
        </w:rPr>
        <w:t xml:space="preserve">                             </w:t>
      </w:r>
      <w:r>
        <w:rPr>
          <w:b/>
          <w:sz w:val="30"/>
          <w:szCs w:val="30"/>
          <w:highlight w:val="none"/>
        </w:rPr>
        <w:t xml:space="preserve">                                     </w:t>
      </w:r>
    </w:p>
    <w:p w14:paraId="4FF0AFD6">
      <w:pPr>
        <w:spacing w:line="360" w:lineRule="auto"/>
        <w:ind w:firstLine="602"/>
        <w:jc w:val="left"/>
        <w:outlineLvl w:val="9"/>
        <w:rPr>
          <w:b/>
          <w:sz w:val="30"/>
          <w:szCs w:val="30"/>
          <w:highlight w:val="none"/>
        </w:rPr>
      </w:pPr>
      <w:r>
        <w:rPr>
          <w:rFonts w:hint="eastAsia"/>
          <w:b/>
          <w:sz w:val="30"/>
          <w:szCs w:val="30"/>
          <w:highlight w:val="none"/>
        </w:rPr>
        <w:t>采购单位（委托方）：</w:t>
      </w:r>
      <w:r>
        <w:rPr>
          <w:b/>
          <w:sz w:val="30"/>
          <w:szCs w:val="30"/>
          <w:highlight w:val="none"/>
          <w:u w:val="single"/>
        </w:rPr>
        <w:t xml:space="preserve">                        </w:t>
      </w:r>
      <w:r>
        <w:rPr>
          <w:rFonts w:hint="eastAsia"/>
          <w:b/>
          <w:sz w:val="30"/>
          <w:szCs w:val="30"/>
          <w:highlight w:val="none"/>
        </w:rPr>
        <w:t>（盖章）</w:t>
      </w:r>
    </w:p>
    <w:p w14:paraId="4A53E72F">
      <w:pPr>
        <w:spacing w:line="360" w:lineRule="auto"/>
        <w:ind w:firstLine="602"/>
        <w:jc w:val="left"/>
        <w:outlineLvl w:val="9"/>
        <w:rPr>
          <w:b/>
          <w:sz w:val="30"/>
          <w:szCs w:val="30"/>
          <w:highlight w:val="none"/>
          <w:u w:val="single"/>
        </w:rPr>
      </w:pPr>
      <w:r>
        <w:rPr>
          <w:rFonts w:hint="eastAsia"/>
          <w:b/>
          <w:sz w:val="30"/>
          <w:szCs w:val="30"/>
          <w:highlight w:val="none"/>
        </w:rPr>
        <w:t>成交供应商（受托方）：</w:t>
      </w:r>
      <w:r>
        <w:rPr>
          <w:b/>
          <w:sz w:val="30"/>
          <w:szCs w:val="30"/>
          <w:highlight w:val="none"/>
          <w:u w:val="single"/>
        </w:rPr>
        <w:t xml:space="preserve">                      </w:t>
      </w:r>
      <w:r>
        <w:rPr>
          <w:rFonts w:hint="eastAsia"/>
          <w:b/>
          <w:sz w:val="30"/>
          <w:szCs w:val="30"/>
          <w:highlight w:val="none"/>
        </w:rPr>
        <w:t>（盖章）</w:t>
      </w:r>
    </w:p>
    <w:p w14:paraId="2AEBECAE">
      <w:pPr>
        <w:spacing w:line="360" w:lineRule="auto"/>
        <w:ind w:firstLine="602"/>
        <w:outlineLvl w:val="9"/>
        <w:rPr>
          <w:rFonts w:ascii="宋体"/>
          <w:b/>
          <w:bCs/>
          <w:highlight w:val="none"/>
        </w:rPr>
      </w:pPr>
      <w:r>
        <w:rPr>
          <w:rFonts w:hint="eastAsia"/>
          <w:b/>
          <w:sz w:val="30"/>
          <w:szCs w:val="30"/>
          <w:highlight w:val="none"/>
        </w:rPr>
        <w:t>磋商日期：</w:t>
      </w:r>
      <w:r>
        <w:rPr>
          <w:b/>
          <w:sz w:val="30"/>
          <w:szCs w:val="30"/>
          <w:highlight w:val="none"/>
          <w:u w:val="single"/>
        </w:rPr>
        <w:t xml:space="preserve">                                      </w:t>
      </w:r>
      <w:bookmarkStart w:id="166" w:name="_Toc325726036"/>
      <w:bookmarkStart w:id="167" w:name="_Toc376936767"/>
    </w:p>
    <w:p w14:paraId="1F791685">
      <w:pPr>
        <w:spacing w:line="360" w:lineRule="auto"/>
        <w:ind w:firstLine="482"/>
        <w:outlineLvl w:val="9"/>
        <w:rPr>
          <w:rFonts w:ascii="宋体" w:hAnsi="宋体"/>
          <w:b/>
          <w:bCs/>
          <w:highlight w:val="none"/>
        </w:rPr>
      </w:pPr>
    </w:p>
    <w:p w14:paraId="58893C61">
      <w:pPr>
        <w:pStyle w:val="14"/>
        <w:outlineLvl w:val="9"/>
        <w:rPr>
          <w:rFonts w:hAnsi="宋体"/>
          <w:b/>
          <w:bCs/>
          <w:highlight w:val="none"/>
        </w:rPr>
      </w:pPr>
    </w:p>
    <w:p w14:paraId="5BF35D49">
      <w:pPr>
        <w:spacing w:line="360" w:lineRule="auto"/>
        <w:ind w:firstLine="482"/>
        <w:rPr>
          <w:rFonts w:ascii="宋体" w:hAnsi="宋体"/>
          <w:b/>
          <w:bCs/>
          <w:highlight w:val="none"/>
        </w:rPr>
      </w:pPr>
    </w:p>
    <w:p w14:paraId="482616A3">
      <w:pPr>
        <w:pStyle w:val="14"/>
        <w:rPr>
          <w:rFonts w:ascii="宋体" w:hAnsi="宋体"/>
          <w:b/>
          <w:bCs/>
          <w:highlight w:val="none"/>
        </w:rPr>
      </w:pPr>
    </w:p>
    <w:p w14:paraId="60B4C13D">
      <w:pPr>
        <w:pStyle w:val="14"/>
        <w:rPr>
          <w:rFonts w:ascii="宋体" w:hAnsi="宋体"/>
          <w:b/>
          <w:bCs/>
          <w:highlight w:val="none"/>
        </w:rPr>
      </w:pPr>
    </w:p>
    <w:p w14:paraId="20D78075">
      <w:pPr>
        <w:pStyle w:val="14"/>
        <w:rPr>
          <w:rFonts w:ascii="宋体" w:hAnsi="宋体"/>
          <w:b/>
          <w:bCs/>
          <w:highlight w:val="none"/>
        </w:rPr>
      </w:pPr>
    </w:p>
    <w:p w14:paraId="2C19BB7C">
      <w:pPr>
        <w:pStyle w:val="14"/>
        <w:rPr>
          <w:rFonts w:ascii="宋体" w:hAnsi="宋体"/>
          <w:b/>
          <w:bCs/>
          <w:highlight w:val="none"/>
        </w:rPr>
      </w:pPr>
    </w:p>
    <w:p w14:paraId="0CA6A5D5">
      <w:pPr>
        <w:pStyle w:val="14"/>
        <w:rPr>
          <w:rFonts w:ascii="宋体" w:hAnsi="宋体"/>
          <w:b/>
          <w:bCs/>
          <w:highlight w:val="none"/>
        </w:rPr>
      </w:pPr>
    </w:p>
    <w:p w14:paraId="586A5AAE">
      <w:pPr>
        <w:pStyle w:val="14"/>
        <w:rPr>
          <w:rFonts w:ascii="宋体" w:hAnsi="宋体"/>
          <w:b/>
          <w:bCs/>
          <w:highlight w:val="none"/>
        </w:rPr>
      </w:pPr>
    </w:p>
    <w:p w14:paraId="4382535B">
      <w:pPr>
        <w:pStyle w:val="14"/>
        <w:rPr>
          <w:rFonts w:ascii="宋体" w:hAnsi="宋体"/>
          <w:b/>
          <w:bCs/>
          <w:highlight w:val="none"/>
        </w:rPr>
      </w:pPr>
    </w:p>
    <w:p w14:paraId="4803E65E">
      <w:pPr>
        <w:pStyle w:val="14"/>
        <w:rPr>
          <w:rFonts w:ascii="宋体" w:hAnsi="宋体"/>
          <w:b/>
          <w:bCs/>
          <w:highlight w:val="none"/>
        </w:rPr>
      </w:pPr>
    </w:p>
    <w:p w14:paraId="14547191">
      <w:pPr>
        <w:spacing w:line="360" w:lineRule="auto"/>
        <w:ind w:firstLine="482"/>
        <w:rPr>
          <w:rFonts w:ascii="宋体"/>
          <w:b/>
          <w:bCs/>
          <w:highlight w:val="none"/>
        </w:rPr>
      </w:pPr>
      <w:r>
        <w:rPr>
          <w:rFonts w:hint="eastAsia" w:ascii="宋体" w:hAnsi="宋体"/>
          <w:b/>
          <w:bCs/>
          <w:highlight w:val="none"/>
        </w:rPr>
        <w:t>采</w:t>
      </w:r>
      <w:r>
        <w:rPr>
          <w:rFonts w:ascii="宋体" w:hAnsi="宋体"/>
          <w:b/>
          <w:bCs/>
          <w:highlight w:val="none"/>
        </w:rPr>
        <w:t xml:space="preserve"> </w:t>
      </w:r>
      <w:r>
        <w:rPr>
          <w:rFonts w:hint="eastAsia" w:ascii="宋体" w:hAnsi="宋体"/>
          <w:b/>
          <w:bCs/>
          <w:highlight w:val="none"/>
        </w:rPr>
        <w:t>购</w:t>
      </w:r>
      <w:r>
        <w:rPr>
          <w:rFonts w:ascii="宋体" w:hAnsi="宋体"/>
          <w:b/>
          <w:bCs/>
          <w:highlight w:val="none"/>
        </w:rPr>
        <w:t xml:space="preserve"> </w:t>
      </w:r>
      <w:r>
        <w:rPr>
          <w:rFonts w:hint="eastAsia" w:ascii="宋体" w:hAnsi="宋体"/>
          <w:b/>
          <w:bCs/>
          <w:highlight w:val="none"/>
        </w:rPr>
        <w:t>人（以下简称甲方）：</w:t>
      </w:r>
      <w:r>
        <w:rPr>
          <w:rFonts w:ascii="宋体" w:hAnsi="宋体"/>
          <w:b/>
          <w:bCs/>
          <w:highlight w:val="none"/>
        </w:rPr>
        <w:t xml:space="preserve"> </w:t>
      </w:r>
    </w:p>
    <w:p w14:paraId="3CE8725B">
      <w:pPr>
        <w:spacing w:line="360" w:lineRule="auto"/>
        <w:ind w:firstLine="482"/>
        <w:rPr>
          <w:rFonts w:ascii="宋体"/>
          <w:bCs/>
          <w:highlight w:val="none"/>
        </w:rPr>
      </w:pPr>
      <w:r>
        <w:rPr>
          <w:rFonts w:hint="eastAsia" w:ascii="宋体" w:hAnsi="宋体"/>
          <w:b/>
          <w:bCs/>
          <w:highlight w:val="none"/>
        </w:rPr>
        <w:t>供</w:t>
      </w:r>
      <w:r>
        <w:rPr>
          <w:rFonts w:ascii="宋体" w:hAnsi="宋体"/>
          <w:b/>
          <w:bCs/>
          <w:highlight w:val="none"/>
        </w:rPr>
        <w:t xml:space="preserve"> </w:t>
      </w:r>
      <w:r>
        <w:rPr>
          <w:rFonts w:hint="eastAsia" w:ascii="宋体" w:hAnsi="宋体"/>
          <w:b/>
          <w:bCs/>
          <w:highlight w:val="none"/>
        </w:rPr>
        <w:t>应</w:t>
      </w:r>
      <w:r>
        <w:rPr>
          <w:rFonts w:ascii="宋体" w:hAnsi="宋体"/>
          <w:b/>
          <w:bCs/>
          <w:highlight w:val="none"/>
        </w:rPr>
        <w:t xml:space="preserve"> </w:t>
      </w:r>
      <w:r>
        <w:rPr>
          <w:rFonts w:hint="eastAsia" w:ascii="宋体" w:hAnsi="宋体"/>
          <w:b/>
          <w:bCs/>
          <w:highlight w:val="none"/>
        </w:rPr>
        <w:t>商（以下简称乙方）：</w:t>
      </w:r>
    </w:p>
    <w:p w14:paraId="5E3C96C9">
      <w:pPr>
        <w:spacing w:line="360" w:lineRule="auto"/>
        <w:ind w:firstLine="630" w:firstLineChars="300"/>
        <w:rPr>
          <w:rFonts w:ascii="宋体"/>
          <w:bCs/>
          <w:highlight w:val="none"/>
        </w:rPr>
      </w:pPr>
      <w:r>
        <w:rPr>
          <w:rFonts w:hint="eastAsia" w:ascii="宋体" w:hAnsi="宋体"/>
          <w:bCs/>
          <w:highlight w:val="none"/>
        </w:rPr>
        <w:t>甲、乙双方根据</w:t>
      </w:r>
      <w:r>
        <w:rPr>
          <w:rFonts w:hint="eastAsia" w:ascii="宋体" w:hAnsi="宋体"/>
          <w:bCs/>
          <w:highlight w:val="none"/>
          <w:lang w:val="en-US" w:eastAsia="zh-CN"/>
        </w:rPr>
        <w:t>2026</w:t>
      </w:r>
      <w:r>
        <w:rPr>
          <w:rFonts w:hint="eastAsia" w:ascii="宋体" w:hAnsi="宋体"/>
          <w:bCs/>
          <w:highlight w:val="none"/>
        </w:rPr>
        <w:t>年</w:t>
      </w:r>
      <w:r>
        <w:rPr>
          <w:rFonts w:ascii="宋体" w:hAnsi="宋体"/>
          <w:bCs/>
          <w:highlight w:val="none"/>
        </w:rPr>
        <w:t>*</w:t>
      </w:r>
      <w:r>
        <w:rPr>
          <w:rFonts w:hint="eastAsia" w:ascii="宋体" w:hAnsi="宋体"/>
          <w:bCs/>
          <w:highlight w:val="none"/>
        </w:rPr>
        <w:t>月</w:t>
      </w:r>
      <w:r>
        <w:rPr>
          <w:rFonts w:ascii="宋体" w:hAnsi="宋体"/>
          <w:bCs/>
          <w:highlight w:val="none"/>
        </w:rPr>
        <w:t>*</w:t>
      </w:r>
      <w:r>
        <w:rPr>
          <w:rFonts w:hint="eastAsia" w:ascii="宋体" w:hAnsi="宋体"/>
          <w:bCs/>
          <w:highlight w:val="none"/>
        </w:rPr>
        <w:t>日</w:t>
      </w:r>
      <w:r>
        <w:rPr>
          <w:rFonts w:ascii="宋体" w:hAnsi="宋体"/>
          <w:bCs/>
          <w:highlight w:val="none"/>
          <w:u w:val="single"/>
        </w:rPr>
        <w:t xml:space="preserve">             </w:t>
      </w:r>
      <w:r>
        <w:rPr>
          <w:rFonts w:hint="eastAsia" w:ascii="宋体" w:hAnsi="宋体"/>
          <w:bCs/>
          <w:highlight w:val="none"/>
        </w:rPr>
        <w:t>项目（</w:t>
      </w:r>
      <w:r>
        <w:rPr>
          <w:rFonts w:hint="eastAsia" w:ascii="宋体" w:hAnsi="宋体"/>
          <w:bCs/>
          <w:highlight w:val="none"/>
          <w:lang w:eastAsia="zh-CN"/>
        </w:rPr>
        <w:t>青海浩驰磋商（服务）2026-139号</w:t>
      </w:r>
      <w:r>
        <w:rPr>
          <w:rFonts w:hint="eastAsia" w:ascii="宋体" w:hAnsi="宋体"/>
          <w:bCs/>
          <w:highlight w:val="none"/>
        </w:rPr>
        <w:t>）的磋商文件要求和采购机构出具的《成交通知书》，并经双方协商一致，达成合同总价款为</w:t>
      </w:r>
      <w:r>
        <w:rPr>
          <w:rFonts w:ascii="宋体" w:hAnsi="宋体"/>
          <w:bCs/>
          <w:highlight w:val="none"/>
          <w:u w:val="single"/>
        </w:rPr>
        <w:t xml:space="preserve">                    </w:t>
      </w:r>
      <w:r>
        <w:rPr>
          <w:rFonts w:hint="eastAsia" w:ascii="宋体" w:hAnsi="宋体"/>
          <w:bCs/>
          <w:highlight w:val="none"/>
        </w:rPr>
        <w:t>的</w:t>
      </w:r>
      <w:r>
        <w:rPr>
          <w:rFonts w:ascii="宋体" w:hAnsi="宋体"/>
          <w:bCs/>
          <w:highlight w:val="none"/>
          <w:u w:val="single"/>
        </w:rPr>
        <w:t xml:space="preserve">          </w:t>
      </w:r>
      <w:r>
        <w:rPr>
          <w:rFonts w:hint="eastAsia" w:ascii="宋体" w:hAnsi="宋体"/>
          <w:bCs/>
          <w:highlight w:val="none"/>
        </w:rPr>
        <w:t>项目</w:t>
      </w:r>
      <w:r>
        <w:rPr>
          <w:rFonts w:hint="eastAsia" w:ascii="宋体" w:hAnsi="宋体"/>
          <w:highlight w:val="none"/>
        </w:rPr>
        <w:t>采购</w:t>
      </w:r>
      <w:r>
        <w:rPr>
          <w:rFonts w:hint="eastAsia" w:ascii="宋体" w:hAnsi="宋体"/>
          <w:bCs/>
          <w:highlight w:val="none"/>
        </w:rPr>
        <w:t>合同：</w:t>
      </w:r>
    </w:p>
    <w:p w14:paraId="466F26C8">
      <w:pPr>
        <w:autoSpaceDE w:val="0"/>
        <w:autoSpaceDN w:val="0"/>
        <w:adjustRightInd w:val="0"/>
        <w:spacing w:line="360" w:lineRule="auto"/>
        <w:ind w:firstLine="480"/>
        <w:rPr>
          <w:rFonts w:ascii="宋体" w:cs="宋体"/>
          <w:kern w:val="0"/>
          <w:highlight w:val="none"/>
          <w:lang w:val="zh-CN"/>
        </w:rPr>
      </w:pPr>
      <w:r>
        <w:rPr>
          <w:rFonts w:hint="eastAsia" w:ascii="宋体" w:cs="宋体"/>
          <w:kern w:val="0"/>
          <w:highlight w:val="none"/>
          <w:lang w:val="zh-CN"/>
        </w:rPr>
        <w:t>一、签订本政府采购合同的依据</w:t>
      </w:r>
    </w:p>
    <w:p w14:paraId="17D7C6D7">
      <w:pPr>
        <w:autoSpaceDE w:val="0"/>
        <w:autoSpaceDN w:val="0"/>
        <w:adjustRightInd w:val="0"/>
        <w:spacing w:line="360" w:lineRule="auto"/>
        <w:ind w:firstLine="480"/>
        <w:rPr>
          <w:rFonts w:ascii="宋体" w:cs="宋体"/>
          <w:kern w:val="0"/>
          <w:highlight w:val="none"/>
          <w:lang w:val="zh-CN"/>
        </w:rPr>
      </w:pPr>
      <w:r>
        <w:rPr>
          <w:rFonts w:hint="eastAsia" w:ascii="宋体" w:cs="宋体"/>
          <w:kern w:val="0"/>
          <w:highlight w:val="none"/>
          <w:lang w:val="zh-CN"/>
        </w:rPr>
        <w:t>本政府采购合同所附下列文件是构成本政府采购合同不可分割的部分：</w:t>
      </w:r>
    </w:p>
    <w:p w14:paraId="4F8B6EC6">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1.</w:t>
      </w:r>
      <w:r>
        <w:rPr>
          <w:rFonts w:hint="eastAsia" w:ascii="宋体" w:cs="宋体"/>
          <w:kern w:val="0"/>
          <w:highlight w:val="none"/>
          <w:lang w:val="zh-CN"/>
        </w:rPr>
        <w:t>磋商文件；</w:t>
      </w:r>
    </w:p>
    <w:p w14:paraId="46AC7E1C">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2.</w:t>
      </w:r>
      <w:r>
        <w:rPr>
          <w:rFonts w:hint="eastAsia" w:ascii="宋体" w:cs="宋体"/>
          <w:kern w:val="0"/>
          <w:highlight w:val="none"/>
          <w:lang w:val="zh-CN"/>
        </w:rPr>
        <w:t>磋商文件的</w:t>
      </w:r>
      <w:r>
        <w:rPr>
          <w:rFonts w:hint="eastAsia" w:ascii="宋体" w:hAnsi="宋体" w:cs="宋体"/>
          <w:kern w:val="0"/>
          <w:highlight w:val="none"/>
          <w:lang w:val="zh-CN"/>
        </w:rPr>
        <w:t>澄清</w:t>
      </w:r>
      <w:r>
        <w:rPr>
          <w:rFonts w:hint="eastAsia" w:ascii="宋体" w:cs="宋体"/>
          <w:kern w:val="0"/>
          <w:highlight w:val="none"/>
          <w:lang w:val="zh-CN"/>
        </w:rPr>
        <w:t>、变更公告；</w:t>
      </w:r>
    </w:p>
    <w:p w14:paraId="0FB06F3A">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3.</w:t>
      </w:r>
      <w:r>
        <w:rPr>
          <w:rFonts w:hint="eastAsia" w:ascii="宋体" w:cs="宋体"/>
          <w:kern w:val="0"/>
          <w:highlight w:val="none"/>
          <w:lang w:val="zh-CN"/>
        </w:rPr>
        <w:t>成交供应商提交的磋商响应文件；</w:t>
      </w:r>
    </w:p>
    <w:p w14:paraId="77D20C26">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4.</w:t>
      </w:r>
      <w:r>
        <w:rPr>
          <w:rFonts w:hint="eastAsia" w:ascii="宋体" w:cs="宋体"/>
          <w:kern w:val="0"/>
          <w:highlight w:val="none"/>
          <w:lang w:val="zh-CN"/>
        </w:rPr>
        <w:t>磋商文件中规定的政府采购合同通用条款；</w:t>
      </w:r>
    </w:p>
    <w:p w14:paraId="75D1819C">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5.</w:t>
      </w:r>
      <w:r>
        <w:rPr>
          <w:rFonts w:hint="eastAsia" w:ascii="宋体" w:cs="宋体"/>
          <w:kern w:val="0"/>
          <w:highlight w:val="none"/>
          <w:lang w:val="zh-CN"/>
        </w:rPr>
        <w:t>成交通知书；</w:t>
      </w:r>
    </w:p>
    <w:p w14:paraId="27D28383">
      <w:pPr>
        <w:autoSpaceDE w:val="0"/>
        <w:autoSpaceDN w:val="0"/>
        <w:adjustRightInd w:val="0"/>
        <w:spacing w:line="360" w:lineRule="auto"/>
        <w:ind w:firstLine="480"/>
        <w:rPr>
          <w:rFonts w:ascii="宋体" w:cs="宋体"/>
          <w:kern w:val="0"/>
          <w:highlight w:val="none"/>
          <w:lang w:val="zh-CN"/>
        </w:rPr>
      </w:pPr>
      <w:r>
        <w:rPr>
          <w:rFonts w:ascii="宋体" w:cs="宋体"/>
          <w:kern w:val="0"/>
          <w:highlight w:val="none"/>
          <w:lang w:val="zh-CN"/>
        </w:rPr>
        <w:t>6.</w:t>
      </w:r>
      <w:r>
        <w:rPr>
          <w:rFonts w:hint="eastAsia" w:ascii="宋体" w:cs="宋体"/>
          <w:kern w:val="0"/>
          <w:highlight w:val="none"/>
          <w:lang w:val="zh-CN"/>
        </w:rPr>
        <w:t>履约保证金缴费证明；</w:t>
      </w:r>
    </w:p>
    <w:p w14:paraId="4B8C227C">
      <w:pPr>
        <w:autoSpaceDE w:val="0"/>
        <w:autoSpaceDN w:val="0"/>
        <w:adjustRightInd w:val="0"/>
        <w:spacing w:line="360" w:lineRule="auto"/>
        <w:ind w:firstLine="480"/>
        <w:rPr>
          <w:rFonts w:ascii="宋体" w:cs="宋体"/>
          <w:kern w:val="0"/>
          <w:highlight w:val="none"/>
        </w:rPr>
      </w:pPr>
      <w:r>
        <w:rPr>
          <w:rFonts w:ascii="宋体" w:cs="宋体"/>
          <w:kern w:val="0"/>
          <w:highlight w:val="none"/>
          <w:lang w:val="zh-CN"/>
        </w:rPr>
        <w:t>7</w:t>
      </w:r>
      <w:r>
        <w:rPr>
          <w:rFonts w:hint="eastAsia" w:ascii="宋体" w:cs="宋体"/>
          <w:kern w:val="0"/>
          <w:highlight w:val="none"/>
          <w:lang w:val="zh-CN"/>
        </w:rPr>
        <w:t>、省级预算单位政府采购计划备案表。</w:t>
      </w:r>
    </w:p>
    <w:p w14:paraId="186DFF0A">
      <w:pPr>
        <w:autoSpaceDE w:val="0"/>
        <w:autoSpaceDN w:val="0"/>
        <w:adjustRightInd w:val="0"/>
        <w:ind w:firstLine="480"/>
        <w:rPr>
          <w:rFonts w:ascii="宋体" w:cs="宋体"/>
          <w:kern w:val="0"/>
          <w:highlight w:val="none"/>
          <w:lang w:val="zh-CN"/>
        </w:rPr>
      </w:pPr>
      <w:r>
        <w:rPr>
          <w:rFonts w:hint="eastAsia" w:ascii="宋体" w:cs="宋体"/>
          <w:kern w:val="0"/>
          <w:highlight w:val="none"/>
          <w:lang w:val="zh-CN"/>
        </w:rPr>
        <w:t>二、合同标的及金额</w:t>
      </w:r>
      <w:r>
        <w:rPr>
          <w:rFonts w:ascii="宋体" w:cs="宋体"/>
          <w:kern w:val="0"/>
          <w:highlight w:val="none"/>
          <w:lang w:val="zh-CN"/>
        </w:rPr>
        <w:t xml:space="preserve">                                       </w:t>
      </w:r>
      <w:r>
        <w:rPr>
          <w:rFonts w:hint="eastAsia" w:ascii="宋体" w:cs="宋体"/>
          <w:kern w:val="0"/>
          <w:highlight w:val="none"/>
          <w:lang w:val="zh-CN"/>
        </w:rPr>
        <w:t>单位：元</w:t>
      </w:r>
    </w:p>
    <w:tbl>
      <w:tblPr>
        <w:tblStyle w:val="27"/>
        <w:tblW w:w="4997" w:type="pct"/>
        <w:jc w:val="center"/>
        <w:tblLayout w:type="autofit"/>
        <w:tblCellMar>
          <w:top w:w="0" w:type="dxa"/>
          <w:left w:w="108" w:type="dxa"/>
          <w:bottom w:w="0" w:type="dxa"/>
          <w:right w:w="108" w:type="dxa"/>
        </w:tblCellMar>
      </w:tblPr>
      <w:tblGrid>
        <w:gridCol w:w="927"/>
        <w:gridCol w:w="2728"/>
        <w:gridCol w:w="846"/>
        <w:gridCol w:w="1268"/>
        <w:gridCol w:w="1268"/>
        <w:gridCol w:w="1480"/>
      </w:tblGrid>
      <w:tr w14:paraId="4B88FFDF">
        <w:tblPrEx>
          <w:tblCellMar>
            <w:top w:w="0" w:type="dxa"/>
            <w:left w:w="108" w:type="dxa"/>
            <w:bottom w:w="0" w:type="dxa"/>
            <w:right w:w="108" w:type="dxa"/>
          </w:tblCellMar>
        </w:tblPrEx>
        <w:trPr>
          <w:cantSplit/>
          <w:trHeight w:val="900"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337A2F14">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序号</w:t>
            </w:r>
          </w:p>
        </w:tc>
        <w:tc>
          <w:tcPr>
            <w:tcW w:w="1600" w:type="pct"/>
            <w:tcBorders>
              <w:top w:val="single" w:color="auto" w:sz="4" w:space="0"/>
              <w:left w:val="single" w:color="auto" w:sz="4" w:space="0"/>
              <w:bottom w:val="single" w:color="auto" w:sz="4" w:space="0"/>
              <w:right w:val="single" w:color="auto" w:sz="4" w:space="0"/>
            </w:tcBorders>
            <w:vAlign w:val="center"/>
          </w:tcPr>
          <w:p w14:paraId="7C925D3E">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服务内容</w:t>
            </w:r>
          </w:p>
        </w:tc>
        <w:tc>
          <w:tcPr>
            <w:tcW w:w="496" w:type="pct"/>
            <w:tcBorders>
              <w:top w:val="single" w:color="auto" w:sz="4" w:space="0"/>
              <w:left w:val="single" w:color="auto" w:sz="4" w:space="0"/>
              <w:bottom w:val="single" w:color="auto" w:sz="4" w:space="0"/>
              <w:right w:val="single" w:color="auto" w:sz="4" w:space="0"/>
            </w:tcBorders>
            <w:vAlign w:val="center"/>
          </w:tcPr>
          <w:p w14:paraId="2A770577">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数量</w:t>
            </w:r>
          </w:p>
        </w:tc>
        <w:tc>
          <w:tcPr>
            <w:tcW w:w="744" w:type="pct"/>
            <w:tcBorders>
              <w:top w:val="single" w:color="auto" w:sz="4" w:space="0"/>
              <w:left w:val="single" w:color="auto" w:sz="4" w:space="0"/>
              <w:bottom w:val="single" w:color="auto" w:sz="4" w:space="0"/>
              <w:right w:val="single" w:color="auto" w:sz="4" w:space="0"/>
            </w:tcBorders>
            <w:vAlign w:val="center"/>
          </w:tcPr>
          <w:p w14:paraId="7D739563">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单价</w:t>
            </w:r>
          </w:p>
        </w:tc>
        <w:tc>
          <w:tcPr>
            <w:tcW w:w="744" w:type="pct"/>
            <w:tcBorders>
              <w:top w:val="single" w:color="auto" w:sz="4" w:space="0"/>
              <w:left w:val="single" w:color="auto" w:sz="4" w:space="0"/>
              <w:bottom w:val="single" w:color="auto" w:sz="4" w:space="0"/>
              <w:right w:val="single" w:color="auto" w:sz="4" w:space="0"/>
            </w:tcBorders>
            <w:vAlign w:val="center"/>
          </w:tcPr>
          <w:p w14:paraId="7B3F94F0">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总价</w:t>
            </w:r>
          </w:p>
        </w:tc>
        <w:tc>
          <w:tcPr>
            <w:tcW w:w="868" w:type="pct"/>
            <w:tcBorders>
              <w:top w:val="single" w:color="auto" w:sz="4" w:space="0"/>
              <w:left w:val="single" w:color="auto" w:sz="4" w:space="0"/>
              <w:bottom w:val="single" w:color="auto" w:sz="4" w:space="0"/>
              <w:right w:val="single" w:color="auto" w:sz="4" w:space="0"/>
            </w:tcBorders>
            <w:vAlign w:val="center"/>
          </w:tcPr>
          <w:p w14:paraId="31F4B0A6">
            <w:pPr>
              <w:autoSpaceDE w:val="0"/>
              <w:autoSpaceDN w:val="0"/>
              <w:adjustRightInd w:val="0"/>
              <w:jc w:val="center"/>
              <w:rPr>
                <w:rFonts w:ascii="宋体" w:cs="宋体"/>
                <w:kern w:val="0"/>
                <w:highlight w:val="none"/>
                <w:lang w:val="zh-CN"/>
              </w:rPr>
            </w:pPr>
            <w:r>
              <w:rPr>
                <w:rFonts w:hint="eastAsia" w:ascii="宋体" w:cs="宋体"/>
                <w:kern w:val="0"/>
                <w:highlight w:val="none"/>
                <w:lang w:val="zh-CN"/>
              </w:rPr>
              <w:t>备注</w:t>
            </w:r>
          </w:p>
        </w:tc>
      </w:tr>
      <w:tr w14:paraId="502F3A74">
        <w:tblPrEx>
          <w:tblCellMar>
            <w:top w:w="0" w:type="dxa"/>
            <w:left w:w="108" w:type="dxa"/>
            <w:bottom w:w="0" w:type="dxa"/>
            <w:right w:w="108" w:type="dxa"/>
          </w:tblCellMar>
        </w:tblPrEx>
        <w:trPr>
          <w:cantSplit/>
          <w:trHeight w:val="590"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656380B9">
            <w:pPr>
              <w:autoSpaceDE w:val="0"/>
              <w:autoSpaceDN w:val="0"/>
              <w:adjustRightInd w:val="0"/>
              <w:jc w:val="center"/>
              <w:rPr>
                <w:rFonts w:ascii="宋体" w:cs="宋体"/>
                <w:kern w:val="0"/>
                <w:highlight w:val="none"/>
                <w:lang w:val="zh-CN"/>
              </w:rPr>
            </w:pPr>
          </w:p>
        </w:tc>
        <w:tc>
          <w:tcPr>
            <w:tcW w:w="1600" w:type="pct"/>
            <w:tcBorders>
              <w:top w:val="single" w:color="auto" w:sz="4" w:space="0"/>
              <w:left w:val="single" w:color="auto" w:sz="4" w:space="0"/>
              <w:bottom w:val="single" w:color="auto" w:sz="4" w:space="0"/>
              <w:right w:val="single" w:color="auto" w:sz="4" w:space="0"/>
            </w:tcBorders>
            <w:vAlign w:val="center"/>
          </w:tcPr>
          <w:p w14:paraId="423D1D23">
            <w:pPr>
              <w:autoSpaceDE w:val="0"/>
              <w:autoSpaceDN w:val="0"/>
              <w:adjustRightInd w:val="0"/>
              <w:jc w:val="center"/>
              <w:rPr>
                <w:rFonts w:ascii="宋体" w:cs="宋体"/>
                <w:kern w:val="0"/>
                <w:highlight w:val="none"/>
                <w:lang w:val="zh-CN"/>
              </w:rPr>
            </w:pPr>
          </w:p>
        </w:tc>
        <w:tc>
          <w:tcPr>
            <w:tcW w:w="496" w:type="pct"/>
            <w:tcBorders>
              <w:top w:val="single" w:color="auto" w:sz="4" w:space="0"/>
              <w:left w:val="single" w:color="auto" w:sz="4" w:space="0"/>
              <w:bottom w:val="single" w:color="auto" w:sz="4" w:space="0"/>
              <w:right w:val="single" w:color="auto" w:sz="4" w:space="0"/>
            </w:tcBorders>
            <w:vAlign w:val="center"/>
          </w:tcPr>
          <w:p w14:paraId="733C15A3">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621BBDFB">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27B3F1D2">
            <w:pPr>
              <w:autoSpaceDE w:val="0"/>
              <w:autoSpaceDN w:val="0"/>
              <w:adjustRightInd w:val="0"/>
              <w:jc w:val="center"/>
              <w:rPr>
                <w:rFonts w:ascii="宋体" w:cs="宋体"/>
                <w:kern w:val="0"/>
                <w:highlight w:val="none"/>
                <w:lang w:val="zh-CN"/>
              </w:rPr>
            </w:pPr>
          </w:p>
        </w:tc>
        <w:tc>
          <w:tcPr>
            <w:tcW w:w="868" w:type="pct"/>
            <w:tcBorders>
              <w:top w:val="single" w:color="auto" w:sz="4" w:space="0"/>
              <w:left w:val="single" w:color="auto" w:sz="4" w:space="0"/>
              <w:bottom w:val="single" w:color="auto" w:sz="4" w:space="0"/>
              <w:right w:val="single" w:color="auto" w:sz="4" w:space="0"/>
            </w:tcBorders>
            <w:vAlign w:val="center"/>
          </w:tcPr>
          <w:p w14:paraId="3AC347D3">
            <w:pPr>
              <w:autoSpaceDE w:val="0"/>
              <w:autoSpaceDN w:val="0"/>
              <w:adjustRightInd w:val="0"/>
              <w:jc w:val="center"/>
              <w:rPr>
                <w:rFonts w:ascii="宋体" w:cs="宋体"/>
                <w:kern w:val="0"/>
                <w:highlight w:val="none"/>
                <w:lang w:val="zh-CN"/>
              </w:rPr>
            </w:pPr>
          </w:p>
        </w:tc>
      </w:tr>
      <w:tr w14:paraId="0543EB32">
        <w:tblPrEx>
          <w:tblCellMar>
            <w:top w:w="0" w:type="dxa"/>
            <w:left w:w="108" w:type="dxa"/>
            <w:bottom w:w="0" w:type="dxa"/>
            <w:right w:w="108" w:type="dxa"/>
          </w:tblCellMar>
        </w:tblPrEx>
        <w:trPr>
          <w:cantSplit/>
          <w:trHeight w:val="664"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57DCB5F7">
            <w:pPr>
              <w:autoSpaceDE w:val="0"/>
              <w:autoSpaceDN w:val="0"/>
              <w:adjustRightInd w:val="0"/>
              <w:jc w:val="center"/>
              <w:rPr>
                <w:rFonts w:ascii="宋体" w:cs="宋体"/>
                <w:kern w:val="0"/>
                <w:highlight w:val="none"/>
                <w:lang w:val="zh-CN"/>
              </w:rPr>
            </w:pPr>
          </w:p>
        </w:tc>
        <w:tc>
          <w:tcPr>
            <w:tcW w:w="1600" w:type="pct"/>
            <w:tcBorders>
              <w:top w:val="single" w:color="auto" w:sz="4" w:space="0"/>
              <w:left w:val="single" w:color="auto" w:sz="4" w:space="0"/>
              <w:bottom w:val="single" w:color="auto" w:sz="4" w:space="0"/>
              <w:right w:val="single" w:color="auto" w:sz="4" w:space="0"/>
            </w:tcBorders>
            <w:vAlign w:val="center"/>
          </w:tcPr>
          <w:p w14:paraId="05117297">
            <w:pPr>
              <w:autoSpaceDE w:val="0"/>
              <w:autoSpaceDN w:val="0"/>
              <w:adjustRightInd w:val="0"/>
              <w:jc w:val="center"/>
              <w:rPr>
                <w:rFonts w:ascii="宋体" w:cs="宋体"/>
                <w:kern w:val="0"/>
                <w:highlight w:val="none"/>
                <w:lang w:val="zh-CN"/>
              </w:rPr>
            </w:pPr>
          </w:p>
        </w:tc>
        <w:tc>
          <w:tcPr>
            <w:tcW w:w="496" w:type="pct"/>
            <w:tcBorders>
              <w:top w:val="single" w:color="auto" w:sz="4" w:space="0"/>
              <w:left w:val="single" w:color="auto" w:sz="4" w:space="0"/>
              <w:bottom w:val="single" w:color="auto" w:sz="4" w:space="0"/>
              <w:right w:val="single" w:color="auto" w:sz="4" w:space="0"/>
            </w:tcBorders>
            <w:vAlign w:val="center"/>
          </w:tcPr>
          <w:p w14:paraId="1D7E64EC">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380EE73C">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5A5C5046">
            <w:pPr>
              <w:autoSpaceDE w:val="0"/>
              <w:autoSpaceDN w:val="0"/>
              <w:adjustRightInd w:val="0"/>
              <w:jc w:val="center"/>
              <w:rPr>
                <w:rFonts w:ascii="宋体" w:cs="宋体"/>
                <w:kern w:val="0"/>
                <w:highlight w:val="none"/>
                <w:lang w:val="zh-CN"/>
              </w:rPr>
            </w:pPr>
          </w:p>
        </w:tc>
        <w:tc>
          <w:tcPr>
            <w:tcW w:w="868" w:type="pct"/>
            <w:tcBorders>
              <w:top w:val="single" w:color="auto" w:sz="4" w:space="0"/>
              <w:left w:val="single" w:color="auto" w:sz="4" w:space="0"/>
              <w:bottom w:val="single" w:color="auto" w:sz="4" w:space="0"/>
              <w:right w:val="single" w:color="auto" w:sz="4" w:space="0"/>
            </w:tcBorders>
            <w:vAlign w:val="center"/>
          </w:tcPr>
          <w:p w14:paraId="32546037">
            <w:pPr>
              <w:autoSpaceDE w:val="0"/>
              <w:autoSpaceDN w:val="0"/>
              <w:adjustRightInd w:val="0"/>
              <w:jc w:val="center"/>
              <w:rPr>
                <w:rFonts w:ascii="宋体" w:cs="宋体"/>
                <w:kern w:val="0"/>
                <w:highlight w:val="none"/>
                <w:lang w:val="zh-CN"/>
              </w:rPr>
            </w:pPr>
          </w:p>
        </w:tc>
      </w:tr>
      <w:tr w14:paraId="75965042">
        <w:tblPrEx>
          <w:tblCellMar>
            <w:top w:w="0" w:type="dxa"/>
            <w:left w:w="108" w:type="dxa"/>
            <w:bottom w:w="0" w:type="dxa"/>
            <w:right w:w="108" w:type="dxa"/>
          </w:tblCellMar>
        </w:tblPrEx>
        <w:trPr>
          <w:cantSplit/>
          <w:trHeight w:val="664"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1A6BB672">
            <w:pPr>
              <w:autoSpaceDE w:val="0"/>
              <w:autoSpaceDN w:val="0"/>
              <w:adjustRightInd w:val="0"/>
              <w:jc w:val="center"/>
              <w:rPr>
                <w:rFonts w:ascii="宋体" w:cs="宋体"/>
                <w:kern w:val="0"/>
                <w:highlight w:val="none"/>
                <w:lang w:val="zh-CN"/>
              </w:rPr>
            </w:pPr>
          </w:p>
        </w:tc>
        <w:tc>
          <w:tcPr>
            <w:tcW w:w="1600" w:type="pct"/>
            <w:tcBorders>
              <w:top w:val="single" w:color="auto" w:sz="4" w:space="0"/>
              <w:left w:val="single" w:color="auto" w:sz="4" w:space="0"/>
              <w:bottom w:val="single" w:color="auto" w:sz="4" w:space="0"/>
              <w:right w:val="single" w:color="auto" w:sz="4" w:space="0"/>
            </w:tcBorders>
            <w:vAlign w:val="center"/>
          </w:tcPr>
          <w:p w14:paraId="7A535151">
            <w:pPr>
              <w:autoSpaceDE w:val="0"/>
              <w:autoSpaceDN w:val="0"/>
              <w:adjustRightInd w:val="0"/>
              <w:jc w:val="center"/>
              <w:rPr>
                <w:rFonts w:ascii="宋体" w:cs="宋体"/>
                <w:kern w:val="0"/>
                <w:highlight w:val="none"/>
                <w:lang w:val="zh-CN"/>
              </w:rPr>
            </w:pPr>
          </w:p>
        </w:tc>
        <w:tc>
          <w:tcPr>
            <w:tcW w:w="496" w:type="pct"/>
            <w:tcBorders>
              <w:top w:val="single" w:color="auto" w:sz="4" w:space="0"/>
              <w:left w:val="single" w:color="auto" w:sz="4" w:space="0"/>
              <w:bottom w:val="single" w:color="auto" w:sz="4" w:space="0"/>
              <w:right w:val="single" w:color="auto" w:sz="4" w:space="0"/>
            </w:tcBorders>
            <w:vAlign w:val="center"/>
          </w:tcPr>
          <w:p w14:paraId="7E9A1ED1">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2E242E6E">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5792DF60">
            <w:pPr>
              <w:autoSpaceDE w:val="0"/>
              <w:autoSpaceDN w:val="0"/>
              <w:adjustRightInd w:val="0"/>
              <w:jc w:val="center"/>
              <w:rPr>
                <w:rFonts w:ascii="宋体" w:cs="宋体"/>
                <w:kern w:val="0"/>
                <w:highlight w:val="none"/>
                <w:lang w:val="zh-CN"/>
              </w:rPr>
            </w:pPr>
          </w:p>
        </w:tc>
        <w:tc>
          <w:tcPr>
            <w:tcW w:w="868" w:type="pct"/>
            <w:tcBorders>
              <w:top w:val="single" w:color="auto" w:sz="4" w:space="0"/>
              <w:left w:val="single" w:color="auto" w:sz="4" w:space="0"/>
              <w:bottom w:val="single" w:color="auto" w:sz="4" w:space="0"/>
              <w:right w:val="single" w:color="auto" w:sz="4" w:space="0"/>
            </w:tcBorders>
            <w:vAlign w:val="center"/>
          </w:tcPr>
          <w:p w14:paraId="03BD834E">
            <w:pPr>
              <w:autoSpaceDE w:val="0"/>
              <w:autoSpaceDN w:val="0"/>
              <w:adjustRightInd w:val="0"/>
              <w:jc w:val="center"/>
              <w:rPr>
                <w:rFonts w:ascii="宋体" w:cs="宋体"/>
                <w:kern w:val="0"/>
                <w:highlight w:val="none"/>
                <w:lang w:val="zh-CN"/>
              </w:rPr>
            </w:pPr>
          </w:p>
        </w:tc>
      </w:tr>
      <w:tr w14:paraId="6CA751AC">
        <w:tblPrEx>
          <w:tblCellMar>
            <w:top w:w="0" w:type="dxa"/>
            <w:left w:w="108" w:type="dxa"/>
            <w:bottom w:w="0" w:type="dxa"/>
            <w:right w:w="108" w:type="dxa"/>
          </w:tblCellMar>
        </w:tblPrEx>
        <w:trPr>
          <w:cantSplit/>
          <w:trHeight w:val="664" w:hRule="atLeast"/>
          <w:jc w:val="center"/>
        </w:trPr>
        <w:tc>
          <w:tcPr>
            <w:tcW w:w="544" w:type="pct"/>
            <w:tcBorders>
              <w:top w:val="single" w:color="auto" w:sz="4" w:space="0"/>
              <w:left w:val="single" w:color="auto" w:sz="4" w:space="0"/>
              <w:bottom w:val="single" w:color="auto" w:sz="4" w:space="0"/>
              <w:right w:val="single" w:color="auto" w:sz="4" w:space="0"/>
            </w:tcBorders>
            <w:vAlign w:val="center"/>
          </w:tcPr>
          <w:p w14:paraId="548F76E4">
            <w:pPr>
              <w:autoSpaceDE w:val="0"/>
              <w:autoSpaceDN w:val="0"/>
              <w:adjustRightInd w:val="0"/>
              <w:jc w:val="center"/>
              <w:rPr>
                <w:rFonts w:ascii="宋体" w:cs="宋体"/>
                <w:kern w:val="0"/>
                <w:highlight w:val="none"/>
                <w:lang w:val="zh-CN"/>
              </w:rPr>
            </w:pPr>
          </w:p>
        </w:tc>
        <w:tc>
          <w:tcPr>
            <w:tcW w:w="1600" w:type="pct"/>
            <w:tcBorders>
              <w:top w:val="single" w:color="auto" w:sz="4" w:space="0"/>
              <w:left w:val="single" w:color="auto" w:sz="4" w:space="0"/>
              <w:bottom w:val="single" w:color="auto" w:sz="4" w:space="0"/>
              <w:right w:val="single" w:color="auto" w:sz="4" w:space="0"/>
            </w:tcBorders>
            <w:vAlign w:val="center"/>
          </w:tcPr>
          <w:p w14:paraId="514F2A09">
            <w:pPr>
              <w:autoSpaceDE w:val="0"/>
              <w:autoSpaceDN w:val="0"/>
              <w:adjustRightInd w:val="0"/>
              <w:jc w:val="center"/>
              <w:rPr>
                <w:rFonts w:ascii="宋体" w:cs="宋体"/>
                <w:kern w:val="0"/>
                <w:highlight w:val="none"/>
                <w:lang w:val="zh-CN"/>
              </w:rPr>
            </w:pPr>
          </w:p>
        </w:tc>
        <w:tc>
          <w:tcPr>
            <w:tcW w:w="496" w:type="pct"/>
            <w:tcBorders>
              <w:top w:val="single" w:color="auto" w:sz="4" w:space="0"/>
              <w:left w:val="single" w:color="auto" w:sz="4" w:space="0"/>
              <w:bottom w:val="single" w:color="auto" w:sz="4" w:space="0"/>
              <w:right w:val="single" w:color="auto" w:sz="4" w:space="0"/>
            </w:tcBorders>
            <w:vAlign w:val="center"/>
          </w:tcPr>
          <w:p w14:paraId="574AB11B">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2C9CF45D">
            <w:pPr>
              <w:autoSpaceDE w:val="0"/>
              <w:autoSpaceDN w:val="0"/>
              <w:adjustRightInd w:val="0"/>
              <w:jc w:val="center"/>
              <w:rPr>
                <w:rFonts w:ascii="宋体" w:cs="宋体"/>
                <w:kern w:val="0"/>
                <w:highlight w:val="none"/>
                <w:lang w:val="zh-CN"/>
              </w:rPr>
            </w:pPr>
          </w:p>
        </w:tc>
        <w:tc>
          <w:tcPr>
            <w:tcW w:w="744" w:type="pct"/>
            <w:tcBorders>
              <w:top w:val="single" w:color="auto" w:sz="4" w:space="0"/>
              <w:left w:val="single" w:color="auto" w:sz="4" w:space="0"/>
              <w:bottom w:val="single" w:color="auto" w:sz="4" w:space="0"/>
              <w:right w:val="single" w:color="auto" w:sz="4" w:space="0"/>
            </w:tcBorders>
            <w:vAlign w:val="center"/>
          </w:tcPr>
          <w:p w14:paraId="41F624FE">
            <w:pPr>
              <w:autoSpaceDE w:val="0"/>
              <w:autoSpaceDN w:val="0"/>
              <w:adjustRightInd w:val="0"/>
              <w:jc w:val="center"/>
              <w:rPr>
                <w:rFonts w:ascii="宋体" w:cs="宋体"/>
                <w:kern w:val="0"/>
                <w:highlight w:val="none"/>
                <w:lang w:val="zh-CN"/>
              </w:rPr>
            </w:pPr>
          </w:p>
        </w:tc>
        <w:tc>
          <w:tcPr>
            <w:tcW w:w="868" w:type="pct"/>
            <w:tcBorders>
              <w:top w:val="single" w:color="auto" w:sz="4" w:space="0"/>
              <w:left w:val="single" w:color="auto" w:sz="4" w:space="0"/>
              <w:bottom w:val="single" w:color="auto" w:sz="4" w:space="0"/>
              <w:right w:val="single" w:color="auto" w:sz="4" w:space="0"/>
            </w:tcBorders>
            <w:vAlign w:val="center"/>
          </w:tcPr>
          <w:p w14:paraId="2C0212B4">
            <w:pPr>
              <w:autoSpaceDE w:val="0"/>
              <w:autoSpaceDN w:val="0"/>
              <w:adjustRightInd w:val="0"/>
              <w:jc w:val="center"/>
              <w:rPr>
                <w:rFonts w:ascii="宋体" w:cs="宋体"/>
                <w:kern w:val="0"/>
                <w:highlight w:val="none"/>
                <w:lang w:val="zh-CN"/>
              </w:rPr>
            </w:pPr>
          </w:p>
        </w:tc>
      </w:tr>
    </w:tbl>
    <w:p w14:paraId="71158A80">
      <w:pPr>
        <w:autoSpaceDE w:val="0"/>
        <w:autoSpaceDN w:val="0"/>
        <w:adjustRightInd w:val="0"/>
        <w:spacing w:line="360" w:lineRule="auto"/>
        <w:ind w:firstLine="480"/>
        <w:rPr>
          <w:rFonts w:ascii="宋体" w:cs="宋体"/>
          <w:kern w:val="0"/>
          <w:highlight w:val="none"/>
          <w:lang w:val="zh-CN"/>
        </w:rPr>
      </w:pPr>
      <w:r>
        <w:rPr>
          <w:rFonts w:hint="eastAsia" w:ascii="宋体" w:cs="宋体"/>
          <w:kern w:val="0"/>
          <w:highlight w:val="none"/>
          <w:lang w:val="zh-CN"/>
        </w:rPr>
        <w:t>根据上述政府采购合同文件要求，本政府采购合同的总金额为人民币        （大写）                 元。</w:t>
      </w:r>
    </w:p>
    <w:p w14:paraId="2D07585F">
      <w:pPr>
        <w:autoSpaceDE w:val="0"/>
        <w:autoSpaceDN w:val="0"/>
        <w:adjustRightInd w:val="0"/>
        <w:spacing w:line="360" w:lineRule="auto"/>
        <w:ind w:firstLine="480"/>
        <w:rPr>
          <w:rFonts w:hint="eastAsia" w:ascii="宋体" w:eastAsia="宋体" w:cs="宋体"/>
          <w:kern w:val="0"/>
          <w:highlight w:val="none"/>
          <w:lang w:val="en-US" w:eastAsia="zh-CN"/>
        </w:rPr>
      </w:pPr>
      <w:r>
        <w:rPr>
          <w:rFonts w:hint="eastAsia" w:ascii="宋体" w:cs="宋体"/>
          <w:kern w:val="0"/>
          <w:highlight w:val="none"/>
          <w:lang w:val="zh-CN"/>
        </w:rPr>
        <w:t>本合同以人民币进行结算，合同总价包括：该项目规定的服务费用、配套该项目提供的技术服务费用、培训费、保险费、税金及不可预见费等全部费用。</w:t>
      </w:r>
    </w:p>
    <w:p w14:paraId="68CFD395">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三、交付时间、地点和要求</w:t>
      </w:r>
    </w:p>
    <w:p w14:paraId="73EFF1AF">
      <w:pPr>
        <w:autoSpaceDE w:val="0"/>
        <w:autoSpaceDN w:val="0"/>
        <w:adjustRightInd w:val="0"/>
        <w:spacing w:line="360" w:lineRule="auto"/>
        <w:ind w:firstLine="480"/>
        <w:rPr>
          <w:rFonts w:hint="eastAsia" w:ascii="宋体" w:hAnsi="宋体" w:eastAsia="宋体" w:cs="宋体"/>
          <w:szCs w:val="22"/>
          <w:highlight w:val="none"/>
          <w:lang w:eastAsia="zh-CN"/>
        </w:rPr>
      </w:pPr>
      <w:r>
        <w:rPr>
          <w:rFonts w:cs="Calibri"/>
          <w:kern w:val="0"/>
          <w:highlight w:val="none"/>
        </w:rPr>
        <w:t>1.</w:t>
      </w:r>
      <w:r>
        <w:rPr>
          <w:rFonts w:hint="eastAsia" w:ascii="宋体" w:hAnsi="宋体" w:cs="宋体"/>
          <w:kern w:val="0"/>
          <w:highlight w:val="none"/>
          <w:lang w:val="zh-CN"/>
        </w:rPr>
        <w:t xml:space="preserve"> 服务时间</w:t>
      </w:r>
      <w:r>
        <w:rPr>
          <w:rFonts w:hint="eastAsia" w:ascii="宋体" w:cs="宋体"/>
          <w:kern w:val="0"/>
          <w:highlight w:val="none"/>
          <w:lang w:val="zh-CN"/>
        </w:rPr>
        <w:t>：</w:t>
      </w:r>
      <w:r>
        <w:rPr>
          <w:rFonts w:hint="eastAsia" w:ascii="宋体" w:cs="宋体"/>
          <w:kern w:val="0"/>
          <w:highlight w:val="none"/>
          <w:u w:val="single"/>
          <w:lang w:val="en-US" w:eastAsia="zh-CN"/>
        </w:rPr>
        <w:t xml:space="preserve">       </w:t>
      </w:r>
      <w:r>
        <w:rPr>
          <w:rFonts w:hint="eastAsia" w:ascii="宋体" w:hAnsi="宋体" w:cs="宋体"/>
          <w:szCs w:val="22"/>
          <w:highlight w:val="none"/>
          <w:lang w:eastAsia="zh-CN"/>
        </w:rPr>
        <w:t>。</w:t>
      </w:r>
    </w:p>
    <w:p w14:paraId="6D2DA109">
      <w:pPr>
        <w:autoSpaceDE w:val="0"/>
        <w:autoSpaceDN w:val="0"/>
        <w:adjustRightInd w:val="0"/>
        <w:spacing w:line="360" w:lineRule="auto"/>
        <w:ind w:firstLine="480"/>
        <w:rPr>
          <w:rFonts w:cs="Calibri"/>
          <w:kern w:val="0"/>
          <w:highlight w:val="none"/>
        </w:rPr>
      </w:pPr>
      <w:r>
        <w:rPr>
          <w:rFonts w:hint="eastAsia" w:ascii="宋体" w:hAnsi="宋体" w:cs="宋体"/>
          <w:szCs w:val="22"/>
          <w:highlight w:val="none"/>
          <w:lang w:val="en-US" w:eastAsia="zh-CN"/>
        </w:rPr>
        <w:t>2、</w:t>
      </w:r>
      <w:r>
        <w:rPr>
          <w:rFonts w:hint="eastAsia" w:ascii="宋体" w:cs="宋体"/>
          <w:kern w:val="0"/>
          <w:highlight w:val="none"/>
          <w:lang w:val="zh-CN"/>
        </w:rPr>
        <w:t>服务地点：</w:t>
      </w:r>
      <w:r>
        <w:rPr>
          <w:rFonts w:hint="eastAsia" w:ascii="宋体" w:cs="宋体"/>
          <w:kern w:val="0"/>
          <w:highlight w:val="none"/>
          <w:u w:val="single"/>
          <w:lang w:val="en-US" w:eastAsia="zh-CN"/>
        </w:rPr>
        <w:t xml:space="preserve">            </w:t>
      </w:r>
      <w:r>
        <w:rPr>
          <w:rFonts w:hint="eastAsia" w:ascii="宋体" w:cs="宋体"/>
          <w:kern w:val="0"/>
          <w:highlight w:val="none"/>
          <w:lang w:val="zh-CN"/>
        </w:rPr>
        <w:t>。</w:t>
      </w:r>
    </w:p>
    <w:p w14:paraId="1875B5A2">
      <w:pPr>
        <w:spacing w:line="360" w:lineRule="auto"/>
        <w:ind w:firstLine="480"/>
        <w:rPr>
          <w:rFonts w:hint="eastAsia" w:cs="Calibri"/>
          <w:kern w:val="0"/>
          <w:highlight w:val="none"/>
        </w:rPr>
      </w:pPr>
      <w:r>
        <w:rPr>
          <w:rFonts w:hint="eastAsia" w:cs="Calibri"/>
          <w:kern w:val="0"/>
          <w:highlight w:val="none"/>
          <w:lang w:val="en-US" w:eastAsia="zh-CN"/>
        </w:rPr>
        <w:t>3</w:t>
      </w:r>
      <w:r>
        <w:rPr>
          <w:rFonts w:cs="Calibri"/>
          <w:kern w:val="0"/>
          <w:highlight w:val="none"/>
        </w:rPr>
        <w:t>.</w:t>
      </w:r>
      <w:r>
        <w:rPr>
          <w:rFonts w:hint="eastAsia" w:cs="Calibri"/>
          <w:kern w:val="0"/>
          <w:highlight w:val="none"/>
        </w:rPr>
        <w:t>履约验收：</w:t>
      </w:r>
    </w:p>
    <w:p w14:paraId="3CDA81F3">
      <w:pPr>
        <w:spacing w:line="360" w:lineRule="auto"/>
        <w:ind w:firstLine="480"/>
        <w:rPr>
          <w:rFonts w:hint="eastAsia" w:cs="Calibri"/>
          <w:kern w:val="0"/>
          <w:highlight w:val="none"/>
        </w:rPr>
      </w:pPr>
      <w:r>
        <w:rPr>
          <w:rFonts w:hint="eastAsia" w:cs="Calibri"/>
          <w:kern w:val="0"/>
          <w:highlight w:val="none"/>
        </w:rPr>
        <w:t>（1）履约验收的主体：青海大学；</w:t>
      </w:r>
    </w:p>
    <w:p w14:paraId="5250FE45">
      <w:pPr>
        <w:spacing w:line="360" w:lineRule="auto"/>
        <w:ind w:firstLine="480"/>
        <w:rPr>
          <w:rFonts w:hint="eastAsia" w:cs="Calibri"/>
          <w:kern w:val="0"/>
          <w:highlight w:val="none"/>
        </w:rPr>
      </w:pPr>
      <w:r>
        <w:rPr>
          <w:rFonts w:hint="eastAsia" w:cs="Calibri"/>
          <w:kern w:val="0"/>
          <w:highlight w:val="none"/>
        </w:rPr>
        <w:t>（2）时间：乙方按照采购要求完成项目工作后，以书面形式提出验收申请，即可开展项目验收工作；</w:t>
      </w:r>
    </w:p>
    <w:p w14:paraId="32D46D92">
      <w:pPr>
        <w:spacing w:line="360" w:lineRule="auto"/>
        <w:ind w:firstLine="480"/>
        <w:rPr>
          <w:rFonts w:hint="eastAsia" w:cs="Calibri"/>
          <w:kern w:val="0"/>
          <w:highlight w:val="none"/>
        </w:rPr>
      </w:pPr>
      <w:r>
        <w:rPr>
          <w:rFonts w:hint="eastAsia" w:cs="Calibri"/>
          <w:kern w:val="0"/>
          <w:highlight w:val="none"/>
        </w:rPr>
        <w:t>（3）程序：</w:t>
      </w:r>
    </w:p>
    <w:p w14:paraId="5E809EE5">
      <w:pPr>
        <w:spacing w:line="360" w:lineRule="auto"/>
        <w:ind w:firstLine="480"/>
        <w:rPr>
          <w:rFonts w:hint="eastAsia" w:cs="Calibri"/>
          <w:kern w:val="0"/>
          <w:highlight w:val="none"/>
        </w:rPr>
      </w:pPr>
      <w:r>
        <w:rPr>
          <w:rFonts w:hint="eastAsia" w:cs="Calibri"/>
          <w:kern w:val="0"/>
          <w:highlight w:val="none"/>
        </w:rPr>
        <w:t>a.乙方按照甲方采购要求完成项目工作，并且提出书面验收申请；</w:t>
      </w:r>
    </w:p>
    <w:p w14:paraId="08E64BE9">
      <w:pPr>
        <w:spacing w:line="360" w:lineRule="auto"/>
        <w:ind w:firstLine="480"/>
        <w:rPr>
          <w:rFonts w:hint="eastAsia" w:cs="Calibri"/>
          <w:kern w:val="0"/>
          <w:highlight w:val="none"/>
        </w:rPr>
      </w:pPr>
      <w:r>
        <w:rPr>
          <w:rFonts w:hint="eastAsia" w:cs="Calibri"/>
          <w:kern w:val="0"/>
          <w:highlight w:val="none"/>
        </w:rPr>
        <w:t>b.甲方同意乙方验收申请后，组织开展验收工作；</w:t>
      </w:r>
    </w:p>
    <w:p w14:paraId="72AC9579">
      <w:pPr>
        <w:spacing w:line="360" w:lineRule="auto"/>
        <w:ind w:firstLine="480"/>
        <w:rPr>
          <w:rFonts w:hint="eastAsia" w:cs="Calibri"/>
          <w:kern w:val="0"/>
          <w:highlight w:val="none"/>
        </w:rPr>
      </w:pPr>
      <w:r>
        <w:rPr>
          <w:rFonts w:hint="eastAsia" w:cs="Calibri"/>
          <w:kern w:val="0"/>
          <w:highlight w:val="none"/>
        </w:rPr>
        <w:t>c.验收工作对项目实施过程中形成的各类型文档进行查验。</w:t>
      </w:r>
    </w:p>
    <w:p w14:paraId="0987F6CF">
      <w:pPr>
        <w:spacing w:line="360" w:lineRule="auto"/>
        <w:ind w:firstLine="480"/>
        <w:rPr>
          <w:rFonts w:ascii="宋体"/>
          <w:highlight w:val="none"/>
        </w:rPr>
      </w:pPr>
      <w:r>
        <w:rPr>
          <w:rFonts w:hint="eastAsia" w:cs="Calibri"/>
          <w:kern w:val="0"/>
          <w:highlight w:val="none"/>
        </w:rPr>
        <w:t>（4）验收标准：按合同约定开展验收。</w:t>
      </w:r>
    </w:p>
    <w:p w14:paraId="48E2C290">
      <w:pPr>
        <w:autoSpaceDE w:val="0"/>
        <w:autoSpaceDN w:val="0"/>
        <w:adjustRightInd w:val="0"/>
        <w:spacing w:line="360" w:lineRule="auto"/>
        <w:ind w:firstLine="480"/>
        <w:rPr>
          <w:rFonts w:ascii="宋体" w:cs="宋体"/>
          <w:kern w:val="0"/>
          <w:highlight w:val="none"/>
          <w:lang w:val="zh-CN"/>
        </w:rPr>
      </w:pPr>
      <w:r>
        <w:rPr>
          <w:rFonts w:hint="eastAsia" w:ascii="宋体" w:cs="宋体"/>
          <w:kern w:val="0"/>
          <w:highlight w:val="none"/>
          <w:lang w:val="zh-CN"/>
        </w:rPr>
        <w:t>四、付款方式</w:t>
      </w:r>
    </w:p>
    <w:p w14:paraId="0DE88DAE">
      <w:pPr>
        <w:spacing w:line="360" w:lineRule="auto"/>
        <w:ind w:firstLine="480"/>
        <w:rPr>
          <w:rFonts w:hint="eastAsia" w:ascii="Times New Roman" w:hAnsi="Times New Roman" w:eastAsia="宋体" w:cs="Times New Roman"/>
          <w:color w:val="auto"/>
          <w:highlight w:val="none"/>
          <w:lang w:val="zh-CN" w:eastAsia="zh-CN"/>
        </w:rPr>
      </w:pPr>
      <w:r>
        <w:rPr>
          <w:rFonts w:hint="eastAsia" w:ascii="Times New Roman" w:hAnsi="Times New Roman" w:cs="Times New Roman"/>
          <w:color w:val="auto"/>
          <w:highlight w:val="none"/>
          <w:lang w:val="en-US" w:eastAsia="zh-CN"/>
        </w:rPr>
        <w:t>1</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zh-CN" w:eastAsia="zh-CN"/>
        </w:rPr>
        <w:t>合同签订前，</w:t>
      </w:r>
      <w:r>
        <w:rPr>
          <w:rFonts w:hint="eastAsia" w:ascii="Times New Roman" w:hAnsi="Times New Roman" w:eastAsia="宋体" w:cs="Times New Roman"/>
          <w:color w:val="auto"/>
          <w:highlight w:val="none"/>
          <w:lang w:val="en-US" w:eastAsia="zh-CN"/>
        </w:rPr>
        <w:t>乙方</w:t>
      </w:r>
      <w:r>
        <w:rPr>
          <w:rFonts w:hint="eastAsia" w:ascii="Times New Roman" w:hAnsi="Times New Roman" w:eastAsia="宋体" w:cs="Times New Roman"/>
          <w:color w:val="auto"/>
          <w:highlight w:val="none"/>
          <w:lang w:val="zh-CN" w:eastAsia="zh-CN"/>
        </w:rPr>
        <w:t>向</w:t>
      </w:r>
      <w:r>
        <w:rPr>
          <w:rFonts w:hint="eastAsia" w:ascii="Times New Roman" w:hAnsi="Times New Roman" w:eastAsia="宋体" w:cs="Times New Roman"/>
          <w:color w:val="auto"/>
          <w:highlight w:val="none"/>
          <w:lang w:val="en-US" w:eastAsia="zh-CN"/>
        </w:rPr>
        <w:t>甲方方</w:t>
      </w:r>
      <w:r>
        <w:rPr>
          <w:rFonts w:hint="eastAsia" w:ascii="Times New Roman" w:hAnsi="Times New Roman" w:eastAsia="宋体" w:cs="Times New Roman"/>
          <w:color w:val="auto"/>
          <w:highlight w:val="none"/>
          <w:lang w:val="zh-CN" w:eastAsia="zh-CN"/>
        </w:rPr>
        <w:t>缴纳合同总金额的</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lang w:val="zh-CN" w:eastAsia="zh-CN"/>
        </w:rPr>
        <w:t>%，即人民币：</w:t>
      </w:r>
      <w:r>
        <w:rPr>
          <w:rFonts w:hint="eastAsia" w:ascii="Times New Roman" w:hAnsi="Times New Roman" w:eastAsia="宋体" w:cs="Times New Roman"/>
          <w:color w:val="auto"/>
          <w:highlight w:val="none"/>
          <w:u w:val="single"/>
          <w:lang w:val="zh-CN" w:eastAsia="zh-CN"/>
        </w:rPr>
        <w:t xml:space="preserve">   </w:t>
      </w:r>
      <w:r>
        <w:rPr>
          <w:rFonts w:hint="eastAsia" w:ascii="Times New Roman" w:hAnsi="Times New Roman" w:eastAsia="宋体" w:cs="Times New Roman"/>
          <w:color w:val="auto"/>
          <w:highlight w:val="none"/>
          <w:lang w:val="zh-CN" w:eastAsia="zh-CN"/>
        </w:rPr>
        <w:t>元（大写：</w:t>
      </w:r>
      <w:r>
        <w:rPr>
          <w:rFonts w:hint="eastAsia" w:ascii="Times New Roman" w:hAnsi="Times New Roman" w:eastAsia="宋体" w:cs="Times New Roman"/>
          <w:color w:val="auto"/>
          <w:highlight w:val="none"/>
          <w:u w:val="single"/>
          <w:lang w:val="zh-CN" w:eastAsia="zh-CN"/>
        </w:rPr>
        <w:t xml:space="preserve">     </w:t>
      </w:r>
      <w:r>
        <w:rPr>
          <w:rFonts w:hint="eastAsia" w:ascii="Times New Roman" w:hAnsi="Times New Roman" w:eastAsia="宋体" w:cs="Times New Roman"/>
          <w:color w:val="auto"/>
          <w:highlight w:val="none"/>
          <w:lang w:val="zh-CN" w:eastAsia="zh-CN"/>
        </w:rPr>
        <w:t>）作为</w:t>
      </w:r>
      <w:r>
        <w:rPr>
          <w:rFonts w:hint="eastAsia" w:ascii="Times New Roman" w:hAnsi="Times New Roman" w:eastAsia="宋体" w:cs="Times New Roman"/>
          <w:color w:val="auto"/>
          <w:highlight w:val="none"/>
          <w:lang w:val="en-US" w:eastAsia="zh-CN"/>
        </w:rPr>
        <w:t>履约保证金</w:t>
      </w:r>
      <w:r>
        <w:rPr>
          <w:rFonts w:hint="eastAsia" w:ascii="Times New Roman" w:hAnsi="Times New Roman" w:eastAsia="宋体" w:cs="Times New Roman"/>
          <w:color w:val="auto"/>
          <w:highlight w:val="none"/>
          <w:lang w:val="zh-CN" w:eastAsia="zh-CN"/>
        </w:rPr>
        <w:t>，待项目验收合格</w:t>
      </w:r>
      <w:r>
        <w:rPr>
          <w:rFonts w:hint="eastAsia" w:ascii="Times New Roman" w:hAnsi="Times New Roman" w:eastAsia="宋体" w:cs="Times New Roman"/>
          <w:color w:val="auto"/>
          <w:highlight w:val="none"/>
          <w:lang w:val="en-US" w:eastAsia="zh-CN"/>
        </w:rPr>
        <w:t>且稳定运行1年</w:t>
      </w:r>
      <w:r>
        <w:rPr>
          <w:rFonts w:hint="eastAsia" w:ascii="Times New Roman" w:hAnsi="Times New Roman" w:eastAsia="宋体" w:cs="Times New Roman"/>
          <w:color w:val="auto"/>
          <w:highlight w:val="none"/>
          <w:lang w:val="zh-CN" w:eastAsia="zh-CN"/>
        </w:rPr>
        <w:t>后，</w:t>
      </w:r>
      <w:r>
        <w:rPr>
          <w:rFonts w:hint="eastAsia" w:ascii="Times New Roman" w:hAnsi="Times New Roman" w:eastAsia="宋体" w:cs="Times New Roman"/>
          <w:color w:val="auto"/>
          <w:highlight w:val="none"/>
          <w:lang w:val="en-US" w:eastAsia="zh-CN"/>
        </w:rPr>
        <w:t>甲方</w:t>
      </w:r>
      <w:r>
        <w:rPr>
          <w:rFonts w:hint="eastAsia" w:ascii="Times New Roman" w:hAnsi="Times New Roman" w:eastAsia="宋体" w:cs="Times New Roman"/>
          <w:color w:val="auto"/>
          <w:highlight w:val="none"/>
          <w:lang w:val="zh-CN" w:eastAsia="zh-CN"/>
        </w:rPr>
        <w:t>向</w:t>
      </w:r>
      <w:r>
        <w:rPr>
          <w:rFonts w:hint="eastAsia" w:ascii="Times New Roman" w:hAnsi="Times New Roman" w:eastAsia="宋体" w:cs="Times New Roman"/>
          <w:color w:val="auto"/>
          <w:highlight w:val="none"/>
          <w:lang w:val="en-US" w:eastAsia="zh-CN"/>
        </w:rPr>
        <w:t>乙方</w:t>
      </w:r>
      <w:r>
        <w:rPr>
          <w:rFonts w:hint="eastAsia" w:ascii="Times New Roman" w:hAnsi="Times New Roman" w:eastAsia="宋体" w:cs="Times New Roman"/>
          <w:color w:val="auto"/>
          <w:highlight w:val="none"/>
          <w:lang w:val="zh-CN" w:eastAsia="zh-CN"/>
        </w:rPr>
        <w:t>返还，不计利息。</w:t>
      </w:r>
    </w:p>
    <w:p w14:paraId="6B678BA5">
      <w:pPr>
        <w:spacing w:line="360" w:lineRule="auto"/>
        <w:ind w:firstLine="480"/>
        <w:rPr>
          <w:rFonts w:hint="eastAsia" w:ascii="宋体" w:hAnsi="宋体" w:eastAsia="宋体" w:cs="宋体"/>
          <w:highlight w:val="none"/>
          <w:lang w:val="zh-CN" w:eastAsia="zh-CN"/>
        </w:rPr>
      </w:pPr>
      <w:r>
        <w:rPr>
          <w:rFonts w:hint="eastAsia" w:ascii="宋体" w:hAnsi="宋体" w:eastAsia="宋体" w:cs="宋体"/>
          <w:highlight w:val="none"/>
          <w:lang w:val="zh-CN" w:eastAsia="zh-CN"/>
        </w:rPr>
        <w:t>2.合同签订后，</w:t>
      </w:r>
      <w:r>
        <w:rPr>
          <w:rFonts w:hint="eastAsia" w:ascii="Times New Roman" w:hAnsi="Times New Roman" w:eastAsia="宋体" w:cs="Times New Roman"/>
          <w:color w:val="auto"/>
          <w:highlight w:val="none"/>
          <w:lang w:val="en-US" w:eastAsia="zh-CN"/>
        </w:rPr>
        <w:t>乙方</w:t>
      </w:r>
      <w:r>
        <w:rPr>
          <w:rFonts w:hint="eastAsia" w:ascii="宋体" w:hAnsi="宋体" w:eastAsia="宋体" w:cs="宋体"/>
          <w:highlight w:val="none"/>
          <w:lang w:val="zh-CN" w:eastAsia="zh-CN"/>
        </w:rPr>
        <w:t>提交开具的正规发票及</w:t>
      </w:r>
      <w:r>
        <w:rPr>
          <w:rFonts w:hint="eastAsia" w:ascii="宋体" w:hAnsi="宋体" w:eastAsia="宋体" w:cs="宋体"/>
          <w:highlight w:val="none"/>
          <w:lang w:val="en-US" w:eastAsia="zh-CN"/>
        </w:rPr>
        <w:t>甲方</w:t>
      </w:r>
      <w:r>
        <w:rPr>
          <w:rFonts w:hint="eastAsia" w:ascii="宋体" w:hAnsi="宋体" w:eastAsia="宋体" w:cs="宋体"/>
          <w:highlight w:val="none"/>
          <w:lang w:val="zh-CN" w:eastAsia="zh-CN"/>
        </w:rPr>
        <w:t>财务部门要求的其他付款凭据后，甲方向</w:t>
      </w:r>
      <w:r>
        <w:rPr>
          <w:rFonts w:hint="eastAsia" w:ascii="Times New Roman" w:hAnsi="Times New Roman" w:eastAsia="宋体" w:cs="Times New Roman"/>
          <w:color w:val="auto"/>
          <w:highlight w:val="none"/>
          <w:lang w:val="en-US" w:eastAsia="zh-CN"/>
        </w:rPr>
        <w:t>乙方</w:t>
      </w:r>
      <w:r>
        <w:rPr>
          <w:rFonts w:hint="eastAsia" w:ascii="宋体" w:hAnsi="宋体" w:eastAsia="宋体" w:cs="宋体"/>
          <w:highlight w:val="none"/>
          <w:lang w:val="zh-CN" w:eastAsia="zh-CN"/>
        </w:rPr>
        <w:t>支付合同总金额的</w:t>
      </w:r>
      <w:r>
        <w:rPr>
          <w:rFonts w:hint="eastAsia" w:ascii="宋体" w:hAnsi="宋体" w:cs="宋体"/>
          <w:highlight w:val="none"/>
          <w:lang w:val="en-US" w:eastAsia="zh-CN"/>
        </w:rPr>
        <w:t>30</w:t>
      </w:r>
      <w:r>
        <w:rPr>
          <w:rFonts w:hint="eastAsia" w:ascii="宋体" w:hAnsi="宋体" w:eastAsia="宋体" w:cs="宋体"/>
          <w:highlight w:val="none"/>
          <w:lang w:val="zh-CN" w:eastAsia="zh-CN"/>
        </w:rPr>
        <w:t>%，即人民币：</w:t>
      </w:r>
      <w:r>
        <w:rPr>
          <w:rFonts w:hint="eastAsia" w:ascii="宋体" w:hAnsi="宋体" w:eastAsia="宋体" w:cs="宋体"/>
          <w:highlight w:val="none"/>
          <w:u w:val="single"/>
          <w:lang w:val="zh-CN" w:eastAsia="zh-CN"/>
        </w:rPr>
        <w:t xml:space="preserve">   </w:t>
      </w:r>
      <w:r>
        <w:rPr>
          <w:rFonts w:hint="eastAsia" w:ascii="宋体" w:hAnsi="宋体" w:eastAsia="宋体" w:cs="宋体"/>
          <w:highlight w:val="none"/>
          <w:lang w:val="zh-CN" w:eastAsia="zh-CN"/>
        </w:rPr>
        <w:t>元（大写：</w:t>
      </w:r>
      <w:r>
        <w:rPr>
          <w:rFonts w:hint="eastAsia" w:ascii="宋体" w:hAnsi="宋体" w:eastAsia="宋体" w:cs="宋体"/>
          <w:highlight w:val="none"/>
          <w:u w:val="single"/>
          <w:lang w:val="zh-CN" w:eastAsia="zh-CN"/>
        </w:rPr>
        <w:t xml:space="preserve">     </w:t>
      </w:r>
      <w:r>
        <w:rPr>
          <w:rFonts w:hint="eastAsia" w:ascii="宋体" w:hAnsi="宋体" w:eastAsia="宋体" w:cs="宋体"/>
          <w:highlight w:val="none"/>
          <w:lang w:val="zh-CN" w:eastAsia="zh-CN"/>
        </w:rPr>
        <w:t>）；</w:t>
      </w:r>
    </w:p>
    <w:p w14:paraId="7A6E3BAC">
      <w:pPr>
        <w:spacing w:line="360" w:lineRule="auto"/>
        <w:ind w:firstLine="480"/>
        <w:rPr>
          <w:rFonts w:hint="eastAsia" w:ascii="宋体" w:hAnsi="宋体" w:eastAsia="宋体" w:cs="宋体"/>
          <w:highlight w:val="none"/>
          <w:lang w:val="zh-CN" w:eastAsia="zh-CN"/>
        </w:rPr>
      </w:pPr>
      <w:r>
        <w:rPr>
          <w:rFonts w:hint="eastAsia" w:ascii="宋体" w:hAnsi="宋体" w:eastAsia="宋体" w:cs="宋体"/>
          <w:highlight w:val="none"/>
          <w:lang w:val="en-US" w:eastAsia="zh-CN"/>
        </w:rPr>
        <w:t>3.</w:t>
      </w:r>
      <w:r>
        <w:rPr>
          <w:rFonts w:hint="eastAsia" w:ascii="宋体" w:hAnsi="宋体" w:eastAsia="宋体" w:cs="宋体"/>
          <w:highlight w:val="none"/>
          <w:lang w:val="zh-CN" w:eastAsia="zh-CN"/>
        </w:rPr>
        <w:t>验收合格后，</w:t>
      </w:r>
      <w:r>
        <w:rPr>
          <w:rFonts w:hint="eastAsia" w:ascii="Times New Roman" w:hAnsi="Times New Roman" w:eastAsia="宋体" w:cs="Times New Roman"/>
          <w:color w:val="auto"/>
          <w:highlight w:val="none"/>
          <w:lang w:val="en-US" w:eastAsia="zh-CN"/>
        </w:rPr>
        <w:t>乙方</w:t>
      </w:r>
      <w:r>
        <w:rPr>
          <w:rFonts w:hint="eastAsia" w:ascii="宋体" w:hAnsi="宋体" w:eastAsia="宋体" w:cs="宋体"/>
          <w:highlight w:val="none"/>
          <w:lang w:val="zh-CN" w:eastAsia="zh-CN"/>
        </w:rPr>
        <w:t>提交开具的正规发票及</w:t>
      </w:r>
      <w:r>
        <w:rPr>
          <w:rFonts w:hint="eastAsia" w:ascii="宋体" w:hAnsi="宋体" w:eastAsia="宋体" w:cs="宋体"/>
          <w:highlight w:val="none"/>
          <w:lang w:val="en-US" w:eastAsia="zh-CN"/>
        </w:rPr>
        <w:t>甲方</w:t>
      </w:r>
      <w:r>
        <w:rPr>
          <w:rFonts w:hint="eastAsia" w:ascii="宋体" w:hAnsi="宋体" w:eastAsia="宋体" w:cs="宋体"/>
          <w:highlight w:val="none"/>
          <w:lang w:val="zh-CN" w:eastAsia="zh-CN"/>
        </w:rPr>
        <w:t>财务部门要求的其他付款凭据后，甲方向</w:t>
      </w:r>
      <w:r>
        <w:rPr>
          <w:rFonts w:hint="eastAsia" w:ascii="Times New Roman" w:hAnsi="Times New Roman" w:eastAsia="宋体" w:cs="Times New Roman"/>
          <w:color w:val="auto"/>
          <w:highlight w:val="none"/>
          <w:lang w:val="en-US" w:eastAsia="zh-CN"/>
        </w:rPr>
        <w:t>乙方</w:t>
      </w:r>
      <w:r>
        <w:rPr>
          <w:rFonts w:hint="eastAsia" w:ascii="宋体" w:hAnsi="宋体" w:eastAsia="宋体" w:cs="宋体"/>
          <w:highlight w:val="none"/>
          <w:lang w:val="zh-CN" w:eastAsia="zh-CN"/>
        </w:rPr>
        <w:t>支付合同总金额的</w:t>
      </w:r>
      <w:r>
        <w:rPr>
          <w:rFonts w:hint="eastAsia" w:ascii="宋体" w:hAnsi="宋体" w:cs="宋体"/>
          <w:highlight w:val="none"/>
          <w:lang w:val="en-US" w:eastAsia="zh-CN"/>
        </w:rPr>
        <w:t>7</w:t>
      </w:r>
      <w:r>
        <w:rPr>
          <w:rFonts w:hint="eastAsia" w:ascii="宋体" w:hAnsi="宋体" w:eastAsia="宋体" w:cs="宋体"/>
          <w:highlight w:val="none"/>
          <w:lang w:val="zh-CN" w:eastAsia="zh-CN"/>
        </w:rPr>
        <w:t>0%，即人民币：</w:t>
      </w:r>
      <w:r>
        <w:rPr>
          <w:rFonts w:hint="eastAsia" w:ascii="宋体" w:hAnsi="宋体" w:eastAsia="宋体" w:cs="宋体"/>
          <w:highlight w:val="none"/>
          <w:u w:val="single"/>
          <w:lang w:val="zh-CN" w:eastAsia="zh-CN"/>
        </w:rPr>
        <w:t xml:space="preserve">   </w:t>
      </w:r>
      <w:r>
        <w:rPr>
          <w:rFonts w:hint="eastAsia" w:ascii="宋体" w:hAnsi="宋体" w:eastAsia="宋体" w:cs="宋体"/>
          <w:highlight w:val="none"/>
          <w:lang w:val="zh-CN" w:eastAsia="zh-CN"/>
        </w:rPr>
        <w:t>元（大写：</w:t>
      </w:r>
      <w:r>
        <w:rPr>
          <w:rFonts w:hint="eastAsia" w:ascii="宋体" w:hAnsi="宋体" w:eastAsia="宋体" w:cs="宋体"/>
          <w:highlight w:val="none"/>
          <w:u w:val="single"/>
          <w:lang w:val="zh-CN" w:eastAsia="zh-CN"/>
        </w:rPr>
        <w:t xml:space="preserve">     </w:t>
      </w:r>
      <w:r>
        <w:rPr>
          <w:rFonts w:hint="eastAsia" w:ascii="宋体" w:hAnsi="宋体" w:eastAsia="宋体" w:cs="宋体"/>
          <w:highlight w:val="none"/>
          <w:lang w:val="zh-CN" w:eastAsia="zh-CN"/>
        </w:rPr>
        <w:t>）；</w:t>
      </w:r>
    </w:p>
    <w:p w14:paraId="662F41A0">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五、合同的变更、终止与转让</w:t>
      </w:r>
    </w:p>
    <w:p w14:paraId="538DDD02">
      <w:pPr>
        <w:autoSpaceDE w:val="0"/>
        <w:autoSpaceDN w:val="0"/>
        <w:adjustRightInd w:val="0"/>
        <w:spacing w:line="360" w:lineRule="auto"/>
        <w:ind w:firstLine="480"/>
        <w:rPr>
          <w:rFonts w:cs="Calibri"/>
          <w:kern w:val="0"/>
          <w:highlight w:val="none"/>
        </w:rPr>
      </w:pPr>
      <w:r>
        <w:rPr>
          <w:rFonts w:cs="Calibri"/>
          <w:kern w:val="0"/>
          <w:highlight w:val="none"/>
        </w:rPr>
        <w:t>1.</w:t>
      </w:r>
      <w:r>
        <w:rPr>
          <w:rFonts w:hint="eastAsia" w:ascii="宋体" w:cs="宋体"/>
          <w:kern w:val="0"/>
          <w:highlight w:val="none"/>
          <w:lang w:val="zh-CN"/>
        </w:rPr>
        <w:t>除《中华人民共和国政府采购法》第</w:t>
      </w:r>
      <w:r>
        <w:rPr>
          <w:rFonts w:cs="Calibri"/>
          <w:kern w:val="0"/>
          <w:highlight w:val="none"/>
        </w:rPr>
        <w:t>50</w:t>
      </w:r>
      <w:r>
        <w:rPr>
          <w:rFonts w:hint="eastAsia" w:ascii="宋体" w:cs="宋体"/>
          <w:kern w:val="0"/>
          <w:highlight w:val="none"/>
          <w:lang w:val="zh-CN"/>
        </w:rPr>
        <w:t>条规定的情形外，本合同一经签订，甲乙双方不得擅自变更、中止或终止。</w:t>
      </w:r>
    </w:p>
    <w:p w14:paraId="44E1D4BB">
      <w:pPr>
        <w:autoSpaceDE w:val="0"/>
        <w:autoSpaceDN w:val="0"/>
        <w:adjustRightInd w:val="0"/>
        <w:spacing w:line="360" w:lineRule="auto"/>
        <w:ind w:firstLine="480"/>
        <w:rPr>
          <w:rFonts w:cs="Calibri"/>
          <w:kern w:val="0"/>
          <w:highlight w:val="none"/>
        </w:rPr>
      </w:pPr>
      <w:r>
        <w:rPr>
          <w:rFonts w:cs="Calibri"/>
          <w:kern w:val="0"/>
          <w:highlight w:val="none"/>
        </w:rPr>
        <w:t>2.</w:t>
      </w:r>
      <w:r>
        <w:rPr>
          <w:rFonts w:hint="eastAsia" w:ascii="宋体" w:cs="宋体"/>
          <w:kern w:val="0"/>
          <w:highlight w:val="none"/>
          <w:lang w:val="zh-CN"/>
        </w:rPr>
        <w:t>乙方不得擅自转让其应履行的合同义务。</w:t>
      </w:r>
    </w:p>
    <w:p w14:paraId="42FCC620">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六、违约责任</w:t>
      </w:r>
    </w:p>
    <w:p w14:paraId="68FE0AF0">
      <w:pPr>
        <w:autoSpaceDE w:val="0"/>
        <w:autoSpaceDN w:val="0"/>
        <w:adjustRightInd w:val="0"/>
        <w:spacing w:line="360" w:lineRule="auto"/>
        <w:ind w:firstLine="480"/>
        <w:rPr>
          <w:rFonts w:hint="eastAsia" w:ascii="宋体" w:cs="宋体"/>
          <w:kern w:val="0"/>
          <w:highlight w:val="none"/>
          <w:lang w:val="zh-CN"/>
        </w:rPr>
      </w:pPr>
      <w:r>
        <w:rPr>
          <w:rFonts w:hint="eastAsia" w:ascii="宋体" w:cs="宋体"/>
          <w:kern w:val="0"/>
          <w:highlight w:val="none"/>
          <w:lang w:val="zh-CN"/>
        </w:rPr>
        <w:t>1.乙方所提供的服务内容、服务标准、服务要求等质量不合格的，应及时整改；整改不及时的，按逾期服务处罚；因质量问题甲方不同意接收的，质保金（如有）全额扣除，并由乙方赔偿由此引起的甲方的一切经济损失。</w:t>
      </w:r>
    </w:p>
    <w:p w14:paraId="31510BA2">
      <w:pPr>
        <w:autoSpaceDE w:val="0"/>
        <w:autoSpaceDN w:val="0"/>
        <w:adjustRightInd w:val="0"/>
        <w:spacing w:line="360" w:lineRule="auto"/>
        <w:ind w:firstLine="480"/>
        <w:rPr>
          <w:rFonts w:hint="eastAsia" w:ascii="宋体" w:cs="宋体"/>
          <w:kern w:val="0"/>
          <w:highlight w:val="none"/>
          <w:lang w:val="zh-CN"/>
        </w:rPr>
      </w:pPr>
      <w:r>
        <w:rPr>
          <w:rFonts w:hint="eastAsia" w:ascii="宋体" w:cs="宋体"/>
          <w:kern w:val="0"/>
          <w:highlight w:val="none"/>
          <w:lang w:val="zh-CN"/>
        </w:rPr>
        <w:t>2.乙方提供的服务如侵犯了第三方权益而引发纠纷或诉讼的，均由乙方负责交涉并承担全部责任。</w:t>
      </w:r>
    </w:p>
    <w:p w14:paraId="26D384FF">
      <w:pPr>
        <w:autoSpaceDE w:val="0"/>
        <w:autoSpaceDN w:val="0"/>
        <w:adjustRightInd w:val="0"/>
        <w:spacing w:line="360" w:lineRule="auto"/>
        <w:ind w:firstLine="480"/>
        <w:rPr>
          <w:rFonts w:hint="eastAsia" w:ascii="宋体" w:cs="宋体"/>
          <w:kern w:val="0"/>
          <w:highlight w:val="none"/>
          <w:lang w:val="zh-CN"/>
        </w:rPr>
      </w:pPr>
      <w:r>
        <w:rPr>
          <w:rFonts w:hint="eastAsia" w:ascii="宋体" w:cs="宋体"/>
          <w:kern w:val="0"/>
          <w:highlight w:val="none"/>
          <w:lang w:val="zh-CN"/>
        </w:rPr>
        <w:t>3.乙方未按本合同和投标文件中规定的服务承诺提供售后服务的，乙方应按本合同合计金额的5%向甲方支付违约金。</w:t>
      </w:r>
    </w:p>
    <w:p w14:paraId="0B5940A2">
      <w:pPr>
        <w:autoSpaceDE w:val="0"/>
        <w:autoSpaceDN w:val="0"/>
        <w:adjustRightInd w:val="0"/>
        <w:spacing w:line="360" w:lineRule="auto"/>
        <w:ind w:firstLine="480"/>
        <w:rPr>
          <w:rFonts w:hint="eastAsia" w:ascii="宋体" w:cs="宋体"/>
          <w:kern w:val="0"/>
          <w:highlight w:val="none"/>
          <w:lang w:val="zh-CN"/>
        </w:rPr>
      </w:pPr>
      <w:r>
        <w:rPr>
          <w:rFonts w:hint="eastAsia" w:ascii="宋体" w:cs="宋体"/>
          <w:kern w:val="0"/>
          <w:highlight w:val="none"/>
          <w:lang w:val="zh-CN"/>
        </w:rPr>
        <w:t>4.乙方提供的服务在质量保证期内，因标准、内容或管理的缺陷和其它质量原因造成的问题，由乙方负责，费用从履约保证金中扣除，不足另补。</w:t>
      </w:r>
    </w:p>
    <w:p w14:paraId="18A73FCC">
      <w:pPr>
        <w:autoSpaceDE w:val="0"/>
        <w:autoSpaceDN w:val="0"/>
        <w:adjustRightInd w:val="0"/>
        <w:spacing w:line="360" w:lineRule="auto"/>
        <w:ind w:firstLine="480"/>
        <w:rPr>
          <w:rFonts w:hint="eastAsia" w:ascii="宋体" w:cs="宋体"/>
          <w:kern w:val="0"/>
          <w:highlight w:val="none"/>
          <w:lang w:val="zh-CN"/>
        </w:rPr>
      </w:pPr>
      <w:r>
        <w:rPr>
          <w:rFonts w:hint="eastAsia" w:ascii="宋体" w:cs="宋体"/>
          <w:kern w:val="0"/>
          <w:highlight w:val="none"/>
          <w:lang w:val="zh-CN"/>
        </w:rPr>
        <w:t>5.其它违约行为按违约货款额5%收取违约金并赔偿经济损失。</w:t>
      </w:r>
    </w:p>
    <w:p w14:paraId="4735B3D5">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七、不可抗力</w:t>
      </w:r>
    </w:p>
    <w:p w14:paraId="3BE4425D">
      <w:pPr>
        <w:autoSpaceDE w:val="0"/>
        <w:autoSpaceDN w:val="0"/>
        <w:adjustRightInd w:val="0"/>
        <w:spacing w:line="360" w:lineRule="auto"/>
        <w:ind w:firstLine="480"/>
        <w:rPr>
          <w:rFonts w:cs="Calibri"/>
          <w:kern w:val="0"/>
          <w:highlight w:val="none"/>
        </w:rPr>
      </w:pPr>
      <w:r>
        <w:rPr>
          <w:rFonts w:cs="Calibri"/>
          <w:kern w:val="0"/>
          <w:highlight w:val="none"/>
        </w:rPr>
        <w:t>1.</w:t>
      </w:r>
      <w:r>
        <w:rPr>
          <w:rFonts w:hint="eastAsia" w:ascii="宋体" w:cs="宋体"/>
          <w:kern w:val="0"/>
          <w:highlight w:val="none"/>
          <w:lang w:val="zh-CN"/>
        </w:rPr>
        <w:t>不可抗力使合同的某些内容有变更必要的，双方应通过协商在</w:t>
      </w:r>
      <w:r>
        <w:rPr>
          <w:rFonts w:cs="Calibri"/>
          <w:kern w:val="0"/>
          <w:highlight w:val="none"/>
          <w:u w:val="single"/>
        </w:rPr>
        <w:t xml:space="preserve">   </w:t>
      </w:r>
      <w:r>
        <w:rPr>
          <w:rFonts w:hint="eastAsia" w:ascii="宋体" w:cs="宋体"/>
          <w:kern w:val="0"/>
          <w:highlight w:val="none"/>
          <w:lang w:val="zh-CN"/>
        </w:rPr>
        <w:t>天内达成进一步履行合同的协议，因不可抗力致使合同不能履行的，合同终止。</w:t>
      </w:r>
    </w:p>
    <w:p w14:paraId="0BF5A07D">
      <w:pPr>
        <w:autoSpaceDE w:val="0"/>
        <w:autoSpaceDN w:val="0"/>
        <w:adjustRightInd w:val="0"/>
        <w:spacing w:line="360" w:lineRule="auto"/>
        <w:ind w:firstLine="480"/>
        <w:rPr>
          <w:rFonts w:cs="Calibri"/>
          <w:kern w:val="0"/>
          <w:highlight w:val="none"/>
        </w:rPr>
      </w:pPr>
      <w:r>
        <w:rPr>
          <w:rFonts w:cs="Calibri"/>
          <w:kern w:val="0"/>
          <w:highlight w:val="none"/>
        </w:rPr>
        <w:t>2.</w:t>
      </w:r>
      <w:r>
        <w:rPr>
          <w:rFonts w:hint="eastAsia" w:ascii="宋体" w:cs="宋体"/>
          <w:kern w:val="0"/>
          <w:highlight w:val="none"/>
          <w:lang w:val="zh-CN"/>
        </w:rPr>
        <w:t>除法律、法规规定的不可抗力情形外，双方约定出现</w:t>
      </w:r>
      <w:r>
        <w:rPr>
          <w:rFonts w:cs="Calibri"/>
          <w:kern w:val="0"/>
          <w:highlight w:val="none"/>
          <w:u w:val="single"/>
        </w:rPr>
        <w:t xml:space="preserve">         </w:t>
      </w:r>
      <w:r>
        <w:rPr>
          <w:rFonts w:hint="eastAsia" w:ascii="宋体" w:cs="宋体"/>
          <w:kern w:val="0"/>
          <w:highlight w:val="none"/>
          <w:lang w:val="zh-CN"/>
        </w:rPr>
        <w:t>情况亦视为不可抗力。</w:t>
      </w:r>
    </w:p>
    <w:p w14:paraId="2D2EC4C6">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八、知识产权：</w:t>
      </w:r>
    </w:p>
    <w:p w14:paraId="42F284F2">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九、其他约定：</w:t>
      </w:r>
    </w:p>
    <w:p w14:paraId="463326A6">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十、合同争议解决</w:t>
      </w:r>
    </w:p>
    <w:p w14:paraId="1D312EB0">
      <w:pPr>
        <w:autoSpaceDE w:val="0"/>
        <w:autoSpaceDN w:val="0"/>
        <w:adjustRightInd w:val="0"/>
        <w:spacing w:line="360" w:lineRule="auto"/>
        <w:ind w:firstLine="480"/>
        <w:rPr>
          <w:rFonts w:cs="Calibri"/>
          <w:kern w:val="0"/>
          <w:highlight w:val="none"/>
        </w:rPr>
      </w:pPr>
      <w:r>
        <w:rPr>
          <w:rFonts w:cs="Calibri"/>
          <w:kern w:val="0"/>
          <w:highlight w:val="none"/>
        </w:rPr>
        <w:t>1.</w:t>
      </w:r>
      <w:r>
        <w:rPr>
          <w:rFonts w:hint="eastAsia" w:ascii="宋体" w:cs="宋体"/>
          <w:kern w:val="0"/>
          <w:highlight w:val="none"/>
          <w:lang w:val="zh-CN"/>
        </w:rPr>
        <w:t>因产品质量问题发生争议的，应邀请国家认可的质量检测机构进行鉴定。产品符合标准的，鉴定费由甲方承担；产品不符合标准的，鉴定费由乙方承担。</w:t>
      </w:r>
    </w:p>
    <w:p w14:paraId="22796D7C">
      <w:pPr>
        <w:autoSpaceDE w:val="0"/>
        <w:autoSpaceDN w:val="0"/>
        <w:adjustRightInd w:val="0"/>
        <w:spacing w:line="360" w:lineRule="auto"/>
        <w:ind w:firstLine="480"/>
        <w:rPr>
          <w:rFonts w:cs="Calibri"/>
          <w:kern w:val="0"/>
          <w:highlight w:val="none"/>
        </w:rPr>
      </w:pPr>
      <w:r>
        <w:rPr>
          <w:rFonts w:cs="Calibri"/>
          <w:kern w:val="0"/>
          <w:highlight w:val="none"/>
        </w:rPr>
        <w:t>2.</w:t>
      </w:r>
      <w:r>
        <w:rPr>
          <w:rFonts w:hint="eastAsia" w:ascii="宋体" w:cs="宋体"/>
          <w:kern w:val="0"/>
          <w:highlight w:val="none"/>
          <w:lang w:val="zh-CN"/>
        </w:rPr>
        <w:t>因履行本合同引起的或与本合同有关的争议，甲乙双方应首先通过友好协商解决，如果协商不能解决，可向甲方所在地仲裁委员会申请仲裁或向甲方所在地人民法院提起诉讼。</w:t>
      </w:r>
    </w:p>
    <w:p w14:paraId="2DCACAB7">
      <w:pPr>
        <w:autoSpaceDE w:val="0"/>
        <w:autoSpaceDN w:val="0"/>
        <w:adjustRightInd w:val="0"/>
        <w:spacing w:line="360" w:lineRule="auto"/>
        <w:ind w:firstLine="480"/>
        <w:rPr>
          <w:rFonts w:cs="Calibri"/>
          <w:kern w:val="0"/>
          <w:highlight w:val="none"/>
        </w:rPr>
      </w:pPr>
      <w:r>
        <w:rPr>
          <w:rFonts w:cs="Calibri"/>
          <w:kern w:val="0"/>
          <w:highlight w:val="none"/>
        </w:rPr>
        <w:t>3.</w:t>
      </w:r>
      <w:r>
        <w:rPr>
          <w:rFonts w:hint="eastAsia" w:ascii="宋体" w:cs="宋体"/>
          <w:kern w:val="0"/>
          <w:highlight w:val="none"/>
          <w:lang w:val="zh-CN"/>
        </w:rPr>
        <w:t>诉讼期间，本合同继续履行。</w:t>
      </w:r>
    </w:p>
    <w:p w14:paraId="4EFE5F9D">
      <w:pPr>
        <w:autoSpaceDE w:val="0"/>
        <w:autoSpaceDN w:val="0"/>
        <w:adjustRightInd w:val="0"/>
        <w:spacing w:line="360" w:lineRule="auto"/>
        <w:ind w:firstLine="480"/>
        <w:rPr>
          <w:rFonts w:cs="Calibri"/>
          <w:kern w:val="0"/>
          <w:highlight w:val="none"/>
        </w:rPr>
      </w:pPr>
      <w:r>
        <w:rPr>
          <w:rFonts w:hint="eastAsia" w:ascii="宋体" w:cs="宋体"/>
          <w:kern w:val="0"/>
          <w:highlight w:val="none"/>
          <w:lang w:val="zh-CN"/>
        </w:rPr>
        <w:t>十一、合同生效及其它</w:t>
      </w:r>
      <w:r>
        <w:rPr>
          <w:rFonts w:hint="eastAsia" w:ascii="宋体" w:cs="宋体"/>
          <w:kern w:val="0"/>
          <w:highlight w:val="none"/>
        </w:rPr>
        <w:t>：</w:t>
      </w:r>
    </w:p>
    <w:p w14:paraId="532681FD">
      <w:pPr>
        <w:autoSpaceDE w:val="0"/>
        <w:autoSpaceDN w:val="0"/>
        <w:adjustRightInd w:val="0"/>
        <w:spacing w:line="360" w:lineRule="auto"/>
        <w:ind w:firstLine="480"/>
        <w:rPr>
          <w:rFonts w:cs="Calibri"/>
          <w:kern w:val="0"/>
          <w:highlight w:val="none"/>
        </w:rPr>
      </w:pPr>
      <w:r>
        <w:rPr>
          <w:rFonts w:cs="Calibri"/>
          <w:kern w:val="0"/>
          <w:highlight w:val="none"/>
        </w:rPr>
        <w:t>1.</w:t>
      </w:r>
      <w:r>
        <w:rPr>
          <w:rFonts w:hint="eastAsia" w:ascii="宋体" w:cs="宋体"/>
          <w:kern w:val="0"/>
          <w:highlight w:val="none"/>
          <w:lang w:val="zh-CN"/>
        </w:rPr>
        <w:t>本合同一式六份，经双方签字，并加盖公章即为生效。</w:t>
      </w:r>
    </w:p>
    <w:p w14:paraId="5EB84127">
      <w:pPr>
        <w:autoSpaceDE w:val="0"/>
        <w:autoSpaceDN w:val="0"/>
        <w:adjustRightInd w:val="0"/>
        <w:spacing w:line="360" w:lineRule="auto"/>
        <w:ind w:firstLine="480"/>
        <w:rPr>
          <w:rFonts w:cs="Calibri"/>
          <w:kern w:val="0"/>
          <w:highlight w:val="none"/>
        </w:rPr>
      </w:pPr>
      <w:r>
        <w:rPr>
          <w:rFonts w:cs="Calibri"/>
          <w:kern w:val="0"/>
          <w:highlight w:val="none"/>
        </w:rPr>
        <w:t>2.</w:t>
      </w:r>
      <w:r>
        <w:rPr>
          <w:rFonts w:hint="eastAsia" w:ascii="宋体" w:cs="宋体"/>
          <w:kern w:val="0"/>
          <w:highlight w:val="none"/>
          <w:lang w:val="zh-CN"/>
        </w:rPr>
        <w:t>本合同未尽事宜，按《民法典》有关规定处理。</w:t>
      </w:r>
    </w:p>
    <w:p w14:paraId="2FC28853">
      <w:pPr>
        <w:autoSpaceDE w:val="0"/>
        <w:autoSpaceDN w:val="0"/>
        <w:adjustRightInd w:val="0"/>
        <w:ind w:firstLine="480"/>
        <w:rPr>
          <w:rFonts w:cs="Calibri"/>
          <w:kern w:val="0"/>
          <w:highlight w:val="none"/>
        </w:rPr>
      </w:pPr>
    </w:p>
    <w:p w14:paraId="382BB4BD">
      <w:pPr>
        <w:autoSpaceDE w:val="0"/>
        <w:autoSpaceDN w:val="0"/>
        <w:adjustRightInd w:val="0"/>
        <w:ind w:firstLine="480"/>
        <w:rPr>
          <w:rFonts w:cs="Calibri"/>
          <w:kern w:val="0"/>
          <w:highlight w:val="none"/>
        </w:rPr>
      </w:pPr>
      <w:r>
        <w:rPr>
          <w:rFonts w:hint="eastAsia" w:ascii="宋体" w:cs="宋体"/>
          <w:kern w:val="0"/>
          <w:highlight w:val="none"/>
          <w:lang w:val="zh-CN"/>
        </w:rPr>
        <w:t>甲方（盖章）：</w:t>
      </w:r>
      <w:r>
        <w:rPr>
          <w:rFonts w:cs="Calibri"/>
          <w:kern w:val="0"/>
          <w:highlight w:val="none"/>
        </w:rPr>
        <w:t xml:space="preserve">                         </w:t>
      </w:r>
      <w:r>
        <w:rPr>
          <w:rFonts w:hint="eastAsia" w:ascii="宋体" w:cs="宋体"/>
          <w:kern w:val="0"/>
          <w:highlight w:val="none"/>
          <w:lang w:val="zh-CN"/>
        </w:rPr>
        <w:t>乙方（盖章）：</w:t>
      </w:r>
    </w:p>
    <w:p w14:paraId="66EB4412">
      <w:pPr>
        <w:autoSpaceDE w:val="0"/>
        <w:autoSpaceDN w:val="0"/>
        <w:adjustRightInd w:val="0"/>
        <w:ind w:firstLine="480"/>
        <w:rPr>
          <w:rFonts w:cs="Calibri"/>
          <w:kern w:val="0"/>
          <w:highlight w:val="none"/>
        </w:rPr>
      </w:pPr>
      <w:r>
        <w:rPr>
          <w:rFonts w:hint="eastAsia" w:ascii="宋体" w:cs="宋体"/>
          <w:kern w:val="0"/>
          <w:highlight w:val="none"/>
          <w:lang w:val="zh-CN"/>
        </w:rPr>
        <w:t>法定代表人或委托代理人</w:t>
      </w:r>
      <w:r>
        <w:rPr>
          <w:rFonts w:hint="eastAsia" w:ascii="宋体" w:cs="宋体"/>
          <w:kern w:val="0"/>
          <w:highlight w:val="none"/>
        </w:rPr>
        <w:t>：</w:t>
      </w:r>
      <w:r>
        <w:rPr>
          <w:rFonts w:cs="Calibri"/>
          <w:kern w:val="0"/>
          <w:highlight w:val="none"/>
        </w:rPr>
        <w:t xml:space="preserve">               </w:t>
      </w:r>
      <w:r>
        <w:rPr>
          <w:rFonts w:hint="eastAsia" w:ascii="宋体" w:cs="宋体"/>
          <w:kern w:val="0"/>
          <w:highlight w:val="none"/>
          <w:lang w:val="zh-CN"/>
        </w:rPr>
        <w:t>法定代表人或委托代理人</w:t>
      </w:r>
      <w:r>
        <w:rPr>
          <w:rFonts w:hint="eastAsia" w:ascii="宋体" w:cs="宋体"/>
          <w:kern w:val="0"/>
          <w:highlight w:val="none"/>
        </w:rPr>
        <w:t>：</w:t>
      </w:r>
    </w:p>
    <w:p w14:paraId="7D3284F4">
      <w:pPr>
        <w:autoSpaceDE w:val="0"/>
        <w:autoSpaceDN w:val="0"/>
        <w:adjustRightInd w:val="0"/>
        <w:ind w:firstLine="480"/>
        <w:rPr>
          <w:rFonts w:cs="Calibri"/>
          <w:kern w:val="0"/>
          <w:highlight w:val="none"/>
        </w:rPr>
      </w:pPr>
      <w:r>
        <w:rPr>
          <w:rFonts w:cs="Calibri"/>
          <w:kern w:val="0"/>
          <w:highlight w:val="none"/>
        </w:rPr>
        <w:t xml:space="preserve">                                       </w:t>
      </w:r>
      <w:r>
        <w:rPr>
          <w:rFonts w:hint="eastAsia" w:ascii="宋体" w:cs="宋体"/>
          <w:kern w:val="0"/>
          <w:highlight w:val="none"/>
          <w:lang w:val="zh-CN"/>
        </w:rPr>
        <w:t>开户银行：</w:t>
      </w:r>
      <w:r>
        <w:rPr>
          <w:rFonts w:cs="Calibri"/>
          <w:kern w:val="0"/>
          <w:highlight w:val="none"/>
        </w:rPr>
        <w:t xml:space="preserve">     </w:t>
      </w:r>
    </w:p>
    <w:p w14:paraId="0D4460CC">
      <w:pPr>
        <w:autoSpaceDE w:val="0"/>
        <w:autoSpaceDN w:val="0"/>
        <w:adjustRightInd w:val="0"/>
        <w:ind w:firstLine="480"/>
        <w:rPr>
          <w:rFonts w:cs="Calibri"/>
          <w:kern w:val="0"/>
          <w:highlight w:val="none"/>
        </w:rPr>
      </w:pPr>
      <w:r>
        <w:rPr>
          <w:rFonts w:hint="eastAsia" w:ascii="宋体" w:cs="宋体"/>
          <w:kern w:val="0"/>
          <w:highlight w:val="none"/>
          <w:lang w:val="zh-CN"/>
        </w:rPr>
        <w:t>联系电话：</w:t>
      </w:r>
      <w:r>
        <w:rPr>
          <w:rFonts w:cs="Calibri"/>
          <w:kern w:val="0"/>
          <w:highlight w:val="none"/>
        </w:rPr>
        <w:t xml:space="preserve">                             </w:t>
      </w:r>
      <w:r>
        <w:rPr>
          <w:rFonts w:hint="eastAsia" w:ascii="宋体" w:cs="宋体"/>
          <w:kern w:val="0"/>
          <w:highlight w:val="none"/>
          <w:lang w:val="zh-CN"/>
        </w:rPr>
        <w:t>账号：</w:t>
      </w:r>
    </w:p>
    <w:p w14:paraId="44ECA063">
      <w:pPr>
        <w:autoSpaceDE w:val="0"/>
        <w:autoSpaceDN w:val="0"/>
        <w:adjustRightInd w:val="0"/>
        <w:ind w:firstLine="480"/>
        <w:rPr>
          <w:rFonts w:cs="Calibri"/>
          <w:kern w:val="0"/>
          <w:highlight w:val="none"/>
        </w:rPr>
      </w:pPr>
      <w:r>
        <w:rPr>
          <w:rFonts w:cs="Calibri"/>
          <w:kern w:val="0"/>
          <w:highlight w:val="none"/>
        </w:rPr>
        <w:t xml:space="preserve">                                       </w:t>
      </w:r>
      <w:r>
        <w:rPr>
          <w:rFonts w:hint="eastAsia" w:ascii="宋体" w:cs="宋体"/>
          <w:kern w:val="0"/>
          <w:highlight w:val="none"/>
          <w:lang w:val="zh-CN"/>
        </w:rPr>
        <w:t>联系电话：</w:t>
      </w:r>
    </w:p>
    <w:p w14:paraId="36AB4B9D">
      <w:pPr>
        <w:autoSpaceDE w:val="0"/>
        <w:autoSpaceDN w:val="0"/>
        <w:adjustRightInd w:val="0"/>
        <w:ind w:firstLine="1155" w:firstLineChars="550"/>
        <w:rPr>
          <w:rFonts w:ascii="宋体" w:cs="宋体"/>
          <w:kern w:val="0"/>
          <w:highlight w:val="none"/>
          <w:lang w:val="zh-CN"/>
        </w:rPr>
      </w:pPr>
      <w:r>
        <w:rPr>
          <w:rFonts w:hint="eastAsia" w:ascii="宋体" w:cs="宋体"/>
          <w:kern w:val="0"/>
          <w:highlight w:val="none"/>
          <w:lang w:val="zh-CN"/>
        </w:rPr>
        <w:t>签约时间：</w:t>
      </w:r>
      <w:r>
        <w:rPr>
          <w:rFonts w:cs="Calibri"/>
          <w:kern w:val="0"/>
          <w:highlight w:val="none"/>
        </w:rPr>
        <w:t xml:space="preserve">  </w:t>
      </w:r>
      <w:r>
        <w:rPr>
          <w:rFonts w:hint="eastAsia" w:ascii="宋体" w:cs="宋体"/>
          <w:kern w:val="0"/>
          <w:highlight w:val="none"/>
          <w:lang w:val="zh-CN"/>
        </w:rPr>
        <w:t>年</w:t>
      </w:r>
      <w:r>
        <w:rPr>
          <w:rFonts w:cs="Calibri"/>
          <w:kern w:val="0"/>
          <w:highlight w:val="none"/>
        </w:rPr>
        <w:t xml:space="preserve">  </w:t>
      </w:r>
      <w:r>
        <w:rPr>
          <w:rFonts w:hint="eastAsia" w:ascii="宋体" w:cs="宋体"/>
          <w:kern w:val="0"/>
          <w:highlight w:val="none"/>
          <w:lang w:val="zh-CN"/>
        </w:rPr>
        <w:t>月</w:t>
      </w:r>
      <w:r>
        <w:rPr>
          <w:rFonts w:cs="Calibri"/>
          <w:kern w:val="0"/>
          <w:highlight w:val="none"/>
        </w:rPr>
        <w:t xml:space="preserve">  </w:t>
      </w:r>
      <w:r>
        <w:rPr>
          <w:rFonts w:hint="eastAsia" w:ascii="宋体" w:cs="宋体"/>
          <w:kern w:val="0"/>
          <w:highlight w:val="none"/>
          <w:lang w:val="zh-CN"/>
        </w:rPr>
        <w:t>日</w:t>
      </w:r>
    </w:p>
    <w:p w14:paraId="2B4E3209">
      <w:pPr>
        <w:pStyle w:val="12"/>
        <w:rPr>
          <w:rFonts w:ascii="宋体" w:cs="宋体"/>
          <w:kern w:val="0"/>
          <w:highlight w:val="none"/>
          <w:lang w:val="zh-CN"/>
        </w:rPr>
      </w:pPr>
    </w:p>
    <w:p w14:paraId="4020E5EA">
      <w:pPr>
        <w:pStyle w:val="12"/>
        <w:rPr>
          <w:rFonts w:ascii="宋体" w:cs="宋体"/>
          <w:kern w:val="0"/>
          <w:highlight w:val="none"/>
          <w:lang w:val="zh-CN"/>
        </w:rPr>
      </w:pPr>
    </w:p>
    <w:p w14:paraId="45C1168C">
      <w:pPr>
        <w:autoSpaceDE w:val="0"/>
        <w:autoSpaceDN w:val="0"/>
        <w:adjustRightInd w:val="0"/>
        <w:ind w:firstLine="480"/>
        <w:rPr>
          <w:rFonts w:ascii="宋体" w:cs="宋体"/>
          <w:kern w:val="0"/>
          <w:highlight w:val="none"/>
          <w:lang w:val="zh-CN"/>
        </w:rPr>
      </w:pPr>
      <w:r>
        <w:rPr>
          <w:rFonts w:hint="eastAsia" w:ascii="宋体" w:cs="宋体"/>
          <w:kern w:val="0"/>
          <w:highlight w:val="none"/>
          <w:lang w:val="zh-CN"/>
        </w:rPr>
        <w:t>采购代理机构：</w:t>
      </w:r>
      <w:r>
        <w:rPr>
          <w:rFonts w:ascii="宋体" w:cs="宋体"/>
          <w:kern w:val="0"/>
          <w:highlight w:val="none"/>
          <w:lang w:val="zh-CN"/>
        </w:rPr>
        <w:t xml:space="preserve">                        </w:t>
      </w:r>
    </w:p>
    <w:p w14:paraId="63EB68E2">
      <w:pPr>
        <w:autoSpaceDE w:val="0"/>
        <w:autoSpaceDN w:val="0"/>
        <w:adjustRightInd w:val="0"/>
        <w:ind w:firstLine="480"/>
        <w:rPr>
          <w:rFonts w:ascii="宋体" w:cs="宋体"/>
          <w:kern w:val="0"/>
          <w:highlight w:val="none"/>
          <w:lang w:val="zh-CN"/>
        </w:rPr>
      </w:pPr>
      <w:r>
        <w:rPr>
          <w:rFonts w:hint="eastAsia" w:ascii="宋体" w:cs="宋体"/>
          <w:kern w:val="0"/>
          <w:highlight w:val="none"/>
          <w:lang w:val="zh-CN"/>
        </w:rPr>
        <w:t>负责人或经办人：</w:t>
      </w:r>
    </w:p>
    <w:p w14:paraId="3AC3CD6A">
      <w:pPr>
        <w:autoSpaceDE w:val="0"/>
        <w:autoSpaceDN w:val="0"/>
        <w:adjustRightInd w:val="0"/>
        <w:ind w:firstLine="480"/>
        <w:rPr>
          <w:rFonts w:cs="Calibri"/>
          <w:kern w:val="0"/>
          <w:sz w:val="28"/>
          <w:szCs w:val="28"/>
          <w:highlight w:val="none"/>
        </w:rPr>
      </w:pPr>
      <w:r>
        <w:rPr>
          <w:rFonts w:hint="eastAsia" w:ascii="宋体" w:cs="宋体"/>
          <w:kern w:val="0"/>
          <w:highlight w:val="none"/>
          <w:lang w:val="zh-CN"/>
        </w:rPr>
        <w:t>合同备案时间：</w:t>
      </w:r>
      <w:r>
        <w:rPr>
          <w:rFonts w:cs="Calibri"/>
          <w:kern w:val="0"/>
          <w:highlight w:val="none"/>
        </w:rPr>
        <w:t xml:space="preserve"> </w:t>
      </w:r>
      <w:r>
        <w:rPr>
          <w:rFonts w:hint="eastAsia" w:cs="Calibri"/>
          <w:kern w:val="0"/>
          <w:highlight w:val="none"/>
        </w:rPr>
        <w:t xml:space="preserve">  </w:t>
      </w:r>
      <w:r>
        <w:rPr>
          <w:rFonts w:hint="eastAsia" w:ascii="宋体" w:cs="宋体"/>
          <w:kern w:val="0"/>
          <w:highlight w:val="none"/>
          <w:lang w:val="zh-CN"/>
        </w:rPr>
        <w:t>年</w:t>
      </w:r>
      <w:r>
        <w:rPr>
          <w:rFonts w:cs="Calibri"/>
          <w:kern w:val="0"/>
          <w:highlight w:val="none"/>
        </w:rPr>
        <w:t xml:space="preserve">  </w:t>
      </w:r>
      <w:r>
        <w:rPr>
          <w:rFonts w:hint="eastAsia" w:ascii="宋体" w:cs="宋体"/>
          <w:kern w:val="0"/>
          <w:highlight w:val="none"/>
          <w:lang w:val="zh-CN"/>
        </w:rPr>
        <w:t>月</w:t>
      </w:r>
      <w:r>
        <w:rPr>
          <w:rFonts w:cs="Calibri"/>
          <w:kern w:val="0"/>
          <w:highlight w:val="none"/>
        </w:rPr>
        <w:t xml:space="preserve">  </w:t>
      </w:r>
      <w:r>
        <w:rPr>
          <w:rFonts w:hint="eastAsia" w:ascii="宋体" w:cs="宋体"/>
          <w:kern w:val="0"/>
          <w:highlight w:val="none"/>
          <w:lang w:val="zh-CN"/>
        </w:rPr>
        <w:t>日</w:t>
      </w:r>
    </w:p>
    <w:p w14:paraId="28ABA7F1">
      <w:pPr>
        <w:jc w:val="center"/>
        <w:rPr>
          <w:rFonts w:ascii="宋体"/>
          <w:highlight w:val="none"/>
        </w:rPr>
      </w:pPr>
      <w:r>
        <w:rPr>
          <w:rFonts w:ascii="宋体" w:cs="宋体"/>
          <w:b/>
          <w:bCs/>
          <w:kern w:val="0"/>
          <w:sz w:val="28"/>
          <w:szCs w:val="28"/>
          <w:highlight w:val="none"/>
          <w:lang w:val="zh-CN"/>
        </w:rPr>
        <w:br w:type="page"/>
      </w:r>
      <w:r>
        <w:rPr>
          <w:rFonts w:hint="eastAsia" w:ascii="宋体" w:hAnsi="宋体"/>
          <w:b/>
          <w:sz w:val="36"/>
          <w:szCs w:val="36"/>
          <w:highlight w:val="none"/>
        </w:rPr>
        <w:t>合同通用条款</w:t>
      </w:r>
    </w:p>
    <w:p w14:paraId="436A4CB5">
      <w:pPr>
        <w:spacing w:line="360" w:lineRule="auto"/>
        <w:ind w:firstLine="480"/>
        <w:rPr>
          <w:rFonts w:ascii="宋体"/>
          <w:highlight w:val="none"/>
        </w:rPr>
      </w:pPr>
      <w:r>
        <w:rPr>
          <w:rFonts w:hint="eastAsia" w:ascii="宋体" w:hAnsi="宋体"/>
          <w:highlight w:val="none"/>
        </w:rPr>
        <w:t>根据《中华人民共和国民法典》、《中华人民共和国政府采购法》的规定，合同双方经协商达成一致，自愿订立本合同，遵循公平原则明确双方的权利、义务，确保双方诚实守信地履行合同。</w:t>
      </w:r>
    </w:p>
    <w:p w14:paraId="13573865">
      <w:pPr>
        <w:spacing w:line="360" w:lineRule="auto"/>
        <w:ind w:firstLine="482"/>
        <w:rPr>
          <w:rFonts w:ascii="宋体"/>
          <w:b/>
          <w:highlight w:val="none"/>
        </w:rPr>
      </w:pPr>
      <w:r>
        <w:rPr>
          <w:rFonts w:ascii="宋体" w:hAnsi="宋体"/>
          <w:b/>
          <w:highlight w:val="none"/>
        </w:rPr>
        <w:t>1.</w:t>
      </w:r>
      <w:r>
        <w:rPr>
          <w:rFonts w:hint="eastAsia" w:ascii="宋体" w:hAnsi="宋体"/>
          <w:b/>
          <w:highlight w:val="none"/>
        </w:rPr>
        <w:t>定义</w:t>
      </w:r>
    </w:p>
    <w:p w14:paraId="7F8D9C8A">
      <w:pPr>
        <w:spacing w:line="360" w:lineRule="auto"/>
        <w:ind w:firstLine="480"/>
        <w:rPr>
          <w:rFonts w:ascii="宋体"/>
          <w:highlight w:val="none"/>
        </w:rPr>
      </w:pPr>
      <w:r>
        <w:rPr>
          <w:rFonts w:hint="eastAsia" w:ascii="宋体" w:hAnsi="宋体"/>
          <w:highlight w:val="none"/>
        </w:rPr>
        <w:t>本合同中的下列术语应解释为：</w:t>
      </w:r>
    </w:p>
    <w:p w14:paraId="13404CBD">
      <w:pPr>
        <w:spacing w:line="360" w:lineRule="auto"/>
        <w:ind w:firstLine="480"/>
        <w:rPr>
          <w:rFonts w:ascii="宋体"/>
          <w:highlight w:val="none"/>
        </w:rPr>
      </w:pPr>
      <w:r>
        <w:rPr>
          <w:rFonts w:ascii="宋体" w:hAnsi="宋体"/>
          <w:highlight w:val="none"/>
        </w:rPr>
        <w:t xml:space="preserve">1.1 </w:t>
      </w:r>
      <w:r>
        <w:rPr>
          <w:rFonts w:hint="eastAsia" w:ascii="宋体" w:hAnsi="宋体"/>
          <w:highlight w:val="none"/>
        </w:rPr>
        <w:t>“合同</w:t>
      </w:r>
      <w:r>
        <w:rPr>
          <w:rFonts w:hint="eastAsia" w:ascii="宋体"/>
          <w:highlight w:val="none"/>
        </w:rPr>
        <w:t>”</w:t>
      </w:r>
      <w:r>
        <w:rPr>
          <w:rFonts w:hint="eastAsia" w:ascii="宋体" w:hAnsi="宋体"/>
          <w:highlight w:val="none"/>
        </w:rPr>
        <w:t>指甲乙双方签署的、载明的甲乙双方权利义务的协议，包括所有的附件、附录和上述文件所提到的构成合同的所有文件。</w:t>
      </w:r>
    </w:p>
    <w:p w14:paraId="14236A25">
      <w:pPr>
        <w:spacing w:line="360" w:lineRule="auto"/>
        <w:ind w:firstLine="480"/>
        <w:rPr>
          <w:rFonts w:ascii="宋体"/>
          <w:highlight w:val="none"/>
        </w:rPr>
      </w:pPr>
      <w:r>
        <w:rPr>
          <w:rFonts w:ascii="宋体" w:hAnsi="宋体"/>
          <w:highlight w:val="none"/>
        </w:rPr>
        <w:t xml:space="preserve">1.2 </w:t>
      </w:r>
      <w:r>
        <w:rPr>
          <w:rFonts w:hint="eastAsia" w:ascii="宋体" w:hAnsi="宋体"/>
          <w:highlight w:val="none"/>
        </w:rPr>
        <w:t>“合同金额</w:t>
      </w:r>
      <w:r>
        <w:rPr>
          <w:rFonts w:hint="eastAsia" w:ascii="宋体"/>
          <w:highlight w:val="none"/>
        </w:rPr>
        <w:t>”</w:t>
      </w:r>
      <w:r>
        <w:rPr>
          <w:rFonts w:hint="eastAsia" w:ascii="宋体" w:hAnsi="宋体"/>
          <w:highlight w:val="none"/>
        </w:rPr>
        <w:t>指根据合同规定，乙方在正确地完全履行合同义务后甲方应付给乙方的价款。</w:t>
      </w:r>
    </w:p>
    <w:p w14:paraId="4D74C619">
      <w:pPr>
        <w:spacing w:line="360" w:lineRule="auto"/>
        <w:ind w:firstLine="480"/>
        <w:rPr>
          <w:rFonts w:ascii="宋体"/>
          <w:highlight w:val="none"/>
        </w:rPr>
      </w:pPr>
      <w:r>
        <w:rPr>
          <w:rFonts w:ascii="宋体" w:hAnsi="宋体"/>
          <w:highlight w:val="none"/>
        </w:rPr>
        <w:t xml:space="preserve">1.3 </w:t>
      </w:r>
      <w:r>
        <w:rPr>
          <w:rFonts w:hint="eastAsia" w:ascii="宋体" w:hAnsi="宋体"/>
          <w:highlight w:val="none"/>
        </w:rPr>
        <w:t>“合同条款”指本合同条款。</w:t>
      </w:r>
    </w:p>
    <w:p w14:paraId="4C345B34">
      <w:pPr>
        <w:spacing w:line="360" w:lineRule="auto"/>
        <w:ind w:firstLine="480"/>
        <w:rPr>
          <w:rFonts w:ascii="宋体"/>
          <w:highlight w:val="none"/>
        </w:rPr>
      </w:pPr>
      <w:r>
        <w:rPr>
          <w:rFonts w:ascii="宋体" w:hAnsi="宋体"/>
          <w:highlight w:val="none"/>
        </w:rPr>
        <w:t xml:space="preserve">1.4 </w:t>
      </w:r>
      <w:r>
        <w:rPr>
          <w:rFonts w:hint="eastAsia" w:ascii="宋体" w:hAnsi="宋体"/>
          <w:highlight w:val="none"/>
        </w:rPr>
        <w:t>“货物</w:t>
      </w:r>
      <w:r>
        <w:rPr>
          <w:rFonts w:hint="eastAsia" w:ascii="宋体"/>
          <w:highlight w:val="none"/>
        </w:rPr>
        <w:t>”</w:t>
      </w:r>
      <w:r>
        <w:rPr>
          <w:rFonts w:hint="eastAsia" w:ascii="宋体" w:hAnsi="宋体"/>
          <w:highlight w:val="none"/>
        </w:rPr>
        <w:t>指乙方根据合同约定须向甲方提供的一切产品、设备、机械、仪表、备件等，包括辅助工具、使用手册等相关资料。</w:t>
      </w:r>
    </w:p>
    <w:p w14:paraId="31A6E392">
      <w:pPr>
        <w:spacing w:line="360" w:lineRule="auto"/>
        <w:ind w:firstLine="480"/>
        <w:rPr>
          <w:rFonts w:ascii="宋体"/>
          <w:highlight w:val="none"/>
        </w:rPr>
      </w:pPr>
      <w:r>
        <w:rPr>
          <w:rFonts w:ascii="宋体" w:hAnsi="宋体"/>
          <w:highlight w:val="none"/>
        </w:rPr>
        <w:t xml:space="preserve">1.5 </w:t>
      </w:r>
      <w:r>
        <w:rPr>
          <w:rFonts w:hint="eastAsia" w:ascii="宋体" w:hAnsi="宋体"/>
          <w:highlight w:val="none"/>
        </w:rPr>
        <w:t>“服务”指根据本合同规定乙方承担与供货有关的辅助服务，如运输、保险及安装、调试、提供技术援助、培训和合同中规定乙方应承担的其它义务。</w:t>
      </w:r>
    </w:p>
    <w:p w14:paraId="22F2680B">
      <w:pPr>
        <w:spacing w:line="360" w:lineRule="auto"/>
        <w:ind w:firstLine="480"/>
        <w:rPr>
          <w:rFonts w:ascii="宋体"/>
          <w:highlight w:val="none"/>
        </w:rPr>
      </w:pPr>
      <w:r>
        <w:rPr>
          <w:rFonts w:ascii="宋体" w:hAnsi="宋体"/>
          <w:highlight w:val="none"/>
        </w:rPr>
        <w:t xml:space="preserve">1.6 </w:t>
      </w:r>
      <w:r>
        <w:rPr>
          <w:rFonts w:hint="eastAsia" w:ascii="宋体" w:hAnsi="宋体"/>
          <w:highlight w:val="none"/>
        </w:rPr>
        <w:t>“甲方</w:t>
      </w:r>
      <w:r>
        <w:rPr>
          <w:rFonts w:hint="eastAsia" w:ascii="宋体"/>
          <w:highlight w:val="none"/>
        </w:rPr>
        <w:t>”</w:t>
      </w:r>
      <w:r>
        <w:rPr>
          <w:rFonts w:hint="eastAsia" w:ascii="宋体" w:hAnsi="宋体"/>
          <w:highlight w:val="none"/>
        </w:rPr>
        <w:t>指购买货物和服务的单位。</w:t>
      </w:r>
    </w:p>
    <w:p w14:paraId="169A605C">
      <w:pPr>
        <w:spacing w:line="360" w:lineRule="auto"/>
        <w:ind w:firstLine="480"/>
        <w:rPr>
          <w:rFonts w:ascii="宋体"/>
          <w:highlight w:val="none"/>
        </w:rPr>
      </w:pPr>
      <w:r>
        <w:rPr>
          <w:rFonts w:ascii="宋体" w:hAnsi="宋体"/>
          <w:highlight w:val="none"/>
        </w:rPr>
        <w:t xml:space="preserve">1.7 </w:t>
      </w:r>
      <w:r>
        <w:rPr>
          <w:rFonts w:hint="eastAsia" w:ascii="宋体" w:hAnsi="宋体"/>
          <w:highlight w:val="none"/>
        </w:rPr>
        <w:t>“乙方</w:t>
      </w:r>
      <w:r>
        <w:rPr>
          <w:rFonts w:hint="eastAsia" w:ascii="宋体"/>
          <w:highlight w:val="none"/>
        </w:rPr>
        <w:t>”</w:t>
      </w:r>
      <w:r>
        <w:rPr>
          <w:rFonts w:hint="eastAsia" w:ascii="宋体" w:hAnsi="宋体"/>
          <w:highlight w:val="none"/>
        </w:rPr>
        <w:t>指提供本合同条款下货物和服务的公司或其他实体。</w:t>
      </w:r>
    </w:p>
    <w:p w14:paraId="4C024902">
      <w:pPr>
        <w:spacing w:line="360" w:lineRule="auto"/>
        <w:ind w:firstLine="480"/>
        <w:rPr>
          <w:rFonts w:ascii="宋体"/>
          <w:highlight w:val="none"/>
        </w:rPr>
      </w:pPr>
      <w:r>
        <w:rPr>
          <w:rFonts w:ascii="宋体" w:hAnsi="宋体"/>
          <w:highlight w:val="none"/>
        </w:rPr>
        <w:t xml:space="preserve">1.8 </w:t>
      </w:r>
      <w:r>
        <w:rPr>
          <w:rFonts w:hint="eastAsia" w:ascii="宋体" w:hAnsi="宋体"/>
          <w:highlight w:val="none"/>
        </w:rPr>
        <w:t>“现场</w:t>
      </w:r>
      <w:r>
        <w:rPr>
          <w:rFonts w:hint="eastAsia" w:ascii="宋体"/>
          <w:highlight w:val="none"/>
        </w:rPr>
        <w:t>”</w:t>
      </w:r>
      <w:r>
        <w:rPr>
          <w:rFonts w:hint="eastAsia" w:ascii="宋体" w:hAnsi="宋体"/>
          <w:highlight w:val="none"/>
        </w:rPr>
        <w:t>指合同规定货物将要运至和安装的地点。</w:t>
      </w:r>
    </w:p>
    <w:p w14:paraId="1244E0E4">
      <w:pPr>
        <w:spacing w:line="360" w:lineRule="auto"/>
        <w:ind w:firstLine="480"/>
        <w:rPr>
          <w:rFonts w:ascii="宋体"/>
          <w:highlight w:val="none"/>
        </w:rPr>
      </w:pPr>
      <w:r>
        <w:rPr>
          <w:rFonts w:ascii="宋体" w:hAnsi="宋体"/>
          <w:highlight w:val="none"/>
        </w:rPr>
        <w:t xml:space="preserve">1.9 </w:t>
      </w:r>
      <w:r>
        <w:rPr>
          <w:rFonts w:hint="eastAsia" w:ascii="宋体"/>
          <w:highlight w:val="none"/>
        </w:rPr>
        <w:t>“</w:t>
      </w:r>
      <w:r>
        <w:rPr>
          <w:rFonts w:hint="eastAsia" w:ascii="宋体" w:hAnsi="宋体"/>
          <w:highlight w:val="none"/>
        </w:rPr>
        <w:t>验收</w:t>
      </w:r>
      <w:r>
        <w:rPr>
          <w:rFonts w:hint="eastAsia" w:ascii="宋体"/>
          <w:highlight w:val="none"/>
        </w:rPr>
        <w:t>”</w:t>
      </w:r>
      <w:r>
        <w:rPr>
          <w:rFonts w:hint="eastAsia" w:ascii="宋体" w:hAnsi="宋体"/>
          <w:highlight w:val="none"/>
        </w:rPr>
        <w:t>指合同双方依据强制性的国家技术质量规范和合同约定，确认合同条款下的货物符合合同规定的活动。</w:t>
      </w:r>
    </w:p>
    <w:p w14:paraId="52EB8233">
      <w:pPr>
        <w:spacing w:line="360" w:lineRule="auto"/>
        <w:ind w:firstLine="480"/>
        <w:rPr>
          <w:rFonts w:ascii="宋体"/>
          <w:highlight w:val="none"/>
        </w:rPr>
      </w:pPr>
      <w:r>
        <w:rPr>
          <w:rFonts w:ascii="宋体" w:hAnsi="宋体"/>
          <w:highlight w:val="none"/>
        </w:rPr>
        <w:t>1.10</w:t>
      </w:r>
      <w:r>
        <w:rPr>
          <w:rFonts w:hint="eastAsia" w:ascii="宋体" w:hAnsi="宋体"/>
          <w:highlight w:val="none"/>
        </w:rPr>
        <w:t>原厂商：产品制造商或其在中国境内设立的办事或技术服务机构。除另有说明外，本合同文件所述的制造商、产品制造商、制造厂家、产品制造厂家均为原厂商。</w:t>
      </w:r>
    </w:p>
    <w:p w14:paraId="00C64744">
      <w:pPr>
        <w:spacing w:line="360" w:lineRule="auto"/>
        <w:ind w:firstLine="480"/>
        <w:rPr>
          <w:rFonts w:ascii="宋体"/>
          <w:highlight w:val="none"/>
        </w:rPr>
      </w:pPr>
      <w:r>
        <w:rPr>
          <w:rFonts w:ascii="宋体" w:hAnsi="宋体"/>
          <w:highlight w:val="none"/>
        </w:rPr>
        <w:t xml:space="preserve">1.11 </w:t>
      </w:r>
      <w:r>
        <w:rPr>
          <w:rFonts w:hint="eastAsia" w:ascii="宋体" w:hAnsi="宋体"/>
          <w:highlight w:val="none"/>
        </w:rPr>
        <w:t>原产地：指产品的生产地，或提供服务的来源地。</w:t>
      </w:r>
    </w:p>
    <w:p w14:paraId="604320F6">
      <w:pPr>
        <w:spacing w:line="360" w:lineRule="auto"/>
        <w:ind w:firstLine="480"/>
        <w:rPr>
          <w:rFonts w:ascii="宋体"/>
          <w:highlight w:val="none"/>
        </w:rPr>
      </w:pPr>
      <w:r>
        <w:rPr>
          <w:rFonts w:ascii="宋体" w:hAnsi="宋体"/>
          <w:highlight w:val="none"/>
        </w:rPr>
        <w:t xml:space="preserve">1.12 </w:t>
      </w:r>
      <w:r>
        <w:rPr>
          <w:rFonts w:hint="eastAsia" w:ascii="宋体" w:hAnsi="宋体"/>
          <w:highlight w:val="none"/>
        </w:rPr>
        <w:t>“工作日”指国家法定工作日，“天”指日历天数。</w:t>
      </w:r>
    </w:p>
    <w:p w14:paraId="3E80F089">
      <w:pPr>
        <w:spacing w:line="360" w:lineRule="auto"/>
        <w:ind w:firstLine="482"/>
        <w:rPr>
          <w:rFonts w:ascii="宋体"/>
          <w:b/>
          <w:highlight w:val="none"/>
        </w:rPr>
      </w:pPr>
      <w:r>
        <w:rPr>
          <w:rFonts w:ascii="宋体" w:hAnsi="宋体"/>
          <w:b/>
          <w:highlight w:val="none"/>
        </w:rPr>
        <w:t>2</w:t>
      </w:r>
      <w:r>
        <w:rPr>
          <w:rFonts w:ascii="宋体"/>
          <w:b/>
          <w:highlight w:val="none"/>
        </w:rPr>
        <w:t>.</w:t>
      </w:r>
      <w:r>
        <w:rPr>
          <w:rFonts w:hint="eastAsia" w:ascii="宋体" w:hAnsi="宋体"/>
          <w:b/>
          <w:highlight w:val="none"/>
        </w:rPr>
        <w:t>技术规格要求</w:t>
      </w:r>
    </w:p>
    <w:p w14:paraId="7BF9BE31">
      <w:pPr>
        <w:spacing w:line="360" w:lineRule="auto"/>
        <w:ind w:firstLine="480"/>
        <w:rPr>
          <w:rFonts w:ascii="宋体"/>
          <w:highlight w:val="none"/>
        </w:rPr>
      </w:pPr>
      <w:r>
        <w:rPr>
          <w:rFonts w:ascii="宋体" w:hAnsi="宋体"/>
          <w:highlight w:val="none"/>
        </w:rPr>
        <w:t xml:space="preserve">2.1 </w:t>
      </w:r>
      <w:r>
        <w:rPr>
          <w:rFonts w:hint="eastAsia" w:ascii="宋体" w:hAnsi="宋体"/>
          <w:highlight w:val="none"/>
        </w:rPr>
        <w:t>本合同条款下提交货物的技术规格要求应等于或优于磋商文件磋商响应文件技术规格要求。若技术规格要求中无相应规定，则应符合相应的国家有关部门最新颁布的相应正式标准。</w:t>
      </w:r>
    </w:p>
    <w:p w14:paraId="7822DF4E">
      <w:pPr>
        <w:spacing w:line="360" w:lineRule="auto"/>
        <w:ind w:firstLine="480"/>
        <w:rPr>
          <w:rFonts w:ascii="宋体"/>
          <w:highlight w:val="none"/>
        </w:rPr>
      </w:pPr>
      <w:r>
        <w:rPr>
          <w:rFonts w:ascii="宋体" w:hAnsi="宋体"/>
          <w:highlight w:val="none"/>
        </w:rPr>
        <w:t xml:space="preserve">2.2 </w:t>
      </w:r>
      <w:r>
        <w:rPr>
          <w:rFonts w:hint="eastAsia" w:ascii="宋体" w:hAnsi="宋体"/>
          <w:highlight w:val="none"/>
        </w:rPr>
        <w:t>乙方应向甲方提供货物及服务有关的标准的中文文本。</w:t>
      </w:r>
    </w:p>
    <w:p w14:paraId="617BFA8B">
      <w:pPr>
        <w:spacing w:line="360" w:lineRule="auto"/>
        <w:ind w:firstLine="480"/>
        <w:rPr>
          <w:rFonts w:ascii="宋体"/>
          <w:highlight w:val="none"/>
        </w:rPr>
      </w:pPr>
      <w:r>
        <w:rPr>
          <w:rFonts w:ascii="宋体" w:hAnsi="宋体"/>
          <w:highlight w:val="none"/>
        </w:rPr>
        <w:t xml:space="preserve">2.3 </w:t>
      </w:r>
      <w:r>
        <w:rPr>
          <w:rFonts w:hint="eastAsia" w:ascii="宋体" w:hAnsi="宋体"/>
          <w:highlight w:val="none"/>
        </w:rPr>
        <w:t>除非技术规范中另有规定，计量单位均采用中华人民共和国法定计量单位。</w:t>
      </w:r>
    </w:p>
    <w:p w14:paraId="55B24B39">
      <w:pPr>
        <w:spacing w:line="360" w:lineRule="auto"/>
        <w:ind w:firstLine="482"/>
        <w:rPr>
          <w:rFonts w:ascii="宋体"/>
          <w:b/>
          <w:highlight w:val="none"/>
        </w:rPr>
      </w:pPr>
      <w:r>
        <w:rPr>
          <w:rFonts w:ascii="宋体" w:hAnsi="宋体"/>
          <w:b/>
          <w:highlight w:val="none"/>
        </w:rPr>
        <w:t>3.</w:t>
      </w:r>
      <w:r>
        <w:rPr>
          <w:rFonts w:hint="eastAsia" w:ascii="宋体" w:hAnsi="宋体"/>
          <w:b/>
          <w:highlight w:val="none"/>
        </w:rPr>
        <w:t>合同范围</w:t>
      </w:r>
    </w:p>
    <w:p w14:paraId="6E578AC3">
      <w:pPr>
        <w:spacing w:line="360" w:lineRule="auto"/>
        <w:ind w:firstLine="480"/>
        <w:rPr>
          <w:rFonts w:ascii="宋体"/>
          <w:highlight w:val="none"/>
        </w:rPr>
      </w:pPr>
      <w:r>
        <w:rPr>
          <w:rFonts w:ascii="宋体" w:hAnsi="宋体"/>
          <w:highlight w:val="none"/>
        </w:rPr>
        <w:t xml:space="preserve">3.1 </w:t>
      </w:r>
      <w:r>
        <w:rPr>
          <w:rFonts w:hint="eastAsia" w:ascii="宋体" w:hAnsi="宋体"/>
          <w:highlight w:val="none"/>
        </w:rPr>
        <w:t>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6A698159">
      <w:pPr>
        <w:spacing w:line="360" w:lineRule="auto"/>
        <w:ind w:firstLine="480"/>
        <w:rPr>
          <w:rFonts w:ascii="宋体"/>
          <w:highlight w:val="none"/>
        </w:rPr>
      </w:pPr>
      <w:r>
        <w:rPr>
          <w:rFonts w:ascii="宋体" w:hAnsi="宋体"/>
          <w:highlight w:val="none"/>
        </w:rPr>
        <w:t xml:space="preserve">3.2 </w:t>
      </w:r>
      <w:r>
        <w:rPr>
          <w:rFonts w:hint="eastAsia" w:ascii="宋体" w:hAnsi="宋体"/>
          <w:highlight w:val="none"/>
        </w:rPr>
        <w:t>乙方应负责培训甲方的技术人员。</w:t>
      </w:r>
    </w:p>
    <w:p w14:paraId="16AB56F0">
      <w:pPr>
        <w:spacing w:line="360" w:lineRule="auto"/>
        <w:ind w:firstLine="480"/>
        <w:rPr>
          <w:rFonts w:ascii="宋体"/>
          <w:highlight w:val="none"/>
        </w:rPr>
      </w:pPr>
      <w:r>
        <w:rPr>
          <w:rFonts w:ascii="宋体" w:hAnsi="宋体"/>
          <w:highlight w:val="none"/>
        </w:rPr>
        <w:t xml:space="preserve">3.3 </w:t>
      </w:r>
      <w:r>
        <w:rPr>
          <w:rFonts w:hint="eastAsia" w:ascii="宋体" w:hAnsi="宋体"/>
          <w:highlight w:val="none"/>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6EBE2420">
      <w:pPr>
        <w:spacing w:line="360" w:lineRule="auto"/>
        <w:ind w:firstLine="482"/>
        <w:rPr>
          <w:rFonts w:ascii="宋体"/>
          <w:b/>
          <w:highlight w:val="none"/>
        </w:rPr>
      </w:pPr>
      <w:r>
        <w:rPr>
          <w:rFonts w:ascii="宋体" w:hAnsi="宋体"/>
          <w:b/>
          <w:highlight w:val="none"/>
        </w:rPr>
        <w:t>4.</w:t>
      </w:r>
      <w:r>
        <w:rPr>
          <w:rFonts w:hint="eastAsia" w:ascii="宋体" w:hAnsi="宋体"/>
          <w:b/>
          <w:highlight w:val="none"/>
        </w:rPr>
        <w:t>合同文件和资料</w:t>
      </w:r>
    </w:p>
    <w:p w14:paraId="11DDB3EC">
      <w:pPr>
        <w:spacing w:line="360" w:lineRule="auto"/>
        <w:ind w:firstLine="480"/>
        <w:rPr>
          <w:rFonts w:ascii="宋体"/>
          <w:highlight w:val="none"/>
        </w:rPr>
      </w:pPr>
      <w:r>
        <w:rPr>
          <w:rFonts w:ascii="宋体" w:hAnsi="宋体"/>
          <w:highlight w:val="none"/>
        </w:rPr>
        <w:t>4.1</w:t>
      </w:r>
      <w:r>
        <w:rPr>
          <w:rFonts w:hint="eastAsia" w:ascii="宋体" w:hAnsi="宋体"/>
          <w:highlight w:val="none"/>
        </w:rPr>
        <w:t>乙方在提供仪器设备时应同时提供中文版相关的技术资料，如目录索引、图纸、操作手册、使用指南、维修指南、服务手册等。</w:t>
      </w:r>
    </w:p>
    <w:p w14:paraId="26CABE59">
      <w:pPr>
        <w:spacing w:line="360" w:lineRule="auto"/>
        <w:ind w:firstLine="480"/>
        <w:rPr>
          <w:rFonts w:ascii="宋体"/>
          <w:highlight w:val="none"/>
        </w:rPr>
      </w:pPr>
      <w:r>
        <w:rPr>
          <w:rFonts w:ascii="宋体" w:hAnsi="宋体"/>
          <w:highlight w:val="none"/>
        </w:rPr>
        <w:t>4.2</w:t>
      </w:r>
      <w:r>
        <w:rPr>
          <w:rFonts w:hint="eastAsia" w:ascii="宋体" w:hAnsi="宋体"/>
          <w:highlight w:val="none"/>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34CF25E0">
      <w:pPr>
        <w:spacing w:line="360" w:lineRule="auto"/>
        <w:ind w:firstLine="482"/>
        <w:rPr>
          <w:rFonts w:ascii="宋体"/>
          <w:b/>
          <w:highlight w:val="none"/>
        </w:rPr>
      </w:pPr>
      <w:r>
        <w:rPr>
          <w:rFonts w:ascii="宋体" w:hAnsi="宋体"/>
          <w:b/>
          <w:highlight w:val="none"/>
        </w:rPr>
        <w:t>5.</w:t>
      </w:r>
      <w:r>
        <w:rPr>
          <w:rFonts w:hint="eastAsia" w:ascii="宋体" w:hAnsi="宋体"/>
          <w:b/>
          <w:highlight w:val="none"/>
        </w:rPr>
        <w:t>知识产权</w:t>
      </w:r>
    </w:p>
    <w:p w14:paraId="4C6AE6DB">
      <w:pPr>
        <w:spacing w:line="360" w:lineRule="auto"/>
        <w:ind w:firstLine="480"/>
        <w:rPr>
          <w:rFonts w:ascii="宋体"/>
          <w:highlight w:val="none"/>
        </w:rPr>
      </w:pPr>
      <w:r>
        <w:rPr>
          <w:rFonts w:ascii="宋体" w:hAnsi="宋体"/>
          <w:highlight w:val="none"/>
        </w:rPr>
        <w:t>5.1</w:t>
      </w:r>
      <w:r>
        <w:rPr>
          <w:rFonts w:hint="eastAsia" w:ascii="宋体" w:hAnsi="宋体"/>
          <w:highlight w:val="none"/>
        </w:rPr>
        <w:t>乙方应保证甲方在使用该货物或其任何一部分时不受第三方提出的侵犯专利权、</w:t>
      </w:r>
      <w:r>
        <w:rPr>
          <w:rFonts w:ascii="宋体" w:hAnsi="宋体"/>
          <w:highlight w:val="none"/>
        </w:rPr>
        <w:t xml:space="preserve"> </w:t>
      </w:r>
      <w:r>
        <w:rPr>
          <w:rFonts w:hint="eastAsia" w:ascii="宋体" w:hAnsi="宋体"/>
          <w:highlight w:val="none"/>
        </w:rPr>
        <w:t>著作权、商标权和工业设计权等的起诉。</w:t>
      </w:r>
    </w:p>
    <w:p w14:paraId="254328CB">
      <w:pPr>
        <w:spacing w:line="360" w:lineRule="auto"/>
        <w:ind w:firstLine="480"/>
        <w:rPr>
          <w:rFonts w:ascii="宋体"/>
          <w:highlight w:val="none"/>
        </w:rPr>
      </w:pPr>
      <w:r>
        <w:rPr>
          <w:rFonts w:ascii="宋体" w:hAnsi="宋体"/>
          <w:highlight w:val="none"/>
        </w:rPr>
        <w:t>5.2</w:t>
      </w:r>
      <w:r>
        <w:rPr>
          <w:rFonts w:hint="eastAsia" w:ascii="宋体" w:hAnsi="宋体"/>
          <w:highlight w:val="none"/>
        </w:rPr>
        <w:t>任何第三方提出侵权指控，乙方须与第三方交涉并承担由此产生的一切责任、费用和经济赔偿。</w:t>
      </w:r>
    </w:p>
    <w:p w14:paraId="602C0D7A">
      <w:pPr>
        <w:spacing w:line="360" w:lineRule="auto"/>
        <w:ind w:firstLine="480"/>
        <w:rPr>
          <w:rFonts w:ascii="宋体"/>
          <w:highlight w:val="none"/>
        </w:rPr>
      </w:pPr>
      <w:r>
        <w:rPr>
          <w:rFonts w:ascii="宋体" w:hAnsi="宋体"/>
          <w:highlight w:val="none"/>
        </w:rPr>
        <w:t>5.3</w:t>
      </w:r>
      <w:r>
        <w:rPr>
          <w:rFonts w:hint="eastAsia" w:ascii="宋体" w:hAnsi="宋体"/>
          <w:highlight w:val="none"/>
        </w:rPr>
        <w:t>双方应共同遵守国家有关版权、专利、商标等知识产权方面的法律规定，相互尊重对方的知识产权，对本合同内容、对方的技术秘密和商业秘密负有保密责任。如有违反，违约方负相关法律责任。</w:t>
      </w:r>
    </w:p>
    <w:p w14:paraId="51BAC1B4">
      <w:pPr>
        <w:spacing w:line="360" w:lineRule="auto"/>
        <w:ind w:firstLine="480"/>
        <w:rPr>
          <w:rFonts w:ascii="宋体"/>
          <w:highlight w:val="none"/>
        </w:rPr>
      </w:pPr>
      <w:r>
        <w:rPr>
          <w:rFonts w:ascii="宋体" w:hAnsi="宋体"/>
          <w:highlight w:val="none"/>
        </w:rPr>
        <w:t>5.4</w:t>
      </w:r>
      <w:r>
        <w:rPr>
          <w:rFonts w:hint="eastAsia" w:ascii="宋体" w:hAnsi="宋体"/>
          <w:highlight w:val="none"/>
        </w:rPr>
        <w:t>在本合同生效时已经存在并为各方合法拥有或使用的所有技术、资料和信息的知识产权，仍应属于其各自的原权利人所有或享有，另有约定的除外。</w:t>
      </w:r>
    </w:p>
    <w:p w14:paraId="7BA905E4">
      <w:pPr>
        <w:spacing w:line="360" w:lineRule="auto"/>
        <w:ind w:firstLine="482"/>
        <w:rPr>
          <w:rFonts w:ascii="宋体"/>
          <w:b/>
          <w:highlight w:val="none"/>
        </w:rPr>
      </w:pPr>
      <w:r>
        <w:rPr>
          <w:rFonts w:ascii="宋体" w:hAnsi="宋体"/>
          <w:b/>
          <w:highlight w:val="none"/>
        </w:rPr>
        <w:t>6.</w:t>
      </w:r>
      <w:r>
        <w:rPr>
          <w:rFonts w:hint="eastAsia" w:ascii="宋体" w:hAnsi="宋体"/>
          <w:b/>
          <w:highlight w:val="none"/>
        </w:rPr>
        <w:t>保密</w:t>
      </w:r>
    </w:p>
    <w:p w14:paraId="13E3C1F8">
      <w:pPr>
        <w:spacing w:line="360" w:lineRule="auto"/>
        <w:ind w:firstLine="480"/>
        <w:rPr>
          <w:rFonts w:ascii="宋体"/>
          <w:highlight w:val="none"/>
        </w:rPr>
      </w:pPr>
      <w:r>
        <w:rPr>
          <w:rFonts w:ascii="宋体" w:hAnsi="宋体"/>
          <w:highlight w:val="none"/>
        </w:rPr>
        <w:t>6.1</w:t>
      </w:r>
      <w:r>
        <w:rPr>
          <w:rFonts w:hint="eastAsia" w:ascii="宋体" w:hAnsi="宋体"/>
          <w:highlight w:val="none"/>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42697F29">
      <w:pPr>
        <w:spacing w:line="360" w:lineRule="auto"/>
        <w:ind w:firstLine="480"/>
        <w:rPr>
          <w:rFonts w:ascii="宋体"/>
          <w:highlight w:val="none"/>
        </w:rPr>
      </w:pPr>
      <w:r>
        <w:rPr>
          <w:rFonts w:ascii="宋体" w:hAnsi="宋体"/>
          <w:highlight w:val="none"/>
        </w:rPr>
        <w:t>6.2</w:t>
      </w:r>
      <w:r>
        <w:rPr>
          <w:rFonts w:hint="eastAsia" w:ascii="宋体" w:hAnsi="宋体"/>
          <w:highlight w:val="none"/>
        </w:rPr>
        <w:t>保密信息指任何一方因履行本合同所知悉的任何以口头、书面、图表或电子形式存在的对方信息，具体包括：</w:t>
      </w:r>
    </w:p>
    <w:p w14:paraId="0FAA3FC0">
      <w:pPr>
        <w:spacing w:line="360" w:lineRule="auto"/>
        <w:ind w:firstLine="480"/>
        <w:rPr>
          <w:rFonts w:ascii="宋体"/>
          <w:highlight w:val="none"/>
        </w:rPr>
      </w:pPr>
      <w:r>
        <w:rPr>
          <w:rFonts w:ascii="宋体" w:hAnsi="宋体"/>
          <w:highlight w:val="none"/>
        </w:rPr>
        <w:t>6.2.1</w:t>
      </w:r>
      <w:r>
        <w:rPr>
          <w:rFonts w:hint="eastAsia" w:ascii="宋体" w:hAnsi="宋体"/>
          <w:highlight w:val="none"/>
        </w:rPr>
        <w:t>任何涉及对方过去、现在或将来的商业计划、规章制度、操作规程、处理手段、财务信息；</w:t>
      </w:r>
    </w:p>
    <w:p w14:paraId="57476A23">
      <w:pPr>
        <w:spacing w:line="360" w:lineRule="auto"/>
        <w:ind w:firstLine="480"/>
        <w:rPr>
          <w:rFonts w:ascii="宋体"/>
          <w:highlight w:val="none"/>
        </w:rPr>
      </w:pPr>
      <w:r>
        <w:rPr>
          <w:rFonts w:ascii="宋体" w:hAnsi="宋体"/>
          <w:highlight w:val="none"/>
        </w:rPr>
        <w:t>6.2.2</w:t>
      </w:r>
      <w:r>
        <w:rPr>
          <w:rFonts w:hint="eastAsia" w:ascii="宋体" w:hAnsi="宋体"/>
          <w:highlight w:val="none"/>
        </w:rPr>
        <w:t>乙方应根据甲方的要求签署相应的保密协议，保密协议与本条款存在不一致的，以保密协议为准。</w:t>
      </w:r>
    </w:p>
    <w:p w14:paraId="18E7B0C6">
      <w:pPr>
        <w:spacing w:line="360" w:lineRule="auto"/>
        <w:ind w:firstLine="482"/>
        <w:rPr>
          <w:rFonts w:ascii="宋体"/>
          <w:b/>
          <w:highlight w:val="none"/>
        </w:rPr>
      </w:pPr>
      <w:r>
        <w:rPr>
          <w:rFonts w:ascii="宋体" w:hAnsi="宋体"/>
          <w:b/>
          <w:highlight w:val="none"/>
        </w:rPr>
        <w:t xml:space="preserve">7. </w:t>
      </w:r>
      <w:r>
        <w:rPr>
          <w:rFonts w:hint="eastAsia" w:ascii="宋体" w:hAnsi="宋体"/>
          <w:b/>
          <w:highlight w:val="none"/>
        </w:rPr>
        <w:t>质量保证</w:t>
      </w:r>
    </w:p>
    <w:p w14:paraId="0BE159BA">
      <w:pPr>
        <w:spacing w:line="360" w:lineRule="auto"/>
        <w:ind w:firstLine="480"/>
        <w:rPr>
          <w:rFonts w:ascii="宋体"/>
          <w:highlight w:val="none"/>
        </w:rPr>
      </w:pPr>
      <w:r>
        <w:rPr>
          <w:rFonts w:ascii="宋体" w:hAnsi="宋体"/>
          <w:highlight w:val="none"/>
        </w:rPr>
        <w:t>7.1</w:t>
      </w:r>
      <w:r>
        <w:rPr>
          <w:rFonts w:hint="eastAsia" w:ascii="宋体" w:hAnsi="宋体"/>
          <w:highlight w:val="none"/>
        </w:rPr>
        <w:t>货物质量保证</w:t>
      </w:r>
    </w:p>
    <w:p w14:paraId="6F0D93A7">
      <w:pPr>
        <w:spacing w:line="360" w:lineRule="auto"/>
        <w:ind w:firstLine="480"/>
        <w:rPr>
          <w:rFonts w:ascii="宋体"/>
          <w:highlight w:val="none"/>
        </w:rPr>
      </w:pPr>
      <w:r>
        <w:rPr>
          <w:rFonts w:ascii="宋体" w:hAnsi="宋体"/>
          <w:highlight w:val="none"/>
        </w:rPr>
        <w:t>7.1.1</w:t>
      </w:r>
      <w:r>
        <w:rPr>
          <w:rFonts w:hint="eastAsia" w:ascii="宋体" w:hAnsi="宋体"/>
          <w:highlight w:val="none"/>
        </w:rPr>
        <w:t>乙方必须保证货物是全新、未使用过的，并完全符合强制性的国家技术质量规范和合同规定的质量、规格、性能和技术规范等的要求。</w:t>
      </w:r>
    </w:p>
    <w:p w14:paraId="00BD04A5">
      <w:pPr>
        <w:spacing w:line="360" w:lineRule="auto"/>
        <w:ind w:firstLine="480"/>
        <w:rPr>
          <w:rFonts w:ascii="宋体"/>
          <w:highlight w:val="none"/>
        </w:rPr>
      </w:pPr>
      <w:r>
        <w:rPr>
          <w:rFonts w:ascii="宋体" w:hAnsi="宋体"/>
          <w:highlight w:val="none"/>
        </w:rPr>
        <w:t>7.1.2</w:t>
      </w:r>
      <w:r>
        <w:rPr>
          <w:rFonts w:hint="eastAsia" w:ascii="宋体" w:hAnsi="宋体"/>
          <w:highlight w:val="none"/>
        </w:rPr>
        <w:t>乙方须保证所提供的货物经正确使用，在其使用寿命期内须具有符合质量要求和产品说明书的性能。在货物质量保证期之内，乙方须对由于设计、工艺或材料的缺陷而发生的任何不足</w:t>
      </w:r>
      <w:r>
        <w:rPr>
          <w:rFonts w:hint="eastAsia" w:ascii="宋体" w:hAnsi="宋体" w:cs="宋体"/>
          <w:highlight w:val="none"/>
        </w:rPr>
        <w:t>，并免费予以改进或更换</w:t>
      </w:r>
      <w:r>
        <w:rPr>
          <w:rFonts w:hint="eastAsia" w:ascii="宋体" w:hAnsi="宋体"/>
          <w:highlight w:val="none"/>
        </w:rPr>
        <w:t>。</w:t>
      </w:r>
    </w:p>
    <w:p w14:paraId="3DC12D65">
      <w:pPr>
        <w:spacing w:line="360" w:lineRule="auto"/>
        <w:ind w:firstLine="480"/>
        <w:rPr>
          <w:rFonts w:ascii="宋体" w:cs="宋体"/>
          <w:highlight w:val="none"/>
        </w:rPr>
      </w:pPr>
      <w:r>
        <w:rPr>
          <w:rFonts w:ascii="宋体" w:hAnsi="宋体"/>
          <w:highlight w:val="none"/>
        </w:rPr>
        <w:t>7.1.3</w:t>
      </w:r>
      <w:r>
        <w:rPr>
          <w:rFonts w:hint="eastAsia" w:ascii="宋体" w:hAnsi="宋体"/>
          <w:highlight w:val="none"/>
        </w:rPr>
        <w:t>根据乙方按检验标准自己检验结果或委托有资质的相关质检机构的检验结果，发现货物的数量、质量、规格与合同不符；或者在质量保证期内，证实货物存在缺陷，包括潜在的缺陷或使用不符合要求的材料等，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cs="宋体"/>
          <w:highlight w:val="none"/>
        </w:rPr>
        <w:t>甲方应书面通知乙方。接到上述通知后，乙方应及时免费更换或修理破损货物。乙方在甲方发出质量异议通知后，未作答复，甲方在通知书中所提出的要求应视为已被乙方接受。</w:t>
      </w:r>
    </w:p>
    <w:p w14:paraId="24F5296B">
      <w:pPr>
        <w:spacing w:line="360" w:lineRule="auto"/>
        <w:ind w:firstLine="480"/>
        <w:rPr>
          <w:rFonts w:ascii="宋体"/>
          <w:highlight w:val="none"/>
        </w:rPr>
      </w:pPr>
      <w:r>
        <w:rPr>
          <w:rFonts w:ascii="宋体" w:hAnsi="宋体"/>
          <w:highlight w:val="none"/>
        </w:rPr>
        <w:t>7.1.4</w:t>
      </w:r>
      <w:r>
        <w:rPr>
          <w:rFonts w:hint="eastAsia" w:ascii="宋体" w:hAnsi="宋体"/>
          <w:highlight w:val="none"/>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20037076">
      <w:pPr>
        <w:spacing w:line="360" w:lineRule="auto"/>
        <w:ind w:firstLine="480"/>
        <w:rPr>
          <w:rFonts w:ascii="宋体"/>
          <w:highlight w:val="none"/>
        </w:rPr>
      </w:pPr>
      <w:r>
        <w:rPr>
          <w:rFonts w:ascii="宋体" w:hAnsi="宋体"/>
          <w:highlight w:val="none"/>
        </w:rPr>
        <w:t xml:space="preserve">7.1.5 </w:t>
      </w:r>
      <w:r>
        <w:rPr>
          <w:rFonts w:hint="eastAsia" w:ascii="宋体" w:hAnsi="宋体"/>
          <w:highlight w:val="none"/>
        </w:rPr>
        <w:t>合同条款下货物的质量保证期自货物通过最终验收起算，合同另行规定除外。</w:t>
      </w:r>
    </w:p>
    <w:p w14:paraId="13E50FCC">
      <w:pPr>
        <w:spacing w:line="360" w:lineRule="auto"/>
        <w:ind w:firstLine="482"/>
        <w:rPr>
          <w:rFonts w:ascii="宋体"/>
          <w:b/>
          <w:highlight w:val="none"/>
        </w:rPr>
      </w:pPr>
      <w:r>
        <w:rPr>
          <w:rFonts w:ascii="宋体" w:hAnsi="宋体"/>
          <w:b/>
          <w:highlight w:val="none"/>
        </w:rPr>
        <w:t>8.</w:t>
      </w:r>
      <w:r>
        <w:rPr>
          <w:rFonts w:hint="eastAsia" w:ascii="宋体" w:hAnsi="宋体"/>
          <w:b/>
          <w:highlight w:val="none"/>
        </w:rPr>
        <w:t>包装要求</w:t>
      </w:r>
    </w:p>
    <w:p w14:paraId="6BE19767">
      <w:pPr>
        <w:spacing w:line="360" w:lineRule="auto"/>
        <w:ind w:firstLine="480"/>
        <w:rPr>
          <w:rFonts w:ascii="宋体"/>
          <w:highlight w:val="none"/>
        </w:rPr>
      </w:pPr>
      <w:r>
        <w:rPr>
          <w:rFonts w:ascii="宋体" w:hAnsi="宋体"/>
          <w:highlight w:val="none"/>
        </w:rPr>
        <w:t xml:space="preserve">8.1 </w:t>
      </w:r>
      <w:r>
        <w:rPr>
          <w:rFonts w:hint="eastAsia" w:ascii="宋体" w:hAnsi="宋体"/>
          <w:highlight w:val="none"/>
        </w:rPr>
        <w:t>除合同另有约定外</w:t>
      </w:r>
      <w:r>
        <w:rPr>
          <w:rFonts w:ascii="宋体"/>
          <w:highlight w:val="none"/>
        </w:rPr>
        <w:t>,</w:t>
      </w:r>
      <w:r>
        <w:rPr>
          <w:rFonts w:hint="eastAsia" w:ascii="宋体" w:hAnsi="宋体"/>
          <w:highlight w:val="none"/>
        </w:rPr>
        <w:t>乙方提供的全部货物</w:t>
      </w:r>
      <w:r>
        <w:rPr>
          <w:rFonts w:ascii="宋体"/>
          <w:highlight w:val="none"/>
        </w:rPr>
        <w:t>,</w:t>
      </w:r>
      <w:r>
        <w:rPr>
          <w:rFonts w:hint="eastAsia" w:ascii="宋体" w:hAnsi="宋体"/>
          <w:highlight w:val="none"/>
        </w:rPr>
        <w:t>均应采用本行业通用的方式进行包装，且该包装应符合国家有关包装的法律、法规的规定。</w:t>
      </w:r>
    </w:p>
    <w:p w14:paraId="2DC2F3AE">
      <w:pPr>
        <w:spacing w:line="360" w:lineRule="auto"/>
        <w:ind w:firstLine="480"/>
        <w:rPr>
          <w:rFonts w:ascii="宋体"/>
          <w:highlight w:val="none"/>
        </w:rPr>
      </w:pPr>
      <w:r>
        <w:rPr>
          <w:rFonts w:ascii="宋体" w:hAnsi="宋体"/>
          <w:highlight w:val="none"/>
        </w:rPr>
        <w:t xml:space="preserve">8.2 </w:t>
      </w:r>
      <w:r>
        <w:rPr>
          <w:rFonts w:hint="eastAsia" w:ascii="宋体" w:hAnsi="宋体"/>
          <w:highlight w:val="none"/>
        </w:rPr>
        <w:t>包装应适应于远距离运输，</w:t>
      </w:r>
      <w:r>
        <w:rPr>
          <w:rFonts w:hint="eastAsia" w:ascii="宋体" w:hAnsi="宋体" w:cs="宋体"/>
          <w:highlight w:val="none"/>
        </w:rPr>
        <w:t>并有良好的</w:t>
      </w:r>
      <w:r>
        <w:rPr>
          <w:rFonts w:hint="eastAsia" w:ascii="宋体" w:hAnsi="宋体"/>
          <w:highlight w:val="none"/>
        </w:rPr>
        <w:t>防潮、防震、防锈和防粗暴装卸等保护措施，</w:t>
      </w:r>
      <w:r>
        <w:rPr>
          <w:rFonts w:hint="eastAsia" w:ascii="宋体" w:hAnsi="宋体" w:cs="宋体"/>
          <w:highlight w:val="none"/>
        </w:rPr>
        <w:t>以确保货物安全运抵现场。</w:t>
      </w:r>
      <w:r>
        <w:rPr>
          <w:rFonts w:hint="eastAsia" w:ascii="宋体" w:hAnsi="宋体"/>
          <w:highlight w:val="none"/>
        </w:rPr>
        <w:t>由于包装不善所引起的货物锈蚀、损坏和损失均由乙方承担。</w:t>
      </w:r>
    </w:p>
    <w:p w14:paraId="718984C0">
      <w:pPr>
        <w:spacing w:line="360" w:lineRule="auto"/>
        <w:ind w:firstLine="480"/>
        <w:rPr>
          <w:rFonts w:ascii="宋体"/>
          <w:highlight w:val="none"/>
        </w:rPr>
      </w:pPr>
      <w:r>
        <w:rPr>
          <w:rFonts w:hint="eastAsia" w:ascii="宋体" w:hAnsi="宋体"/>
          <w:highlight w:val="none"/>
        </w:rPr>
        <w:t>乙方应提供货物运至合同规定的最终目的地所需要的包装，以防止货物在转运中损坏或变质。</w:t>
      </w:r>
    </w:p>
    <w:p w14:paraId="45313C68">
      <w:pPr>
        <w:spacing w:line="360" w:lineRule="auto"/>
        <w:ind w:firstLine="480"/>
        <w:rPr>
          <w:rFonts w:ascii="宋体"/>
          <w:highlight w:val="none"/>
        </w:rPr>
      </w:pPr>
      <w:r>
        <w:rPr>
          <w:rFonts w:ascii="宋体" w:hAnsi="宋体"/>
          <w:highlight w:val="none"/>
        </w:rPr>
        <w:t xml:space="preserve">8.3 </w:t>
      </w:r>
      <w:r>
        <w:rPr>
          <w:rFonts w:hint="eastAsia" w:ascii="宋体" w:hAnsi="宋体"/>
          <w:highlight w:val="none"/>
        </w:rPr>
        <w:t>乙方所提供的货物包装均为出厂时原包装。</w:t>
      </w:r>
    </w:p>
    <w:p w14:paraId="5BED4223">
      <w:pPr>
        <w:spacing w:line="360" w:lineRule="auto"/>
        <w:ind w:firstLine="480"/>
        <w:rPr>
          <w:rFonts w:ascii="宋体"/>
          <w:highlight w:val="none"/>
        </w:rPr>
      </w:pPr>
      <w:r>
        <w:rPr>
          <w:rFonts w:ascii="宋体" w:hAnsi="宋体"/>
          <w:highlight w:val="none"/>
        </w:rPr>
        <w:t>8.4</w:t>
      </w:r>
      <w:r>
        <w:rPr>
          <w:rFonts w:hint="eastAsia" w:ascii="宋体" w:hAnsi="宋体"/>
          <w:highlight w:val="none"/>
        </w:rPr>
        <w:t>乙方所提供货物必须附有</w:t>
      </w:r>
      <w:r>
        <w:rPr>
          <w:rFonts w:hint="eastAsia" w:ascii="宋体" w:hAnsi="宋体" w:cs="宋体"/>
          <w:highlight w:val="none"/>
        </w:rPr>
        <w:t>质量合格证，</w:t>
      </w:r>
      <w:r>
        <w:rPr>
          <w:rFonts w:hint="eastAsia" w:ascii="宋体" w:hAnsi="宋体"/>
          <w:highlight w:val="none"/>
        </w:rPr>
        <w:t>装箱清单，有清楚的与装箱单相对应的名称和编号。</w:t>
      </w:r>
    </w:p>
    <w:p w14:paraId="77C45549">
      <w:pPr>
        <w:spacing w:line="360" w:lineRule="auto"/>
        <w:ind w:firstLine="480"/>
        <w:rPr>
          <w:rFonts w:ascii="宋体"/>
          <w:highlight w:val="none"/>
        </w:rPr>
      </w:pPr>
      <w:r>
        <w:rPr>
          <w:rFonts w:ascii="宋体" w:hAnsi="宋体"/>
          <w:highlight w:val="none"/>
        </w:rPr>
        <w:t xml:space="preserve">8.5 </w:t>
      </w:r>
      <w:r>
        <w:rPr>
          <w:rFonts w:hint="eastAsia" w:ascii="宋体" w:hAnsi="宋体"/>
          <w:highlight w:val="none"/>
        </w:rPr>
        <w:t>货物运输中的运输费用和保险费用均由乙方承担。运输过程中的一切损失、损坏均由乙方负责。</w:t>
      </w:r>
    </w:p>
    <w:p w14:paraId="15213011">
      <w:pPr>
        <w:spacing w:line="360" w:lineRule="auto"/>
        <w:ind w:firstLine="482"/>
        <w:rPr>
          <w:rFonts w:ascii="宋体"/>
          <w:b/>
          <w:highlight w:val="none"/>
        </w:rPr>
      </w:pPr>
      <w:r>
        <w:rPr>
          <w:rFonts w:ascii="宋体" w:hAnsi="宋体"/>
          <w:b/>
          <w:highlight w:val="none"/>
        </w:rPr>
        <w:t xml:space="preserve">9. </w:t>
      </w:r>
      <w:r>
        <w:rPr>
          <w:rFonts w:hint="eastAsia" w:ascii="宋体" w:hAnsi="宋体"/>
          <w:b/>
          <w:highlight w:val="none"/>
        </w:rPr>
        <w:t>价格</w:t>
      </w:r>
    </w:p>
    <w:p w14:paraId="17D82937">
      <w:pPr>
        <w:spacing w:line="360" w:lineRule="auto"/>
        <w:ind w:firstLine="480"/>
        <w:rPr>
          <w:rFonts w:ascii="宋体"/>
          <w:highlight w:val="none"/>
        </w:rPr>
      </w:pPr>
      <w:r>
        <w:rPr>
          <w:rFonts w:ascii="宋体" w:hAnsi="宋体"/>
          <w:highlight w:val="none"/>
        </w:rPr>
        <w:t>9.1</w:t>
      </w:r>
      <w:r>
        <w:rPr>
          <w:rFonts w:hint="eastAsia" w:ascii="宋体" w:hAnsi="宋体"/>
          <w:highlight w:val="none"/>
        </w:rPr>
        <w:t>乙方履行合同所必须的所有费用，包括但不限于货物及部件的设计、检测与试验、制造、运输、装卸、保险、技术资料、培训、交通、人员、差旅、质量保证期服务费、其他管理费用、所有的检验、测试、验收费用等均已包括在合同价格中。</w:t>
      </w:r>
    </w:p>
    <w:p w14:paraId="7CB3A37B">
      <w:pPr>
        <w:spacing w:line="360" w:lineRule="auto"/>
        <w:ind w:firstLine="480"/>
        <w:rPr>
          <w:rFonts w:ascii="宋体"/>
          <w:highlight w:val="none"/>
        </w:rPr>
      </w:pPr>
      <w:r>
        <w:rPr>
          <w:rFonts w:ascii="宋体" w:hAnsi="宋体"/>
          <w:highlight w:val="none"/>
        </w:rPr>
        <w:t xml:space="preserve">9.2 </w:t>
      </w:r>
      <w:r>
        <w:rPr>
          <w:rFonts w:hint="eastAsia" w:ascii="宋体" w:hAnsi="宋体"/>
          <w:highlight w:val="none"/>
        </w:rPr>
        <w:t>本合同价格为固定价格，包括了乙方履行合同全过程产生的所有成本和费用以及乙方应承担的一切税费。</w:t>
      </w:r>
    </w:p>
    <w:p w14:paraId="424EA1B3">
      <w:pPr>
        <w:spacing w:line="360" w:lineRule="auto"/>
        <w:ind w:firstLine="480"/>
        <w:rPr>
          <w:rFonts w:ascii="宋体"/>
          <w:highlight w:val="none"/>
        </w:rPr>
      </w:pPr>
      <w:r>
        <w:rPr>
          <w:rFonts w:ascii="宋体" w:hAnsi="宋体"/>
          <w:highlight w:val="none"/>
        </w:rPr>
        <w:t>9.3</w:t>
      </w:r>
      <w:r>
        <w:rPr>
          <w:rFonts w:hint="eastAsia" w:ascii="宋体" w:hAnsi="宋体"/>
          <w:highlight w:val="none"/>
        </w:rPr>
        <w:t>检验费用</w:t>
      </w:r>
      <w:r>
        <w:rPr>
          <w:rFonts w:ascii="宋体" w:hAnsi="宋体"/>
          <w:highlight w:val="none"/>
        </w:rPr>
        <w:t xml:space="preserve"> </w:t>
      </w:r>
    </w:p>
    <w:p w14:paraId="426A2A6E">
      <w:pPr>
        <w:spacing w:line="360" w:lineRule="auto"/>
        <w:ind w:firstLine="480"/>
        <w:rPr>
          <w:rFonts w:ascii="宋体"/>
          <w:highlight w:val="none"/>
        </w:rPr>
      </w:pPr>
      <w:r>
        <w:rPr>
          <w:rFonts w:ascii="宋体" w:hAnsi="宋体"/>
          <w:highlight w:val="none"/>
        </w:rPr>
        <w:t>9.3.1</w:t>
      </w:r>
      <w:r>
        <w:rPr>
          <w:rFonts w:hint="eastAsia" w:ascii="宋体" w:hAnsi="宋体"/>
          <w:highlight w:val="none"/>
        </w:rPr>
        <w:t>乙方必须负担本条款下属于乙方负责的检验、测试和验收的所有费用，并负责乙方派往买方组织的检验、测试和验收人员的所有费用。</w:t>
      </w:r>
    </w:p>
    <w:p w14:paraId="5DA19E0B">
      <w:pPr>
        <w:spacing w:line="360" w:lineRule="auto"/>
        <w:ind w:firstLine="480"/>
        <w:rPr>
          <w:rFonts w:ascii="宋体"/>
          <w:highlight w:val="none"/>
        </w:rPr>
      </w:pPr>
      <w:r>
        <w:rPr>
          <w:rFonts w:ascii="宋体" w:hAnsi="宋体"/>
          <w:highlight w:val="none"/>
        </w:rPr>
        <w:t xml:space="preserve">9.3.2 </w:t>
      </w:r>
      <w:r>
        <w:rPr>
          <w:rFonts w:hint="eastAsia" w:ascii="宋体" w:hAnsi="宋体"/>
          <w:highlight w:val="none"/>
        </w:rPr>
        <w:t>甲方按合同计划参加在乙方工厂所在地检验、测试和验收的费用全部由乙方负责并已包含在合同总价中。</w:t>
      </w:r>
    </w:p>
    <w:p w14:paraId="2FA30F5B">
      <w:pPr>
        <w:spacing w:line="360" w:lineRule="auto"/>
        <w:ind w:firstLine="480"/>
        <w:rPr>
          <w:rFonts w:ascii="宋体" w:cs="宋体"/>
          <w:highlight w:val="none"/>
        </w:rPr>
      </w:pPr>
      <w:r>
        <w:rPr>
          <w:rFonts w:ascii="宋体" w:hAnsi="宋体" w:cs="宋体"/>
          <w:highlight w:val="none"/>
        </w:rPr>
        <w:t>9.3</w:t>
      </w:r>
      <w:r>
        <w:rPr>
          <w:rFonts w:ascii="宋体" w:hAnsi="宋体"/>
          <w:highlight w:val="none"/>
        </w:rPr>
        <w:t>.3</w:t>
      </w:r>
      <w:r>
        <w:rPr>
          <w:rFonts w:hint="eastAsia" w:ascii="宋体" w:hAnsi="宋体"/>
          <w:highlight w:val="none"/>
        </w:rPr>
        <w:t>甲方检验人员已到卖方所在地，测试无法依照合同进行，</w:t>
      </w:r>
      <w:r>
        <w:rPr>
          <w:rFonts w:ascii="宋体" w:hAnsi="宋体"/>
          <w:highlight w:val="none"/>
        </w:rPr>
        <w:t xml:space="preserve"> </w:t>
      </w:r>
      <w:r>
        <w:rPr>
          <w:rFonts w:hint="eastAsia" w:ascii="宋体" w:hAnsi="宋体"/>
          <w:highlight w:val="none"/>
        </w:rPr>
        <w:t>而引起甲方人员延长逗留时间，所有由此产生的包括甲方人员在内的直接费用及成本由乙方承担。</w:t>
      </w:r>
      <w:r>
        <w:rPr>
          <w:rFonts w:ascii="宋体" w:hAnsi="宋体"/>
          <w:highlight w:val="none"/>
        </w:rPr>
        <w:t xml:space="preserve"> </w:t>
      </w:r>
    </w:p>
    <w:p w14:paraId="501F82CB">
      <w:pPr>
        <w:spacing w:line="360" w:lineRule="auto"/>
        <w:ind w:firstLine="482"/>
        <w:rPr>
          <w:rFonts w:ascii="宋体"/>
          <w:b/>
          <w:highlight w:val="none"/>
        </w:rPr>
      </w:pPr>
      <w:r>
        <w:rPr>
          <w:rFonts w:ascii="宋体" w:hAnsi="宋体"/>
          <w:b/>
          <w:highlight w:val="none"/>
        </w:rPr>
        <w:t>10.</w:t>
      </w:r>
      <w:r>
        <w:rPr>
          <w:rFonts w:hint="eastAsia" w:ascii="宋体" w:hAnsi="宋体"/>
          <w:b/>
          <w:highlight w:val="none"/>
        </w:rPr>
        <w:t>交货方式及交货日期</w:t>
      </w:r>
    </w:p>
    <w:p w14:paraId="73C0D5C5">
      <w:pPr>
        <w:spacing w:line="360" w:lineRule="auto"/>
        <w:ind w:firstLine="480"/>
        <w:rPr>
          <w:rFonts w:ascii="宋体"/>
          <w:highlight w:val="none"/>
        </w:rPr>
      </w:pPr>
      <w:r>
        <w:rPr>
          <w:rFonts w:hint="eastAsia" w:ascii="宋体" w:hAnsi="宋体"/>
          <w:highlight w:val="none"/>
        </w:rPr>
        <w:t>交货方式：现场交货，乙方负责办理运输和保险，将货物运抵现场。</w:t>
      </w:r>
    </w:p>
    <w:p w14:paraId="59F15F87">
      <w:pPr>
        <w:spacing w:line="360" w:lineRule="auto"/>
        <w:ind w:firstLine="480"/>
        <w:rPr>
          <w:rFonts w:ascii="宋体"/>
          <w:highlight w:val="none"/>
        </w:rPr>
      </w:pPr>
      <w:r>
        <w:rPr>
          <w:rFonts w:hint="eastAsia" w:ascii="宋体" w:hAnsi="宋体"/>
          <w:highlight w:val="none"/>
        </w:rPr>
        <w:t>交货日期：所有货物运抵现场并经双方开箱验收合格之日。</w:t>
      </w:r>
    </w:p>
    <w:p w14:paraId="7DF6905D">
      <w:pPr>
        <w:spacing w:line="360" w:lineRule="auto"/>
        <w:ind w:firstLine="482"/>
        <w:rPr>
          <w:rFonts w:ascii="宋体"/>
          <w:b/>
          <w:highlight w:val="none"/>
        </w:rPr>
      </w:pPr>
      <w:r>
        <w:rPr>
          <w:rFonts w:ascii="宋体" w:hAnsi="宋体"/>
          <w:b/>
          <w:highlight w:val="none"/>
        </w:rPr>
        <w:t>11.</w:t>
      </w:r>
      <w:r>
        <w:rPr>
          <w:rFonts w:hint="eastAsia" w:ascii="宋体" w:hAnsi="宋体"/>
          <w:b/>
          <w:highlight w:val="none"/>
        </w:rPr>
        <w:t>检验和验收</w:t>
      </w:r>
    </w:p>
    <w:p w14:paraId="2917D10C">
      <w:pPr>
        <w:spacing w:line="360" w:lineRule="auto"/>
        <w:ind w:firstLine="480"/>
        <w:rPr>
          <w:rFonts w:ascii="宋体"/>
          <w:highlight w:val="none"/>
        </w:rPr>
      </w:pPr>
      <w:r>
        <w:rPr>
          <w:rFonts w:ascii="宋体" w:hAnsi="宋体"/>
          <w:highlight w:val="none"/>
        </w:rPr>
        <w:t>11.1</w:t>
      </w:r>
      <w:r>
        <w:rPr>
          <w:rFonts w:hint="eastAsia" w:ascii="宋体" w:hAnsi="宋体"/>
          <w:highlight w:val="none"/>
        </w:rPr>
        <w:t>开箱验收</w:t>
      </w:r>
    </w:p>
    <w:p w14:paraId="4FC5DFCD">
      <w:pPr>
        <w:spacing w:line="360" w:lineRule="auto"/>
        <w:ind w:firstLine="480"/>
        <w:rPr>
          <w:rFonts w:ascii="宋体" w:cs="宋体"/>
          <w:highlight w:val="none"/>
        </w:rPr>
      </w:pPr>
      <w:r>
        <w:rPr>
          <w:rFonts w:ascii="宋体" w:hAnsi="宋体"/>
          <w:highlight w:val="none"/>
        </w:rPr>
        <w:t>11.1.1</w:t>
      </w:r>
      <w:r>
        <w:rPr>
          <w:rFonts w:hint="eastAsia" w:ascii="宋体" w:hAnsi="宋体"/>
          <w:highlight w:val="none"/>
        </w:rPr>
        <w:t>货物运抵现场后，双方应及时开箱验收，并制作验收记录，以确认与本合同约定的数量、型号等是否一致</w:t>
      </w:r>
      <w:r>
        <w:rPr>
          <w:rFonts w:hint="eastAsia" w:ascii="宋体" w:hAnsi="宋体" w:cs="宋体"/>
          <w:highlight w:val="none"/>
        </w:rPr>
        <w:t>。</w:t>
      </w:r>
    </w:p>
    <w:p w14:paraId="2EFE0970">
      <w:pPr>
        <w:spacing w:line="360" w:lineRule="auto"/>
        <w:ind w:firstLine="480"/>
        <w:rPr>
          <w:rFonts w:ascii="宋体"/>
          <w:highlight w:val="none"/>
        </w:rPr>
      </w:pPr>
      <w:r>
        <w:rPr>
          <w:rFonts w:ascii="宋体" w:hAnsi="宋体" w:cs="宋体"/>
          <w:highlight w:val="none"/>
        </w:rPr>
        <w:t xml:space="preserve">11.1.2 </w:t>
      </w:r>
      <w:r>
        <w:rPr>
          <w:rFonts w:hint="eastAsia" w:ascii="宋体" w:hAnsi="宋体"/>
          <w:highlight w:val="none"/>
        </w:rPr>
        <w:t>乙方应在交货前对货物的质量、规格、数量等进行详细而全面的检验，并出具证明货物符合合同规定的文件。该文件将作为申请付款单据的一部分，但有关质量、规格、数量的检验不应视为最终检验。</w:t>
      </w:r>
    </w:p>
    <w:p w14:paraId="18D2B3E6">
      <w:pPr>
        <w:spacing w:line="360" w:lineRule="auto"/>
        <w:ind w:firstLine="480"/>
        <w:rPr>
          <w:rFonts w:ascii="宋体"/>
          <w:highlight w:val="none"/>
        </w:rPr>
      </w:pPr>
      <w:r>
        <w:rPr>
          <w:rFonts w:ascii="宋体" w:hAnsi="宋体"/>
          <w:highlight w:val="none"/>
        </w:rPr>
        <w:t xml:space="preserve">11.1.3 </w:t>
      </w:r>
      <w:r>
        <w:rPr>
          <w:rFonts w:hint="eastAsia" w:ascii="宋体" w:hAnsi="宋体"/>
          <w:highlight w:val="none"/>
        </w:rPr>
        <w:t>开箱验收中如发现货物的数量、规格与合同约定不符，甲方有权拒收货物，乙方应及时按甲方要求免费对拒收货物采取更换或其他必要的补救措施，直至开箱验收合格，方视为乙方完成交货。</w:t>
      </w:r>
    </w:p>
    <w:p w14:paraId="77EE6A81">
      <w:pPr>
        <w:spacing w:line="360" w:lineRule="auto"/>
        <w:ind w:firstLine="480"/>
        <w:rPr>
          <w:rFonts w:ascii="宋体"/>
          <w:highlight w:val="none"/>
        </w:rPr>
      </w:pPr>
      <w:r>
        <w:rPr>
          <w:rFonts w:ascii="宋体" w:hAnsi="宋体"/>
          <w:highlight w:val="none"/>
        </w:rPr>
        <w:t xml:space="preserve">11.2  </w:t>
      </w:r>
      <w:r>
        <w:rPr>
          <w:rFonts w:hint="eastAsia" w:ascii="宋体" w:hAnsi="宋体"/>
          <w:highlight w:val="none"/>
        </w:rPr>
        <w:t>检验验收</w:t>
      </w:r>
    </w:p>
    <w:p w14:paraId="1046DF40">
      <w:pPr>
        <w:spacing w:line="360" w:lineRule="auto"/>
        <w:ind w:firstLine="480"/>
        <w:rPr>
          <w:rFonts w:ascii="宋体"/>
          <w:highlight w:val="none"/>
        </w:rPr>
      </w:pPr>
      <w:r>
        <w:rPr>
          <w:rFonts w:ascii="宋体" w:hAnsi="宋体"/>
          <w:highlight w:val="none"/>
        </w:rPr>
        <w:t>11.2.1</w:t>
      </w:r>
      <w:r>
        <w:rPr>
          <w:rFonts w:hint="eastAsia" w:ascii="宋体" w:hAnsi="宋体"/>
          <w:highlight w:val="none"/>
        </w:rPr>
        <w:t>交货完成后，双方应及时组织对货物检验验收。合同双方均须派人参加合同要求双方参加的试验、检验。</w:t>
      </w:r>
    </w:p>
    <w:p w14:paraId="3B983F8E">
      <w:pPr>
        <w:spacing w:line="360" w:lineRule="auto"/>
        <w:ind w:firstLine="480"/>
        <w:rPr>
          <w:rFonts w:ascii="宋体"/>
          <w:highlight w:val="none"/>
        </w:rPr>
      </w:pPr>
      <w:r>
        <w:rPr>
          <w:rFonts w:ascii="宋体" w:hAnsi="宋体"/>
          <w:highlight w:val="none"/>
        </w:rPr>
        <w:t>11.2.2</w:t>
      </w:r>
      <w:r>
        <w:rPr>
          <w:rFonts w:hint="eastAsia" w:ascii="宋体" w:hAnsi="宋体"/>
          <w:highlight w:val="none"/>
        </w:rPr>
        <w:t>在具体实施合同规定的检验验收之前，乙方需提前提交相应的检测计划供甲方确认。</w:t>
      </w:r>
    </w:p>
    <w:p w14:paraId="3DD5E147">
      <w:pPr>
        <w:spacing w:line="360" w:lineRule="auto"/>
        <w:ind w:firstLine="480"/>
        <w:rPr>
          <w:rFonts w:ascii="宋体"/>
          <w:highlight w:val="none"/>
        </w:rPr>
      </w:pPr>
      <w:r>
        <w:rPr>
          <w:rFonts w:ascii="宋体" w:hAnsi="宋体"/>
          <w:highlight w:val="none"/>
        </w:rPr>
        <w:t xml:space="preserve">11.2.3  </w:t>
      </w:r>
      <w:r>
        <w:rPr>
          <w:rFonts w:hint="eastAsia" w:ascii="宋体" w:hAnsi="宋体"/>
          <w:highlight w:val="none"/>
        </w:rPr>
        <w:t>除需甲方确认的试验验收外，乙方还应对所有检验验收测试的结果、步骤、原始数据等作妥善记录。如甲方要求，乙方应提供这些记录给买方。</w:t>
      </w:r>
    </w:p>
    <w:p w14:paraId="0D014E7E">
      <w:pPr>
        <w:spacing w:line="360" w:lineRule="auto"/>
        <w:ind w:firstLine="480"/>
        <w:rPr>
          <w:rFonts w:ascii="宋体"/>
          <w:highlight w:val="none"/>
        </w:rPr>
      </w:pPr>
      <w:r>
        <w:rPr>
          <w:rFonts w:ascii="宋体" w:hAnsi="宋体"/>
          <w:highlight w:val="none"/>
        </w:rPr>
        <w:t xml:space="preserve">11.2.4  </w:t>
      </w:r>
      <w:r>
        <w:rPr>
          <w:rFonts w:hint="eastAsia" w:ascii="宋体" w:hAnsi="宋体"/>
          <w:highlight w:val="none"/>
        </w:rPr>
        <w:t>检验测试出现全部或部分未达到本合同所约定的技术指标，甲方有权选择下列任一处理方式：</w:t>
      </w:r>
    </w:p>
    <w:p w14:paraId="52652ABB">
      <w:pPr>
        <w:spacing w:line="360" w:lineRule="auto"/>
        <w:ind w:firstLine="480"/>
        <w:rPr>
          <w:rFonts w:ascii="宋体"/>
          <w:highlight w:val="none"/>
        </w:rPr>
      </w:pPr>
      <w:r>
        <w:rPr>
          <w:rFonts w:ascii="宋体" w:hAnsi="宋体"/>
          <w:highlight w:val="none"/>
        </w:rPr>
        <w:t>a.</w:t>
      </w:r>
      <w:r>
        <w:rPr>
          <w:rFonts w:hint="eastAsia" w:ascii="宋体" w:hAnsi="宋体"/>
          <w:highlight w:val="none"/>
        </w:rPr>
        <w:t>重新测试直至合格为止；</w:t>
      </w:r>
    </w:p>
    <w:p w14:paraId="799175E0">
      <w:pPr>
        <w:spacing w:line="360" w:lineRule="auto"/>
        <w:ind w:firstLine="480"/>
        <w:rPr>
          <w:rFonts w:ascii="宋体"/>
          <w:highlight w:val="none"/>
        </w:rPr>
      </w:pPr>
      <w:r>
        <w:rPr>
          <w:rFonts w:ascii="宋体" w:hAnsi="宋体"/>
          <w:highlight w:val="none"/>
        </w:rPr>
        <w:t>b.</w:t>
      </w:r>
      <w:r>
        <w:rPr>
          <w:rFonts w:hint="eastAsia" w:ascii="宋体" w:hAnsi="宋体"/>
          <w:highlight w:val="none"/>
        </w:rPr>
        <w:t>要求乙方对货物进行免费更换，然后重新测试直至合格为止；</w:t>
      </w:r>
    </w:p>
    <w:p w14:paraId="30DD9CE5">
      <w:pPr>
        <w:spacing w:line="360" w:lineRule="auto"/>
        <w:ind w:firstLine="480"/>
        <w:rPr>
          <w:rFonts w:ascii="宋体"/>
          <w:highlight w:val="none"/>
        </w:rPr>
      </w:pPr>
      <w:r>
        <w:rPr>
          <w:rFonts w:hint="eastAsia" w:ascii="宋体" w:hAnsi="宋体"/>
          <w:highlight w:val="none"/>
        </w:rPr>
        <w:t>无论选择何种方式，甲方因此而发生的因卖方原因引起的所有费用均由乙方负担。</w:t>
      </w:r>
    </w:p>
    <w:p w14:paraId="0E383991">
      <w:pPr>
        <w:spacing w:line="360" w:lineRule="auto"/>
        <w:ind w:firstLine="480"/>
        <w:rPr>
          <w:rFonts w:ascii="宋体"/>
          <w:highlight w:val="none"/>
        </w:rPr>
      </w:pPr>
      <w:r>
        <w:rPr>
          <w:rFonts w:ascii="宋体" w:hAnsi="宋体"/>
          <w:highlight w:val="none"/>
        </w:rPr>
        <w:t xml:space="preserve">11.3  </w:t>
      </w:r>
      <w:r>
        <w:rPr>
          <w:rFonts w:hint="eastAsia" w:ascii="宋体" w:hAnsi="宋体"/>
          <w:highlight w:val="none"/>
        </w:rPr>
        <w:t>使用过程检验</w:t>
      </w:r>
    </w:p>
    <w:p w14:paraId="56454420">
      <w:pPr>
        <w:spacing w:line="360" w:lineRule="auto"/>
        <w:ind w:firstLine="480"/>
        <w:rPr>
          <w:rFonts w:ascii="宋体"/>
          <w:highlight w:val="none"/>
        </w:rPr>
      </w:pPr>
      <w:r>
        <w:rPr>
          <w:rFonts w:ascii="宋体" w:hAnsi="宋体"/>
          <w:highlight w:val="none"/>
        </w:rPr>
        <w:t>11.3.1</w:t>
      </w:r>
      <w:r>
        <w:rPr>
          <w:rFonts w:hint="eastAsia" w:ascii="宋体" w:hAnsi="宋体"/>
          <w:highlight w:val="none"/>
        </w:rPr>
        <w:t>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0E371772">
      <w:pPr>
        <w:spacing w:line="360" w:lineRule="auto"/>
        <w:ind w:firstLine="480"/>
        <w:rPr>
          <w:rFonts w:ascii="宋体"/>
          <w:highlight w:val="none"/>
        </w:rPr>
      </w:pPr>
      <w:r>
        <w:rPr>
          <w:rFonts w:ascii="宋体" w:hAnsi="宋体"/>
          <w:highlight w:val="none"/>
        </w:rPr>
        <w:t>11.3.2</w:t>
      </w:r>
      <w:r>
        <w:rPr>
          <w:rFonts w:hint="eastAsia" w:ascii="宋体" w:hAnsi="宋体"/>
          <w:highlight w:val="none"/>
        </w:rPr>
        <w:t>如果合同双方对乙方提供的上述试验结果报告的解释有分歧，双方须于出现分歧后</w:t>
      </w:r>
      <w:r>
        <w:rPr>
          <w:rFonts w:ascii="宋体" w:hAnsi="宋体"/>
          <w:highlight w:val="none"/>
        </w:rPr>
        <w:t>10</w:t>
      </w:r>
      <w:r>
        <w:rPr>
          <w:rFonts w:hint="eastAsia" w:ascii="宋体" w:hAnsi="宋体"/>
          <w:highlight w:val="none"/>
        </w:rPr>
        <w:t>天内给对方声明，以陈述己方的观点。声明须附有关证据。分歧应通过协商解决。</w:t>
      </w:r>
    </w:p>
    <w:p w14:paraId="2D8572FE">
      <w:pPr>
        <w:spacing w:line="360" w:lineRule="auto"/>
        <w:ind w:firstLine="482"/>
        <w:rPr>
          <w:rFonts w:ascii="宋体"/>
          <w:b/>
          <w:highlight w:val="none"/>
        </w:rPr>
      </w:pPr>
      <w:r>
        <w:rPr>
          <w:rFonts w:ascii="宋体" w:hAnsi="宋体"/>
          <w:b/>
          <w:highlight w:val="none"/>
        </w:rPr>
        <w:t>12.</w:t>
      </w:r>
      <w:r>
        <w:rPr>
          <w:rFonts w:hint="eastAsia" w:ascii="宋体" w:hAnsi="宋体"/>
          <w:b/>
          <w:highlight w:val="none"/>
        </w:rPr>
        <w:t>付款条件</w:t>
      </w:r>
    </w:p>
    <w:p w14:paraId="6B7D559D">
      <w:pPr>
        <w:spacing w:line="360" w:lineRule="auto"/>
        <w:ind w:firstLine="480"/>
        <w:rPr>
          <w:rFonts w:ascii="宋体"/>
          <w:highlight w:val="none"/>
        </w:rPr>
      </w:pPr>
      <w:r>
        <w:rPr>
          <w:rFonts w:hint="eastAsia" w:ascii="宋体" w:hAnsi="宋体"/>
          <w:highlight w:val="none"/>
        </w:rPr>
        <w:t>本合同条款下的付款方法和条件在“合同专用条款”中具体规定。</w:t>
      </w:r>
    </w:p>
    <w:p w14:paraId="634B94D0">
      <w:pPr>
        <w:spacing w:line="360" w:lineRule="auto"/>
        <w:ind w:firstLine="482"/>
        <w:rPr>
          <w:rFonts w:ascii="宋体"/>
          <w:b/>
          <w:highlight w:val="none"/>
        </w:rPr>
      </w:pPr>
      <w:r>
        <w:rPr>
          <w:rFonts w:ascii="宋体" w:hAnsi="宋体"/>
          <w:b/>
          <w:highlight w:val="none"/>
        </w:rPr>
        <w:t>13.</w:t>
      </w:r>
      <w:r>
        <w:rPr>
          <w:rFonts w:hint="eastAsia" w:ascii="宋体" w:hAnsi="宋体"/>
          <w:b/>
          <w:highlight w:val="none"/>
        </w:rPr>
        <w:t>履约保证金</w:t>
      </w:r>
    </w:p>
    <w:p w14:paraId="26A4A9BB">
      <w:pPr>
        <w:spacing w:line="360" w:lineRule="auto"/>
        <w:ind w:firstLine="480"/>
        <w:rPr>
          <w:rFonts w:ascii="宋体"/>
          <w:highlight w:val="none"/>
        </w:rPr>
      </w:pPr>
      <w:r>
        <w:rPr>
          <w:rFonts w:ascii="宋体" w:hAnsi="宋体"/>
          <w:highlight w:val="none"/>
        </w:rPr>
        <w:t>13.1</w:t>
      </w:r>
      <w:r>
        <w:rPr>
          <w:rFonts w:hint="eastAsia" w:ascii="宋体" w:hAnsi="宋体"/>
          <w:highlight w:val="none"/>
        </w:rPr>
        <w:t>乙方应在合同签订后，按合同专用条款的约定提交履约保证金。</w:t>
      </w:r>
    </w:p>
    <w:p w14:paraId="57EF743F">
      <w:pPr>
        <w:spacing w:line="360" w:lineRule="auto"/>
        <w:ind w:firstLine="480"/>
        <w:rPr>
          <w:rFonts w:ascii="宋体"/>
          <w:highlight w:val="none"/>
        </w:rPr>
      </w:pPr>
      <w:r>
        <w:rPr>
          <w:rFonts w:ascii="宋体" w:hAnsi="宋体"/>
          <w:highlight w:val="none"/>
        </w:rPr>
        <w:t>13.2</w:t>
      </w:r>
      <w:r>
        <w:rPr>
          <w:rFonts w:hint="eastAsia" w:ascii="宋体" w:hAnsi="宋体"/>
          <w:highlight w:val="none"/>
        </w:rPr>
        <w:t>履约保证金用于补偿甲方因卖方不能履行其合同义务而蒙受的损失。</w:t>
      </w:r>
    </w:p>
    <w:p w14:paraId="6CCAAEE7">
      <w:pPr>
        <w:spacing w:line="360" w:lineRule="auto"/>
        <w:ind w:firstLine="480"/>
        <w:rPr>
          <w:rFonts w:ascii="宋体"/>
          <w:highlight w:val="none"/>
        </w:rPr>
      </w:pPr>
      <w:r>
        <w:rPr>
          <w:rFonts w:ascii="宋体" w:hAnsi="宋体"/>
          <w:highlight w:val="none"/>
        </w:rPr>
        <w:t>13.3</w:t>
      </w:r>
      <w:r>
        <w:rPr>
          <w:rFonts w:hint="eastAsia" w:ascii="宋体" w:hAnsi="宋体"/>
          <w:highlight w:val="none"/>
        </w:rPr>
        <w:t>履约保证金应使用本合同货币，按下述方式之一提交（磋商文件中另有约定的除外）：</w:t>
      </w:r>
    </w:p>
    <w:p w14:paraId="0C6C3DA4">
      <w:pPr>
        <w:spacing w:line="360" w:lineRule="auto"/>
        <w:ind w:firstLine="480"/>
        <w:rPr>
          <w:rFonts w:ascii="宋体"/>
          <w:highlight w:val="none"/>
        </w:rPr>
      </w:pPr>
      <w:r>
        <w:rPr>
          <w:rFonts w:ascii="宋体" w:hAnsi="宋体"/>
          <w:highlight w:val="none"/>
        </w:rPr>
        <w:t>13.3.1</w:t>
      </w:r>
      <w:r>
        <w:rPr>
          <w:rFonts w:hint="eastAsia" w:ascii="宋体" w:hAnsi="宋体"/>
          <w:highlight w:val="none"/>
        </w:rPr>
        <w:t>甲方可接受的在中华人民共和国注册和营业的银行出具的履约保函；</w:t>
      </w:r>
      <w:r>
        <w:rPr>
          <w:rFonts w:ascii="宋体" w:hAnsi="宋体"/>
          <w:highlight w:val="none"/>
        </w:rPr>
        <w:t xml:space="preserve"> </w:t>
      </w:r>
    </w:p>
    <w:p w14:paraId="2FD492A0">
      <w:pPr>
        <w:spacing w:line="360" w:lineRule="auto"/>
        <w:ind w:firstLine="480"/>
        <w:rPr>
          <w:rFonts w:ascii="宋体"/>
          <w:highlight w:val="none"/>
        </w:rPr>
      </w:pPr>
      <w:r>
        <w:rPr>
          <w:rFonts w:ascii="宋体" w:hAnsi="宋体"/>
          <w:highlight w:val="none"/>
        </w:rPr>
        <w:t xml:space="preserve">13.3.2 </w:t>
      </w:r>
      <w:r>
        <w:rPr>
          <w:rFonts w:hint="eastAsia" w:ascii="宋体" w:hAnsi="宋体"/>
          <w:highlight w:val="none"/>
        </w:rPr>
        <w:t>支票、汇票或现金。</w:t>
      </w:r>
    </w:p>
    <w:p w14:paraId="400D5773">
      <w:pPr>
        <w:spacing w:line="360" w:lineRule="auto"/>
        <w:ind w:firstLine="480"/>
        <w:rPr>
          <w:rFonts w:ascii="宋体"/>
          <w:highlight w:val="none"/>
        </w:rPr>
      </w:pPr>
      <w:r>
        <w:rPr>
          <w:rFonts w:ascii="宋体" w:hAnsi="宋体"/>
          <w:highlight w:val="none"/>
        </w:rPr>
        <w:t>13.4</w:t>
      </w:r>
      <w:r>
        <w:rPr>
          <w:rFonts w:hint="eastAsia" w:ascii="宋体" w:hAnsi="宋体"/>
          <w:highlight w:val="none"/>
        </w:rPr>
        <w:t>乙方未能按合同规定履行其义务，甲方有权从履约保证金中取得补偿。货物验收合格后，甲方将履约保证金退还乙方或转为质量保证金。</w:t>
      </w:r>
    </w:p>
    <w:p w14:paraId="5333BA97">
      <w:pPr>
        <w:spacing w:line="360" w:lineRule="auto"/>
        <w:ind w:firstLine="482"/>
        <w:rPr>
          <w:rFonts w:ascii="宋体"/>
          <w:b/>
          <w:highlight w:val="none"/>
        </w:rPr>
      </w:pPr>
      <w:r>
        <w:rPr>
          <w:rFonts w:ascii="宋体" w:hAnsi="宋体"/>
          <w:b/>
          <w:highlight w:val="none"/>
        </w:rPr>
        <w:t>14.</w:t>
      </w:r>
      <w:r>
        <w:rPr>
          <w:rFonts w:hint="eastAsia" w:ascii="宋体" w:hAnsi="宋体"/>
          <w:b/>
          <w:highlight w:val="none"/>
        </w:rPr>
        <w:t>索赔</w:t>
      </w:r>
    </w:p>
    <w:p w14:paraId="3D382C67">
      <w:pPr>
        <w:spacing w:line="360" w:lineRule="auto"/>
        <w:ind w:firstLine="480"/>
        <w:rPr>
          <w:rFonts w:ascii="宋体"/>
          <w:highlight w:val="none"/>
        </w:rPr>
      </w:pPr>
      <w:r>
        <w:rPr>
          <w:rFonts w:ascii="宋体" w:hAnsi="宋体"/>
          <w:highlight w:val="none"/>
        </w:rPr>
        <w:t>14.1</w:t>
      </w:r>
      <w:r>
        <w:rPr>
          <w:rFonts w:hint="eastAsia" w:ascii="宋体" w:hAnsi="宋体"/>
          <w:highlight w:val="none"/>
        </w:rPr>
        <w:t>货物的质量、规格、数量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0A429151">
      <w:pPr>
        <w:spacing w:line="360" w:lineRule="auto"/>
        <w:ind w:firstLine="480"/>
        <w:rPr>
          <w:rFonts w:ascii="宋体"/>
          <w:highlight w:val="none"/>
        </w:rPr>
      </w:pPr>
      <w:r>
        <w:rPr>
          <w:rFonts w:ascii="宋体" w:hAnsi="宋体"/>
          <w:highlight w:val="none"/>
        </w:rPr>
        <w:t>14.2</w:t>
      </w:r>
      <w:r>
        <w:rPr>
          <w:rFonts w:hint="eastAsia" w:ascii="宋体" w:hAnsi="宋体"/>
          <w:highlight w:val="none"/>
        </w:rPr>
        <w:t>在履约保证期和检验期内，乙方对甲方提出的索赔负有责任，乙方应按照甲方同意的下列一种或多种方式解决索赔事宜：</w:t>
      </w:r>
    </w:p>
    <w:p w14:paraId="06F7730D">
      <w:pPr>
        <w:spacing w:line="360" w:lineRule="auto"/>
        <w:ind w:firstLine="480"/>
        <w:rPr>
          <w:rFonts w:ascii="宋体"/>
          <w:highlight w:val="none"/>
        </w:rPr>
      </w:pPr>
      <w:r>
        <w:rPr>
          <w:rFonts w:ascii="宋体" w:hAnsi="宋体"/>
          <w:highlight w:val="none"/>
        </w:rPr>
        <w:t>14.2.1</w:t>
      </w:r>
      <w:r>
        <w:rPr>
          <w:rFonts w:hint="eastAsia" w:ascii="宋体" w:hAnsi="宋体"/>
          <w:highlight w:val="none"/>
        </w:rPr>
        <w:t>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55C279C3">
      <w:pPr>
        <w:spacing w:line="360" w:lineRule="auto"/>
        <w:ind w:firstLine="480"/>
        <w:rPr>
          <w:rFonts w:ascii="宋体"/>
          <w:highlight w:val="none"/>
        </w:rPr>
      </w:pPr>
      <w:r>
        <w:rPr>
          <w:rFonts w:ascii="宋体" w:hAnsi="宋体"/>
          <w:highlight w:val="none"/>
        </w:rPr>
        <w:t>14.2.2</w:t>
      </w:r>
      <w:r>
        <w:rPr>
          <w:rFonts w:hint="eastAsia" w:ascii="宋体" w:hAnsi="宋体"/>
          <w:highlight w:val="none"/>
        </w:rPr>
        <w:t>根据货物低劣程度、损坏程度以及甲方所遭受损失的数额，经甲乙双方商定降低货物的价格，或由有资质的中介机构评估，以降低后的价格或评估价格为准。</w:t>
      </w:r>
    </w:p>
    <w:p w14:paraId="21FF3D61">
      <w:pPr>
        <w:spacing w:line="360" w:lineRule="auto"/>
        <w:ind w:firstLine="480"/>
        <w:rPr>
          <w:rFonts w:ascii="宋体"/>
          <w:highlight w:val="none"/>
        </w:rPr>
      </w:pPr>
      <w:r>
        <w:rPr>
          <w:rFonts w:ascii="宋体" w:hAnsi="宋体"/>
          <w:highlight w:val="none"/>
        </w:rPr>
        <w:t>14.2.3</w:t>
      </w:r>
      <w:r>
        <w:rPr>
          <w:rFonts w:hint="eastAsia" w:ascii="宋体" w:hAnsi="宋体"/>
          <w:highlight w:val="none"/>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302E4CC2">
      <w:pPr>
        <w:spacing w:line="360" w:lineRule="auto"/>
        <w:ind w:firstLine="480"/>
        <w:rPr>
          <w:rFonts w:ascii="宋体"/>
          <w:highlight w:val="none"/>
        </w:rPr>
      </w:pPr>
      <w:r>
        <w:rPr>
          <w:rFonts w:ascii="宋体" w:hAnsi="宋体"/>
          <w:highlight w:val="none"/>
        </w:rPr>
        <w:t>14.3</w:t>
      </w:r>
      <w:r>
        <w:rPr>
          <w:rFonts w:hint="eastAsia" w:ascii="宋体" w:hAnsi="宋体"/>
          <w:highlight w:val="none"/>
        </w:rPr>
        <w:t>乙方收到甲方发出的索赔通知之日起</w:t>
      </w:r>
      <w:r>
        <w:rPr>
          <w:rFonts w:ascii="宋体" w:hAnsi="宋体"/>
          <w:highlight w:val="none"/>
        </w:rPr>
        <w:t>5</w:t>
      </w:r>
      <w:r>
        <w:rPr>
          <w:rFonts w:hint="eastAsia" w:ascii="宋体" w:hAnsi="宋体"/>
          <w:highlight w:val="none"/>
        </w:rPr>
        <w:t>个工作日内未作答复的，甲方可从合同款或履约保证金中扣回索赔金额，如金额不足以补偿索赔金额，乙方应补足差额部分。</w:t>
      </w:r>
    </w:p>
    <w:p w14:paraId="39FDB25A">
      <w:pPr>
        <w:spacing w:line="360" w:lineRule="auto"/>
        <w:ind w:firstLine="482"/>
        <w:rPr>
          <w:rFonts w:ascii="宋体"/>
          <w:b/>
          <w:highlight w:val="none"/>
        </w:rPr>
      </w:pPr>
      <w:r>
        <w:rPr>
          <w:rFonts w:ascii="宋体" w:hAnsi="宋体"/>
          <w:b/>
          <w:highlight w:val="none"/>
        </w:rPr>
        <w:t>15.</w:t>
      </w:r>
      <w:r>
        <w:rPr>
          <w:rFonts w:hint="eastAsia" w:ascii="宋体" w:hAnsi="宋体"/>
          <w:b/>
          <w:highlight w:val="none"/>
        </w:rPr>
        <w:t>迟延交货</w:t>
      </w:r>
    </w:p>
    <w:p w14:paraId="6AFBFF40">
      <w:pPr>
        <w:spacing w:line="360" w:lineRule="auto"/>
        <w:ind w:firstLine="480"/>
        <w:rPr>
          <w:rFonts w:ascii="宋体"/>
          <w:highlight w:val="none"/>
        </w:rPr>
      </w:pPr>
      <w:r>
        <w:rPr>
          <w:rFonts w:ascii="宋体" w:hAnsi="宋体"/>
          <w:highlight w:val="none"/>
        </w:rPr>
        <w:t xml:space="preserve">15.1 </w:t>
      </w:r>
      <w:r>
        <w:rPr>
          <w:rFonts w:hint="eastAsia" w:ascii="宋体" w:hAnsi="宋体"/>
          <w:highlight w:val="none"/>
        </w:rPr>
        <w:t>乙方应按照合同约定的时间交货和提供服务。</w:t>
      </w:r>
    </w:p>
    <w:p w14:paraId="0B3E521D">
      <w:pPr>
        <w:spacing w:line="360" w:lineRule="auto"/>
        <w:ind w:firstLine="480"/>
        <w:rPr>
          <w:rFonts w:ascii="宋体"/>
          <w:highlight w:val="none"/>
        </w:rPr>
      </w:pPr>
      <w:r>
        <w:rPr>
          <w:rFonts w:ascii="宋体" w:hAnsi="宋体"/>
          <w:highlight w:val="none"/>
        </w:rPr>
        <w:t xml:space="preserve">15.2 </w:t>
      </w:r>
      <w:r>
        <w:rPr>
          <w:rFonts w:hint="eastAsia" w:ascii="宋体" w:hAnsi="宋体"/>
          <w:highlight w:val="none"/>
        </w:rPr>
        <w:t>除不可抗力因素外，乙方迟延交货，甲方有权提出违约损失赔偿或解除合同。</w:t>
      </w:r>
    </w:p>
    <w:p w14:paraId="459A13E5">
      <w:pPr>
        <w:spacing w:line="360" w:lineRule="auto"/>
        <w:ind w:firstLine="480"/>
        <w:rPr>
          <w:rFonts w:ascii="宋体"/>
          <w:highlight w:val="none"/>
        </w:rPr>
      </w:pPr>
      <w:r>
        <w:rPr>
          <w:rFonts w:ascii="宋体" w:hAnsi="宋体"/>
          <w:highlight w:val="none"/>
        </w:rPr>
        <w:t>15.3</w:t>
      </w:r>
      <w:r>
        <w:rPr>
          <w:rFonts w:hint="eastAsia" w:ascii="宋体" w:hAnsi="宋体"/>
          <w:highlight w:val="none"/>
        </w:rPr>
        <w:t>在履行合同过程中，乙方遇到不能按时交货和提供服务的情况，应及时以书面形式将不能按时交货的理由、预期延误时间通知甲方。甲方收到乙方通知后，认为其理由正当的，可酌情延长交货时间。</w:t>
      </w:r>
    </w:p>
    <w:p w14:paraId="37592BD4">
      <w:pPr>
        <w:spacing w:line="360" w:lineRule="auto"/>
        <w:ind w:firstLine="482"/>
        <w:rPr>
          <w:rFonts w:ascii="宋体"/>
          <w:b/>
          <w:highlight w:val="none"/>
        </w:rPr>
      </w:pPr>
      <w:r>
        <w:rPr>
          <w:rFonts w:ascii="宋体" w:hAnsi="宋体"/>
          <w:b/>
          <w:highlight w:val="none"/>
        </w:rPr>
        <w:t>16.</w:t>
      </w:r>
      <w:r>
        <w:rPr>
          <w:rFonts w:hint="eastAsia" w:ascii="宋体" w:hAnsi="宋体"/>
          <w:b/>
          <w:highlight w:val="none"/>
        </w:rPr>
        <w:t>违约赔偿</w:t>
      </w:r>
    </w:p>
    <w:p w14:paraId="73FA1036">
      <w:pPr>
        <w:spacing w:line="360" w:lineRule="auto"/>
        <w:ind w:firstLine="480"/>
        <w:rPr>
          <w:rFonts w:ascii="宋体"/>
          <w:highlight w:val="none"/>
        </w:rPr>
      </w:pPr>
      <w:r>
        <w:rPr>
          <w:rFonts w:hint="eastAsia" w:ascii="宋体" w:hAnsi="宋体"/>
          <w:highlight w:val="none"/>
        </w:rPr>
        <w:t>除不可抗力因素外，乙方没有按照合同规定的时间交货和提供服务，甲方可要求乙方支付违约金。违约金每日按合同总价款的千分之五计收。</w:t>
      </w:r>
    </w:p>
    <w:p w14:paraId="021BEFCF">
      <w:pPr>
        <w:spacing w:line="360" w:lineRule="auto"/>
        <w:ind w:firstLine="482"/>
        <w:rPr>
          <w:rFonts w:ascii="宋体"/>
          <w:b/>
          <w:highlight w:val="none"/>
        </w:rPr>
      </w:pPr>
      <w:r>
        <w:rPr>
          <w:rFonts w:ascii="宋体" w:hAnsi="宋体"/>
          <w:b/>
          <w:highlight w:val="none"/>
        </w:rPr>
        <w:t>17.</w:t>
      </w:r>
      <w:r>
        <w:rPr>
          <w:rFonts w:hint="eastAsia" w:ascii="宋体" w:hAnsi="宋体"/>
          <w:b/>
          <w:highlight w:val="none"/>
        </w:rPr>
        <w:t>不可抗力</w:t>
      </w:r>
    </w:p>
    <w:p w14:paraId="0BECF373">
      <w:pPr>
        <w:spacing w:line="360" w:lineRule="auto"/>
        <w:ind w:firstLine="480"/>
        <w:rPr>
          <w:rFonts w:ascii="宋体"/>
          <w:highlight w:val="none"/>
        </w:rPr>
      </w:pPr>
      <w:r>
        <w:rPr>
          <w:rFonts w:ascii="宋体" w:hAnsi="宋体"/>
          <w:highlight w:val="none"/>
        </w:rPr>
        <w:t>17.1.</w:t>
      </w:r>
      <w:r>
        <w:rPr>
          <w:rFonts w:hint="eastAsia" w:ascii="宋体" w:hAnsi="宋体"/>
          <w:highlight w:val="none"/>
        </w:rPr>
        <w:t>双方中任何一方遭遇法律规定的不可抗力，致使合同履行受阻时，履行合同的期限应予延长，延长的期限应相当于不可抗力所影响的时间。</w:t>
      </w:r>
    </w:p>
    <w:p w14:paraId="44D24C59">
      <w:pPr>
        <w:spacing w:line="360" w:lineRule="auto"/>
        <w:ind w:firstLine="480"/>
        <w:rPr>
          <w:rFonts w:ascii="宋体"/>
          <w:highlight w:val="none"/>
        </w:rPr>
      </w:pPr>
      <w:r>
        <w:rPr>
          <w:rFonts w:ascii="宋体" w:hAnsi="宋体"/>
          <w:highlight w:val="none"/>
        </w:rPr>
        <w:t>17.2</w:t>
      </w:r>
      <w:r>
        <w:rPr>
          <w:rFonts w:hint="eastAsia" w:ascii="宋体" w:hAnsi="宋体"/>
          <w:highlight w:val="none"/>
        </w:rPr>
        <w:t>受事故影响的一方应在不可抗力的事故发生后以书面形式通知另一方。</w:t>
      </w:r>
    </w:p>
    <w:p w14:paraId="6423A29B">
      <w:pPr>
        <w:spacing w:line="360" w:lineRule="auto"/>
        <w:ind w:firstLine="480"/>
        <w:rPr>
          <w:rFonts w:ascii="宋体"/>
          <w:highlight w:val="none"/>
        </w:rPr>
      </w:pPr>
      <w:r>
        <w:rPr>
          <w:rFonts w:ascii="宋体" w:hAnsi="宋体"/>
          <w:highlight w:val="none"/>
        </w:rPr>
        <w:t>17.3</w:t>
      </w:r>
      <w:r>
        <w:rPr>
          <w:rFonts w:hint="eastAsia" w:ascii="宋体" w:hAnsi="宋体"/>
          <w:highlight w:val="none"/>
        </w:rPr>
        <w:t>不可抗力使合同的某些内容有变更必要的，</w:t>
      </w:r>
      <w:r>
        <w:rPr>
          <w:rFonts w:ascii="宋体" w:hAnsi="宋体"/>
          <w:highlight w:val="none"/>
        </w:rPr>
        <w:t xml:space="preserve"> </w:t>
      </w:r>
      <w:r>
        <w:rPr>
          <w:rFonts w:hint="eastAsia" w:ascii="宋体" w:hAnsi="宋体"/>
          <w:highlight w:val="none"/>
        </w:rPr>
        <w:t>双方应通过协商达成进一步履行合同的协议，因不可抗力致使合同不能履行的，合同终止。</w:t>
      </w:r>
    </w:p>
    <w:p w14:paraId="6928F458">
      <w:pPr>
        <w:spacing w:line="360" w:lineRule="auto"/>
        <w:ind w:firstLine="482"/>
        <w:rPr>
          <w:rFonts w:ascii="宋体"/>
          <w:b/>
          <w:highlight w:val="none"/>
        </w:rPr>
      </w:pPr>
      <w:r>
        <w:rPr>
          <w:rFonts w:ascii="宋体" w:hAnsi="宋体"/>
          <w:b/>
          <w:highlight w:val="none"/>
        </w:rPr>
        <w:t>18.</w:t>
      </w:r>
      <w:r>
        <w:rPr>
          <w:rFonts w:hint="eastAsia" w:ascii="宋体" w:hAnsi="宋体"/>
          <w:b/>
          <w:highlight w:val="none"/>
        </w:rPr>
        <w:t>税费</w:t>
      </w:r>
    </w:p>
    <w:p w14:paraId="0D1F86B6">
      <w:pPr>
        <w:spacing w:line="360" w:lineRule="auto"/>
        <w:ind w:firstLine="480"/>
        <w:rPr>
          <w:rFonts w:ascii="宋体"/>
          <w:highlight w:val="none"/>
        </w:rPr>
      </w:pPr>
      <w:r>
        <w:rPr>
          <w:rFonts w:hint="eastAsia" w:ascii="宋体" w:hAnsi="宋体"/>
          <w:highlight w:val="none"/>
        </w:rPr>
        <w:t>与本合同有关的一切税费均由乙方承担。</w:t>
      </w:r>
    </w:p>
    <w:p w14:paraId="2FEB5C1A">
      <w:pPr>
        <w:spacing w:line="360" w:lineRule="auto"/>
        <w:ind w:firstLine="482"/>
        <w:rPr>
          <w:rFonts w:ascii="宋体"/>
          <w:b/>
          <w:highlight w:val="none"/>
        </w:rPr>
      </w:pPr>
      <w:r>
        <w:rPr>
          <w:rFonts w:ascii="宋体" w:hAnsi="宋体"/>
          <w:b/>
          <w:highlight w:val="none"/>
        </w:rPr>
        <w:t>19.</w:t>
      </w:r>
      <w:r>
        <w:rPr>
          <w:rFonts w:hint="eastAsia" w:ascii="宋体" w:hAnsi="宋体"/>
          <w:b/>
          <w:highlight w:val="none"/>
        </w:rPr>
        <w:t>合同争议的解决</w:t>
      </w:r>
    </w:p>
    <w:p w14:paraId="2DE99895">
      <w:pPr>
        <w:spacing w:line="360" w:lineRule="auto"/>
        <w:ind w:firstLine="480"/>
        <w:rPr>
          <w:rFonts w:ascii="宋体"/>
          <w:highlight w:val="none"/>
        </w:rPr>
      </w:pPr>
      <w:r>
        <w:rPr>
          <w:rFonts w:ascii="宋体" w:hAnsi="宋体"/>
          <w:highlight w:val="none"/>
        </w:rPr>
        <w:t>19.1</w:t>
      </w:r>
      <w:r>
        <w:rPr>
          <w:rFonts w:hint="eastAsia" w:ascii="宋体" w:hAnsi="宋体"/>
          <w:highlight w:val="none"/>
        </w:rPr>
        <w:t>甲方和乙方由于本合同的履行而发生任何争议时，双方可先通过协商解决。</w:t>
      </w:r>
    </w:p>
    <w:p w14:paraId="3B3F7081">
      <w:pPr>
        <w:spacing w:line="360" w:lineRule="auto"/>
        <w:ind w:firstLine="480"/>
        <w:rPr>
          <w:rFonts w:ascii="宋体"/>
          <w:highlight w:val="none"/>
        </w:rPr>
      </w:pPr>
      <w:r>
        <w:rPr>
          <w:rFonts w:ascii="宋体" w:hAnsi="宋体"/>
          <w:highlight w:val="none"/>
        </w:rPr>
        <w:t>19.2</w:t>
      </w:r>
      <w:r>
        <w:rPr>
          <w:rFonts w:hint="eastAsia" w:ascii="宋体" w:hAnsi="宋体"/>
          <w:highlight w:val="none"/>
        </w:rPr>
        <w:t>任何一方不愿通过协商或通过协商仍不能解决争议，则双方中任何一方均应向甲方所在地人民法院起诉。</w:t>
      </w:r>
    </w:p>
    <w:p w14:paraId="378635C4">
      <w:pPr>
        <w:spacing w:line="360" w:lineRule="auto"/>
        <w:ind w:firstLine="482"/>
        <w:rPr>
          <w:rFonts w:ascii="宋体"/>
          <w:b/>
          <w:highlight w:val="none"/>
        </w:rPr>
      </w:pPr>
      <w:r>
        <w:rPr>
          <w:rFonts w:ascii="宋体" w:hAnsi="宋体"/>
          <w:b/>
          <w:highlight w:val="none"/>
        </w:rPr>
        <w:t>20.</w:t>
      </w:r>
      <w:r>
        <w:rPr>
          <w:rFonts w:hint="eastAsia" w:ascii="宋体" w:hAnsi="宋体"/>
          <w:b/>
          <w:highlight w:val="none"/>
        </w:rPr>
        <w:t>违约解除合同</w:t>
      </w:r>
    </w:p>
    <w:p w14:paraId="5A47647E">
      <w:pPr>
        <w:spacing w:line="360" w:lineRule="auto"/>
        <w:ind w:firstLine="480"/>
        <w:rPr>
          <w:rFonts w:ascii="宋体"/>
          <w:highlight w:val="none"/>
        </w:rPr>
      </w:pPr>
      <w:r>
        <w:rPr>
          <w:rFonts w:ascii="宋体" w:hAnsi="宋体"/>
          <w:highlight w:val="none"/>
        </w:rPr>
        <w:t>20.1</w:t>
      </w:r>
      <w:r>
        <w:rPr>
          <w:rFonts w:hint="eastAsia" w:ascii="宋体" w:hAnsi="宋体"/>
          <w:highlight w:val="none"/>
        </w:rPr>
        <w:t>出现下列情形之一的，视为乙方违约。甲方可向乙方发出书面通知，部分或全部终止合同，同时保留向乙方索赔的权利。</w:t>
      </w:r>
    </w:p>
    <w:p w14:paraId="6ED6279B">
      <w:pPr>
        <w:spacing w:line="360" w:lineRule="auto"/>
        <w:ind w:firstLine="480"/>
        <w:rPr>
          <w:rFonts w:ascii="宋体"/>
          <w:highlight w:val="none"/>
        </w:rPr>
      </w:pPr>
      <w:r>
        <w:rPr>
          <w:rFonts w:ascii="宋体" w:hAnsi="宋体"/>
          <w:highlight w:val="none"/>
        </w:rPr>
        <w:t>20.1.1</w:t>
      </w:r>
      <w:r>
        <w:rPr>
          <w:rFonts w:hint="eastAsia" w:ascii="宋体" w:hAnsi="宋体"/>
          <w:highlight w:val="none"/>
        </w:rPr>
        <w:t>乙方未能在合同规定的限期或甲方同意延长的限期内，提供全部或部分货物的；</w:t>
      </w:r>
      <w:r>
        <w:rPr>
          <w:rFonts w:ascii="宋体" w:hAnsi="宋体"/>
          <w:highlight w:val="none"/>
        </w:rPr>
        <w:t xml:space="preserve"> </w:t>
      </w:r>
    </w:p>
    <w:p w14:paraId="745E6D1B">
      <w:pPr>
        <w:spacing w:line="360" w:lineRule="auto"/>
        <w:ind w:firstLine="480"/>
        <w:rPr>
          <w:rFonts w:ascii="宋体"/>
          <w:highlight w:val="none"/>
        </w:rPr>
      </w:pPr>
      <w:r>
        <w:rPr>
          <w:rFonts w:ascii="宋体" w:hAnsi="宋体"/>
          <w:highlight w:val="none"/>
        </w:rPr>
        <w:t>20.1.2</w:t>
      </w:r>
      <w:r>
        <w:rPr>
          <w:rFonts w:hint="eastAsia" w:ascii="宋体" w:hAnsi="宋体"/>
          <w:highlight w:val="none"/>
        </w:rPr>
        <w:t>乙方未能履行合同规定的其它主要义务的；</w:t>
      </w:r>
    </w:p>
    <w:p w14:paraId="4B6EB20C">
      <w:pPr>
        <w:spacing w:line="360" w:lineRule="auto"/>
        <w:ind w:firstLine="480"/>
        <w:rPr>
          <w:rFonts w:ascii="宋体"/>
          <w:highlight w:val="none"/>
        </w:rPr>
      </w:pPr>
      <w:r>
        <w:rPr>
          <w:rFonts w:ascii="宋体" w:hAnsi="宋体"/>
          <w:highlight w:val="none"/>
        </w:rPr>
        <w:t>20.1.3</w:t>
      </w:r>
      <w:r>
        <w:rPr>
          <w:rFonts w:hint="eastAsia" w:ascii="宋体" w:hAnsi="宋体"/>
          <w:highlight w:val="none"/>
        </w:rPr>
        <w:t>乙方在本合同履行过程中有欺诈行为的。</w:t>
      </w:r>
    </w:p>
    <w:p w14:paraId="47DC8DAD">
      <w:pPr>
        <w:spacing w:line="360" w:lineRule="auto"/>
        <w:ind w:firstLine="480"/>
        <w:rPr>
          <w:rFonts w:ascii="宋体"/>
          <w:highlight w:val="none"/>
        </w:rPr>
      </w:pPr>
      <w:r>
        <w:rPr>
          <w:rFonts w:ascii="宋体" w:hAnsi="宋体"/>
          <w:highlight w:val="none"/>
        </w:rPr>
        <w:t>20.2</w:t>
      </w:r>
      <w:r>
        <w:rPr>
          <w:rFonts w:hint="eastAsia" w:ascii="宋体" w:hAnsi="宋体"/>
          <w:highlight w:val="none"/>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2D7D7483">
      <w:pPr>
        <w:spacing w:line="360" w:lineRule="auto"/>
        <w:ind w:firstLine="482"/>
        <w:rPr>
          <w:rFonts w:ascii="宋体"/>
          <w:b/>
          <w:highlight w:val="none"/>
        </w:rPr>
      </w:pPr>
      <w:r>
        <w:rPr>
          <w:rFonts w:ascii="宋体" w:hAnsi="宋体"/>
          <w:b/>
          <w:highlight w:val="none"/>
        </w:rPr>
        <w:t>21.</w:t>
      </w:r>
      <w:r>
        <w:rPr>
          <w:rFonts w:hint="eastAsia" w:ascii="宋体" w:hAnsi="宋体"/>
          <w:b/>
          <w:highlight w:val="none"/>
        </w:rPr>
        <w:t>破产终止合同</w:t>
      </w:r>
    </w:p>
    <w:p w14:paraId="04EE3D92">
      <w:pPr>
        <w:spacing w:line="360" w:lineRule="auto"/>
        <w:ind w:firstLine="480"/>
        <w:rPr>
          <w:rFonts w:ascii="宋体"/>
          <w:highlight w:val="none"/>
        </w:rPr>
      </w:pPr>
      <w:r>
        <w:rPr>
          <w:rFonts w:hint="eastAsia" w:ascii="宋体" w:hAnsi="宋体"/>
          <w:highlight w:val="none"/>
        </w:rPr>
        <w:t>乙方破产而无法完全履行本合同义务时，甲方可以书面方式通知乙方终止合同而不给予乙方补偿。该合同的终止将不损害或不影响甲方已经采取或将要采取任何行动或补救措施的权利。</w:t>
      </w:r>
    </w:p>
    <w:p w14:paraId="3267387B">
      <w:pPr>
        <w:spacing w:line="360" w:lineRule="auto"/>
        <w:ind w:firstLine="482"/>
        <w:rPr>
          <w:rFonts w:ascii="宋体"/>
          <w:b/>
          <w:highlight w:val="none"/>
        </w:rPr>
      </w:pPr>
      <w:r>
        <w:rPr>
          <w:rFonts w:ascii="宋体" w:hAnsi="宋体"/>
          <w:b/>
          <w:highlight w:val="none"/>
        </w:rPr>
        <w:t>22.</w:t>
      </w:r>
      <w:r>
        <w:rPr>
          <w:rFonts w:hint="eastAsia" w:ascii="宋体" w:hAnsi="宋体"/>
          <w:b/>
          <w:highlight w:val="none"/>
        </w:rPr>
        <w:t>转让和分包</w:t>
      </w:r>
    </w:p>
    <w:p w14:paraId="5BE31C62">
      <w:pPr>
        <w:spacing w:line="360" w:lineRule="auto"/>
        <w:ind w:firstLine="480"/>
        <w:rPr>
          <w:rFonts w:ascii="宋体"/>
          <w:highlight w:val="none"/>
        </w:rPr>
      </w:pPr>
      <w:r>
        <w:rPr>
          <w:rFonts w:ascii="宋体" w:hAnsi="宋体"/>
          <w:highlight w:val="none"/>
        </w:rPr>
        <w:t>22.1</w:t>
      </w:r>
      <w:r>
        <w:rPr>
          <w:rFonts w:hint="eastAsia" w:ascii="宋体" w:hAnsi="宋体"/>
          <w:highlight w:val="none"/>
        </w:rPr>
        <w:t>政府采购合同不能转让。</w:t>
      </w:r>
    </w:p>
    <w:p w14:paraId="03EC2B22">
      <w:pPr>
        <w:spacing w:line="360" w:lineRule="auto"/>
        <w:ind w:firstLine="480"/>
        <w:rPr>
          <w:rFonts w:ascii="宋体"/>
          <w:highlight w:val="none"/>
        </w:rPr>
      </w:pPr>
      <w:r>
        <w:rPr>
          <w:rFonts w:ascii="宋体" w:hAnsi="宋体"/>
          <w:highlight w:val="none"/>
        </w:rPr>
        <w:t>22.2</w:t>
      </w:r>
      <w:r>
        <w:rPr>
          <w:rFonts w:hint="eastAsia" w:ascii="宋体" w:hAnsi="宋体"/>
          <w:highlight w:val="none"/>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64B34185">
      <w:pPr>
        <w:spacing w:line="360" w:lineRule="auto"/>
        <w:ind w:firstLine="482"/>
        <w:rPr>
          <w:rFonts w:ascii="宋体"/>
          <w:b/>
          <w:highlight w:val="none"/>
        </w:rPr>
      </w:pPr>
      <w:r>
        <w:rPr>
          <w:rFonts w:ascii="宋体" w:hAnsi="宋体"/>
          <w:b/>
          <w:highlight w:val="none"/>
        </w:rPr>
        <w:t>23.</w:t>
      </w:r>
      <w:r>
        <w:rPr>
          <w:rFonts w:hint="eastAsia" w:ascii="宋体" w:hAnsi="宋体"/>
          <w:b/>
          <w:highlight w:val="none"/>
          <w:u w:color="FF0000"/>
        </w:rPr>
        <w:t>合同修改</w:t>
      </w:r>
    </w:p>
    <w:p w14:paraId="3B78A824">
      <w:pPr>
        <w:spacing w:line="360" w:lineRule="auto"/>
        <w:ind w:firstLine="480"/>
        <w:rPr>
          <w:rFonts w:ascii="宋体"/>
          <w:highlight w:val="none"/>
        </w:rPr>
      </w:pPr>
      <w:r>
        <w:rPr>
          <w:rFonts w:hint="eastAsia" w:ascii="宋体" w:hAnsi="宋体"/>
          <w:highlight w:val="none"/>
        </w:rPr>
        <w:t>甲方和乙方都不得擅自变更本合同，但合同继续履行将损害国家和社会公共利益的除外。如必须对合同条款进行改动时，当事人双方须共同签署书面文件，做为合同的补充。</w:t>
      </w:r>
    </w:p>
    <w:p w14:paraId="0131CEB1">
      <w:pPr>
        <w:spacing w:line="360" w:lineRule="auto"/>
        <w:ind w:firstLine="482"/>
        <w:rPr>
          <w:rFonts w:ascii="宋体"/>
          <w:b/>
          <w:highlight w:val="none"/>
        </w:rPr>
      </w:pPr>
      <w:r>
        <w:rPr>
          <w:rFonts w:ascii="宋体" w:hAnsi="宋体"/>
          <w:b/>
          <w:highlight w:val="none"/>
        </w:rPr>
        <w:t>24.</w:t>
      </w:r>
      <w:r>
        <w:rPr>
          <w:rFonts w:hint="eastAsia" w:ascii="宋体" w:hAnsi="宋体"/>
          <w:b/>
          <w:highlight w:val="none"/>
        </w:rPr>
        <w:t>通知</w:t>
      </w:r>
    </w:p>
    <w:p w14:paraId="5EE932F0">
      <w:pPr>
        <w:spacing w:line="360" w:lineRule="auto"/>
        <w:ind w:firstLine="480"/>
        <w:rPr>
          <w:rFonts w:ascii="宋体"/>
          <w:highlight w:val="none"/>
        </w:rPr>
      </w:pPr>
      <w:r>
        <w:rPr>
          <w:rFonts w:hint="eastAsia" w:ascii="宋体" w:hAnsi="宋体"/>
          <w:highlight w:val="none"/>
        </w:rPr>
        <w:t>本合同任何一方给另一方的通知，都应以书面形式发送，而另一方也应以书面形式确认并发送到对方明确的地址。</w:t>
      </w:r>
    </w:p>
    <w:p w14:paraId="417D1437">
      <w:pPr>
        <w:spacing w:line="360" w:lineRule="auto"/>
        <w:ind w:firstLine="482"/>
        <w:rPr>
          <w:rFonts w:ascii="宋体"/>
          <w:b/>
          <w:highlight w:val="none"/>
        </w:rPr>
      </w:pPr>
      <w:r>
        <w:rPr>
          <w:rFonts w:ascii="宋体" w:hAnsi="宋体"/>
          <w:b/>
          <w:highlight w:val="none"/>
        </w:rPr>
        <w:t>25.</w:t>
      </w:r>
      <w:r>
        <w:rPr>
          <w:rFonts w:hint="eastAsia" w:ascii="宋体" w:hAnsi="宋体"/>
          <w:b/>
          <w:highlight w:val="none"/>
        </w:rPr>
        <w:t>计量单位</w:t>
      </w:r>
    </w:p>
    <w:p w14:paraId="2B98C2CC">
      <w:pPr>
        <w:spacing w:line="360" w:lineRule="auto"/>
        <w:ind w:firstLine="480"/>
        <w:rPr>
          <w:rFonts w:ascii="宋体"/>
          <w:highlight w:val="none"/>
        </w:rPr>
      </w:pPr>
      <w:r>
        <w:rPr>
          <w:rFonts w:hint="eastAsia" w:ascii="宋体" w:hAnsi="宋体"/>
          <w:highlight w:val="none"/>
        </w:rPr>
        <w:t>除技术规范中另有规定外</w:t>
      </w:r>
      <w:r>
        <w:rPr>
          <w:rFonts w:ascii="宋体"/>
          <w:highlight w:val="none"/>
        </w:rPr>
        <w:t>,</w:t>
      </w:r>
      <w:r>
        <w:rPr>
          <w:rFonts w:hint="eastAsia" w:ascii="宋体" w:hAnsi="宋体"/>
          <w:highlight w:val="none"/>
        </w:rPr>
        <w:t>计量单位均使用国家法定计量单位。</w:t>
      </w:r>
    </w:p>
    <w:p w14:paraId="2A210C7F">
      <w:pPr>
        <w:spacing w:line="360" w:lineRule="auto"/>
        <w:ind w:firstLine="482"/>
        <w:rPr>
          <w:rFonts w:ascii="宋体"/>
          <w:b/>
          <w:highlight w:val="none"/>
        </w:rPr>
      </w:pPr>
      <w:r>
        <w:rPr>
          <w:rFonts w:ascii="宋体" w:hAnsi="宋体"/>
          <w:b/>
          <w:highlight w:val="none"/>
        </w:rPr>
        <w:t>26.</w:t>
      </w:r>
      <w:r>
        <w:rPr>
          <w:rFonts w:hint="eastAsia" w:ascii="宋体" w:hAnsi="宋体"/>
          <w:b/>
          <w:highlight w:val="none"/>
        </w:rPr>
        <w:t>适用法律</w:t>
      </w:r>
    </w:p>
    <w:p w14:paraId="0EED116E">
      <w:pPr>
        <w:spacing w:line="360" w:lineRule="auto"/>
        <w:ind w:firstLine="480"/>
        <w:rPr>
          <w:rFonts w:ascii="宋体"/>
          <w:highlight w:val="none"/>
        </w:rPr>
      </w:pPr>
      <w:r>
        <w:rPr>
          <w:rFonts w:hint="eastAsia" w:ascii="宋体" w:hAnsi="宋体"/>
          <w:highlight w:val="none"/>
        </w:rPr>
        <w:t>本合同按照中华人民共和国的相关法律进行解释。</w:t>
      </w:r>
    </w:p>
    <w:p w14:paraId="1CB1A315">
      <w:pPr>
        <w:keepNext/>
        <w:keepLines/>
        <w:widowControl/>
        <w:snapToGrid w:val="0"/>
        <w:spacing w:line="400" w:lineRule="atLeast"/>
        <w:ind w:firstLine="1270" w:firstLineChars="605"/>
        <w:outlineLvl w:val="9"/>
        <w:rPr>
          <w:rFonts w:ascii="宋体"/>
          <w:b/>
          <w:kern w:val="28"/>
          <w:sz w:val="36"/>
          <w:szCs w:val="20"/>
          <w:highlight w:val="none"/>
        </w:rPr>
      </w:pPr>
      <w:r>
        <w:rPr>
          <w:rFonts w:ascii="宋体"/>
          <w:highlight w:val="none"/>
        </w:rPr>
        <w:br w:type="page"/>
      </w:r>
    </w:p>
    <w:p w14:paraId="6F57C182">
      <w:pPr>
        <w:keepNext/>
        <w:keepLines/>
        <w:widowControl/>
        <w:snapToGrid w:val="0"/>
        <w:spacing w:line="400" w:lineRule="atLeast"/>
        <w:jc w:val="center"/>
        <w:outlineLvl w:val="0"/>
        <w:rPr>
          <w:rFonts w:ascii="宋体"/>
          <w:b/>
          <w:kern w:val="28"/>
          <w:sz w:val="36"/>
          <w:szCs w:val="20"/>
          <w:highlight w:val="none"/>
        </w:rPr>
      </w:pPr>
      <w:bookmarkStart w:id="168" w:name="_Toc496626233"/>
      <w:bookmarkStart w:id="169" w:name="_Toc31547"/>
      <w:bookmarkStart w:id="170" w:name="_Toc496004028"/>
      <w:r>
        <w:rPr>
          <w:rFonts w:hint="eastAsia" w:ascii="宋体"/>
          <w:b/>
          <w:kern w:val="28"/>
          <w:sz w:val="36"/>
          <w:szCs w:val="20"/>
          <w:highlight w:val="none"/>
        </w:rPr>
        <w:t>第四部分</w:t>
      </w:r>
      <w:r>
        <w:rPr>
          <w:rFonts w:ascii="宋体"/>
          <w:b/>
          <w:kern w:val="28"/>
          <w:sz w:val="36"/>
          <w:szCs w:val="20"/>
          <w:highlight w:val="none"/>
        </w:rPr>
        <w:t xml:space="preserve">  </w:t>
      </w:r>
      <w:r>
        <w:rPr>
          <w:rFonts w:hint="eastAsia" w:ascii="宋体"/>
          <w:b/>
          <w:kern w:val="28"/>
          <w:sz w:val="36"/>
          <w:szCs w:val="20"/>
          <w:highlight w:val="none"/>
        </w:rPr>
        <w:t>磋商响应文件格式</w:t>
      </w:r>
      <w:bookmarkEnd w:id="168"/>
      <w:bookmarkEnd w:id="169"/>
      <w:bookmarkEnd w:id="170"/>
    </w:p>
    <w:p w14:paraId="6A33F990">
      <w:pPr>
        <w:keepNext/>
        <w:keepLines/>
        <w:widowControl/>
        <w:snapToGrid w:val="0"/>
        <w:spacing w:line="400" w:lineRule="atLeast"/>
        <w:outlineLvl w:val="9"/>
        <w:rPr>
          <w:rFonts w:ascii="宋体"/>
          <w:b/>
          <w:kern w:val="28"/>
          <w:sz w:val="36"/>
          <w:szCs w:val="20"/>
          <w:highlight w:val="none"/>
        </w:rPr>
      </w:pPr>
    </w:p>
    <w:p w14:paraId="2F753C80">
      <w:pPr>
        <w:keepNext/>
        <w:keepLines/>
        <w:widowControl/>
        <w:snapToGrid w:val="0"/>
        <w:spacing w:line="400" w:lineRule="atLeast"/>
        <w:jc w:val="center"/>
        <w:outlineLvl w:val="0"/>
        <w:rPr>
          <w:rFonts w:ascii="宋体"/>
          <w:b/>
          <w:kern w:val="28"/>
          <w:sz w:val="36"/>
          <w:szCs w:val="20"/>
          <w:highlight w:val="none"/>
        </w:rPr>
      </w:pPr>
      <w:bookmarkStart w:id="171" w:name="_Toc496626234"/>
      <w:bookmarkStart w:id="172" w:name="_Toc29623"/>
      <w:bookmarkStart w:id="173" w:name="_Toc496004029"/>
      <w:r>
        <w:rPr>
          <w:rFonts w:hint="eastAsia" w:ascii="宋体"/>
          <w:b/>
          <w:kern w:val="28"/>
          <w:sz w:val="36"/>
          <w:szCs w:val="20"/>
          <w:highlight w:val="none"/>
        </w:rPr>
        <w:t>磋商响应文件的组成</w:t>
      </w:r>
      <w:bookmarkEnd w:id="171"/>
      <w:bookmarkEnd w:id="172"/>
      <w:bookmarkEnd w:id="173"/>
    </w:p>
    <w:p w14:paraId="5083E7BC">
      <w:pPr>
        <w:spacing w:line="500" w:lineRule="exact"/>
        <w:ind w:firstLine="480"/>
        <w:rPr>
          <w:rFonts w:ascii="宋体"/>
          <w:highlight w:val="none"/>
        </w:rPr>
      </w:pPr>
      <w:r>
        <w:rPr>
          <w:rFonts w:hint="eastAsia" w:ascii="宋体" w:hAnsi="宋体"/>
          <w:highlight w:val="none"/>
        </w:rPr>
        <w:t>（一）资格审查文件</w:t>
      </w:r>
    </w:p>
    <w:p w14:paraId="03D3B4C6">
      <w:pPr>
        <w:spacing w:line="500" w:lineRule="exact"/>
        <w:ind w:firstLine="480"/>
        <w:rPr>
          <w:rFonts w:ascii="宋体"/>
          <w:highlight w:val="none"/>
        </w:rPr>
      </w:pPr>
      <w:r>
        <w:rPr>
          <w:rFonts w:ascii="宋体" w:hAnsi="宋体"/>
          <w:highlight w:val="none"/>
        </w:rPr>
        <w:t>1</w:t>
      </w:r>
      <w:r>
        <w:rPr>
          <w:rFonts w:hint="eastAsia" w:ascii="宋体" w:hAnsi="宋体"/>
          <w:highlight w:val="none"/>
        </w:rPr>
        <w:t>、磋商函……………………………………………………………（附件</w:t>
      </w:r>
      <w:r>
        <w:rPr>
          <w:rFonts w:ascii="宋体" w:hAnsi="宋体"/>
          <w:highlight w:val="none"/>
        </w:rPr>
        <w:t>1</w:t>
      </w:r>
      <w:r>
        <w:rPr>
          <w:rFonts w:hint="eastAsia" w:ascii="宋体" w:hAnsi="宋体"/>
          <w:highlight w:val="none"/>
        </w:rPr>
        <w:t>）</w:t>
      </w:r>
    </w:p>
    <w:p w14:paraId="0C3F4E50">
      <w:pPr>
        <w:spacing w:line="500" w:lineRule="exact"/>
        <w:ind w:firstLine="480"/>
        <w:rPr>
          <w:rFonts w:ascii="宋体"/>
          <w:highlight w:val="none"/>
        </w:rPr>
      </w:pPr>
      <w:r>
        <w:rPr>
          <w:rFonts w:ascii="宋体" w:hAnsi="宋体"/>
          <w:highlight w:val="none"/>
        </w:rPr>
        <w:t>2</w:t>
      </w:r>
      <w:r>
        <w:rPr>
          <w:rFonts w:hint="eastAsia" w:ascii="宋体" w:hAnsi="宋体"/>
          <w:highlight w:val="none"/>
        </w:rPr>
        <w:t>、法定代表人证明书………………………………………………（附件</w:t>
      </w:r>
      <w:r>
        <w:rPr>
          <w:rFonts w:ascii="宋体" w:hAnsi="宋体"/>
          <w:highlight w:val="none"/>
        </w:rPr>
        <w:t>2</w:t>
      </w:r>
      <w:r>
        <w:rPr>
          <w:rFonts w:hint="eastAsia" w:ascii="宋体" w:hAnsi="宋体"/>
          <w:highlight w:val="none"/>
        </w:rPr>
        <w:t>）</w:t>
      </w:r>
    </w:p>
    <w:p w14:paraId="08ED0014">
      <w:pPr>
        <w:spacing w:line="500" w:lineRule="exact"/>
        <w:ind w:firstLine="480"/>
        <w:rPr>
          <w:rFonts w:ascii="宋体"/>
          <w:highlight w:val="none"/>
        </w:rPr>
      </w:pPr>
      <w:r>
        <w:rPr>
          <w:rFonts w:ascii="宋体" w:hAnsi="宋体"/>
          <w:highlight w:val="none"/>
        </w:rPr>
        <w:t>3</w:t>
      </w:r>
      <w:r>
        <w:rPr>
          <w:rFonts w:hint="eastAsia" w:ascii="宋体" w:hAnsi="宋体"/>
          <w:highlight w:val="none"/>
        </w:rPr>
        <w:t>、法定代表人授权书………………………………………………（附件</w:t>
      </w:r>
      <w:r>
        <w:rPr>
          <w:rFonts w:ascii="宋体" w:hAnsi="宋体"/>
          <w:highlight w:val="none"/>
        </w:rPr>
        <w:t>3</w:t>
      </w:r>
      <w:r>
        <w:rPr>
          <w:rFonts w:hint="eastAsia" w:ascii="宋体" w:hAnsi="宋体"/>
          <w:highlight w:val="none"/>
        </w:rPr>
        <w:t>）</w:t>
      </w:r>
    </w:p>
    <w:p w14:paraId="2FEC46A0">
      <w:pPr>
        <w:spacing w:line="500" w:lineRule="exact"/>
        <w:ind w:firstLine="480"/>
        <w:rPr>
          <w:rFonts w:ascii="宋体"/>
          <w:highlight w:val="none"/>
        </w:rPr>
      </w:pPr>
      <w:r>
        <w:rPr>
          <w:rFonts w:ascii="宋体" w:hAnsi="宋体"/>
          <w:highlight w:val="none"/>
        </w:rPr>
        <w:t>4</w:t>
      </w:r>
      <w:r>
        <w:rPr>
          <w:rFonts w:hint="eastAsia" w:ascii="宋体" w:hAnsi="宋体"/>
          <w:highlight w:val="none"/>
        </w:rPr>
        <w:t>、供应商承诺函……………………………………………………（附件</w:t>
      </w:r>
      <w:r>
        <w:rPr>
          <w:rFonts w:ascii="宋体" w:hAnsi="宋体"/>
          <w:highlight w:val="none"/>
        </w:rPr>
        <w:t>4</w:t>
      </w:r>
      <w:r>
        <w:rPr>
          <w:rFonts w:hint="eastAsia" w:ascii="宋体" w:hAnsi="宋体"/>
          <w:highlight w:val="none"/>
        </w:rPr>
        <w:t>）</w:t>
      </w:r>
    </w:p>
    <w:p w14:paraId="5C007631">
      <w:pPr>
        <w:spacing w:line="500" w:lineRule="exact"/>
        <w:ind w:firstLine="480"/>
        <w:rPr>
          <w:rFonts w:ascii="宋体"/>
          <w:highlight w:val="none"/>
        </w:rPr>
      </w:pPr>
      <w:r>
        <w:rPr>
          <w:rFonts w:ascii="宋体" w:hAnsi="宋体"/>
          <w:highlight w:val="none"/>
        </w:rPr>
        <w:t>5</w:t>
      </w:r>
      <w:r>
        <w:rPr>
          <w:rFonts w:hint="eastAsia" w:ascii="宋体" w:hAnsi="宋体"/>
          <w:highlight w:val="none"/>
        </w:rPr>
        <w:t>、供应商诚信承诺书………………………………………………（附件</w:t>
      </w:r>
      <w:r>
        <w:rPr>
          <w:rFonts w:ascii="宋体" w:hAnsi="宋体"/>
          <w:highlight w:val="none"/>
        </w:rPr>
        <w:t>5</w:t>
      </w:r>
      <w:r>
        <w:rPr>
          <w:rFonts w:hint="eastAsia" w:ascii="宋体" w:hAnsi="宋体"/>
          <w:highlight w:val="none"/>
        </w:rPr>
        <w:t>）</w:t>
      </w:r>
    </w:p>
    <w:p w14:paraId="19F2288E">
      <w:pPr>
        <w:spacing w:line="500" w:lineRule="exact"/>
        <w:ind w:firstLine="480"/>
        <w:rPr>
          <w:rFonts w:ascii="宋体"/>
          <w:highlight w:val="none"/>
        </w:rPr>
      </w:pPr>
      <w:r>
        <w:rPr>
          <w:rFonts w:ascii="宋体" w:hAnsi="宋体"/>
          <w:highlight w:val="none"/>
        </w:rPr>
        <w:t>6</w:t>
      </w:r>
      <w:r>
        <w:rPr>
          <w:rFonts w:hint="eastAsia" w:ascii="宋体" w:hAnsi="宋体"/>
          <w:highlight w:val="none"/>
        </w:rPr>
        <w:t>、供应商资格证明文件……………………………………………（附件</w:t>
      </w:r>
      <w:r>
        <w:rPr>
          <w:rFonts w:ascii="宋体" w:hAnsi="宋体"/>
          <w:highlight w:val="none"/>
        </w:rPr>
        <w:t>6</w:t>
      </w:r>
      <w:r>
        <w:rPr>
          <w:rFonts w:hint="eastAsia" w:ascii="宋体" w:hAnsi="宋体"/>
          <w:highlight w:val="none"/>
        </w:rPr>
        <w:t>）</w:t>
      </w:r>
    </w:p>
    <w:p w14:paraId="18B4CB5B">
      <w:pPr>
        <w:spacing w:line="500" w:lineRule="exact"/>
        <w:ind w:firstLine="480"/>
        <w:rPr>
          <w:rFonts w:ascii="宋体"/>
          <w:highlight w:val="none"/>
        </w:rPr>
      </w:pPr>
      <w:r>
        <w:rPr>
          <w:rFonts w:ascii="宋体" w:hAnsi="宋体"/>
          <w:highlight w:val="none"/>
        </w:rPr>
        <w:t>7</w:t>
      </w:r>
      <w:r>
        <w:rPr>
          <w:rFonts w:hint="eastAsia" w:ascii="宋体" w:hAnsi="宋体"/>
          <w:highlight w:val="none"/>
        </w:rPr>
        <w:t>、财务状况、缴纳税收和社会保障资金证明……………………（附件</w:t>
      </w:r>
      <w:r>
        <w:rPr>
          <w:rFonts w:ascii="宋体" w:hAnsi="宋体"/>
          <w:highlight w:val="none"/>
        </w:rPr>
        <w:t>7</w:t>
      </w:r>
      <w:r>
        <w:rPr>
          <w:rFonts w:hint="eastAsia" w:ascii="宋体" w:hAnsi="宋体"/>
          <w:highlight w:val="none"/>
        </w:rPr>
        <w:t>）</w:t>
      </w:r>
    </w:p>
    <w:p w14:paraId="08AC6700">
      <w:pPr>
        <w:spacing w:line="500" w:lineRule="exact"/>
        <w:ind w:firstLine="480"/>
        <w:rPr>
          <w:rFonts w:ascii="宋体" w:hAnsi="宋体"/>
          <w:highlight w:val="none"/>
        </w:rPr>
      </w:pPr>
      <w:r>
        <w:rPr>
          <w:rFonts w:hint="eastAsia" w:ascii="宋体" w:hAnsi="宋体"/>
          <w:highlight w:val="none"/>
        </w:rPr>
        <w:t>8、无重大违法记录声明……………………………………………（附件8）</w:t>
      </w:r>
    </w:p>
    <w:p w14:paraId="239683E4">
      <w:pPr>
        <w:spacing w:line="500" w:lineRule="exact"/>
        <w:ind w:firstLine="480"/>
        <w:rPr>
          <w:rFonts w:ascii="宋体" w:hAnsi="宋体"/>
          <w:highlight w:val="none"/>
        </w:rPr>
      </w:pPr>
      <w:r>
        <w:rPr>
          <w:rFonts w:hint="eastAsia" w:ascii="宋体" w:hAnsi="宋体"/>
          <w:highlight w:val="none"/>
        </w:rPr>
        <w:t>9、具备履行合同所必需的设备和专业技术能力的证明材料……（附件9）</w:t>
      </w:r>
    </w:p>
    <w:p w14:paraId="7AC7AA01">
      <w:pPr>
        <w:spacing w:line="500" w:lineRule="exact"/>
        <w:ind w:firstLine="480"/>
        <w:rPr>
          <w:rFonts w:ascii="宋体" w:hAnsi="宋体"/>
          <w:highlight w:val="none"/>
        </w:rPr>
      </w:pPr>
      <w:r>
        <w:rPr>
          <w:rFonts w:hint="eastAsia" w:ascii="宋体" w:hAnsi="宋体"/>
          <w:highlight w:val="none"/>
        </w:rPr>
        <w:t>（二）符合性审查文件</w:t>
      </w:r>
    </w:p>
    <w:p w14:paraId="439A9DA8">
      <w:pPr>
        <w:spacing w:line="500" w:lineRule="exact"/>
        <w:ind w:firstLine="480"/>
        <w:rPr>
          <w:rFonts w:hint="eastAsia" w:ascii="宋体" w:hAnsi="宋体"/>
          <w:highlight w:val="none"/>
        </w:rPr>
      </w:pPr>
      <w:r>
        <w:rPr>
          <w:rFonts w:ascii="宋体" w:hAnsi="宋体"/>
          <w:highlight w:val="none"/>
        </w:rPr>
        <w:t>1</w:t>
      </w:r>
      <w:r>
        <w:rPr>
          <w:rFonts w:hint="eastAsia" w:ascii="宋体" w:hAnsi="宋体"/>
          <w:highlight w:val="none"/>
        </w:rPr>
        <w:t>、竞争性磋商首次报价表…………………………………………（附件10）</w:t>
      </w:r>
    </w:p>
    <w:p w14:paraId="354526B7">
      <w:pPr>
        <w:spacing w:line="500" w:lineRule="exact"/>
        <w:ind w:firstLine="480"/>
        <w:rPr>
          <w:highlight w:val="none"/>
        </w:rPr>
      </w:pPr>
      <w:r>
        <w:rPr>
          <w:rFonts w:hint="eastAsia"/>
          <w:highlight w:val="none"/>
          <w:lang w:val="en-US" w:eastAsia="zh-CN"/>
        </w:rPr>
        <w:t>2、</w:t>
      </w:r>
      <w:r>
        <w:rPr>
          <w:rFonts w:hint="eastAsia"/>
          <w:highlight w:val="none"/>
        </w:rPr>
        <w:t>分项报价表</w:t>
      </w:r>
      <w:r>
        <w:rPr>
          <w:rFonts w:hint="eastAsia" w:ascii="宋体" w:hAnsi="宋体"/>
          <w:highlight w:val="none"/>
        </w:rPr>
        <w:t>………………………………………………………（附件1</w:t>
      </w:r>
      <w:r>
        <w:rPr>
          <w:rFonts w:hint="eastAsia" w:ascii="宋体" w:hAnsi="宋体"/>
          <w:highlight w:val="none"/>
          <w:lang w:val="en-US" w:eastAsia="zh-CN"/>
        </w:rPr>
        <w:t>1</w:t>
      </w:r>
      <w:r>
        <w:rPr>
          <w:rFonts w:hint="eastAsia" w:ascii="宋体" w:hAnsi="宋体"/>
          <w:highlight w:val="none"/>
        </w:rPr>
        <w:t>）</w:t>
      </w:r>
    </w:p>
    <w:p w14:paraId="3FE3121F">
      <w:pPr>
        <w:spacing w:line="500" w:lineRule="exact"/>
        <w:ind w:firstLine="480"/>
        <w:rPr>
          <w:rFonts w:ascii="宋体"/>
          <w:highlight w:val="none"/>
        </w:rPr>
      </w:pPr>
      <w:r>
        <w:rPr>
          <w:rFonts w:hint="eastAsia" w:ascii="宋体" w:hAnsi="宋体"/>
          <w:highlight w:val="none"/>
          <w:lang w:val="en-US" w:eastAsia="zh-CN"/>
        </w:rPr>
        <w:t>3</w:t>
      </w:r>
      <w:r>
        <w:rPr>
          <w:rFonts w:hint="eastAsia" w:ascii="宋体" w:hAnsi="宋体"/>
          <w:highlight w:val="none"/>
        </w:rPr>
        <w:t>、服务响应表………………………………………………………（附件</w:t>
      </w:r>
      <w:r>
        <w:rPr>
          <w:rFonts w:ascii="宋体" w:hAnsi="宋体"/>
          <w:highlight w:val="none"/>
        </w:rPr>
        <w:t>1</w:t>
      </w:r>
      <w:r>
        <w:rPr>
          <w:rFonts w:hint="eastAsia" w:ascii="宋体" w:hAnsi="宋体"/>
          <w:highlight w:val="none"/>
          <w:lang w:val="en-US" w:eastAsia="zh-CN"/>
        </w:rPr>
        <w:t>2</w:t>
      </w:r>
      <w:r>
        <w:rPr>
          <w:rFonts w:hint="eastAsia" w:ascii="宋体" w:hAnsi="宋体"/>
          <w:highlight w:val="none"/>
        </w:rPr>
        <w:t>）</w:t>
      </w:r>
    </w:p>
    <w:p w14:paraId="60A1D62F">
      <w:pPr>
        <w:spacing w:line="500" w:lineRule="exact"/>
        <w:ind w:firstLine="480"/>
        <w:rPr>
          <w:rFonts w:ascii="宋体"/>
          <w:highlight w:val="none"/>
        </w:rPr>
      </w:pPr>
      <w:r>
        <w:rPr>
          <w:rFonts w:hint="eastAsia" w:ascii="宋体" w:hAnsi="宋体"/>
          <w:highlight w:val="none"/>
          <w:lang w:val="en-US" w:eastAsia="zh-CN"/>
        </w:rPr>
        <w:t>4</w:t>
      </w:r>
      <w:r>
        <w:rPr>
          <w:rFonts w:hint="eastAsia" w:ascii="宋体" w:hAnsi="宋体"/>
          <w:highlight w:val="none"/>
        </w:rPr>
        <w:t>、其他资格证明材料………………………………………………（附件</w:t>
      </w:r>
      <w:r>
        <w:rPr>
          <w:rFonts w:ascii="宋体" w:hAnsi="宋体"/>
          <w:highlight w:val="none"/>
        </w:rPr>
        <w:t>1</w:t>
      </w:r>
      <w:r>
        <w:rPr>
          <w:rFonts w:hint="eastAsia" w:ascii="宋体" w:hAnsi="宋体"/>
          <w:highlight w:val="none"/>
          <w:lang w:val="en-US" w:eastAsia="zh-CN"/>
        </w:rPr>
        <w:t>3</w:t>
      </w:r>
      <w:r>
        <w:rPr>
          <w:rFonts w:hint="eastAsia" w:ascii="宋体" w:hAnsi="宋体"/>
          <w:highlight w:val="none"/>
        </w:rPr>
        <w:t>）</w:t>
      </w:r>
    </w:p>
    <w:p w14:paraId="02A28274">
      <w:pPr>
        <w:spacing w:line="500" w:lineRule="exact"/>
        <w:ind w:firstLine="480"/>
        <w:rPr>
          <w:rFonts w:ascii="宋体"/>
          <w:highlight w:val="none"/>
        </w:rPr>
      </w:pPr>
      <w:r>
        <w:rPr>
          <w:rFonts w:hint="eastAsia" w:ascii="宋体" w:hAnsi="宋体"/>
          <w:highlight w:val="none"/>
          <w:lang w:val="en-US" w:eastAsia="zh-CN"/>
        </w:rPr>
        <w:t>5</w:t>
      </w:r>
      <w:r>
        <w:rPr>
          <w:rFonts w:hint="eastAsia" w:ascii="宋体" w:hAnsi="宋体"/>
          <w:highlight w:val="none"/>
        </w:rPr>
        <w:t>、服务方案…………………………………………………………（附件</w:t>
      </w:r>
      <w:r>
        <w:rPr>
          <w:rFonts w:ascii="宋体" w:hAnsi="宋体"/>
          <w:highlight w:val="none"/>
        </w:rPr>
        <w:t>1</w:t>
      </w:r>
      <w:r>
        <w:rPr>
          <w:rFonts w:hint="eastAsia" w:ascii="宋体" w:hAnsi="宋体"/>
          <w:highlight w:val="none"/>
          <w:lang w:val="en-US" w:eastAsia="zh-CN"/>
        </w:rPr>
        <w:t>4</w:t>
      </w:r>
      <w:r>
        <w:rPr>
          <w:rFonts w:hint="eastAsia" w:ascii="宋体" w:hAnsi="宋体"/>
          <w:highlight w:val="none"/>
        </w:rPr>
        <w:t>）</w:t>
      </w:r>
    </w:p>
    <w:p w14:paraId="7244EAC7">
      <w:pPr>
        <w:spacing w:line="500" w:lineRule="exact"/>
        <w:ind w:firstLine="480"/>
        <w:rPr>
          <w:rFonts w:ascii="宋体"/>
          <w:highlight w:val="none"/>
        </w:rPr>
      </w:pPr>
      <w:r>
        <w:rPr>
          <w:rFonts w:hint="eastAsia" w:ascii="宋体" w:hAnsi="宋体"/>
          <w:highlight w:val="none"/>
          <w:lang w:val="en-US" w:eastAsia="zh-CN"/>
        </w:rPr>
        <w:t>6</w:t>
      </w:r>
      <w:r>
        <w:rPr>
          <w:rFonts w:hint="eastAsia" w:ascii="宋体" w:hAnsi="宋体"/>
          <w:highlight w:val="none"/>
        </w:rPr>
        <w:t>、供应商类似业绩证明材料………………………………………（附件</w:t>
      </w:r>
      <w:r>
        <w:rPr>
          <w:rFonts w:ascii="宋体" w:hAnsi="宋体"/>
          <w:highlight w:val="none"/>
        </w:rPr>
        <w:t>1</w:t>
      </w:r>
      <w:r>
        <w:rPr>
          <w:rFonts w:hint="eastAsia" w:ascii="宋体" w:hAnsi="宋体"/>
          <w:highlight w:val="none"/>
          <w:lang w:val="en-US" w:eastAsia="zh-CN"/>
        </w:rPr>
        <w:t>5</w:t>
      </w:r>
      <w:r>
        <w:rPr>
          <w:rFonts w:hint="eastAsia" w:ascii="宋体" w:hAnsi="宋体"/>
          <w:highlight w:val="none"/>
        </w:rPr>
        <w:t>）</w:t>
      </w:r>
    </w:p>
    <w:p w14:paraId="0EDD9624">
      <w:pPr>
        <w:spacing w:line="500" w:lineRule="exact"/>
        <w:ind w:firstLine="480"/>
        <w:rPr>
          <w:rFonts w:ascii="宋体"/>
          <w:highlight w:val="none"/>
        </w:rPr>
      </w:pPr>
      <w:r>
        <w:rPr>
          <w:rFonts w:hint="eastAsia" w:ascii="宋体" w:hAnsi="宋体"/>
          <w:highlight w:val="none"/>
          <w:lang w:val="en-US" w:eastAsia="zh-CN"/>
        </w:rPr>
        <w:t>7</w:t>
      </w:r>
      <w:r>
        <w:rPr>
          <w:rFonts w:hint="eastAsia" w:ascii="宋体" w:hAnsi="宋体"/>
          <w:highlight w:val="none"/>
        </w:rPr>
        <w:t>、中小企业声明函…………………………………………………（附件</w:t>
      </w:r>
      <w:r>
        <w:rPr>
          <w:rFonts w:ascii="宋体" w:hAnsi="宋体"/>
          <w:highlight w:val="none"/>
        </w:rPr>
        <w:t>1</w:t>
      </w:r>
      <w:r>
        <w:rPr>
          <w:rFonts w:hint="eastAsia" w:ascii="宋体" w:hAnsi="宋体"/>
          <w:highlight w:val="none"/>
          <w:lang w:val="en-US" w:eastAsia="zh-CN"/>
        </w:rPr>
        <w:t>6</w:t>
      </w:r>
      <w:r>
        <w:rPr>
          <w:rFonts w:hint="eastAsia" w:ascii="宋体" w:hAnsi="宋体"/>
          <w:highlight w:val="none"/>
        </w:rPr>
        <w:t>）</w:t>
      </w:r>
    </w:p>
    <w:p w14:paraId="047397C6">
      <w:pPr>
        <w:spacing w:line="500" w:lineRule="exact"/>
        <w:ind w:firstLine="480"/>
        <w:rPr>
          <w:rFonts w:ascii="宋体"/>
          <w:highlight w:val="none"/>
        </w:rPr>
      </w:pPr>
      <w:r>
        <w:rPr>
          <w:rFonts w:hint="eastAsia" w:ascii="宋体" w:hAnsi="宋体"/>
          <w:highlight w:val="none"/>
          <w:lang w:val="en-US" w:eastAsia="zh-CN"/>
        </w:rPr>
        <w:t>8</w:t>
      </w:r>
      <w:r>
        <w:rPr>
          <w:rFonts w:hint="eastAsia" w:ascii="宋体" w:hAnsi="宋体"/>
          <w:highlight w:val="none"/>
        </w:rPr>
        <w:t>、残疾人福利性单位声明函………………………………………（附件</w:t>
      </w:r>
      <w:r>
        <w:rPr>
          <w:rFonts w:ascii="宋体" w:hAnsi="宋体"/>
          <w:highlight w:val="none"/>
        </w:rPr>
        <w:t>1</w:t>
      </w:r>
      <w:r>
        <w:rPr>
          <w:rFonts w:hint="eastAsia" w:ascii="宋体" w:hAnsi="宋体"/>
          <w:highlight w:val="none"/>
          <w:lang w:val="en-US" w:eastAsia="zh-CN"/>
        </w:rPr>
        <w:t>7</w:t>
      </w:r>
      <w:r>
        <w:rPr>
          <w:rFonts w:hint="eastAsia" w:ascii="宋体" w:hAnsi="宋体"/>
          <w:highlight w:val="none"/>
        </w:rPr>
        <w:t>）</w:t>
      </w:r>
    </w:p>
    <w:p w14:paraId="7B94F335">
      <w:pPr>
        <w:spacing w:line="500" w:lineRule="exact"/>
        <w:ind w:firstLine="480"/>
        <w:rPr>
          <w:rFonts w:ascii="宋体"/>
          <w:highlight w:val="none"/>
        </w:rPr>
      </w:pPr>
      <w:r>
        <w:rPr>
          <w:rFonts w:hint="eastAsia" w:ascii="宋体" w:hAnsi="宋体"/>
          <w:highlight w:val="none"/>
          <w:lang w:val="en-US" w:eastAsia="zh-CN"/>
        </w:rPr>
        <w:t>9</w:t>
      </w:r>
      <w:r>
        <w:rPr>
          <w:rFonts w:hint="eastAsia" w:ascii="宋体" w:hAnsi="宋体"/>
          <w:highlight w:val="none"/>
        </w:rPr>
        <w:t>、</w:t>
      </w:r>
      <w:r>
        <w:rPr>
          <w:rFonts w:hint="eastAsia" w:ascii="宋体" w:hAnsi="宋体"/>
          <w:highlight w:val="none"/>
          <w:lang w:eastAsia="zh-CN"/>
        </w:rPr>
        <w:t>监狱企业证明资料</w:t>
      </w:r>
      <w:r>
        <w:rPr>
          <w:rFonts w:hint="eastAsia" w:ascii="宋体" w:hAnsi="宋体"/>
          <w:highlight w:val="none"/>
        </w:rPr>
        <w:t>………………………………………………（附件</w:t>
      </w:r>
      <w:r>
        <w:rPr>
          <w:rFonts w:ascii="宋体" w:hAnsi="宋体"/>
          <w:highlight w:val="none"/>
        </w:rPr>
        <w:t>1</w:t>
      </w:r>
      <w:r>
        <w:rPr>
          <w:rFonts w:hint="eastAsia" w:ascii="宋体" w:hAnsi="宋体"/>
          <w:highlight w:val="none"/>
          <w:lang w:val="en-US" w:eastAsia="zh-CN"/>
        </w:rPr>
        <w:t>8</w:t>
      </w:r>
      <w:r>
        <w:rPr>
          <w:rFonts w:hint="eastAsia" w:ascii="宋体" w:hAnsi="宋体"/>
          <w:highlight w:val="none"/>
        </w:rPr>
        <w:t>）</w:t>
      </w:r>
    </w:p>
    <w:p w14:paraId="0E741A68">
      <w:pPr>
        <w:spacing w:line="500" w:lineRule="exact"/>
        <w:ind w:firstLine="480"/>
        <w:rPr>
          <w:rFonts w:ascii="宋体"/>
          <w:highlight w:val="none"/>
        </w:rPr>
      </w:pPr>
      <w:r>
        <w:rPr>
          <w:rFonts w:hint="eastAsia" w:ascii="宋体" w:hAnsi="宋体"/>
          <w:highlight w:val="none"/>
          <w:lang w:val="en-US" w:eastAsia="zh-CN"/>
        </w:rPr>
        <w:t>10</w:t>
      </w:r>
      <w:r>
        <w:rPr>
          <w:rFonts w:hint="eastAsia" w:ascii="宋体" w:hAnsi="宋体"/>
          <w:highlight w:val="none"/>
        </w:rPr>
        <w:t>、供应商认为在其他方面有必要说明的事项…………………（附件</w:t>
      </w:r>
      <w:r>
        <w:rPr>
          <w:rFonts w:ascii="宋体" w:hAnsi="宋体"/>
          <w:highlight w:val="none"/>
        </w:rPr>
        <w:t>1</w:t>
      </w:r>
      <w:r>
        <w:rPr>
          <w:rFonts w:hint="eastAsia" w:ascii="宋体" w:hAnsi="宋体"/>
          <w:highlight w:val="none"/>
          <w:lang w:val="en-US" w:eastAsia="zh-CN"/>
        </w:rPr>
        <w:t>9</w:t>
      </w:r>
      <w:r>
        <w:rPr>
          <w:rFonts w:hint="eastAsia" w:ascii="宋体" w:hAnsi="宋体"/>
          <w:highlight w:val="none"/>
        </w:rPr>
        <w:t>）</w:t>
      </w:r>
    </w:p>
    <w:p w14:paraId="3E82A749">
      <w:pPr>
        <w:ind w:firstLine="174" w:firstLineChars="83"/>
        <w:rPr>
          <w:b/>
          <w:highlight w:val="none"/>
        </w:rPr>
      </w:pPr>
      <w:r>
        <w:rPr>
          <w:rFonts w:hAnsi="宋体"/>
          <w:highlight w:val="none"/>
        </w:rPr>
        <w:br w:type="page"/>
      </w:r>
      <w:bookmarkEnd w:id="166"/>
      <w:bookmarkEnd w:id="167"/>
      <w:r>
        <w:rPr>
          <w:rFonts w:hint="eastAsia"/>
          <w:b/>
          <w:highlight w:val="none"/>
        </w:rPr>
        <w:t>（磋商响应文件封面）</w:t>
      </w:r>
    </w:p>
    <w:p w14:paraId="1A45B0E5">
      <w:pPr>
        <w:spacing w:line="360" w:lineRule="auto"/>
        <w:ind w:firstLine="2088" w:firstLineChars="400"/>
        <w:rPr>
          <w:rFonts w:ascii="方正仿宋_GB2312" w:hAnsi="宋体" w:eastAsia="方正仿宋_GB2312"/>
          <w:b/>
          <w:sz w:val="52"/>
          <w:szCs w:val="52"/>
          <w:highlight w:val="none"/>
        </w:rPr>
      </w:pPr>
    </w:p>
    <w:p w14:paraId="6E629FC7">
      <w:pPr>
        <w:spacing w:line="360" w:lineRule="auto"/>
        <w:ind w:firstLine="2088" w:firstLineChars="400"/>
        <w:rPr>
          <w:rFonts w:ascii="方正仿宋_GB2312" w:hAnsi="宋体" w:eastAsia="方正仿宋_GB2312"/>
          <w:b/>
          <w:sz w:val="52"/>
          <w:szCs w:val="52"/>
          <w:highlight w:val="none"/>
        </w:rPr>
      </w:pPr>
      <w:r>
        <w:rPr>
          <w:rFonts w:hint="eastAsia" w:ascii="方正仿宋_GB2312" w:hAnsi="宋体" w:eastAsia="方正仿宋_GB2312"/>
          <w:b/>
          <w:sz w:val="52"/>
          <w:szCs w:val="52"/>
          <w:highlight w:val="none"/>
        </w:rPr>
        <w:t>青海省政府采购项目</w:t>
      </w:r>
    </w:p>
    <w:p w14:paraId="3DEF5F09">
      <w:pPr>
        <w:spacing w:line="360" w:lineRule="auto"/>
        <w:ind w:firstLine="826" w:firstLineChars="392"/>
        <w:rPr>
          <w:rFonts w:ascii="宋体"/>
          <w:b/>
          <w:szCs w:val="21"/>
          <w:highlight w:val="none"/>
        </w:rPr>
      </w:pPr>
    </w:p>
    <w:p w14:paraId="2E018365">
      <w:pPr>
        <w:spacing w:line="360" w:lineRule="auto"/>
        <w:ind w:firstLine="2364" w:firstLineChars="327"/>
        <w:rPr>
          <w:rFonts w:ascii="宋体"/>
          <w:b/>
          <w:sz w:val="72"/>
          <w:szCs w:val="72"/>
          <w:highlight w:val="none"/>
        </w:rPr>
      </w:pPr>
    </w:p>
    <w:p w14:paraId="3D0A5D18">
      <w:pPr>
        <w:spacing w:line="360" w:lineRule="auto"/>
        <w:ind w:firstLine="2364" w:firstLineChars="327"/>
        <w:rPr>
          <w:rFonts w:ascii="宋体"/>
          <w:b/>
          <w:sz w:val="72"/>
          <w:szCs w:val="72"/>
          <w:highlight w:val="none"/>
        </w:rPr>
      </w:pPr>
      <w:r>
        <w:rPr>
          <w:rFonts w:hint="eastAsia" w:ascii="宋体" w:hAnsi="宋体"/>
          <w:b/>
          <w:sz w:val="72"/>
          <w:szCs w:val="72"/>
          <w:highlight w:val="none"/>
        </w:rPr>
        <w:t>磋商响应文件</w:t>
      </w:r>
    </w:p>
    <w:p w14:paraId="0A7E844F">
      <w:pPr>
        <w:adjustRightInd w:val="0"/>
        <w:spacing w:line="360" w:lineRule="auto"/>
        <w:jc w:val="center"/>
        <w:textAlignment w:val="baseline"/>
        <w:rPr>
          <w:rFonts w:ascii="宋体"/>
          <w:b/>
          <w:bCs/>
          <w:sz w:val="36"/>
          <w:szCs w:val="36"/>
          <w:highlight w:val="none"/>
        </w:rPr>
      </w:pPr>
      <w:r>
        <w:rPr>
          <w:rFonts w:hint="eastAsia" w:ascii="宋体" w:hAnsi="宋体"/>
          <w:b/>
          <w:bCs/>
          <w:sz w:val="36"/>
          <w:szCs w:val="36"/>
          <w:highlight w:val="none"/>
        </w:rPr>
        <w:t>（资格审查文件）</w:t>
      </w:r>
    </w:p>
    <w:p w14:paraId="287A3A5F">
      <w:pPr>
        <w:spacing w:line="360" w:lineRule="auto"/>
        <w:ind w:firstLine="689" w:firstLineChars="327"/>
        <w:rPr>
          <w:rFonts w:ascii="宋体"/>
          <w:b/>
          <w:highlight w:val="none"/>
        </w:rPr>
      </w:pPr>
    </w:p>
    <w:p w14:paraId="767674AB">
      <w:pPr>
        <w:adjustRightInd w:val="0"/>
        <w:spacing w:line="360" w:lineRule="auto"/>
        <w:textAlignment w:val="baseline"/>
        <w:rPr>
          <w:rFonts w:ascii="宋体"/>
          <w:b/>
          <w:bCs/>
          <w:sz w:val="32"/>
          <w:highlight w:val="none"/>
        </w:rPr>
      </w:pPr>
    </w:p>
    <w:p w14:paraId="162964FF">
      <w:pPr>
        <w:adjustRightInd w:val="0"/>
        <w:spacing w:line="360" w:lineRule="auto"/>
        <w:ind w:left="2530" w:hanging="2530" w:hangingChars="700"/>
        <w:textAlignment w:val="baseline"/>
        <w:rPr>
          <w:rFonts w:hint="eastAsia" w:ascii="宋体" w:eastAsia="宋体"/>
          <w:b/>
          <w:sz w:val="36"/>
          <w:szCs w:val="36"/>
          <w:highlight w:val="none"/>
          <w:lang w:eastAsia="zh-CN"/>
        </w:rPr>
      </w:pPr>
      <w:r>
        <w:rPr>
          <w:rFonts w:hint="eastAsia" w:ascii="宋体" w:hAnsi="宋体"/>
          <w:b/>
          <w:bCs/>
          <w:sz w:val="36"/>
          <w:szCs w:val="36"/>
          <w:highlight w:val="none"/>
        </w:rPr>
        <w:t>采购项目编号</w:t>
      </w:r>
      <w:r>
        <w:rPr>
          <w:rFonts w:hint="eastAsia" w:ascii="宋体" w:hAnsi="宋体"/>
          <w:b/>
          <w:sz w:val="36"/>
          <w:szCs w:val="36"/>
          <w:highlight w:val="none"/>
        </w:rPr>
        <w:t>：</w:t>
      </w:r>
      <w:r>
        <w:rPr>
          <w:rFonts w:hint="eastAsia" w:ascii="宋体" w:hAnsi="宋体"/>
          <w:b/>
          <w:sz w:val="36"/>
          <w:szCs w:val="36"/>
          <w:highlight w:val="none"/>
          <w:lang w:eastAsia="zh-CN"/>
        </w:rPr>
        <w:t>青海浩驰磋商（服务）2026-139号</w:t>
      </w:r>
    </w:p>
    <w:p w14:paraId="7B024B4F">
      <w:pPr>
        <w:adjustRightInd w:val="0"/>
        <w:spacing w:line="360" w:lineRule="auto"/>
        <w:ind w:left="2512" w:right="-248" w:rightChars="-118" w:hanging="2512" w:hangingChars="695"/>
        <w:textAlignment w:val="baseline"/>
        <w:rPr>
          <w:rFonts w:hint="eastAsia" w:ascii="宋体" w:eastAsia="宋体"/>
          <w:b/>
          <w:sz w:val="36"/>
          <w:szCs w:val="36"/>
          <w:highlight w:val="none"/>
          <w:lang w:eastAsia="zh-CN"/>
        </w:rPr>
      </w:pPr>
      <w:r>
        <w:rPr>
          <w:rFonts w:hint="eastAsia" w:ascii="宋体" w:hAnsi="宋体"/>
          <w:b/>
          <w:bCs/>
          <w:sz w:val="36"/>
          <w:szCs w:val="36"/>
          <w:highlight w:val="none"/>
        </w:rPr>
        <w:t>采购项目名称</w:t>
      </w:r>
      <w:r>
        <w:rPr>
          <w:rFonts w:ascii="宋体" w:hAnsi="宋体"/>
          <w:b/>
          <w:bCs/>
          <w:sz w:val="36"/>
          <w:szCs w:val="36"/>
          <w:highlight w:val="none"/>
        </w:rPr>
        <w:t xml:space="preserve">: </w:t>
      </w:r>
      <w:r>
        <w:rPr>
          <w:rFonts w:hint="eastAsia" w:ascii="宋体" w:hAnsi="宋体"/>
          <w:b/>
          <w:sz w:val="36"/>
          <w:szCs w:val="36"/>
          <w:highlight w:val="none"/>
          <w:lang w:eastAsia="zh-CN"/>
        </w:rPr>
        <w:t>青海大学2026年智慧校园建设数据治理服务项目</w:t>
      </w:r>
    </w:p>
    <w:p w14:paraId="4627CB16">
      <w:pPr>
        <w:adjustRightInd w:val="0"/>
        <w:spacing w:line="360" w:lineRule="auto"/>
        <w:ind w:right="-248" w:rightChars="-118"/>
        <w:textAlignment w:val="baseline"/>
        <w:rPr>
          <w:rFonts w:ascii="宋体"/>
          <w:b/>
          <w:bCs/>
          <w:sz w:val="36"/>
          <w:szCs w:val="36"/>
          <w:highlight w:val="none"/>
        </w:rPr>
      </w:pPr>
    </w:p>
    <w:p w14:paraId="1AD6CC08">
      <w:pPr>
        <w:adjustRightInd w:val="0"/>
        <w:spacing w:line="360" w:lineRule="auto"/>
        <w:ind w:right="-248" w:rightChars="-118"/>
        <w:textAlignment w:val="baseline"/>
        <w:rPr>
          <w:rFonts w:ascii="宋体"/>
          <w:b/>
          <w:bCs/>
          <w:sz w:val="36"/>
          <w:szCs w:val="36"/>
          <w:highlight w:val="none"/>
        </w:rPr>
      </w:pPr>
    </w:p>
    <w:p w14:paraId="332BA364">
      <w:pPr>
        <w:adjustRightInd w:val="0"/>
        <w:spacing w:line="360" w:lineRule="auto"/>
        <w:ind w:left="-248" w:leftChars="-118" w:firstLine="1"/>
        <w:jc w:val="center"/>
        <w:textAlignment w:val="baseline"/>
        <w:rPr>
          <w:rFonts w:ascii="宋体"/>
          <w:b/>
          <w:sz w:val="36"/>
          <w:szCs w:val="36"/>
          <w:highlight w:val="none"/>
        </w:rPr>
      </w:pPr>
      <w:r>
        <w:rPr>
          <w:rFonts w:ascii="宋体" w:hAnsi="宋体"/>
          <w:b/>
          <w:bCs/>
          <w:sz w:val="36"/>
          <w:szCs w:val="36"/>
          <w:highlight w:val="none"/>
        </w:rPr>
        <w:t xml:space="preserve">  </w:t>
      </w:r>
      <w:r>
        <w:rPr>
          <w:rFonts w:hint="eastAsia" w:ascii="宋体" w:hAnsi="宋体"/>
          <w:b/>
          <w:bCs/>
          <w:sz w:val="36"/>
          <w:szCs w:val="36"/>
          <w:highlight w:val="none"/>
        </w:rPr>
        <w:t>投标单位</w:t>
      </w:r>
      <w:r>
        <w:rPr>
          <w:rFonts w:hint="eastAsia" w:ascii="宋体" w:hAnsi="宋体"/>
          <w:b/>
          <w:sz w:val="36"/>
          <w:szCs w:val="36"/>
          <w:highlight w:val="none"/>
        </w:rPr>
        <w:t>：</w:t>
      </w:r>
    </w:p>
    <w:p w14:paraId="074ED796">
      <w:pPr>
        <w:spacing w:line="360" w:lineRule="auto"/>
        <w:ind w:firstLine="3534" w:firstLineChars="1100"/>
        <w:rPr>
          <w:rFonts w:ascii="宋体"/>
          <w:b/>
          <w:sz w:val="32"/>
          <w:highlight w:val="none"/>
        </w:rPr>
      </w:pPr>
      <w:r>
        <w:rPr>
          <w:rFonts w:hint="eastAsia" w:ascii="宋体" w:hAnsi="宋体"/>
          <w:b/>
          <w:sz w:val="32"/>
          <w:highlight w:val="none"/>
        </w:rPr>
        <w:t>年</w:t>
      </w:r>
      <w:r>
        <w:rPr>
          <w:rFonts w:ascii="宋体" w:hAnsi="宋体"/>
          <w:b/>
          <w:sz w:val="32"/>
          <w:highlight w:val="none"/>
        </w:rPr>
        <w:t xml:space="preserve">  </w:t>
      </w:r>
      <w:r>
        <w:rPr>
          <w:rFonts w:hint="eastAsia" w:ascii="宋体" w:hAnsi="宋体"/>
          <w:b/>
          <w:sz w:val="32"/>
          <w:highlight w:val="none"/>
        </w:rPr>
        <w:t>月</w:t>
      </w:r>
      <w:r>
        <w:rPr>
          <w:rFonts w:ascii="宋体" w:hAnsi="宋体"/>
          <w:b/>
          <w:sz w:val="32"/>
          <w:highlight w:val="none"/>
        </w:rPr>
        <w:t xml:space="preserve">  </w:t>
      </w:r>
      <w:r>
        <w:rPr>
          <w:rFonts w:hint="eastAsia" w:ascii="宋体" w:hAnsi="宋体"/>
          <w:b/>
          <w:sz w:val="32"/>
          <w:highlight w:val="none"/>
        </w:rPr>
        <w:t>日</w:t>
      </w:r>
    </w:p>
    <w:p w14:paraId="6B020DFD">
      <w:pPr>
        <w:widowControl/>
        <w:snapToGrid w:val="0"/>
        <w:spacing w:line="360" w:lineRule="auto"/>
        <w:jc w:val="left"/>
        <w:outlineLvl w:val="1"/>
        <w:rPr>
          <w:rFonts w:ascii="宋体"/>
          <w:b/>
          <w:sz w:val="28"/>
          <w:szCs w:val="28"/>
          <w:highlight w:val="none"/>
        </w:rPr>
      </w:pPr>
      <w:r>
        <w:rPr>
          <w:rFonts w:ascii="宋体"/>
          <w:b/>
          <w:sz w:val="28"/>
          <w:szCs w:val="28"/>
          <w:highlight w:val="none"/>
        </w:rPr>
        <w:br w:type="page"/>
      </w:r>
      <w:bookmarkStart w:id="174" w:name="_Toc496626235"/>
      <w:bookmarkStart w:id="175" w:name="_Toc19804"/>
      <w:r>
        <w:rPr>
          <w:rFonts w:hint="eastAsia" w:ascii="宋体"/>
          <w:b/>
          <w:sz w:val="28"/>
          <w:szCs w:val="28"/>
          <w:highlight w:val="none"/>
        </w:rPr>
        <w:t>附件</w:t>
      </w:r>
      <w:bookmarkStart w:id="176" w:name="_Toc325726037"/>
      <w:bookmarkStart w:id="177" w:name="_Toc376936768"/>
      <w:r>
        <w:rPr>
          <w:rFonts w:ascii="宋体"/>
          <w:b/>
          <w:sz w:val="28"/>
          <w:szCs w:val="28"/>
          <w:highlight w:val="none"/>
        </w:rPr>
        <w:t>1</w:t>
      </w:r>
      <w:r>
        <w:rPr>
          <w:rFonts w:hint="eastAsia" w:ascii="宋体"/>
          <w:b/>
          <w:sz w:val="28"/>
          <w:szCs w:val="28"/>
          <w:highlight w:val="none"/>
        </w:rPr>
        <w:t>：磋商函</w:t>
      </w:r>
      <w:bookmarkEnd w:id="174"/>
      <w:bookmarkEnd w:id="175"/>
      <w:bookmarkEnd w:id="176"/>
      <w:bookmarkEnd w:id="177"/>
    </w:p>
    <w:p w14:paraId="77F3A36E">
      <w:pPr>
        <w:ind w:firstLine="3813" w:firstLineChars="1055"/>
        <w:rPr>
          <w:rFonts w:ascii="宋体"/>
          <w:b/>
          <w:sz w:val="36"/>
          <w:szCs w:val="36"/>
          <w:highlight w:val="none"/>
        </w:rPr>
      </w:pPr>
    </w:p>
    <w:p w14:paraId="42A45241">
      <w:pPr>
        <w:ind w:firstLine="3813" w:firstLineChars="1055"/>
        <w:rPr>
          <w:rFonts w:ascii="宋体"/>
          <w:b/>
          <w:sz w:val="36"/>
          <w:szCs w:val="36"/>
          <w:highlight w:val="none"/>
        </w:rPr>
      </w:pPr>
      <w:r>
        <w:rPr>
          <w:rFonts w:hint="eastAsia" w:ascii="宋体" w:hAnsi="宋体"/>
          <w:b/>
          <w:sz w:val="36"/>
          <w:szCs w:val="36"/>
          <w:highlight w:val="none"/>
        </w:rPr>
        <w:t>磋商函</w:t>
      </w:r>
    </w:p>
    <w:p w14:paraId="422E1469">
      <w:pPr>
        <w:adjustRightInd w:val="0"/>
        <w:textAlignment w:val="baseline"/>
        <w:rPr>
          <w:rFonts w:ascii="宋体"/>
          <w:b/>
          <w:highlight w:val="none"/>
        </w:rPr>
      </w:pPr>
    </w:p>
    <w:p w14:paraId="3B976AAE">
      <w:pPr>
        <w:adjustRightInd w:val="0"/>
        <w:textAlignment w:val="baseline"/>
        <w:rPr>
          <w:rFonts w:ascii="宋体"/>
          <w:b/>
          <w:highlight w:val="none"/>
        </w:rPr>
      </w:pPr>
      <w:r>
        <w:rPr>
          <w:rFonts w:hint="eastAsia" w:ascii="宋体" w:hAnsi="宋体"/>
          <w:b/>
          <w:highlight w:val="none"/>
        </w:rPr>
        <w:t>致：青海浩驰招标代理有限公司</w:t>
      </w:r>
    </w:p>
    <w:p w14:paraId="4A388F1D">
      <w:pPr>
        <w:adjustRightInd w:val="0"/>
        <w:ind w:firstLine="480"/>
        <w:textAlignment w:val="baseline"/>
        <w:rPr>
          <w:rFonts w:ascii="宋体"/>
          <w:highlight w:val="none"/>
        </w:rPr>
      </w:pPr>
    </w:p>
    <w:p w14:paraId="54994B6D">
      <w:pPr>
        <w:adjustRightInd w:val="0"/>
        <w:ind w:firstLine="480"/>
        <w:textAlignment w:val="baseline"/>
        <w:rPr>
          <w:rFonts w:ascii="宋体"/>
          <w:highlight w:val="none"/>
        </w:rPr>
      </w:pPr>
      <w:r>
        <w:rPr>
          <w:rFonts w:hint="eastAsia" w:ascii="宋体" w:hAnsi="宋体"/>
          <w:highlight w:val="none"/>
        </w:rPr>
        <w:t>我们收到</w:t>
      </w:r>
      <w:r>
        <w:rPr>
          <w:rFonts w:hint="eastAsia" w:ascii="宋体" w:hAnsi="宋体"/>
          <w:highlight w:val="none"/>
          <w:lang w:eastAsia="zh-CN"/>
        </w:rPr>
        <w:t>青海浩驰磋商（服务）2026-139号</w:t>
      </w:r>
      <w:r>
        <w:rPr>
          <w:rFonts w:hint="eastAsia" w:ascii="宋体" w:hAnsi="宋体"/>
          <w:highlight w:val="none"/>
        </w:rPr>
        <w:t>磋商文件，经研究，法定代表人</w:t>
      </w:r>
      <w:r>
        <w:rPr>
          <w:rFonts w:hint="eastAsia" w:ascii="宋体" w:hAnsi="宋体"/>
          <w:highlight w:val="none"/>
          <w:u w:val="single"/>
        </w:rPr>
        <w:t>（姓名、职务）</w:t>
      </w:r>
      <w:r>
        <w:rPr>
          <w:rFonts w:hint="eastAsia" w:ascii="宋体" w:hAnsi="宋体"/>
          <w:highlight w:val="none"/>
        </w:rPr>
        <w:t>正式授权</w:t>
      </w:r>
      <w:r>
        <w:rPr>
          <w:rFonts w:hint="eastAsia" w:ascii="宋体" w:hAnsi="宋体"/>
          <w:highlight w:val="none"/>
          <w:u w:val="single"/>
        </w:rPr>
        <w:t>（委托代理人姓名、职务）</w:t>
      </w:r>
      <w:r>
        <w:rPr>
          <w:rFonts w:hint="eastAsia" w:ascii="宋体" w:hAnsi="宋体"/>
          <w:highlight w:val="none"/>
        </w:rPr>
        <w:t>代表供应商</w:t>
      </w:r>
      <w:r>
        <w:rPr>
          <w:rFonts w:hint="eastAsia" w:ascii="宋体" w:hAnsi="宋体"/>
          <w:highlight w:val="none"/>
          <w:u w:val="single"/>
        </w:rPr>
        <w:t>（供应商名称、地址）</w:t>
      </w:r>
      <w:r>
        <w:rPr>
          <w:rFonts w:hint="eastAsia" w:ascii="宋体" w:hAnsi="宋体"/>
          <w:highlight w:val="none"/>
        </w:rPr>
        <w:t>提交磋商响应文件。</w:t>
      </w:r>
      <w:r>
        <w:rPr>
          <w:rFonts w:ascii="宋体" w:hAnsi="宋体"/>
          <w:highlight w:val="none"/>
        </w:rPr>
        <w:t xml:space="preserve">    </w:t>
      </w:r>
    </w:p>
    <w:p w14:paraId="49F5C728">
      <w:pPr>
        <w:adjustRightInd w:val="0"/>
        <w:ind w:firstLine="371" w:firstLineChars="177"/>
        <w:textAlignment w:val="baseline"/>
        <w:rPr>
          <w:rFonts w:ascii="宋体"/>
          <w:highlight w:val="none"/>
        </w:rPr>
      </w:pPr>
      <w:r>
        <w:rPr>
          <w:rFonts w:hint="eastAsia" w:ascii="宋体" w:hAnsi="宋体"/>
          <w:highlight w:val="none"/>
        </w:rPr>
        <w:t>据此函，签字代表宣布同意如下：</w:t>
      </w:r>
    </w:p>
    <w:p w14:paraId="65BB0D2C">
      <w:pPr>
        <w:adjustRightInd w:val="0"/>
        <w:ind w:firstLine="371" w:firstLineChars="177"/>
        <w:textAlignment w:val="baseline"/>
        <w:rPr>
          <w:rFonts w:ascii="宋体"/>
          <w:highlight w:val="none"/>
        </w:rPr>
      </w:pPr>
      <w:r>
        <w:rPr>
          <w:rFonts w:ascii="宋体" w:hAnsi="宋体"/>
          <w:highlight w:val="none"/>
        </w:rPr>
        <w:t>1</w:t>
      </w:r>
      <w:r>
        <w:rPr>
          <w:rFonts w:hint="eastAsia" w:ascii="宋体" w:hAnsi="宋体"/>
          <w:highlight w:val="none"/>
        </w:rPr>
        <w:t>、我方已详阅磋商文件的全部内容，包括澄清、修改条款等有关附件，承诺对其完全理解并接受。</w:t>
      </w:r>
    </w:p>
    <w:p w14:paraId="63011515">
      <w:pPr>
        <w:adjustRightInd w:val="0"/>
        <w:ind w:firstLine="371" w:firstLineChars="177"/>
        <w:textAlignment w:val="baseline"/>
        <w:rPr>
          <w:rFonts w:ascii="宋体"/>
          <w:highlight w:val="none"/>
        </w:rPr>
      </w:pPr>
      <w:r>
        <w:rPr>
          <w:rFonts w:ascii="宋体" w:hAnsi="宋体"/>
          <w:highlight w:val="none"/>
        </w:rPr>
        <w:t>2</w:t>
      </w:r>
      <w:r>
        <w:rPr>
          <w:rFonts w:hint="eastAsia" w:ascii="宋体" w:hAnsi="宋体"/>
          <w:highlight w:val="none"/>
        </w:rPr>
        <w:t>、磋商有效期自开标之日起</w:t>
      </w:r>
      <w:r>
        <w:rPr>
          <w:rFonts w:ascii="宋体" w:hAnsi="宋体"/>
          <w:highlight w:val="none"/>
        </w:rPr>
        <w:t>60</w:t>
      </w:r>
      <w:r>
        <w:rPr>
          <w:rFonts w:hint="eastAsia" w:ascii="宋体" w:hAnsi="宋体"/>
          <w:highlight w:val="none"/>
        </w:rPr>
        <w:t>天内有效。如果在规定的磋商时间后，我方在磋商有效期内撤回投标或成交后不签约的，磋商保证金将被贵方没收。</w:t>
      </w:r>
    </w:p>
    <w:p w14:paraId="551C1F0B">
      <w:pPr>
        <w:adjustRightInd w:val="0"/>
        <w:ind w:firstLine="371" w:firstLineChars="177"/>
        <w:textAlignment w:val="baseline"/>
        <w:rPr>
          <w:rFonts w:ascii="宋体"/>
          <w:highlight w:val="none"/>
        </w:rPr>
      </w:pPr>
      <w:r>
        <w:rPr>
          <w:rFonts w:ascii="宋体" w:hAnsi="宋体"/>
          <w:highlight w:val="none"/>
        </w:rPr>
        <w:t>3</w:t>
      </w:r>
      <w:r>
        <w:rPr>
          <w:rFonts w:hint="eastAsia" w:ascii="宋体" w:hAnsi="宋体"/>
          <w:highlight w:val="none"/>
        </w:rPr>
        <w:t>、我方同意按照贵方要求提供与磋商有关的一切数据或资料，理解并接受贵方制定的评标办法。</w:t>
      </w:r>
    </w:p>
    <w:p w14:paraId="3FD1D48D">
      <w:pPr>
        <w:adjustRightInd w:val="0"/>
        <w:ind w:firstLine="371" w:firstLineChars="177"/>
        <w:textAlignment w:val="baseline"/>
        <w:rPr>
          <w:rFonts w:ascii="宋体"/>
          <w:highlight w:val="none"/>
        </w:rPr>
      </w:pPr>
      <w:r>
        <w:rPr>
          <w:rFonts w:ascii="宋体" w:hAnsi="宋体"/>
          <w:highlight w:val="none"/>
        </w:rPr>
        <w:t>4</w:t>
      </w:r>
      <w:r>
        <w:rPr>
          <w:rFonts w:hint="eastAsia" w:ascii="宋体" w:hAnsi="宋体"/>
          <w:highlight w:val="none"/>
        </w:rPr>
        <w:t>、与本磋商有关的一切正式往来通讯请寄：</w:t>
      </w:r>
    </w:p>
    <w:p w14:paraId="22247AD1">
      <w:pPr>
        <w:adjustRightInd w:val="0"/>
        <w:ind w:firstLine="371" w:firstLineChars="177"/>
        <w:textAlignment w:val="baseline"/>
        <w:rPr>
          <w:rFonts w:ascii="宋体"/>
          <w:highlight w:val="none"/>
        </w:rPr>
      </w:pPr>
      <w:r>
        <w:rPr>
          <w:rFonts w:hint="eastAsia" w:ascii="宋体" w:hAnsi="宋体"/>
          <w:highlight w:val="none"/>
        </w:rPr>
        <w:t>地址：</w:t>
      </w:r>
      <w:r>
        <w:rPr>
          <w:rFonts w:ascii="宋体" w:hAnsi="宋体"/>
          <w:highlight w:val="none"/>
        </w:rPr>
        <w:t xml:space="preserve">_______________   </w:t>
      </w:r>
      <w:r>
        <w:rPr>
          <w:rFonts w:hint="eastAsia" w:ascii="宋体" w:hAnsi="宋体"/>
          <w:highlight w:val="none"/>
        </w:rPr>
        <w:t>邮编：</w:t>
      </w:r>
      <w:r>
        <w:rPr>
          <w:rFonts w:ascii="宋体" w:hAnsi="宋体"/>
          <w:highlight w:val="none"/>
        </w:rPr>
        <w:t>______________</w:t>
      </w:r>
    </w:p>
    <w:p w14:paraId="6E96E242">
      <w:pPr>
        <w:adjustRightInd w:val="0"/>
        <w:ind w:firstLine="371" w:firstLineChars="177"/>
        <w:textAlignment w:val="baseline"/>
        <w:rPr>
          <w:rFonts w:ascii="宋体"/>
          <w:highlight w:val="none"/>
        </w:rPr>
      </w:pPr>
      <w:r>
        <w:rPr>
          <w:rFonts w:hint="eastAsia" w:ascii="宋体" w:hAnsi="宋体"/>
          <w:highlight w:val="none"/>
        </w:rPr>
        <w:t>电话：</w:t>
      </w:r>
      <w:r>
        <w:rPr>
          <w:rFonts w:ascii="宋体" w:hAnsi="宋体"/>
          <w:highlight w:val="none"/>
        </w:rPr>
        <w:t xml:space="preserve">_______________   </w:t>
      </w:r>
      <w:r>
        <w:rPr>
          <w:rFonts w:hint="eastAsia" w:ascii="宋体" w:hAnsi="宋体"/>
          <w:highlight w:val="none"/>
        </w:rPr>
        <w:t>传真：</w:t>
      </w:r>
      <w:r>
        <w:rPr>
          <w:rFonts w:ascii="宋体" w:hAnsi="宋体"/>
          <w:highlight w:val="none"/>
        </w:rPr>
        <w:t>______________</w:t>
      </w:r>
    </w:p>
    <w:p w14:paraId="5D3F88E5">
      <w:pPr>
        <w:adjustRightInd w:val="0"/>
        <w:ind w:firstLine="371" w:firstLineChars="177"/>
        <w:textAlignment w:val="baseline"/>
        <w:rPr>
          <w:rFonts w:ascii="宋体"/>
          <w:highlight w:val="none"/>
        </w:rPr>
      </w:pPr>
      <w:r>
        <w:rPr>
          <w:rFonts w:hint="eastAsia" w:ascii="宋体" w:hAnsi="宋体"/>
          <w:highlight w:val="none"/>
        </w:rPr>
        <w:t>法定代表人姓名：</w:t>
      </w:r>
      <w:r>
        <w:rPr>
          <w:rFonts w:ascii="宋体" w:hAnsi="宋体"/>
          <w:highlight w:val="none"/>
        </w:rPr>
        <w:t xml:space="preserve"> ___________ </w:t>
      </w:r>
      <w:r>
        <w:rPr>
          <w:rFonts w:hint="eastAsia" w:ascii="宋体" w:hAnsi="宋体"/>
          <w:highlight w:val="none"/>
        </w:rPr>
        <w:t>职务：</w:t>
      </w:r>
      <w:r>
        <w:rPr>
          <w:rFonts w:ascii="宋体" w:hAnsi="宋体"/>
          <w:highlight w:val="none"/>
        </w:rPr>
        <w:t>____________</w:t>
      </w:r>
    </w:p>
    <w:p w14:paraId="7FF298B2">
      <w:pPr>
        <w:adjustRightInd w:val="0"/>
        <w:ind w:firstLine="480"/>
        <w:textAlignment w:val="baseline"/>
        <w:rPr>
          <w:rFonts w:ascii="宋体"/>
          <w:highlight w:val="none"/>
        </w:rPr>
      </w:pPr>
    </w:p>
    <w:p w14:paraId="38C86805">
      <w:pPr>
        <w:ind w:firstLine="480"/>
        <w:jc w:val="center"/>
        <w:rPr>
          <w:rFonts w:ascii="宋体"/>
          <w:highlight w:val="none"/>
        </w:rPr>
      </w:pPr>
    </w:p>
    <w:p w14:paraId="09CC716E">
      <w:pPr>
        <w:ind w:firstLine="480"/>
        <w:jc w:val="center"/>
        <w:rPr>
          <w:rFonts w:ascii="宋体"/>
          <w:highlight w:val="none"/>
        </w:rPr>
      </w:pPr>
    </w:p>
    <w:p w14:paraId="79136D98">
      <w:pPr>
        <w:ind w:firstLine="560"/>
        <w:jc w:val="center"/>
        <w:rPr>
          <w:rFonts w:ascii="宋体"/>
          <w:sz w:val="28"/>
          <w:szCs w:val="28"/>
          <w:highlight w:val="none"/>
        </w:rPr>
      </w:pPr>
    </w:p>
    <w:p w14:paraId="27ED0087">
      <w:pPr>
        <w:adjustRightInd w:val="0"/>
        <w:ind w:firstLine="560"/>
        <w:textAlignment w:val="baseline"/>
        <w:rPr>
          <w:rFonts w:ascii="方正仿宋_GB2312" w:hAnsi="宋体" w:eastAsia="方正仿宋_GB2312"/>
          <w:sz w:val="28"/>
          <w:szCs w:val="28"/>
          <w:highlight w:val="none"/>
        </w:rPr>
      </w:pPr>
    </w:p>
    <w:p w14:paraId="7E279A33">
      <w:pPr>
        <w:adjustRightInd w:val="0"/>
        <w:ind w:firstLine="560"/>
        <w:textAlignment w:val="baseline"/>
        <w:rPr>
          <w:rFonts w:ascii="方正仿宋_GB2312" w:hAnsi="宋体" w:eastAsia="方正仿宋_GB2312"/>
          <w:sz w:val="28"/>
          <w:szCs w:val="28"/>
          <w:highlight w:val="none"/>
        </w:rPr>
      </w:pPr>
    </w:p>
    <w:p w14:paraId="7D4616C4">
      <w:pPr>
        <w:adjustRightInd w:val="0"/>
        <w:ind w:firstLine="560"/>
        <w:textAlignment w:val="baseline"/>
        <w:rPr>
          <w:rFonts w:ascii="方正仿宋_GB2312" w:hAnsi="宋体" w:eastAsia="方正仿宋_GB2312"/>
          <w:sz w:val="28"/>
          <w:szCs w:val="28"/>
          <w:highlight w:val="none"/>
        </w:rPr>
      </w:pPr>
    </w:p>
    <w:p w14:paraId="669206BA">
      <w:pPr>
        <w:adjustRightInd w:val="0"/>
        <w:textAlignment w:val="baseline"/>
        <w:rPr>
          <w:rFonts w:ascii="方正仿宋_GB2312" w:hAnsi="宋体" w:eastAsia="方正仿宋_GB2312"/>
          <w:sz w:val="28"/>
          <w:szCs w:val="28"/>
          <w:highlight w:val="none"/>
        </w:rPr>
      </w:pPr>
    </w:p>
    <w:p w14:paraId="3014CBD1">
      <w:pPr>
        <w:ind w:firstLine="560"/>
        <w:jc w:val="center"/>
        <w:rPr>
          <w:rFonts w:ascii="宋体"/>
          <w:b/>
          <w:highlight w:val="none"/>
        </w:rPr>
      </w:pPr>
      <w:r>
        <w:rPr>
          <w:rFonts w:ascii="方正仿宋_GB2312" w:hAnsi="宋体" w:eastAsia="方正仿宋_GB2312"/>
          <w:sz w:val="28"/>
          <w:szCs w:val="28"/>
          <w:highlight w:val="none"/>
        </w:rPr>
        <w:t xml:space="preserve">            </w:t>
      </w:r>
      <w:r>
        <w:rPr>
          <w:rFonts w:hint="eastAsia" w:ascii="宋体" w:hAnsi="宋体"/>
          <w:b/>
          <w:highlight w:val="none"/>
        </w:rPr>
        <w:t>投标单位：</w:t>
      </w:r>
      <w:r>
        <w:rPr>
          <w:rFonts w:ascii="方正仿宋_GB2312" w:eastAsia="方正仿宋_GB2312" w:cs="宋体"/>
          <w:kern w:val="0"/>
          <w:highlight w:val="none"/>
          <w:u w:val="single"/>
        </w:rPr>
        <w:t xml:space="preserve">       </w:t>
      </w:r>
      <w:r>
        <w:rPr>
          <w:rFonts w:hint="eastAsia" w:ascii="宋体" w:hAnsi="宋体"/>
          <w:b/>
          <w:highlight w:val="none"/>
        </w:rPr>
        <w:t>（公章）</w:t>
      </w:r>
    </w:p>
    <w:p w14:paraId="5FB6B726">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方正仿宋_GB2312" w:eastAsia="方正仿宋_GB2312" w:cs="宋体"/>
          <w:kern w:val="0"/>
          <w:highlight w:val="none"/>
          <w:u w:val="single"/>
        </w:rPr>
        <w:t xml:space="preserve">       </w:t>
      </w:r>
      <w:r>
        <w:rPr>
          <w:rFonts w:hint="eastAsia" w:ascii="宋体" w:hAnsi="宋体"/>
          <w:b/>
          <w:highlight w:val="none"/>
        </w:rPr>
        <w:t>（签字或盖章）</w:t>
      </w:r>
    </w:p>
    <w:p w14:paraId="7C4890F1">
      <w:pPr>
        <w:ind w:firstLine="480"/>
        <w:jc w:val="center"/>
        <w:rPr>
          <w:b/>
          <w:highlight w:val="none"/>
        </w:rPr>
      </w:pPr>
      <w:r>
        <w:rPr>
          <w:highlight w:val="none"/>
        </w:rPr>
        <w:t xml:space="preserve">              </w:t>
      </w:r>
      <w:r>
        <w:rPr>
          <w:b/>
          <w:highlight w:val="none"/>
        </w:rPr>
        <w:t xml:space="preserve"> </w:t>
      </w:r>
      <w:r>
        <w:rPr>
          <w:rFonts w:hint="eastAsia"/>
          <w:b/>
          <w:highlight w:val="none"/>
        </w:rPr>
        <w:t>年</w:t>
      </w:r>
      <w:r>
        <w:rPr>
          <w:b/>
          <w:highlight w:val="none"/>
        </w:rPr>
        <w:t xml:space="preserve">   </w:t>
      </w:r>
      <w:r>
        <w:rPr>
          <w:rFonts w:hint="eastAsia"/>
          <w:b/>
          <w:highlight w:val="none"/>
        </w:rPr>
        <w:t>月</w:t>
      </w:r>
      <w:r>
        <w:rPr>
          <w:b/>
          <w:highlight w:val="none"/>
        </w:rPr>
        <w:t xml:space="preserve">  </w:t>
      </w:r>
      <w:r>
        <w:rPr>
          <w:rFonts w:hint="eastAsia"/>
          <w:b/>
          <w:highlight w:val="none"/>
        </w:rPr>
        <w:t>日</w:t>
      </w:r>
    </w:p>
    <w:p w14:paraId="59FB9E3B">
      <w:pPr>
        <w:ind w:firstLine="482"/>
        <w:jc w:val="center"/>
        <w:rPr>
          <w:rFonts w:ascii="宋体"/>
          <w:b/>
          <w:highlight w:val="none"/>
        </w:rPr>
      </w:pPr>
    </w:p>
    <w:p w14:paraId="6B0DB725">
      <w:pPr>
        <w:ind w:firstLine="482"/>
        <w:jc w:val="center"/>
        <w:rPr>
          <w:rFonts w:ascii="宋体"/>
          <w:b/>
          <w:highlight w:val="none"/>
        </w:rPr>
      </w:pPr>
    </w:p>
    <w:p w14:paraId="4560A3F9">
      <w:pPr>
        <w:widowControl/>
        <w:snapToGrid w:val="0"/>
        <w:spacing w:line="360" w:lineRule="auto"/>
        <w:outlineLvl w:val="9"/>
        <w:rPr>
          <w:rFonts w:ascii="宋体"/>
          <w:b/>
          <w:sz w:val="28"/>
          <w:szCs w:val="28"/>
          <w:highlight w:val="none"/>
        </w:rPr>
      </w:pPr>
      <w:bookmarkStart w:id="178" w:name="_Toc496626236"/>
    </w:p>
    <w:p w14:paraId="0A534955">
      <w:pPr>
        <w:widowControl/>
        <w:snapToGrid w:val="0"/>
        <w:spacing w:line="360" w:lineRule="auto"/>
        <w:outlineLvl w:val="9"/>
        <w:rPr>
          <w:rFonts w:ascii="宋体"/>
          <w:b/>
          <w:sz w:val="28"/>
          <w:szCs w:val="28"/>
          <w:highlight w:val="none"/>
        </w:rPr>
      </w:pPr>
    </w:p>
    <w:p w14:paraId="5FE34B0C">
      <w:pPr>
        <w:widowControl/>
        <w:snapToGrid w:val="0"/>
        <w:spacing w:line="360" w:lineRule="auto"/>
        <w:outlineLvl w:val="1"/>
        <w:rPr>
          <w:rFonts w:ascii="宋体"/>
          <w:b/>
          <w:sz w:val="28"/>
          <w:szCs w:val="28"/>
          <w:highlight w:val="none"/>
        </w:rPr>
      </w:pPr>
      <w:bookmarkStart w:id="179" w:name="_Toc14991"/>
      <w:r>
        <w:rPr>
          <w:rFonts w:hint="eastAsia" w:ascii="宋体"/>
          <w:b/>
          <w:sz w:val="28"/>
          <w:szCs w:val="28"/>
          <w:highlight w:val="none"/>
        </w:rPr>
        <w:t>附件</w:t>
      </w:r>
      <w:bookmarkStart w:id="180" w:name="_Toc376936774"/>
      <w:bookmarkStart w:id="181" w:name="_Toc325726043"/>
      <w:bookmarkStart w:id="182" w:name="_Toc376936773"/>
      <w:bookmarkStart w:id="183" w:name="_Toc325726042"/>
      <w:r>
        <w:rPr>
          <w:rFonts w:ascii="宋体"/>
          <w:b/>
          <w:sz w:val="28"/>
          <w:szCs w:val="28"/>
          <w:highlight w:val="none"/>
        </w:rPr>
        <w:t>2</w:t>
      </w:r>
      <w:r>
        <w:rPr>
          <w:rFonts w:hint="eastAsia" w:ascii="宋体"/>
          <w:b/>
          <w:sz w:val="28"/>
          <w:szCs w:val="28"/>
          <w:highlight w:val="none"/>
        </w:rPr>
        <w:t>：法定代表人证明书</w:t>
      </w:r>
      <w:bookmarkEnd w:id="178"/>
      <w:bookmarkEnd w:id="179"/>
      <w:bookmarkEnd w:id="180"/>
      <w:bookmarkEnd w:id="181"/>
    </w:p>
    <w:p w14:paraId="6E07CCE7">
      <w:pPr>
        <w:ind w:firstLine="723"/>
        <w:jc w:val="center"/>
        <w:rPr>
          <w:rFonts w:ascii="宋体"/>
          <w:b/>
          <w:bCs/>
          <w:sz w:val="36"/>
          <w:szCs w:val="36"/>
          <w:highlight w:val="none"/>
        </w:rPr>
      </w:pPr>
    </w:p>
    <w:p w14:paraId="71576EC8">
      <w:pPr>
        <w:ind w:firstLine="723"/>
        <w:jc w:val="center"/>
        <w:rPr>
          <w:rFonts w:ascii="宋体"/>
          <w:b/>
          <w:bCs/>
          <w:sz w:val="36"/>
          <w:szCs w:val="36"/>
          <w:highlight w:val="none"/>
        </w:rPr>
      </w:pPr>
      <w:r>
        <w:rPr>
          <w:rFonts w:hint="eastAsia" w:ascii="宋体" w:hAnsi="宋体"/>
          <w:b/>
          <w:bCs/>
          <w:sz w:val="36"/>
          <w:szCs w:val="36"/>
          <w:highlight w:val="none"/>
        </w:rPr>
        <w:t>法定代表人证明书</w:t>
      </w:r>
    </w:p>
    <w:p w14:paraId="268665DE">
      <w:pPr>
        <w:rPr>
          <w:rFonts w:ascii="宋体"/>
          <w:b/>
          <w:bCs/>
          <w:highlight w:val="none"/>
        </w:rPr>
      </w:pPr>
    </w:p>
    <w:p w14:paraId="56C555FE">
      <w:pPr>
        <w:rPr>
          <w:rFonts w:ascii="宋体"/>
          <w:b/>
          <w:bCs/>
          <w:highlight w:val="none"/>
        </w:rPr>
      </w:pPr>
      <w:r>
        <w:rPr>
          <w:rFonts w:hint="eastAsia" w:ascii="宋体" w:hAnsi="宋体"/>
          <w:b/>
          <w:bCs/>
          <w:highlight w:val="none"/>
        </w:rPr>
        <w:t>致：青海浩驰招标代理有限公司</w:t>
      </w:r>
    </w:p>
    <w:p w14:paraId="67548E16">
      <w:pPr>
        <w:autoSpaceDE w:val="0"/>
        <w:autoSpaceDN w:val="0"/>
        <w:adjustRightInd w:val="0"/>
        <w:ind w:firstLine="480"/>
        <w:jc w:val="left"/>
        <w:rPr>
          <w:rFonts w:ascii="宋体" w:cs="宋体"/>
          <w:kern w:val="0"/>
          <w:highlight w:val="none"/>
        </w:rPr>
      </w:pPr>
    </w:p>
    <w:p w14:paraId="34EF41FA">
      <w:pPr>
        <w:autoSpaceDE w:val="0"/>
        <w:autoSpaceDN w:val="0"/>
        <w:adjustRightInd w:val="0"/>
        <w:ind w:firstLine="480"/>
        <w:jc w:val="left"/>
        <w:rPr>
          <w:rFonts w:ascii="宋体"/>
          <w:highlight w:val="none"/>
        </w:rPr>
      </w:pPr>
      <w:r>
        <w:rPr>
          <w:rFonts w:ascii="宋体" w:hAnsi="宋体"/>
          <w:highlight w:val="none"/>
          <w:u w:val="single"/>
        </w:rPr>
        <w:t xml:space="preserve">  </w:t>
      </w:r>
      <w:r>
        <w:rPr>
          <w:rFonts w:hint="eastAsia" w:ascii="宋体" w:hAnsi="宋体"/>
          <w:highlight w:val="none"/>
          <w:u w:val="single"/>
        </w:rPr>
        <w:t>（法定代表人姓名）</w:t>
      </w:r>
      <w:r>
        <w:rPr>
          <w:rFonts w:ascii="宋体" w:hAnsi="宋体"/>
          <w:highlight w:val="none"/>
          <w:u w:val="single"/>
        </w:rPr>
        <w:t xml:space="preserve">  </w:t>
      </w:r>
      <w:r>
        <w:rPr>
          <w:rFonts w:hint="eastAsia" w:ascii="宋体" w:hAnsi="宋体" w:cs="宋体"/>
          <w:kern w:val="0"/>
          <w:highlight w:val="none"/>
        </w:rPr>
        <w:t>现任我单位</w:t>
      </w:r>
      <w:r>
        <w:rPr>
          <w:rFonts w:ascii="宋体" w:hAnsi="宋体"/>
          <w:highlight w:val="none"/>
          <w:u w:val="single"/>
        </w:rPr>
        <w:t xml:space="preserve">              </w:t>
      </w:r>
      <w:r>
        <w:rPr>
          <w:rFonts w:hint="eastAsia" w:ascii="宋体" w:hAnsi="宋体"/>
          <w:highlight w:val="none"/>
        </w:rPr>
        <w:t>职务，为法定代表人，特此证明。</w:t>
      </w:r>
    </w:p>
    <w:p w14:paraId="0781E337">
      <w:pPr>
        <w:autoSpaceDE w:val="0"/>
        <w:autoSpaceDN w:val="0"/>
        <w:adjustRightInd w:val="0"/>
        <w:ind w:firstLine="480"/>
        <w:jc w:val="left"/>
        <w:rPr>
          <w:rFonts w:ascii="宋体"/>
          <w:highlight w:val="none"/>
        </w:rPr>
      </w:pPr>
    </w:p>
    <w:p w14:paraId="4874565C">
      <w:pPr>
        <w:autoSpaceDE w:val="0"/>
        <w:autoSpaceDN w:val="0"/>
        <w:adjustRightInd w:val="0"/>
        <w:ind w:firstLine="480"/>
        <w:jc w:val="left"/>
        <w:rPr>
          <w:rFonts w:ascii="宋体" w:cs="宋体"/>
          <w:kern w:val="0"/>
          <w:highlight w:val="none"/>
        </w:rPr>
      </w:pPr>
      <w:r>
        <w:rPr>
          <w:rFonts w:hint="eastAsia" w:ascii="宋体" w:hAnsi="宋体"/>
          <w:highlight w:val="none"/>
        </w:rPr>
        <w:t>法定代表人基本情况：</w:t>
      </w:r>
    </w:p>
    <w:p w14:paraId="25A9682C">
      <w:pPr>
        <w:autoSpaceDE w:val="0"/>
        <w:autoSpaceDN w:val="0"/>
        <w:adjustRightInd w:val="0"/>
        <w:ind w:firstLine="480"/>
        <w:jc w:val="left"/>
        <w:rPr>
          <w:rFonts w:ascii="宋体" w:cs="宋体"/>
          <w:kern w:val="0"/>
          <w:highlight w:val="none"/>
        </w:rPr>
      </w:pPr>
      <w:r>
        <w:rPr>
          <w:rFonts w:hint="eastAsia" w:ascii="宋体" w:hAnsi="宋体" w:cs="宋体"/>
          <w:kern w:val="0"/>
          <w:highlight w:val="none"/>
        </w:rPr>
        <w:t>性别：</w:t>
      </w:r>
      <w:r>
        <w:rPr>
          <w:rFonts w:ascii="宋体" w:hAnsi="宋体" w:cs="宋体"/>
          <w:kern w:val="0"/>
          <w:highlight w:val="none"/>
          <w:u w:val="single"/>
        </w:rPr>
        <w:t xml:space="preserve">      </w:t>
      </w:r>
      <w:r>
        <w:rPr>
          <w:rFonts w:hint="eastAsia" w:ascii="宋体" w:hAnsi="宋体" w:cs="宋体"/>
          <w:kern w:val="0"/>
          <w:highlight w:val="none"/>
        </w:rPr>
        <w:t>年龄：</w:t>
      </w:r>
      <w:r>
        <w:rPr>
          <w:rFonts w:ascii="宋体" w:hAnsi="宋体" w:cs="宋体"/>
          <w:kern w:val="0"/>
          <w:highlight w:val="none"/>
          <w:u w:val="single"/>
        </w:rPr>
        <w:t xml:space="preserve">       </w:t>
      </w:r>
      <w:r>
        <w:rPr>
          <w:rFonts w:hint="eastAsia" w:ascii="宋体" w:hAnsi="宋体" w:cs="宋体"/>
          <w:kern w:val="0"/>
          <w:highlight w:val="none"/>
        </w:rPr>
        <w:t>民族：</w:t>
      </w:r>
      <w:r>
        <w:rPr>
          <w:rFonts w:ascii="宋体" w:hAnsi="宋体" w:cs="宋体"/>
          <w:kern w:val="0"/>
          <w:highlight w:val="none"/>
          <w:u w:val="single"/>
        </w:rPr>
        <w:t xml:space="preserve">     </w:t>
      </w:r>
    </w:p>
    <w:p w14:paraId="61F7D3AB">
      <w:pPr>
        <w:autoSpaceDE w:val="0"/>
        <w:autoSpaceDN w:val="0"/>
        <w:adjustRightInd w:val="0"/>
        <w:ind w:firstLine="480"/>
        <w:jc w:val="left"/>
        <w:rPr>
          <w:rFonts w:ascii="宋体" w:cs="宋体"/>
          <w:kern w:val="0"/>
          <w:highlight w:val="none"/>
        </w:rPr>
      </w:pPr>
      <w:r>
        <w:rPr>
          <w:rFonts w:hint="eastAsia" w:ascii="宋体" w:hAnsi="宋体" w:cs="宋体"/>
          <w:kern w:val="0"/>
          <w:highlight w:val="none"/>
        </w:rPr>
        <w:t>地址：</w:t>
      </w:r>
      <w:r>
        <w:rPr>
          <w:rFonts w:ascii="宋体" w:hAnsi="宋体"/>
          <w:highlight w:val="none"/>
          <w:u w:val="single"/>
        </w:rPr>
        <w:t xml:space="preserve">                 </w:t>
      </w:r>
    </w:p>
    <w:p w14:paraId="7E545DC9">
      <w:pPr>
        <w:autoSpaceDE w:val="0"/>
        <w:autoSpaceDN w:val="0"/>
        <w:adjustRightInd w:val="0"/>
        <w:ind w:firstLine="480"/>
        <w:jc w:val="left"/>
        <w:rPr>
          <w:rFonts w:ascii="宋体"/>
          <w:highlight w:val="none"/>
          <w:u w:val="single"/>
        </w:rPr>
      </w:pPr>
      <w:r>
        <w:rPr>
          <w:rFonts w:hint="eastAsia" w:ascii="宋体" w:hAnsi="宋体" w:cs="宋体"/>
          <w:kern w:val="0"/>
          <w:highlight w:val="none"/>
        </w:rPr>
        <w:t>身份证号码：</w:t>
      </w:r>
      <w:r>
        <w:rPr>
          <w:rFonts w:ascii="宋体" w:hAnsi="宋体"/>
          <w:highlight w:val="none"/>
          <w:u w:val="single"/>
        </w:rPr>
        <w:t xml:space="preserve">                 </w:t>
      </w:r>
    </w:p>
    <w:p w14:paraId="38FA9F0A">
      <w:pPr>
        <w:autoSpaceDE w:val="0"/>
        <w:autoSpaceDN w:val="0"/>
        <w:adjustRightInd w:val="0"/>
        <w:ind w:firstLine="480"/>
        <w:jc w:val="left"/>
        <w:rPr>
          <w:rFonts w:ascii="宋体" w:cs="宋体"/>
          <w:kern w:val="0"/>
          <w:highlight w:val="none"/>
        </w:rPr>
      </w:pPr>
      <w:r>
        <w:rPr>
          <w:rFonts w:hint="eastAsia" w:ascii="宋体" w:hAnsi="宋体" w:cs="宋体"/>
          <w:kern w:val="0"/>
          <w:highlight w:val="none"/>
        </w:rPr>
        <w:t>附法定代表人第二代身份证双面扫描（或复印）件</w:t>
      </w:r>
    </w:p>
    <w:p w14:paraId="25555809">
      <w:pPr>
        <w:autoSpaceDE w:val="0"/>
        <w:autoSpaceDN w:val="0"/>
        <w:adjustRightInd w:val="0"/>
        <w:ind w:firstLine="480"/>
        <w:jc w:val="left"/>
        <w:rPr>
          <w:rFonts w:ascii="宋体" w:cs="宋体"/>
          <w:kern w:val="0"/>
          <w:highlight w:val="none"/>
        </w:rPr>
      </w:pPr>
    </w:p>
    <w:p w14:paraId="0DEAB56B">
      <w:pPr>
        <w:autoSpaceDE w:val="0"/>
        <w:autoSpaceDN w:val="0"/>
        <w:adjustRightInd w:val="0"/>
        <w:ind w:firstLine="480"/>
        <w:jc w:val="left"/>
        <w:rPr>
          <w:rFonts w:ascii="宋体" w:cs="宋体"/>
          <w:kern w:val="0"/>
          <w:highlight w:val="none"/>
        </w:rPr>
      </w:pPr>
    </w:p>
    <w:p w14:paraId="15F25F1C">
      <w:pPr>
        <w:autoSpaceDE w:val="0"/>
        <w:autoSpaceDN w:val="0"/>
        <w:adjustRightInd w:val="0"/>
        <w:ind w:firstLine="480"/>
        <w:jc w:val="left"/>
        <w:rPr>
          <w:rFonts w:ascii="宋体" w:cs="宋体"/>
          <w:kern w:val="0"/>
          <w:highlight w:val="none"/>
        </w:rPr>
      </w:pPr>
    </w:p>
    <w:p w14:paraId="21AFC331">
      <w:pPr>
        <w:autoSpaceDE w:val="0"/>
        <w:autoSpaceDN w:val="0"/>
        <w:adjustRightInd w:val="0"/>
        <w:ind w:firstLine="480"/>
        <w:jc w:val="left"/>
        <w:rPr>
          <w:rFonts w:ascii="宋体" w:cs="宋体"/>
          <w:kern w:val="0"/>
          <w:highlight w:val="none"/>
        </w:rPr>
      </w:pPr>
    </w:p>
    <w:p w14:paraId="6AB0301E">
      <w:pPr>
        <w:autoSpaceDE w:val="0"/>
        <w:autoSpaceDN w:val="0"/>
        <w:adjustRightInd w:val="0"/>
        <w:ind w:firstLine="480"/>
        <w:jc w:val="left"/>
        <w:rPr>
          <w:rFonts w:ascii="宋体" w:cs="宋体"/>
          <w:kern w:val="0"/>
          <w:highlight w:val="none"/>
        </w:rPr>
      </w:pPr>
    </w:p>
    <w:p w14:paraId="2AF05D3D">
      <w:pPr>
        <w:autoSpaceDE w:val="0"/>
        <w:autoSpaceDN w:val="0"/>
        <w:adjustRightInd w:val="0"/>
        <w:ind w:firstLine="480"/>
        <w:jc w:val="left"/>
        <w:rPr>
          <w:rFonts w:ascii="宋体" w:cs="宋体"/>
          <w:kern w:val="0"/>
          <w:highlight w:val="none"/>
        </w:rPr>
      </w:pPr>
    </w:p>
    <w:p w14:paraId="18F01ECD">
      <w:pPr>
        <w:autoSpaceDE w:val="0"/>
        <w:autoSpaceDN w:val="0"/>
        <w:adjustRightInd w:val="0"/>
        <w:ind w:firstLine="480"/>
        <w:jc w:val="left"/>
        <w:rPr>
          <w:rFonts w:ascii="宋体" w:cs="宋体"/>
          <w:kern w:val="0"/>
          <w:highlight w:val="none"/>
        </w:rPr>
      </w:pPr>
    </w:p>
    <w:p w14:paraId="474DAAD9">
      <w:pPr>
        <w:autoSpaceDE w:val="0"/>
        <w:autoSpaceDN w:val="0"/>
        <w:adjustRightInd w:val="0"/>
        <w:ind w:firstLine="480"/>
        <w:jc w:val="left"/>
        <w:rPr>
          <w:rFonts w:ascii="宋体" w:cs="宋体"/>
          <w:kern w:val="0"/>
          <w:highlight w:val="none"/>
        </w:rPr>
      </w:pPr>
    </w:p>
    <w:p w14:paraId="679E192F">
      <w:pPr>
        <w:autoSpaceDE w:val="0"/>
        <w:autoSpaceDN w:val="0"/>
        <w:adjustRightInd w:val="0"/>
        <w:ind w:firstLine="480"/>
        <w:jc w:val="left"/>
        <w:rPr>
          <w:rFonts w:ascii="宋体" w:cs="宋体"/>
          <w:kern w:val="0"/>
          <w:highlight w:val="none"/>
        </w:rPr>
      </w:pPr>
    </w:p>
    <w:p w14:paraId="769F5759">
      <w:pPr>
        <w:autoSpaceDE w:val="0"/>
        <w:autoSpaceDN w:val="0"/>
        <w:adjustRightInd w:val="0"/>
        <w:ind w:firstLine="480"/>
        <w:jc w:val="left"/>
        <w:rPr>
          <w:rFonts w:ascii="宋体" w:cs="宋体"/>
          <w:kern w:val="0"/>
          <w:highlight w:val="none"/>
        </w:rPr>
      </w:pPr>
    </w:p>
    <w:p w14:paraId="4F9B8E75">
      <w:pPr>
        <w:autoSpaceDE w:val="0"/>
        <w:autoSpaceDN w:val="0"/>
        <w:adjustRightInd w:val="0"/>
        <w:ind w:firstLine="480"/>
        <w:jc w:val="left"/>
        <w:rPr>
          <w:rFonts w:ascii="宋体" w:cs="宋体"/>
          <w:kern w:val="0"/>
          <w:highlight w:val="none"/>
        </w:rPr>
      </w:pPr>
    </w:p>
    <w:p w14:paraId="5E71760D">
      <w:pPr>
        <w:autoSpaceDE w:val="0"/>
        <w:autoSpaceDN w:val="0"/>
        <w:adjustRightInd w:val="0"/>
        <w:ind w:firstLine="480"/>
        <w:jc w:val="left"/>
        <w:rPr>
          <w:rFonts w:ascii="宋体" w:cs="宋体"/>
          <w:kern w:val="0"/>
          <w:highlight w:val="none"/>
        </w:rPr>
      </w:pPr>
    </w:p>
    <w:p w14:paraId="569C86A5">
      <w:pPr>
        <w:autoSpaceDE w:val="0"/>
        <w:autoSpaceDN w:val="0"/>
        <w:adjustRightInd w:val="0"/>
        <w:ind w:firstLine="480"/>
        <w:jc w:val="left"/>
        <w:rPr>
          <w:rFonts w:ascii="宋体" w:cs="宋体"/>
          <w:kern w:val="0"/>
          <w:highlight w:val="none"/>
        </w:rPr>
      </w:pPr>
    </w:p>
    <w:p w14:paraId="5EFA6120">
      <w:pPr>
        <w:autoSpaceDE w:val="0"/>
        <w:autoSpaceDN w:val="0"/>
        <w:adjustRightInd w:val="0"/>
        <w:ind w:firstLine="480"/>
        <w:jc w:val="left"/>
        <w:rPr>
          <w:rFonts w:ascii="宋体" w:cs="宋体"/>
          <w:kern w:val="0"/>
          <w:highlight w:val="none"/>
        </w:rPr>
      </w:pPr>
    </w:p>
    <w:p w14:paraId="3B8E1FA7">
      <w:pPr>
        <w:autoSpaceDE w:val="0"/>
        <w:autoSpaceDN w:val="0"/>
        <w:adjustRightInd w:val="0"/>
        <w:jc w:val="left"/>
        <w:rPr>
          <w:rFonts w:ascii="宋体" w:cs="宋体"/>
          <w:kern w:val="0"/>
          <w:highlight w:val="none"/>
        </w:rPr>
      </w:pPr>
    </w:p>
    <w:p w14:paraId="4A982DC9">
      <w:pPr>
        <w:ind w:firstLine="3584" w:firstLineChars="1700"/>
        <w:rPr>
          <w:rFonts w:ascii="宋体"/>
          <w:b/>
          <w:highlight w:val="none"/>
        </w:rPr>
      </w:pPr>
      <w:r>
        <w:rPr>
          <w:rFonts w:hint="eastAsia" w:ascii="宋体" w:hAnsi="宋体"/>
          <w:b/>
          <w:highlight w:val="none"/>
        </w:rPr>
        <w:t>投标单位：</w:t>
      </w:r>
      <w:r>
        <w:rPr>
          <w:rFonts w:ascii="宋体" w:hAnsi="宋体" w:cs="宋体"/>
          <w:kern w:val="0"/>
          <w:highlight w:val="none"/>
          <w:u w:val="single"/>
        </w:rPr>
        <w:t xml:space="preserve">       </w:t>
      </w:r>
      <w:r>
        <w:rPr>
          <w:rFonts w:hint="eastAsia" w:ascii="宋体" w:hAnsi="宋体"/>
          <w:b/>
          <w:highlight w:val="none"/>
        </w:rPr>
        <w:t>（公章）</w:t>
      </w:r>
    </w:p>
    <w:p w14:paraId="11AE8128">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bookmarkEnd w:id="182"/>
    <w:bookmarkEnd w:id="183"/>
    <w:p w14:paraId="3EBEBB89">
      <w:pPr>
        <w:rPr>
          <w:rFonts w:ascii="宋体"/>
          <w:b/>
          <w:bCs/>
          <w:highlight w:val="none"/>
        </w:rPr>
      </w:pPr>
    </w:p>
    <w:p w14:paraId="68844773">
      <w:pPr>
        <w:rPr>
          <w:rFonts w:ascii="宋体"/>
          <w:b/>
          <w:bCs/>
          <w:highlight w:val="none"/>
        </w:rPr>
      </w:pPr>
    </w:p>
    <w:p w14:paraId="2BBFDF16">
      <w:pPr>
        <w:widowControl/>
        <w:snapToGrid w:val="0"/>
        <w:spacing w:line="360" w:lineRule="auto"/>
        <w:outlineLvl w:val="9"/>
        <w:rPr>
          <w:rFonts w:ascii="宋体"/>
          <w:b/>
          <w:sz w:val="28"/>
          <w:szCs w:val="28"/>
          <w:highlight w:val="none"/>
        </w:rPr>
      </w:pPr>
      <w:bookmarkStart w:id="184" w:name="_Toc201287639"/>
      <w:bookmarkStart w:id="185" w:name="_Toc324756736"/>
      <w:bookmarkStart w:id="186" w:name="_Toc496626237"/>
    </w:p>
    <w:p w14:paraId="3AA98395">
      <w:pPr>
        <w:widowControl/>
        <w:snapToGrid w:val="0"/>
        <w:spacing w:line="360" w:lineRule="auto"/>
        <w:outlineLvl w:val="9"/>
        <w:rPr>
          <w:rFonts w:ascii="宋体"/>
          <w:b/>
          <w:sz w:val="28"/>
          <w:szCs w:val="28"/>
          <w:highlight w:val="none"/>
        </w:rPr>
      </w:pPr>
    </w:p>
    <w:p w14:paraId="0385EB50">
      <w:pPr>
        <w:widowControl/>
        <w:snapToGrid w:val="0"/>
        <w:spacing w:line="360" w:lineRule="auto"/>
        <w:outlineLvl w:val="9"/>
        <w:rPr>
          <w:rFonts w:ascii="宋体"/>
          <w:b/>
          <w:sz w:val="28"/>
          <w:szCs w:val="28"/>
          <w:highlight w:val="none"/>
        </w:rPr>
      </w:pPr>
    </w:p>
    <w:p w14:paraId="5D49D085">
      <w:pPr>
        <w:widowControl/>
        <w:snapToGrid w:val="0"/>
        <w:spacing w:line="360" w:lineRule="auto"/>
        <w:outlineLvl w:val="9"/>
        <w:rPr>
          <w:rFonts w:ascii="宋体"/>
          <w:b/>
          <w:sz w:val="28"/>
          <w:szCs w:val="28"/>
          <w:highlight w:val="none"/>
        </w:rPr>
      </w:pPr>
    </w:p>
    <w:p w14:paraId="1ED0B29A">
      <w:pPr>
        <w:widowControl/>
        <w:snapToGrid w:val="0"/>
        <w:spacing w:line="360" w:lineRule="auto"/>
        <w:outlineLvl w:val="9"/>
        <w:rPr>
          <w:rFonts w:ascii="宋体"/>
          <w:b/>
          <w:sz w:val="28"/>
          <w:szCs w:val="28"/>
          <w:highlight w:val="none"/>
        </w:rPr>
      </w:pPr>
    </w:p>
    <w:p w14:paraId="4BBCECCE">
      <w:pPr>
        <w:widowControl/>
        <w:snapToGrid w:val="0"/>
        <w:spacing w:line="360" w:lineRule="auto"/>
        <w:outlineLvl w:val="9"/>
        <w:rPr>
          <w:rFonts w:ascii="宋体"/>
          <w:b/>
          <w:sz w:val="28"/>
          <w:szCs w:val="28"/>
          <w:highlight w:val="none"/>
        </w:rPr>
      </w:pPr>
    </w:p>
    <w:p w14:paraId="24862B8F">
      <w:pPr>
        <w:widowControl/>
        <w:snapToGrid w:val="0"/>
        <w:spacing w:line="360" w:lineRule="auto"/>
        <w:outlineLvl w:val="1"/>
        <w:rPr>
          <w:rFonts w:ascii="宋体"/>
          <w:b/>
          <w:sz w:val="28"/>
          <w:szCs w:val="28"/>
          <w:highlight w:val="none"/>
        </w:rPr>
      </w:pPr>
      <w:bookmarkStart w:id="187" w:name="_Toc31297"/>
      <w:r>
        <w:rPr>
          <w:rFonts w:hint="eastAsia" w:ascii="宋体"/>
          <w:b/>
          <w:sz w:val="28"/>
          <w:szCs w:val="28"/>
          <w:highlight w:val="none"/>
        </w:rPr>
        <w:t>附件</w:t>
      </w:r>
      <w:bookmarkEnd w:id="184"/>
      <w:bookmarkEnd w:id="185"/>
      <w:r>
        <w:rPr>
          <w:rFonts w:ascii="宋体"/>
          <w:b/>
          <w:sz w:val="28"/>
          <w:szCs w:val="28"/>
          <w:highlight w:val="none"/>
        </w:rPr>
        <w:t>3</w:t>
      </w:r>
      <w:r>
        <w:rPr>
          <w:rFonts w:hint="eastAsia" w:ascii="宋体"/>
          <w:b/>
          <w:sz w:val="28"/>
          <w:szCs w:val="28"/>
          <w:highlight w:val="none"/>
        </w:rPr>
        <w:t>：法定代表人授权书</w:t>
      </w:r>
      <w:bookmarkEnd w:id="186"/>
      <w:bookmarkEnd w:id="187"/>
    </w:p>
    <w:p w14:paraId="28C56540">
      <w:pPr>
        <w:ind w:firstLine="3813" w:firstLineChars="1055"/>
        <w:rPr>
          <w:rFonts w:ascii="宋体"/>
          <w:b/>
          <w:sz w:val="36"/>
          <w:szCs w:val="36"/>
          <w:highlight w:val="none"/>
        </w:rPr>
      </w:pPr>
    </w:p>
    <w:p w14:paraId="15A140FF">
      <w:pPr>
        <w:ind w:firstLine="2909" w:firstLineChars="805"/>
        <w:rPr>
          <w:rFonts w:ascii="宋体"/>
          <w:b/>
          <w:sz w:val="36"/>
          <w:szCs w:val="36"/>
          <w:highlight w:val="none"/>
        </w:rPr>
      </w:pPr>
      <w:r>
        <w:rPr>
          <w:rFonts w:hint="eastAsia" w:ascii="宋体" w:hAnsi="宋体"/>
          <w:b/>
          <w:sz w:val="36"/>
          <w:szCs w:val="36"/>
          <w:highlight w:val="none"/>
        </w:rPr>
        <w:t>法定代表人授权书</w:t>
      </w:r>
    </w:p>
    <w:p w14:paraId="45B797EC">
      <w:pPr>
        <w:ind w:firstLine="173" w:firstLineChars="82"/>
        <w:rPr>
          <w:rFonts w:ascii="宋体"/>
          <w:b/>
          <w:bCs/>
          <w:highlight w:val="none"/>
        </w:rPr>
      </w:pPr>
    </w:p>
    <w:p w14:paraId="50C15DCB">
      <w:pPr>
        <w:ind w:firstLine="173" w:firstLineChars="82"/>
        <w:rPr>
          <w:rFonts w:ascii="宋体"/>
          <w:b/>
          <w:bCs/>
          <w:highlight w:val="none"/>
        </w:rPr>
      </w:pPr>
      <w:r>
        <w:rPr>
          <w:rFonts w:hint="eastAsia" w:ascii="宋体" w:hAnsi="宋体"/>
          <w:b/>
          <w:bCs/>
          <w:highlight w:val="none"/>
        </w:rPr>
        <w:t>致：青海浩驰招标代理有限公司</w:t>
      </w:r>
    </w:p>
    <w:p w14:paraId="58B4DEC4">
      <w:pPr>
        <w:ind w:firstLine="480"/>
        <w:rPr>
          <w:rFonts w:ascii="宋体"/>
          <w:highlight w:val="none"/>
          <w:u w:val="single"/>
        </w:rPr>
      </w:pPr>
    </w:p>
    <w:p w14:paraId="01541D0E">
      <w:pPr>
        <w:spacing w:line="360" w:lineRule="auto"/>
        <w:ind w:firstLine="480"/>
        <w:rPr>
          <w:rFonts w:ascii="宋体"/>
          <w:highlight w:val="none"/>
        </w:rPr>
      </w:pPr>
      <w:r>
        <w:rPr>
          <w:rFonts w:ascii="宋体" w:hAnsi="宋体"/>
          <w:highlight w:val="none"/>
          <w:u w:val="single"/>
        </w:rPr>
        <w:t xml:space="preserve">  </w:t>
      </w:r>
      <w:r>
        <w:rPr>
          <w:rFonts w:hint="eastAsia" w:ascii="宋体" w:hAnsi="宋体"/>
          <w:highlight w:val="none"/>
          <w:u w:val="single"/>
        </w:rPr>
        <w:t>（供应商名称）</w:t>
      </w:r>
      <w:r>
        <w:rPr>
          <w:rFonts w:ascii="宋体" w:hAnsi="宋体"/>
          <w:highlight w:val="none"/>
          <w:u w:val="single"/>
        </w:rPr>
        <w:t xml:space="preserve">  </w:t>
      </w:r>
      <w:r>
        <w:rPr>
          <w:rFonts w:hint="eastAsia" w:ascii="宋体" w:hAnsi="宋体"/>
          <w:highlight w:val="none"/>
        </w:rPr>
        <w:t>系中华人民共和国合法企业，法定地址</w:t>
      </w:r>
      <w:r>
        <w:rPr>
          <w:rFonts w:ascii="宋体" w:hAnsi="宋体"/>
          <w:highlight w:val="none"/>
          <w:u w:val="single"/>
        </w:rPr>
        <w:t xml:space="preserve">              </w:t>
      </w:r>
      <w:r>
        <w:rPr>
          <w:rFonts w:hint="eastAsia" w:ascii="宋体" w:hAnsi="宋体"/>
          <w:highlight w:val="none"/>
        </w:rPr>
        <w:t>。</w:t>
      </w:r>
    </w:p>
    <w:p w14:paraId="753EA7BC">
      <w:pPr>
        <w:spacing w:line="360" w:lineRule="auto"/>
        <w:ind w:firstLine="480"/>
        <w:rPr>
          <w:rFonts w:ascii="宋体"/>
          <w:highlight w:val="none"/>
        </w:rPr>
      </w:pPr>
      <w:r>
        <w:rPr>
          <w:rFonts w:hint="eastAsia" w:ascii="宋体" w:hAnsi="宋体"/>
          <w:highlight w:val="none"/>
          <w:u w:val="single"/>
        </w:rPr>
        <w:t>（法定代表人姓名）</w:t>
      </w:r>
      <w:r>
        <w:rPr>
          <w:rFonts w:ascii="宋体" w:hAnsi="宋体"/>
          <w:highlight w:val="none"/>
          <w:u w:val="single"/>
        </w:rPr>
        <w:t xml:space="preserve">   </w:t>
      </w:r>
      <w:r>
        <w:rPr>
          <w:rFonts w:hint="eastAsia" w:ascii="宋体" w:hAnsi="宋体"/>
          <w:highlight w:val="none"/>
        </w:rPr>
        <w:t>特授权</w:t>
      </w:r>
      <w:r>
        <w:rPr>
          <w:rFonts w:ascii="宋体" w:hAnsi="宋体"/>
          <w:highlight w:val="none"/>
          <w:u w:val="single"/>
        </w:rPr>
        <w:t xml:space="preserve"> </w:t>
      </w:r>
      <w:r>
        <w:rPr>
          <w:rFonts w:hint="eastAsia" w:ascii="宋体" w:hAnsi="宋体"/>
          <w:highlight w:val="none"/>
          <w:u w:val="single"/>
        </w:rPr>
        <w:t>（委托代理人姓名）</w:t>
      </w:r>
      <w:r>
        <w:rPr>
          <w:rFonts w:ascii="宋体" w:hAnsi="宋体"/>
          <w:highlight w:val="none"/>
          <w:u w:val="single"/>
        </w:rPr>
        <w:t xml:space="preserve">    </w:t>
      </w:r>
      <w:r>
        <w:rPr>
          <w:rFonts w:hint="eastAsia" w:ascii="宋体" w:hAnsi="宋体"/>
          <w:highlight w:val="none"/>
        </w:rPr>
        <w:t>代表我单位全权办理针对</w:t>
      </w:r>
      <w:r>
        <w:rPr>
          <w:rFonts w:ascii="宋体" w:hAnsi="宋体"/>
          <w:highlight w:val="none"/>
          <w:u w:val="single"/>
        </w:rPr>
        <w:t xml:space="preserve">                </w:t>
      </w:r>
      <w:r>
        <w:rPr>
          <w:rFonts w:hint="eastAsia" w:ascii="宋体" w:hAnsi="宋体"/>
          <w:highlight w:val="none"/>
        </w:rPr>
        <w:t>项目的磋商、答疑等具体工作，并签署全部有关的文件、资料。</w:t>
      </w:r>
    </w:p>
    <w:p w14:paraId="5488339C">
      <w:pPr>
        <w:spacing w:line="360" w:lineRule="auto"/>
        <w:ind w:firstLine="480"/>
        <w:rPr>
          <w:rFonts w:ascii="宋体"/>
          <w:highlight w:val="none"/>
        </w:rPr>
      </w:pPr>
      <w:r>
        <w:rPr>
          <w:rFonts w:hint="eastAsia" w:ascii="宋体" w:hAnsi="宋体"/>
          <w:highlight w:val="none"/>
        </w:rPr>
        <w:t>我单位对被授权人的签名负全部责任。</w:t>
      </w:r>
    </w:p>
    <w:p w14:paraId="36D2440A">
      <w:pPr>
        <w:spacing w:line="360" w:lineRule="auto"/>
        <w:ind w:firstLine="480"/>
        <w:rPr>
          <w:rFonts w:ascii="宋体"/>
          <w:highlight w:val="none"/>
        </w:rPr>
      </w:pPr>
      <w:r>
        <w:rPr>
          <w:rFonts w:hint="eastAsia" w:ascii="宋体" w:hAnsi="宋体"/>
          <w:highlight w:val="none"/>
        </w:rPr>
        <w:t>在撤销授权的书面通知以前，本授权书一直有效，被授权人签署的所有文件（在授权书有效期内签署的）不因授权的撤销而失效。</w:t>
      </w:r>
    </w:p>
    <w:p w14:paraId="4EEC8BB6">
      <w:pPr>
        <w:ind w:firstLine="480"/>
        <w:rPr>
          <w:rFonts w:ascii="宋体"/>
          <w:highlight w:val="none"/>
        </w:rPr>
      </w:pPr>
    </w:p>
    <w:p w14:paraId="19B246AB">
      <w:pPr>
        <w:ind w:firstLine="480"/>
        <w:rPr>
          <w:rFonts w:ascii="宋体"/>
          <w:highlight w:val="none"/>
        </w:rPr>
      </w:pPr>
      <w:r>
        <w:rPr>
          <w:rFonts w:hint="eastAsia" w:ascii="宋体" w:hAnsi="宋体"/>
          <w:highlight w:val="none"/>
        </w:rPr>
        <w:t>授权期限：自</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年</w:t>
      </w:r>
      <w:r>
        <w:rPr>
          <w:rFonts w:ascii="宋体" w:hAnsi="宋体"/>
          <w:highlight w:val="none"/>
          <w:u w:val="single"/>
        </w:rPr>
        <w:t xml:space="preserve">   </w:t>
      </w:r>
      <w:r>
        <w:rPr>
          <w:rFonts w:hint="eastAsia" w:ascii="宋体" w:hAnsi="宋体"/>
          <w:highlight w:val="none"/>
        </w:rPr>
        <w:t>月</w:t>
      </w:r>
      <w:r>
        <w:rPr>
          <w:rFonts w:ascii="宋体" w:hAnsi="宋体"/>
          <w:highlight w:val="none"/>
          <w:u w:val="single"/>
        </w:rPr>
        <w:t xml:space="preserve">   </w:t>
      </w:r>
      <w:r>
        <w:rPr>
          <w:rFonts w:hint="eastAsia" w:ascii="宋体" w:hAnsi="宋体"/>
          <w:highlight w:val="none"/>
        </w:rPr>
        <w:t>日起至</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年</w:t>
      </w:r>
      <w:r>
        <w:rPr>
          <w:rFonts w:ascii="宋体" w:hAnsi="宋体"/>
          <w:highlight w:val="none"/>
          <w:u w:val="single"/>
        </w:rPr>
        <w:t xml:space="preserve">   </w:t>
      </w:r>
      <w:r>
        <w:rPr>
          <w:rFonts w:hint="eastAsia" w:ascii="宋体" w:hAnsi="宋体"/>
          <w:highlight w:val="none"/>
        </w:rPr>
        <w:t>月</w:t>
      </w:r>
      <w:r>
        <w:rPr>
          <w:rFonts w:ascii="宋体" w:hAnsi="宋体"/>
          <w:highlight w:val="none"/>
          <w:u w:val="single"/>
        </w:rPr>
        <w:t xml:space="preserve">   </w:t>
      </w:r>
      <w:r>
        <w:rPr>
          <w:rFonts w:hint="eastAsia" w:ascii="宋体" w:hAnsi="宋体"/>
          <w:highlight w:val="none"/>
        </w:rPr>
        <w:t>日止。</w:t>
      </w:r>
    </w:p>
    <w:p w14:paraId="794A414E">
      <w:pPr>
        <w:ind w:firstLine="480"/>
        <w:rPr>
          <w:rFonts w:ascii="宋体"/>
          <w:highlight w:val="none"/>
        </w:rPr>
      </w:pPr>
      <w:r>
        <w:rPr>
          <w:rFonts w:hint="eastAsia" w:ascii="宋体" w:hAnsi="宋体"/>
          <w:highlight w:val="none"/>
        </w:rPr>
        <w:t>被授权人联系电话：</w:t>
      </w:r>
      <w:r>
        <w:rPr>
          <w:rFonts w:ascii="宋体" w:hAnsi="宋体"/>
          <w:highlight w:val="none"/>
          <w:u w:val="single"/>
        </w:rPr>
        <w:t xml:space="preserve">           </w:t>
      </w:r>
    </w:p>
    <w:p w14:paraId="30BE19FB">
      <w:pPr>
        <w:ind w:firstLine="480"/>
        <w:rPr>
          <w:rFonts w:ascii="宋体"/>
          <w:highlight w:val="none"/>
        </w:rPr>
      </w:pPr>
    </w:p>
    <w:p w14:paraId="1E8E8217">
      <w:pPr>
        <w:rPr>
          <w:rFonts w:ascii="宋体"/>
          <w:highlight w:val="none"/>
        </w:rPr>
      </w:pPr>
    </w:p>
    <w:p w14:paraId="5EDD6F2D">
      <w:pPr>
        <w:ind w:firstLine="480"/>
        <w:rPr>
          <w:rFonts w:ascii="宋体"/>
          <w:highlight w:val="none"/>
          <w:u w:val="single"/>
        </w:rPr>
      </w:pPr>
      <w:r>
        <w:rPr>
          <w:rFonts w:hint="eastAsia" w:ascii="宋体" w:hAnsi="宋体"/>
          <w:highlight w:val="none"/>
        </w:rPr>
        <w:t>被授权人（委托代理人）签字：</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授权人（法定代表人）签字或签章：</w:t>
      </w:r>
      <w:r>
        <w:rPr>
          <w:rFonts w:ascii="宋体" w:hAnsi="宋体"/>
          <w:highlight w:val="none"/>
          <w:u w:val="single"/>
        </w:rPr>
        <w:t xml:space="preserve">          </w:t>
      </w:r>
    </w:p>
    <w:p w14:paraId="40F3311D">
      <w:pPr>
        <w:ind w:firstLine="480"/>
        <w:rPr>
          <w:rFonts w:ascii="宋体"/>
          <w:highlight w:val="none"/>
        </w:rPr>
      </w:pPr>
      <w:r>
        <w:rPr>
          <w:rFonts w:hint="eastAsia" w:ascii="宋体" w:hAnsi="宋体"/>
          <w:highlight w:val="none"/>
        </w:rPr>
        <w:t>职务：</w:t>
      </w:r>
      <w:r>
        <w:rPr>
          <w:rFonts w:ascii="宋体" w:hAnsi="宋体"/>
          <w:highlight w:val="none"/>
          <w:u w:val="single"/>
        </w:rPr>
        <w:t xml:space="preserve">            </w:t>
      </w:r>
      <w:r>
        <w:rPr>
          <w:rFonts w:ascii="宋体" w:hAnsi="宋体"/>
          <w:highlight w:val="none"/>
        </w:rPr>
        <w:t xml:space="preserve">                   </w:t>
      </w:r>
      <w:r>
        <w:rPr>
          <w:rFonts w:hint="eastAsia" w:ascii="宋体" w:hAnsi="宋体"/>
          <w:highlight w:val="none"/>
        </w:rPr>
        <w:t>职务：</w:t>
      </w:r>
      <w:r>
        <w:rPr>
          <w:rFonts w:ascii="宋体" w:hAnsi="宋体"/>
          <w:highlight w:val="none"/>
          <w:u w:val="single"/>
        </w:rPr>
        <w:t xml:space="preserve">            </w:t>
      </w:r>
    </w:p>
    <w:p w14:paraId="33CEA0DF">
      <w:pPr>
        <w:autoSpaceDE w:val="0"/>
        <w:autoSpaceDN w:val="0"/>
        <w:adjustRightInd w:val="0"/>
        <w:ind w:firstLine="480"/>
        <w:jc w:val="left"/>
        <w:rPr>
          <w:rFonts w:ascii="宋体" w:cs="宋体"/>
          <w:kern w:val="0"/>
          <w:highlight w:val="none"/>
        </w:rPr>
      </w:pPr>
      <w:r>
        <w:rPr>
          <w:rFonts w:hint="eastAsia" w:ascii="宋体" w:hAnsi="宋体" w:cs="宋体"/>
          <w:kern w:val="0"/>
          <w:highlight w:val="none"/>
        </w:rPr>
        <w:t>附被授权人第二代身份证双面扫描（或复印）件</w:t>
      </w:r>
    </w:p>
    <w:p w14:paraId="34182401">
      <w:pPr>
        <w:ind w:firstLine="480"/>
        <w:jc w:val="center"/>
        <w:rPr>
          <w:rFonts w:ascii="宋体"/>
          <w:highlight w:val="none"/>
        </w:rPr>
      </w:pPr>
    </w:p>
    <w:p w14:paraId="165C7C15">
      <w:pPr>
        <w:ind w:firstLine="480"/>
        <w:rPr>
          <w:rFonts w:ascii="宋体"/>
          <w:highlight w:val="none"/>
        </w:rPr>
      </w:pPr>
    </w:p>
    <w:p w14:paraId="11207D47">
      <w:pPr>
        <w:pStyle w:val="23"/>
        <w:rPr>
          <w:highlight w:val="none"/>
        </w:rPr>
      </w:pPr>
    </w:p>
    <w:p w14:paraId="19052169">
      <w:pPr>
        <w:pStyle w:val="23"/>
        <w:rPr>
          <w:highlight w:val="none"/>
        </w:rPr>
      </w:pPr>
    </w:p>
    <w:p w14:paraId="148F8ED4">
      <w:pPr>
        <w:pStyle w:val="23"/>
        <w:rPr>
          <w:highlight w:val="none"/>
        </w:rPr>
      </w:pPr>
    </w:p>
    <w:p w14:paraId="4F411392">
      <w:pPr>
        <w:pStyle w:val="23"/>
        <w:rPr>
          <w:highlight w:val="none"/>
        </w:rPr>
      </w:pPr>
    </w:p>
    <w:p w14:paraId="21B0D466">
      <w:pPr>
        <w:ind w:firstLine="480"/>
        <w:rPr>
          <w:rFonts w:ascii="宋体"/>
          <w:highlight w:val="none"/>
        </w:rPr>
      </w:pPr>
    </w:p>
    <w:p w14:paraId="7FDAE470">
      <w:pPr>
        <w:rPr>
          <w:rFonts w:ascii="宋体"/>
          <w:highlight w:val="none"/>
        </w:rPr>
      </w:pPr>
    </w:p>
    <w:p w14:paraId="285281E9">
      <w:pPr>
        <w:rPr>
          <w:rFonts w:ascii="宋体"/>
          <w:highlight w:val="none"/>
        </w:rPr>
      </w:pPr>
    </w:p>
    <w:p w14:paraId="1E7D7ED3">
      <w:pPr>
        <w:ind w:firstLine="3857" w:firstLineChars="1837"/>
        <w:rPr>
          <w:rFonts w:ascii="宋体"/>
          <w:b/>
          <w:highlight w:val="none"/>
        </w:rPr>
      </w:pPr>
      <w:r>
        <w:rPr>
          <w:rFonts w:ascii="宋体" w:hAnsi="宋体"/>
          <w:highlight w:val="none"/>
        </w:rPr>
        <w:t xml:space="preserve">  </w:t>
      </w:r>
      <w:r>
        <w:rPr>
          <w:rFonts w:hint="eastAsia" w:ascii="宋体" w:hAnsi="宋体"/>
          <w:b/>
          <w:highlight w:val="none"/>
        </w:rPr>
        <w:t>投标单位：</w:t>
      </w:r>
      <w:r>
        <w:rPr>
          <w:rFonts w:ascii="方正仿宋_GB2312" w:eastAsia="方正仿宋_GB2312" w:cs="宋体"/>
          <w:kern w:val="0"/>
          <w:highlight w:val="none"/>
          <w:u w:val="single"/>
        </w:rPr>
        <w:t xml:space="preserve">       </w:t>
      </w:r>
      <w:r>
        <w:rPr>
          <w:rFonts w:hint="eastAsia" w:ascii="宋体" w:hAnsi="宋体"/>
          <w:b/>
          <w:highlight w:val="none"/>
        </w:rPr>
        <w:t>（公章）</w:t>
      </w:r>
    </w:p>
    <w:p w14:paraId="7C5D3361">
      <w:pPr>
        <w:ind w:firstLine="3662" w:firstLineChars="1737"/>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0791C208">
      <w:pPr>
        <w:rPr>
          <w:rFonts w:ascii="宋体"/>
          <w:b/>
          <w:bCs/>
          <w:sz w:val="28"/>
          <w:szCs w:val="28"/>
          <w:highlight w:val="none"/>
        </w:rPr>
      </w:pPr>
    </w:p>
    <w:p w14:paraId="370B7EE9">
      <w:pPr>
        <w:widowControl/>
        <w:snapToGrid w:val="0"/>
        <w:spacing w:line="360" w:lineRule="auto"/>
        <w:outlineLvl w:val="9"/>
        <w:rPr>
          <w:rFonts w:ascii="宋体"/>
          <w:b/>
          <w:sz w:val="28"/>
          <w:szCs w:val="28"/>
          <w:highlight w:val="none"/>
        </w:rPr>
      </w:pPr>
      <w:bookmarkStart w:id="188" w:name="_Toc496626238"/>
    </w:p>
    <w:p w14:paraId="637922ED">
      <w:pPr>
        <w:widowControl/>
        <w:snapToGrid w:val="0"/>
        <w:spacing w:line="360" w:lineRule="auto"/>
        <w:outlineLvl w:val="9"/>
        <w:rPr>
          <w:rFonts w:ascii="宋体"/>
          <w:b/>
          <w:sz w:val="28"/>
          <w:szCs w:val="28"/>
          <w:highlight w:val="none"/>
        </w:rPr>
      </w:pPr>
    </w:p>
    <w:p w14:paraId="03124B88">
      <w:pPr>
        <w:widowControl/>
        <w:snapToGrid w:val="0"/>
        <w:spacing w:line="360" w:lineRule="auto"/>
        <w:outlineLvl w:val="9"/>
        <w:rPr>
          <w:rFonts w:ascii="宋体"/>
          <w:b/>
          <w:sz w:val="28"/>
          <w:szCs w:val="28"/>
          <w:highlight w:val="none"/>
        </w:rPr>
      </w:pPr>
    </w:p>
    <w:p w14:paraId="1614B9B7">
      <w:pPr>
        <w:widowControl/>
        <w:snapToGrid w:val="0"/>
        <w:spacing w:line="360" w:lineRule="auto"/>
        <w:outlineLvl w:val="1"/>
        <w:rPr>
          <w:rFonts w:ascii="宋体"/>
          <w:b/>
          <w:sz w:val="28"/>
          <w:szCs w:val="28"/>
          <w:highlight w:val="none"/>
        </w:rPr>
      </w:pPr>
      <w:bookmarkStart w:id="189" w:name="_Toc1082"/>
      <w:r>
        <w:rPr>
          <w:rFonts w:hint="eastAsia" w:ascii="宋体"/>
          <w:b/>
          <w:sz w:val="28"/>
          <w:szCs w:val="28"/>
          <w:highlight w:val="none"/>
        </w:rPr>
        <w:t>附件</w:t>
      </w:r>
      <w:r>
        <w:rPr>
          <w:rFonts w:ascii="宋体"/>
          <w:b/>
          <w:sz w:val="28"/>
          <w:szCs w:val="28"/>
          <w:highlight w:val="none"/>
        </w:rPr>
        <w:t>4</w:t>
      </w:r>
      <w:r>
        <w:rPr>
          <w:rFonts w:hint="eastAsia" w:ascii="宋体"/>
          <w:b/>
          <w:sz w:val="28"/>
          <w:szCs w:val="28"/>
          <w:highlight w:val="none"/>
        </w:rPr>
        <w:t>：供应商承诺函</w:t>
      </w:r>
      <w:bookmarkEnd w:id="188"/>
      <w:bookmarkEnd w:id="189"/>
    </w:p>
    <w:p w14:paraId="1F719DFF">
      <w:pPr>
        <w:ind w:firstLine="723"/>
        <w:jc w:val="center"/>
        <w:rPr>
          <w:rFonts w:ascii="宋体"/>
          <w:b/>
          <w:bCs/>
          <w:sz w:val="36"/>
          <w:szCs w:val="36"/>
          <w:highlight w:val="none"/>
        </w:rPr>
      </w:pPr>
    </w:p>
    <w:p w14:paraId="7455C6F4">
      <w:pPr>
        <w:ind w:firstLine="3253" w:firstLineChars="900"/>
        <w:rPr>
          <w:rFonts w:ascii="宋体"/>
          <w:b/>
          <w:bCs/>
          <w:sz w:val="36"/>
          <w:szCs w:val="36"/>
          <w:highlight w:val="none"/>
        </w:rPr>
      </w:pPr>
      <w:r>
        <w:rPr>
          <w:rFonts w:hint="eastAsia" w:ascii="宋体" w:hAnsi="宋体"/>
          <w:b/>
          <w:bCs/>
          <w:sz w:val="36"/>
          <w:szCs w:val="36"/>
          <w:highlight w:val="none"/>
        </w:rPr>
        <w:t>供应商承诺函</w:t>
      </w:r>
    </w:p>
    <w:p w14:paraId="1D9E0790">
      <w:pPr>
        <w:rPr>
          <w:rFonts w:ascii="宋体"/>
          <w:b/>
          <w:bCs/>
          <w:highlight w:val="none"/>
        </w:rPr>
      </w:pPr>
    </w:p>
    <w:p w14:paraId="0993B028">
      <w:pPr>
        <w:rPr>
          <w:rFonts w:ascii="宋体"/>
          <w:b/>
          <w:bCs/>
          <w:highlight w:val="none"/>
        </w:rPr>
      </w:pPr>
      <w:r>
        <w:rPr>
          <w:rFonts w:hint="eastAsia" w:ascii="宋体" w:hAnsi="宋体"/>
          <w:b/>
          <w:bCs/>
          <w:highlight w:val="none"/>
        </w:rPr>
        <w:t>致：青海浩驰招标代理有限公司</w:t>
      </w:r>
    </w:p>
    <w:p w14:paraId="0797FED6">
      <w:pPr>
        <w:ind w:firstLine="480"/>
        <w:rPr>
          <w:rFonts w:ascii="宋体"/>
          <w:highlight w:val="none"/>
        </w:rPr>
      </w:pPr>
      <w:r>
        <w:rPr>
          <w:rFonts w:hint="eastAsia" w:ascii="宋体" w:hAnsi="宋体"/>
          <w:highlight w:val="none"/>
        </w:rPr>
        <w:t>关于贵方</w:t>
      </w:r>
      <w:r>
        <w:rPr>
          <w:rFonts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ascii="宋体" w:hAnsi="宋体"/>
          <w:highlight w:val="none"/>
          <w:u w:val="single"/>
        </w:rPr>
        <w:t xml:space="preserve">  </w:t>
      </w:r>
      <w:r>
        <w:rPr>
          <w:rFonts w:hint="eastAsia" w:ascii="宋体" w:hAnsi="宋体"/>
          <w:highlight w:val="none"/>
        </w:rPr>
        <w:t>月</w:t>
      </w:r>
      <w:r>
        <w:rPr>
          <w:rFonts w:ascii="宋体" w:hAnsi="宋体"/>
          <w:highlight w:val="none"/>
          <w:u w:val="single"/>
        </w:rPr>
        <w:t xml:space="preserve">  </w:t>
      </w:r>
      <w:r>
        <w:rPr>
          <w:rFonts w:hint="eastAsia" w:ascii="宋体" w:hAnsi="宋体"/>
          <w:highlight w:val="none"/>
        </w:rPr>
        <w:t>日</w:t>
      </w:r>
      <w:r>
        <w:rPr>
          <w:rFonts w:hint="eastAsia" w:ascii="宋体" w:hAnsi="宋体"/>
          <w:highlight w:val="none"/>
          <w:lang w:eastAsia="zh-CN"/>
        </w:rPr>
        <w:t>青海浩驰磋商（服务）2026-139号</w:t>
      </w:r>
      <w:r>
        <w:rPr>
          <w:rFonts w:hint="eastAsia" w:ascii="宋体" w:hAnsi="宋体"/>
          <w:highlight w:val="none"/>
        </w:rPr>
        <w:t>采购项目，本签字人愿意参加磋商，提供采购项目服务要求的所有服务，并证实提交的所有资料是准确的和真实的。同时，我代表</w:t>
      </w:r>
      <w:r>
        <w:rPr>
          <w:rFonts w:hint="eastAsia" w:ascii="宋体" w:hAnsi="宋体"/>
          <w:highlight w:val="none"/>
          <w:u w:val="single"/>
        </w:rPr>
        <w:t>（供应商名称）</w:t>
      </w:r>
      <w:r>
        <w:rPr>
          <w:rFonts w:hint="eastAsia" w:ascii="宋体" w:hAnsi="宋体"/>
          <w:highlight w:val="none"/>
        </w:rPr>
        <w:t>，在此作如下承诺：</w:t>
      </w:r>
    </w:p>
    <w:p w14:paraId="77D7F219">
      <w:pPr>
        <w:ind w:firstLine="480"/>
        <w:rPr>
          <w:rFonts w:ascii="宋体"/>
          <w:highlight w:val="none"/>
        </w:rPr>
      </w:pPr>
      <w:r>
        <w:rPr>
          <w:rFonts w:ascii="宋体" w:hAnsi="宋体"/>
          <w:highlight w:val="none"/>
        </w:rPr>
        <w:t xml:space="preserve">  1</w:t>
      </w:r>
      <w:r>
        <w:rPr>
          <w:rFonts w:hint="eastAsia" w:ascii="宋体" w:hAnsi="宋体"/>
          <w:highlight w:val="none"/>
        </w:rPr>
        <w:t>、完全理解和接受磋商文件的一切规定和要求；</w:t>
      </w:r>
    </w:p>
    <w:p w14:paraId="4FEB1A98">
      <w:pPr>
        <w:ind w:firstLine="480"/>
        <w:rPr>
          <w:rFonts w:ascii="宋体"/>
          <w:highlight w:val="none"/>
        </w:rPr>
      </w:pPr>
      <w:r>
        <w:rPr>
          <w:rFonts w:ascii="宋体" w:hAnsi="宋体"/>
          <w:highlight w:val="none"/>
        </w:rPr>
        <w:t xml:space="preserve">  2</w:t>
      </w:r>
      <w:r>
        <w:rPr>
          <w:rFonts w:hint="eastAsia" w:ascii="宋体" w:hAnsi="宋体"/>
          <w:highlight w:val="none"/>
        </w:rPr>
        <w:t>、若成交，我方将按照磋商文件的具体规定与采购人签订采购合同，并且严格履行合同义务，按时提供优质的服务。如果在合同执行过程中，发现服务质量、数量出现问题，我方一定尽快完善，并承担相应的经济责任；</w:t>
      </w:r>
    </w:p>
    <w:p w14:paraId="0F5E3C32">
      <w:pPr>
        <w:ind w:firstLine="525" w:firstLineChars="250"/>
        <w:rPr>
          <w:rFonts w:ascii="宋体"/>
          <w:highlight w:val="none"/>
        </w:rPr>
      </w:pPr>
      <w:r>
        <w:rPr>
          <w:rFonts w:ascii="宋体" w:hAnsi="宋体"/>
          <w:highlight w:val="none"/>
        </w:rPr>
        <w:t>3</w:t>
      </w:r>
      <w:r>
        <w:rPr>
          <w:rFonts w:hint="eastAsia" w:ascii="宋体" w:hAnsi="宋体"/>
          <w:highlight w:val="none"/>
        </w:rPr>
        <w:t>、我方保证甲方在使用该产品或其任何一部分时，不受第三方提出的侵犯专利权、著作权、商标权和工业设计权等知识产权的起诉，若有违犯，愿承担相应的一切责任。</w:t>
      </w:r>
    </w:p>
    <w:p w14:paraId="6FA14565">
      <w:pPr>
        <w:ind w:firstLine="525" w:firstLineChars="250"/>
        <w:rPr>
          <w:rFonts w:ascii="宋体"/>
          <w:highlight w:val="none"/>
        </w:rPr>
      </w:pPr>
      <w:r>
        <w:rPr>
          <w:rFonts w:ascii="宋体" w:hAnsi="宋体"/>
          <w:highlight w:val="none"/>
        </w:rPr>
        <w:t>4</w:t>
      </w:r>
      <w:r>
        <w:rPr>
          <w:rFonts w:hint="eastAsia" w:ascii="宋体" w:hAnsi="宋体"/>
          <w:highlight w:val="none"/>
        </w:rPr>
        <w:t>、我方承诺，除磋商文件中规定的进口产品外，所投的产品均为国产产品，且均符合国家强制性标准。若有不实，愿承担相应的责任。</w:t>
      </w:r>
    </w:p>
    <w:p w14:paraId="59CB7FC3">
      <w:pPr>
        <w:ind w:firstLine="480"/>
        <w:rPr>
          <w:rFonts w:ascii="宋体"/>
          <w:highlight w:val="none"/>
        </w:rPr>
      </w:pPr>
      <w:r>
        <w:rPr>
          <w:rFonts w:ascii="宋体" w:hAnsi="宋体"/>
          <w:highlight w:val="none"/>
        </w:rPr>
        <w:t xml:space="preserve"> 5</w:t>
      </w:r>
      <w:r>
        <w:rPr>
          <w:rFonts w:hint="eastAsia" w:ascii="宋体" w:hAnsi="宋体"/>
          <w:highlight w:val="none"/>
        </w:rPr>
        <w:t>、在整个磋商过程中我方若有违规行为，贵方可按磋商文件之规定给予处罚，我方完全接受。</w:t>
      </w:r>
    </w:p>
    <w:p w14:paraId="037172CA">
      <w:pPr>
        <w:ind w:firstLine="480"/>
        <w:rPr>
          <w:rFonts w:ascii="宋体"/>
          <w:highlight w:val="none"/>
        </w:rPr>
      </w:pPr>
      <w:r>
        <w:rPr>
          <w:rFonts w:ascii="宋体" w:hAnsi="宋体"/>
          <w:highlight w:val="none"/>
        </w:rPr>
        <w:t xml:space="preserve"> 6</w:t>
      </w:r>
      <w:r>
        <w:rPr>
          <w:rFonts w:hint="eastAsia" w:ascii="宋体" w:hAnsi="宋体"/>
          <w:highlight w:val="none"/>
        </w:rPr>
        <w:t>、若成交，本承诺将成为合同不可分割的一部分，与合同具有同等的法律效力。</w:t>
      </w:r>
    </w:p>
    <w:p w14:paraId="502189E3">
      <w:pPr>
        <w:ind w:firstLine="480"/>
        <w:rPr>
          <w:rFonts w:ascii="宋体"/>
          <w:highlight w:val="none"/>
        </w:rPr>
      </w:pPr>
    </w:p>
    <w:p w14:paraId="29ECF3A1">
      <w:pPr>
        <w:ind w:firstLine="480"/>
        <w:rPr>
          <w:rFonts w:ascii="宋体"/>
          <w:highlight w:val="none"/>
        </w:rPr>
      </w:pPr>
    </w:p>
    <w:p w14:paraId="14BD45DE">
      <w:pPr>
        <w:ind w:firstLine="480"/>
        <w:rPr>
          <w:rFonts w:ascii="宋体"/>
          <w:highlight w:val="none"/>
        </w:rPr>
      </w:pPr>
    </w:p>
    <w:p w14:paraId="23A10125">
      <w:pPr>
        <w:ind w:firstLine="480"/>
        <w:rPr>
          <w:rFonts w:ascii="宋体"/>
          <w:highlight w:val="none"/>
        </w:rPr>
      </w:pPr>
    </w:p>
    <w:p w14:paraId="633E5687">
      <w:pPr>
        <w:ind w:firstLine="480"/>
        <w:rPr>
          <w:rFonts w:ascii="宋体"/>
          <w:highlight w:val="none"/>
        </w:rPr>
      </w:pPr>
    </w:p>
    <w:p w14:paraId="1B165EE3">
      <w:pPr>
        <w:ind w:firstLine="480"/>
        <w:rPr>
          <w:rFonts w:ascii="宋体"/>
          <w:highlight w:val="none"/>
        </w:rPr>
      </w:pPr>
    </w:p>
    <w:p w14:paraId="2FB07D1B">
      <w:pPr>
        <w:ind w:firstLine="480"/>
        <w:rPr>
          <w:rFonts w:ascii="宋体"/>
          <w:highlight w:val="none"/>
        </w:rPr>
      </w:pPr>
    </w:p>
    <w:p w14:paraId="5FFA4723">
      <w:pPr>
        <w:ind w:firstLine="480"/>
        <w:rPr>
          <w:rFonts w:ascii="宋体"/>
          <w:highlight w:val="none"/>
        </w:rPr>
      </w:pPr>
    </w:p>
    <w:p w14:paraId="368F37F8">
      <w:pPr>
        <w:ind w:firstLine="480"/>
        <w:rPr>
          <w:rFonts w:ascii="宋体"/>
          <w:highlight w:val="none"/>
        </w:rPr>
      </w:pPr>
    </w:p>
    <w:p w14:paraId="0CCD9DA5">
      <w:pPr>
        <w:ind w:firstLine="480"/>
        <w:rPr>
          <w:rFonts w:ascii="宋体"/>
          <w:highlight w:val="none"/>
        </w:rPr>
      </w:pPr>
    </w:p>
    <w:p w14:paraId="5646D694">
      <w:pPr>
        <w:ind w:firstLine="4294" w:firstLineChars="2037"/>
        <w:rPr>
          <w:rFonts w:ascii="宋体"/>
          <w:b/>
          <w:highlight w:val="none"/>
        </w:rPr>
      </w:pPr>
      <w:r>
        <w:rPr>
          <w:rFonts w:hint="eastAsia" w:ascii="宋体" w:hAnsi="宋体"/>
          <w:b/>
          <w:highlight w:val="none"/>
        </w:rPr>
        <w:t>投标单位：</w:t>
      </w:r>
      <w:r>
        <w:rPr>
          <w:rFonts w:ascii="宋体" w:hAnsi="宋体" w:cs="宋体"/>
          <w:kern w:val="0"/>
          <w:highlight w:val="none"/>
          <w:u w:val="single"/>
        </w:rPr>
        <w:t xml:space="preserve">       </w:t>
      </w:r>
      <w:r>
        <w:rPr>
          <w:rFonts w:hint="eastAsia" w:ascii="宋体" w:hAnsi="宋体"/>
          <w:b/>
          <w:highlight w:val="none"/>
        </w:rPr>
        <w:t>（公章）</w:t>
      </w:r>
    </w:p>
    <w:p w14:paraId="60708767">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宋体" w:hAnsi="宋体" w:cs="宋体"/>
          <w:kern w:val="0"/>
          <w:highlight w:val="none"/>
          <w:u w:val="single"/>
        </w:rPr>
        <w:t xml:space="preserve">       </w:t>
      </w:r>
      <w:r>
        <w:rPr>
          <w:rFonts w:hint="eastAsia" w:ascii="宋体" w:hAnsi="宋体"/>
          <w:b/>
          <w:highlight w:val="none"/>
        </w:rPr>
        <w:t>（签字或盖章）</w:t>
      </w:r>
    </w:p>
    <w:p w14:paraId="617E2501">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61D627CB">
      <w:pPr>
        <w:widowControl/>
        <w:snapToGrid w:val="0"/>
        <w:spacing w:line="360" w:lineRule="auto"/>
        <w:outlineLvl w:val="9"/>
        <w:rPr>
          <w:rFonts w:ascii="宋体"/>
          <w:b/>
          <w:sz w:val="28"/>
          <w:szCs w:val="28"/>
          <w:highlight w:val="none"/>
        </w:rPr>
      </w:pPr>
      <w:bookmarkStart w:id="190" w:name="_Toc496626239"/>
    </w:p>
    <w:p w14:paraId="53B7D9ED">
      <w:pPr>
        <w:widowControl/>
        <w:snapToGrid w:val="0"/>
        <w:spacing w:line="360" w:lineRule="auto"/>
        <w:outlineLvl w:val="9"/>
        <w:rPr>
          <w:rFonts w:ascii="宋体"/>
          <w:b/>
          <w:sz w:val="28"/>
          <w:szCs w:val="28"/>
          <w:highlight w:val="none"/>
        </w:rPr>
      </w:pPr>
    </w:p>
    <w:p w14:paraId="5262DFDA">
      <w:pPr>
        <w:widowControl/>
        <w:snapToGrid w:val="0"/>
        <w:spacing w:line="360" w:lineRule="auto"/>
        <w:outlineLvl w:val="9"/>
        <w:rPr>
          <w:rFonts w:ascii="宋体"/>
          <w:b/>
          <w:sz w:val="28"/>
          <w:szCs w:val="28"/>
          <w:highlight w:val="none"/>
        </w:rPr>
      </w:pPr>
    </w:p>
    <w:p w14:paraId="1D06EFCE">
      <w:pPr>
        <w:widowControl/>
        <w:snapToGrid w:val="0"/>
        <w:spacing w:line="360" w:lineRule="auto"/>
        <w:outlineLvl w:val="9"/>
        <w:rPr>
          <w:rFonts w:ascii="宋体"/>
          <w:b/>
          <w:sz w:val="28"/>
          <w:szCs w:val="28"/>
          <w:highlight w:val="none"/>
        </w:rPr>
      </w:pPr>
    </w:p>
    <w:p w14:paraId="06C19292">
      <w:pPr>
        <w:widowControl/>
        <w:snapToGrid w:val="0"/>
        <w:spacing w:line="360" w:lineRule="auto"/>
        <w:outlineLvl w:val="9"/>
        <w:rPr>
          <w:rFonts w:ascii="宋体"/>
          <w:b/>
          <w:sz w:val="28"/>
          <w:szCs w:val="28"/>
          <w:highlight w:val="none"/>
        </w:rPr>
      </w:pPr>
    </w:p>
    <w:p w14:paraId="462EAF79">
      <w:pPr>
        <w:widowControl/>
        <w:snapToGrid w:val="0"/>
        <w:spacing w:line="360" w:lineRule="auto"/>
        <w:outlineLvl w:val="9"/>
        <w:rPr>
          <w:rFonts w:ascii="宋体"/>
          <w:b/>
          <w:sz w:val="28"/>
          <w:szCs w:val="28"/>
          <w:highlight w:val="none"/>
        </w:rPr>
      </w:pPr>
    </w:p>
    <w:p w14:paraId="0E676EAC">
      <w:pPr>
        <w:widowControl/>
        <w:snapToGrid w:val="0"/>
        <w:spacing w:line="360" w:lineRule="auto"/>
        <w:outlineLvl w:val="1"/>
        <w:rPr>
          <w:rFonts w:ascii="宋体"/>
          <w:b/>
          <w:sz w:val="28"/>
          <w:szCs w:val="28"/>
          <w:highlight w:val="none"/>
        </w:rPr>
      </w:pPr>
      <w:bookmarkStart w:id="191" w:name="_Toc11858"/>
      <w:r>
        <w:rPr>
          <w:rFonts w:hint="eastAsia" w:ascii="宋体"/>
          <w:b/>
          <w:sz w:val="28"/>
          <w:szCs w:val="28"/>
          <w:highlight w:val="none"/>
        </w:rPr>
        <w:t>附件</w:t>
      </w:r>
      <w:bookmarkStart w:id="192" w:name="_Toc365019584"/>
      <w:bookmarkStart w:id="193" w:name="_Toc376936779"/>
      <w:bookmarkStart w:id="194" w:name="_Toc351475542"/>
      <w:r>
        <w:rPr>
          <w:rFonts w:ascii="宋体"/>
          <w:b/>
          <w:sz w:val="28"/>
          <w:szCs w:val="28"/>
          <w:highlight w:val="none"/>
        </w:rPr>
        <w:t>5</w:t>
      </w:r>
      <w:r>
        <w:rPr>
          <w:rFonts w:hint="eastAsia" w:ascii="宋体"/>
          <w:b/>
          <w:sz w:val="28"/>
          <w:szCs w:val="28"/>
          <w:highlight w:val="none"/>
        </w:rPr>
        <w:t>：供应商诚信承诺书</w:t>
      </w:r>
      <w:bookmarkEnd w:id="190"/>
      <w:bookmarkEnd w:id="191"/>
      <w:bookmarkEnd w:id="192"/>
      <w:bookmarkEnd w:id="193"/>
      <w:bookmarkEnd w:id="194"/>
    </w:p>
    <w:p w14:paraId="46BFB71F">
      <w:pPr>
        <w:widowControl/>
        <w:snapToGrid w:val="0"/>
        <w:spacing w:line="360" w:lineRule="auto"/>
        <w:outlineLvl w:val="9"/>
        <w:rPr>
          <w:rFonts w:ascii="宋体"/>
          <w:b/>
          <w:sz w:val="28"/>
          <w:szCs w:val="28"/>
          <w:highlight w:val="none"/>
        </w:rPr>
      </w:pPr>
    </w:p>
    <w:p w14:paraId="4FDD61F6">
      <w:pPr>
        <w:ind w:firstLine="2729" w:firstLineChars="755"/>
        <w:rPr>
          <w:rFonts w:ascii="宋体"/>
          <w:b/>
          <w:sz w:val="36"/>
          <w:szCs w:val="36"/>
          <w:highlight w:val="none"/>
        </w:rPr>
      </w:pPr>
      <w:r>
        <w:rPr>
          <w:rFonts w:hint="eastAsia" w:ascii="宋体" w:hAnsi="宋体"/>
          <w:b/>
          <w:sz w:val="36"/>
          <w:szCs w:val="36"/>
          <w:highlight w:val="none"/>
        </w:rPr>
        <w:t>供应商诚信承诺书</w:t>
      </w:r>
    </w:p>
    <w:p w14:paraId="3751A2BE">
      <w:pPr>
        <w:ind w:firstLine="2729" w:firstLineChars="755"/>
        <w:rPr>
          <w:rFonts w:ascii="宋体"/>
          <w:b/>
          <w:sz w:val="36"/>
          <w:szCs w:val="36"/>
          <w:highlight w:val="none"/>
        </w:rPr>
      </w:pPr>
    </w:p>
    <w:p w14:paraId="6AD62734">
      <w:pPr>
        <w:spacing w:afterLines="50"/>
        <w:rPr>
          <w:rFonts w:ascii="宋体"/>
          <w:b/>
          <w:bCs/>
          <w:highlight w:val="none"/>
        </w:rPr>
      </w:pPr>
      <w:r>
        <w:rPr>
          <w:rFonts w:hint="eastAsia" w:ascii="宋体" w:hAnsi="宋体"/>
          <w:b/>
          <w:bCs/>
          <w:highlight w:val="none"/>
        </w:rPr>
        <w:t>致：青海浩驰招标代理有限公司</w:t>
      </w:r>
    </w:p>
    <w:p w14:paraId="5661BAE2">
      <w:pPr>
        <w:ind w:firstLine="480"/>
        <w:rPr>
          <w:rFonts w:ascii="宋体"/>
          <w:highlight w:val="none"/>
        </w:rPr>
      </w:pPr>
      <w:r>
        <w:rPr>
          <w:rFonts w:hint="eastAsia" w:ascii="宋体" w:hAnsi="宋体"/>
          <w:highlight w:val="none"/>
        </w:rPr>
        <w:t>为了诚实、客观、有序地参与青海省政府采购活动，愿就以下内容作出承诺：</w:t>
      </w:r>
    </w:p>
    <w:p w14:paraId="73227128">
      <w:pPr>
        <w:ind w:firstLine="480"/>
        <w:rPr>
          <w:rFonts w:ascii="宋体"/>
          <w:highlight w:val="none"/>
        </w:rPr>
      </w:pPr>
      <w:r>
        <w:rPr>
          <w:rFonts w:hint="eastAsia" w:ascii="宋体" w:hAnsi="宋体"/>
          <w:highlight w:val="none"/>
        </w:rPr>
        <w:t>一、自觉遵守各项法律、法规、规章、制度以及社会公德，维护廉洁环境，与同场竞争的供应商平等参加政府采购活动。</w:t>
      </w:r>
    </w:p>
    <w:p w14:paraId="23176633">
      <w:pPr>
        <w:ind w:firstLine="480"/>
        <w:rPr>
          <w:rFonts w:ascii="宋体"/>
          <w:highlight w:val="none"/>
        </w:rPr>
      </w:pPr>
      <w:r>
        <w:rPr>
          <w:rFonts w:hint="eastAsia" w:ascii="宋体" w:hAnsi="宋体"/>
          <w:highlight w:val="none"/>
        </w:rPr>
        <w:t>二、参加青海浩驰招标代理有限公司组织的政府采购活动时，严格按照磋商文件的规定和要求提供所需的相关材料，并对所提供的各类资料的真实性负责，不虚假应标，不虚列业绩。</w:t>
      </w:r>
    </w:p>
    <w:p w14:paraId="6F15F298">
      <w:pPr>
        <w:ind w:firstLine="480"/>
        <w:rPr>
          <w:rFonts w:ascii="宋体"/>
          <w:highlight w:val="none"/>
        </w:rPr>
      </w:pPr>
      <w:r>
        <w:rPr>
          <w:rFonts w:hint="eastAsia" w:ascii="宋体" w:hAnsi="宋体"/>
          <w:highlight w:val="none"/>
        </w:rPr>
        <w:t>三、尊重参与政府采购活动各相关方的合法行为，接受政府采购活动依法形成的意见、结果。</w:t>
      </w:r>
    </w:p>
    <w:p w14:paraId="12DBAFA6">
      <w:pPr>
        <w:ind w:firstLine="480"/>
        <w:rPr>
          <w:rFonts w:ascii="宋体"/>
          <w:highlight w:val="none"/>
        </w:rPr>
      </w:pPr>
      <w:r>
        <w:rPr>
          <w:rFonts w:hint="eastAsia" w:ascii="宋体" w:hAnsi="宋体"/>
          <w:highlight w:val="none"/>
        </w:rPr>
        <w:t>四、依法参加政府采购活动，不围标、串标，维护市场秩序，不提供“三无”产品、以次充好。</w:t>
      </w:r>
    </w:p>
    <w:p w14:paraId="1B8BBA2C">
      <w:pPr>
        <w:ind w:firstLine="480"/>
        <w:rPr>
          <w:rFonts w:ascii="宋体"/>
          <w:highlight w:val="none"/>
        </w:rPr>
      </w:pPr>
      <w:r>
        <w:rPr>
          <w:rFonts w:hint="eastAsia" w:ascii="宋体" w:hAnsi="宋体"/>
          <w:highlight w:val="none"/>
        </w:rPr>
        <w:t>五、积极推动政府采购活动健康开展，对采购活动有疑问、异议时，按法律规定的程序实名（加盖单位章和法定代表人签名）反映情况，不恶意中伤、无事生非，以和谐、平等的心态参加政府采购活动。</w:t>
      </w:r>
    </w:p>
    <w:p w14:paraId="73F69452">
      <w:pPr>
        <w:ind w:firstLine="480"/>
        <w:rPr>
          <w:rFonts w:ascii="宋体"/>
          <w:highlight w:val="none"/>
        </w:rPr>
      </w:pPr>
      <w:r>
        <w:rPr>
          <w:rFonts w:hint="eastAsia" w:ascii="宋体" w:hAnsi="宋体"/>
          <w:highlight w:val="none"/>
        </w:rPr>
        <w:t>六、认真履行成交供应商应承担的责任和义务，全面执行采购合同规定的各项内容，保质保量地按时提供采购物品。</w:t>
      </w:r>
    </w:p>
    <w:p w14:paraId="766BB637">
      <w:pPr>
        <w:ind w:firstLine="480"/>
        <w:rPr>
          <w:rFonts w:ascii="宋体"/>
          <w:highlight w:val="none"/>
        </w:rPr>
      </w:pPr>
      <w:r>
        <w:rPr>
          <w:rFonts w:hint="eastAsia" w:ascii="宋体" w:hAnsi="宋体"/>
          <w:highlight w:val="none"/>
        </w:rPr>
        <w:t>若本企业（单位）发生有悖于上述承诺的行为，愿意接受《中华人民共和国政府采购法》和《政府采购法实施条例》中对供应商的相关处理。</w:t>
      </w:r>
    </w:p>
    <w:p w14:paraId="10C3E8F0">
      <w:pPr>
        <w:ind w:firstLine="480"/>
        <w:rPr>
          <w:rFonts w:ascii="宋体"/>
          <w:highlight w:val="none"/>
        </w:rPr>
      </w:pPr>
      <w:r>
        <w:rPr>
          <w:rFonts w:hint="eastAsia" w:ascii="宋体" w:hAnsi="宋体"/>
          <w:highlight w:val="none"/>
        </w:rPr>
        <w:t>本承诺是采购项目磋商响应文件的组成部分。</w:t>
      </w:r>
    </w:p>
    <w:p w14:paraId="5B23EA75">
      <w:pPr>
        <w:spacing w:beforeLines="100"/>
        <w:jc w:val="left"/>
        <w:rPr>
          <w:rFonts w:ascii="宋体"/>
          <w:highlight w:val="none"/>
        </w:rPr>
      </w:pPr>
    </w:p>
    <w:p w14:paraId="34FC74B1">
      <w:pPr>
        <w:spacing w:line="360" w:lineRule="auto"/>
        <w:ind w:firstLine="3268" w:firstLineChars="1550"/>
        <w:rPr>
          <w:rFonts w:ascii="宋体"/>
          <w:b/>
          <w:highlight w:val="none"/>
        </w:rPr>
      </w:pPr>
    </w:p>
    <w:p w14:paraId="11A16F10">
      <w:pPr>
        <w:spacing w:line="360" w:lineRule="auto"/>
        <w:ind w:firstLine="3268" w:firstLineChars="1550"/>
        <w:rPr>
          <w:rFonts w:ascii="宋体"/>
          <w:b/>
          <w:highlight w:val="none"/>
        </w:rPr>
      </w:pPr>
    </w:p>
    <w:p w14:paraId="6E52FF01">
      <w:pPr>
        <w:spacing w:line="360" w:lineRule="auto"/>
        <w:ind w:firstLine="3335" w:firstLineChars="1582"/>
        <w:rPr>
          <w:rFonts w:ascii="宋体"/>
          <w:b/>
          <w:highlight w:val="none"/>
        </w:rPr>
      </w:pPr>
      <w:r>
        <w:rPr>
          <w:rFonts w:hint="eastAsia" w:ascii="宋体" w:hAnsi="宋体"/>
          <w:b/>
          <w:highlight w:val="none"/>
        </w:rPr>
        <w:t>投标单位：</w:t>
      </w:r>
      <w:r>
        <w:rPr>
          <w:rFonts w:ascii="方正仿宋_GB2312" w:eastAsia="方正仿宋_GB2312" w:cs="宋体"/>
          <w:kern w:val="0"/>
          <w:sz w:val="28"/>
          <w:szCs w:val="28"/>
          <w:highlight w:val="none"/>
          <w:u w:val="single"/>
        </w:rPr>
        <w:t xml:space="preserve">       </w:t>
      </w:r>
      <w:r>
        <w:rPr>
          <w:rFonts w:hint="eastAsia" w:ascii="宋体" w:hAnsi="宋体"/>
          <w:b/>
          <w:highlight w:val="none"/>
        </w:rPr>
        <w:t>（公章）</w:t>
      </w:r>
    </w:p>
    <w:p w14:paraId="4B5AA1DC">
      <w:pPr>
        <w:spacing w:line="360" w:lineRule="auto"/>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方正仿宋_GB2312" w:eastAsia="方正仿宋_GB2312" w:cs="宋体"/>
          <w:kern w:val="0"/>
          <w:sz w:val="28"/>
          <w:szCs w:val="28"/>
          <w:highlight w:val="none"/>
          <w:u w:val="single"/>
        </w:rPr>
        <w:t xml:space="preserve">       </w:t>
      </w:r>
      <w:r>
        <w:rPr>
          <w:rFonts w:hint="eastAsia" w:ascii="宋体" w:hAnsi="宋体"/>
          <w:b/>
          <w:highlight w:val="none"/>
        </w:rPr>
        <w:t>（签字或盖章）</w:t>
      </w:r>
    </w:p>
    <w:p w14:paraId="58F83B56">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48FE91CC">
      <w:pPr>
        <w:rPr>
          <w:rFonts w:ascii="宋体"/>
          <w:b/>
          <w:bCs/>
          <w:sz w:val="28"/>
          <w:szCs w:val="28"/>
          <w:highlight w:val="none"/>
        </w:rPr>
      </w:pPr>
    </w:p>
    <w:p w14:paraId="1FB9BFDF">
      <w:pPr>
        <w:widowControl/>
        <w:snapToGrid w:val="0"/>
        <w:spacing w:line="360" w:lineRule="auto"/>
        <w:outlineLvl w:val="9"/>
        <w:rPr>
          <w:rFonts w:ascii="宋体"/>
          <w:b/>
          <w:bCs/>
          <w:sz w:val="28"/>
          <w:szCs w:val="28"/>
          <w:highlight w:val="none"/>
        </w:rPr>
      </w:pPr>
    </w:p>
    <w:p w14:paraId="7A082E62">
      <w:pPr>
        <w:pStyle w:val="10"/>
        <w:outlineLvl w:val="9"/>
        <w:rPr>
          <w:highlight w:val="none"/>
        </w:rPr>
      </w:pPr>
    </w:p>
    <w:p w14:paraId="73C073FD">
      <w:pPr>
        <w:widowControl/>
        <w:snapToGrid w:val="0"/>
        <w:spacing w:line="360" w:lineRule="auto"/>
        <w:outlineLvl w:val="9"/>
        <w:rPr>
          <w:rFonts w:ascii="宋体"/>
          <w:b/>
          <w:sz w:val="28"/>
          <w:szCs w:val="28"/>
          <w:highlight w:val="none"/>
        </w:rPr>
      </w:pPr>
      <w:bookmarkStart w:id="195" w:name="_Toc496626240"/>
    </w:p>
    <w:p w14:paraId="6AF33398">
      <w:pPr>
        <w:pStyle w:val="23"/>
        <w:outlineLvl w:val="9"/>
        <w:rPr>
          <w:highlight w:val="none"/>
        </w:rPr>
      </w:pPr>
    </w:p>
    <w:p w14:paraId="355EBB51">
      <w:pPr>
        <w:widowControl/>
        <w:snapToGrid w:val="0"/>
        <w:spacing w:line="360" w:lineRule="auto"/>
        <w:outlineLvl w:val="1"/>
        <w:rPr>
          <w:rFonts w:ascii="宋体"/>
          <w:b/>
          <w:sz w:val="28"/>
          <w:szCs w:val="28"/>
          <w:highlight w:val="none"/>
        </w:rPr>
      </w:pPr>
      <w:bookmarkStart w:id="196" w:name="_Toc11890"/>
      <w:r>
        <w:rPr>
          <w:rFonts w:hint="eastAsia" w:ascii="宋体"/>
          <w:b/>
          <w:sz w:val="28"/>
          <w:szCs w:val="28"/>
          <w:highlight w:val="none"/>
        </w:rPr>
        <w:t>附件</w:t>
      </w:r>
      <w:r>
        <w:rPr>
          <w:rFonts w:ascii="宋体"/>
          <w:b/>
          <w:sz w:val="28"/>
          <w:szCs w:val="28"/>
          <w:highlight w:val="none"/>
        </w:rPr>
        <w:t>6</w:t>
      </w:r>
      <w:r>
        <w:rPr>
          <w:rFonts w:hint="eastAsia" w:ascii="宋体"/>
          <w:b/>
          <w:sz w:val="28"/>
          <w:szCs w:val="28"/>
          <w:highlight w:val="none"/>
        </w:rPr>
        <w:t>：供应商资格证明文件</w:t>
      </w:r>
      <w:bookmarkEnd w:id="195"/>
      <w:bookmarkEnd w:id="196"/>
    </w:p>
    <w:p w14:paraId="41AC75F0">
      <w:pPr>
        <w:widowControl/>
        <w:snapToGrid w:val="0"/>
        <w:spacing w:line="360" w:lineRule="auto"/>
        <w:outlineLvl w:val="9"/>
        <w:rPr>
          <w:rFonts w:ascii="宋体"/>
          <w:b/>
          <w:sz w:val="28"/>
          <w:szCs w:val="28"/>
          <w:highlight w:val="none"/>
        </w:rPr>
      </w:pPr>
    </w:p>
    <w:p w14:paraId="537E568C">
      <w:pPr>
        <w:ind w:firstLine="3090" w:firstLineChars="855"/>
        <w:rPr>
          <w:rFonts w:ascii="宋体"/>
          <w:b/>
          <w:sz w:val="36"/>
          <w:szCs w:val="36"/>
          <w:highlight w:val="none"/>
        </w:rPr>
      </w:pPr>
      <w:bookmarkStart w:id="197" w:name="_Toc444158184"/>
      <w:bookmarkStart w:id="198" w:name="_Toc455574903"/>
      <w:bookmarkStart w:id="199" w:name="_Toc469410485"/>
      <w:bookmarkStart w:id="200" w:name="_Toc450574560"/>
      <w:bookmarkStart w:id="201" w:name="_Toc491781021"/>
      <w:bookmarkStart w:id="202" w:name="_Toc451333907"/>
      <w:bookmarkStart w:id="203" w:name="_Toc451264359"/>
      <w:bookmarkStart w:id="204" w:name="_Toc482176311"/>
      <w:bookmarkStart w:id="205" w:name="_Toc492284572"/>
      <w:bookmarkStart w:id="206" w:name="_Toc490122951"/>
      <w:bookmarkStart w:id="207" w:name="_Toc441229743"/>
      <w:bookmarkStart w:id="208" w:name="_Toc475526729"/>
      <w:bookmarkStart w:id="209" w:name="_Toc465259557"/>
      <w:r>
        <w:rPr>
          <w:rFonts w:hint="eastAsia" w:ascii="宋体" w:hAnsi="宋体"/>
          <w:b/>
          <w:sz w:val="36"/>
          <w:szCs w:val="36"/>
          <w:highlight w:val="none"/>
        </w:rPr>
        <w:t>供应商资格证明文件</w:t>
      </w:r>
    </w:p>
    <w:p w14:paraId="2859DDD9">
      <w:pPr>
        <w:ind w:firstLine="3090" w:firstLineChars="855"/>
        <w:rPr>
          <w:rFonts w:ascii="宋体"/>
          <w:b/>
          <w:sz w:val="36"/>
          <w:szCs w:val="36"/>
          <w:highlight w:val="none"/>
        </w:rPr>
      </w:pPr>
    </w:p>
    <w:bookmarkEnd w:id="197"/>
    <w:bookmarkEnd w:id="198"/>
    <w:bookmarkEnd w:id="199"/>
    <w:bookmarkEnd w:id="200"/>
    <w:bookmarkEnd w:id="201"/>
    <w:bookmarkEnd w:id="202"/>
    <w:bookmarkEnd w:id="203"/>
    <w:bookmarkEnd w:id="204"/>
    <w:bookmarkEnd w:id="205"/>
    <w:bookmarkEnd w:id="206"/>
    <w:bookmarkEnd w:id="207"/>
    <w:bookmarkEnd w:id="208"/>
    <w:bookmarkEnd w:id="209"/>
    <w:p w14:paraId="642D35B3">
      <w:pPr>
        <w:ind w:firstLine="480"/>
        <w:rPr>
          <w:rFonts w:ascii="宋体"/>
          <w:highlight w:val="none"/>
        </w:rPr>
      </w:pPr>
      <w:r>
        <w:rPr>
          <w:rFonts w:hint="eastAsia" w:ascii="宋体" w:hAnsi="宋体"/>
          <w:highlight w:val="none"/>
        </w:rPr>
        <w:t>资格证明材料包括：提供有效的营业执照、税务登记证、机构代码证或三证（五证）合一统一社会代码证及其他资格证明文件（扫描或复印件）。</w:t>
      </w:r>
    </w:p>
    <w:p w14:paraId="4BD26D69">
      <w:pPr>
        <w:ind w:firstLine="480"/>
        <w:rPr>
          <w:rFonts w:ascii="宋体"/>
          <w:highlight w:val="none"/>
        </w:rPr>
      </w:pPr>
      <w:r>
        <w:rPr>
          <w:rFonts w:ascii="宋体" w:hAnsi="宋体"/>
          <w:highlight w:val="none"/>
        </w:rPr>
        <w:t>1</w:t>
      </w:r>
      <w:r>
        <w:rPr>
          <w:rFonts w:hint="eastAsia" w:ascii="宋体" w:hAnsi="宋体"/>
          <w:highlight w:val="none"/>
        </w:rPr>
        <w:t>、企业法人需提交“统一社会信用代码的营业执照”，未换证的提交“营业执照、组织机构代码证、税务登记证、”；事业法人需提交</w:t>
      </w:r>
      <w:r>
        <w:rPr>
          <w:rFonts w:ascii="宋体" w:hAnsi="宋体"/>
          <w:highlight w:val="none"/>
        </w:rPr>
        <w:t xml:space="preserve"> </w:t>
      </w:r>
      <w:r>
        <w:rPr>
          <w:rFonts w:hint="eastAsia" w:ascii="宋体" w:hAnsi="宋体"/>
          <w:highlight w:val="none"/>
        </w:rPr>
        <w:t>“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w:t>
      </w:r>
      <w:r>
        <w:rPr>
          <w:rFonts w:ascii="宋体" w:hAnsi="宋体"/>
          <w:highlight w:val="none"/>
        </w:rPr>
        <w:t xml:space="preserve"> </w:t>
      </w:r>
      <w:r>
        <w:rPr>
          <w:rFonts w:hint="eastAsia" w:ascii="宋体" w:hAnsi="宋体"/>
          <w:highlight w:val="none"/>
        </w:rPr>
        <w:t>“社会团体法人登记证书”或“民办非企业单位登记证书”或“基金会法人登记证书”和“组织机构代码证”；个体工商户需提交“统一社会信用代码的营业执照”或“营业执照、税务登记证”；自然人需提交身份证明。</w:t>
      </w:r>
    </w:p>
    <w:p w14:paraId="3D3D49D2">
      <w:pPr>
        <w:ind w:firstLine="480"/>
        <w:rPr>
          <w:rFonts w:ascii="宋体"/>
          <w:highlight w:val="none"/>
        </w:rPr>
      </w:pPr>
      <w:r>
        <w:rPr>
          <w:rFonts w:ascii="宋体" w:hAnsi="宋体"/>
          <w:highlight w:val="none"/>
        </w:rPr>
        <w:t>2</w:t>
      </w:r>
      <w:r>
        <w:rPr>
          <w:rFonts w:hint="eastAsia" w:ascii="宋体" w:hAnsi="宋体"/>
          <w:highlight w:val="none"/>
        </w:rPr>
        <w:t>、根据采购项目内容，提供投标人的相关资质证书、许可证等。</w:t>
      </w:r>
    </w:p>
    <w:p w14:paraId="486D17AC">
      <w:pPr>
        <w:widowControl/>
        <w:snapToGrid w:val="0"/>
        <w:spacing w:line="360" w:lineRule="auto"/>
        <w:outlineLvl w:val="9"/>
        <w:rPr>
          <w:rFonts w:ascii="宋体"/>
          <w:b/>
          <w:sz w:val="28"/>
          <w:szCs w:val="28"/>
          <w:highlight w:val="none"/>
        </w:rPr>
      </w:pPr>
    </w:p>
    <w:p w14:paraId="5810162F">
      <w:pPr>
        <w:widowControl/>
        <w:snapToGrid w:val="0"/>
        <w:spacing w:line="360" w:lineRule="auto"/>
        <w:outlineLvl w:val="9"/>
        <w:rPr>
          <w:rFonts w:ascii="宋体"/>
          <w:b/>
          <w:sz w:val="28"/>
          <w:szCs w:val="28"/>
          <w:highlight w:val="none"/>
        </w:rPr>
      </w:pPr>
    </w:p>
    <w:p w14:paraId="5EDB04E1">
      <w:pPr>
        <w:widowControl/>
        <w:snapToGrid w:val="0"/>
        <w:spacing w:line="360" w:lineRule="auto"/>
        <w:outlineLvl w:val="9"/>
        <w:rPr>
          <w:rFonts w:ascii="宋体"/>
          <w:b/>
          <w:sz w:val="28"/>
          <w:szCs w:val="28"/>
          <w:highlight w:val="none"/>
        </w:rPr>
      </w:pPr>
    </w:p>
    <w:p w14:paraId="0E9C6A08">
      <w:pPr>
        <w:widowControl/>
        <w:snapToGrid w:val="0"/>
        <w:spacing w:line="360" w:lineRule="auto"/>
        <w:outlineLvl w:val="9"/>
        <w:rPr>
          <w:rFonts w:ascii="宋体"/>
          <w:b/>
          <w:sz w:val="28"/>
          <w:szCs w:val="28"/>
          <w:highlight w:val="none"/>
        </w:rPr>
      </w:pPr>
    </w:p>
    <w:p w14:paraId="7F5D9597">
      <w:pPr>
        <w:widowControl/>
        <w:snapToGrid w:val="0"/>
        <w:spacing w:line="360" w:lineRule="auto"/>
        <w:outlineLvl w:val="9"/>
        <w:rPr>
          <w:rFonts w:ascii="宋体"/>
          <w:b/>
          <w:sz w:val="28"/>
          <w:szCs w:val="28"/>
          <w:highlight w:val="none"/>
        </w:rPr>
      </w:pPr>
    </w:p>
    <w:p w14:paraId="7A9A2CD3">
      <w:pPr>
        <w:pStyle w:val="14"/>
        <w:outlineLvl w:val="9"/>
        <w:rPr>
          <w:highlight w:val="none"/>
        </w:rPr>
      </w:pPr>
    </w:p>
    <w:p w14:paraId="4DA29E07">
      <w:pPr>
        <w:widowControl/>
        <w:snapToGrid w:val="0"/>
        <w:spacing w:line="360" w:lineRule="auto"/>
        <w:outlineLvl w:val="9"/>
        <w:rPr>
          <w:rFonts w:ascii="宋体"/>
          <w:b/>
          <w:sz w:val="28"/>
          <w:szCs w:val="28"/>
          <w:highlight w:val="none"/>
        </w:rPr>
      </w:pPr>
    </w:p>
    <w:p w14:paraId="476FA67F">
      <w:pPr>
        <w:widowControl/>
        <w:snapToGrid w:val="0"/>
        <w:spacing w:line="360" w:lineRule="auto"/>
        <w:outlineLvl w:val="9"/>
        <w:rPr>
          <w:rFonts w:ascii="宋体"/>
          <w:b/>
          <w:sz w:val="28"/>
          <w:szCs w:val="28"/>
          <w:highlight w:val="none"/>
        </w:rPr>
      </w:pPr>
    </w:p>
    <w:p w14:paraId="303D65FC">
      <w:pPr>
        <w:widowControl/>
        <w:snapToGrid w:val="0"/>
        <w:spacing w:line="360" w:lineRule="auto"/>
        <w:outlineLvl w:val="9"/>
        <w:rPr>
          <w:rFonts w:ascii="宋体"/>
          <w:b/>
          <w:sz w:val="28"/>
          <w:szCs w:val="28"/>
          <w:highlight w:val="none"/>
        </w:rPr>
      </w:pPr>
    </w:p>
    <w:p w14:paraId="577633F8">
      <w:pPr>
        <w:widowControl/>
        <w:snapToGrid w:val="0"/>
        <w:spacing w:line="360" w:lineRule="auto"/>
        <w:outlineLvl w:val="9"/>
        <w:rPr>
          <w:rFonts w:ascii="宋体"/>
          <w:b/>
          <w:sz w:val="28"/>
          <w:szCs w:val="28"/>
          <w:highlight w:val="none"/>
        </w:rPr>
      </w:pPr>
    </w:p>
    <w:p w14:paraId="0D767E81">
      <w:pPr>
        <w:widowControl/>
        <w:snapToGrid w:val="0"/>
        <w:spacing w:line="360" w:lineRule="auto"/>
        <w:outlineLvl w:val="9"/>
        <w:rPr>
          <w:rFonts w:ascii="宋体"/>
          <w:b/>
          <w:sz w:val="28"/>
          <w:szCs w:val="28"/>
          <w:highlight w:val="none"/>
        </w:rPr>
      </w:pPr>
    </w:p>
    <w:p w14:paraId="4255E2F6">
      <w:pPr>
        <w:widowControl/>
        <w:snapToGrid w:val="0"/>
        <w:spacing w:line="360" w:lineRule="auto"/>
        <w:outlineLvl w:val="9"/>
        <w:rPr>
          <w:rFonts w:ascii="宋体"/>
          <w:b/>
          <w:sz w:val="28"/>
          <w:szCs w:val="28"/>
          <w:highlight w:val="none"/>
        </w:rPr>
      </w:pPr>
      <w:bookmarkStart w:id="210" w:name="_Toc496626241"/>
    </w:p>
    <w:p w14:paraId="20733520">
      <w:pPr>
        <w:pStyle w:val="10"/>
        <w:outlineLvl w:val="9"/>
        <w:rPr>
          <w:highlight w:val="none"/>
        </w:rPr>
      </w:pPr>
    </w:p>
    <w:p w14:paraId="5EA2AFA5">
      <w:pPr>
        <w:widowControl/>
        <w:snapToGrid w:val="0"/>
        <w:spacing w:line="360" w:lineRule="auto"/>
        <w:outlineLvl w:val="9"/>
        <w:rPr>
          <w:rFonts w:ascii="宋体"/>
          <w:b/>
          <w:sz w:val="28"/>
          <w:szCs w:val="28"/>
          <w:highlight w:val="none"/>
        </w:rPr>
      </w:pPr>
    </w:p>
    <w:p w14:paraId="02B211DF">
      <w:pPr>
        <w:pStyle w:val="23"/>
        <w:outlineLvl w:val="9"/>
        <w:rPr>
          <w:b/>
          <w:sz w:val="28"/>
          <w:szCs w:val="28"/>
          <w:highlight w:val="none"/>
        </w:rPr>
      </w:pPr>
    </w:p>
    <w:p w14:paraId="627E388B">
      <w:pPr>
        <w:widowControl/>
        <w:snapToGrid w:val="0"/>
        <w:spacing w:line="360" w:lineRule="auto"/>
        <w:outlineLvl w:val="1"/>
        <w:rPr>
          <w:rFonts w:ascii="宋体"/>
          <w:b/>
          <w:sz w:val="28"/>
          <w:szCs w:val="28"/>
          <w:highlight w:val="none"/>
        </w:rPr>
      </w:pPr>
      <w:bookmarkStart w:id="211" w:name="_Toc28555"/>
      <w:r>
        <w:rPr>
          <w:rFonts w:hint="eastAsia" w:ascii="宋体"/>
          <w:b/>
          <w:sz w:val="28"/>
          <w:szCs w:val="28"/>
          <w:highlight w:val="none"/>
        </w:rPr>
        <w:t>附件</w:t>
      </w:r>
      <w:r>
        <w:rPr>
          <w:rFonts w:ascii="宋体"/>
          <w:b/>
          <w:sz w:val="28"/>
          <w:szCs w:val="28"/>
          <w:highlight w:val="none"/>
        </w:rPr>
        <w:t>7</w:t>
      </w:r>
      <w:r>
        <w:rPr>
          <w:rFonts w:hint="eastAsia" w:ascii="宋体"/>
          <w:b/>
          <w:sz w:val="28"/>
          <w:szCs w:val="28"/>
          <w:highlight w:val="none"/>
        </w:rPr>
        <w:t>：财务状况、缴纳税收和社会保障资金证明</w:t>
      </w:r>
      <w:bookmarkEnd w:id="210"/>
      <w:bookmarkEnd w:id="211"/>
    </w:p>
    <w:p w14:paraId="1CFA86AB">
      <w:pPr>
        <w:autoSpaceDE w:val="0"/>
        <w:autoSpaceDN w:val="0"/>
        <w:adjustRightInd w:val="0"/>
        <w:ind w:firstLine="904" w:firstLineChars="250"/>
        <w:jc w:val="center"/>
        <w:rPr>
          <w:rFonts w:ascii="宋体"/>
          <w:b/>
          <w:sz w:val="36"/>
          <w:szCs w:val="36"/>
          <w:highlight w:val="none"/>
        </w:rPr>
      </w:pPr>
    </w:p>
    <w:p w14:paraId="646BCB2E">
      <w:pPr>
        <w:autoSpaceDE w:val="0"/>
        <w:autoSpaceDN w:val="0"/>
        <w:adjustRightInd w:val="0"/>
        <w:ind w:firstLine="904" w:firstLineChars="250"/>
        <w:rPr>
          <w:rFonts w:ascii="宋体"/>
          <w:b/>
          <w:sz w:val="36"/>
          <w:szCs w:val="36"/>
          <w:highlight w:val="none"/>
        </w:rPr>
      </w:pPr>
      <w:r>
        <w:rPr>
          <w:rFonts w:hint="eastAsia" w:ascii="宋体" w:hAnsi="宋体"/>
          <w:b/>
          <w:sz w:val="36"/>
          <w:szCs w:val="36"/>
          <w:highlight w:val="none"/>
        </w:rPr>
        <w:t>财务状况、缴纳税收和社会保障资金证明</w:t>
      </w:r>
    </w:p>
    <w:p w14:paraId="65A4BC73">
      <w:pPr>
        <w:autoSpaceDE w:val="0"/>
        <w:autoSpaceDN w:val="0"/>
        <w:adjustRightInd w:val="0"/>
        <w:ind w:firstLine="904" w:firstLineChars="250"/>
        <w:rPr>
          <w:rFonts w:ascii="宋体"/>
          <w:b/>
          <w:sz w:val="36"/>
          <w:szCs w:val="36"/>
          <w:highlight w:val="none"/>
        </w:rPr>
      </w:pPr>
    </w:p>
    <w:p w14:paraId="30D9AB65">
      <w:pPr>
        <w:ind w:firstLine="480"/>
        <w:rPr>
          <w:rFonts w:hint="eastAsia" w:ascii="宋体" w:hAnsi="宋体" w:eastAsia="宋体" w:cs="Times New Roman"/>
          <w:highlight w:val="none"/>
        </w:rPr>
      </w:pPr>
      <w:r>
        <w:rPr>
          <w:rFonts w:hint="eastAsia" w:ascii="宋体" w:hAnsi="宋体" w:eastAsia="宋体" w:cs="Times New Roman"/>
          <w:highlight w:val="none"/>
        </w:rPr>
        <w:t>按照《政府采购法》第22条规定提供以下相关材料：</w:t>
      </w:r>
    </w:p>
    <w:p w14:paraId="6413C7F3">
      <w:pPr>
        <w:ind w:firstLine="480"/>
        <w:rPr>
          <w:rFonts w:hint="eastAsia" w:ascii="宋体" w:hAnsi="宋体" w:eastAsia="宋体" w:cs="Times New Roman"/>
          <w:highlight w:val="none"/>
        </w:rPr>
      </w:pPr>
      <w:r>
        <w:rPr>
          <w:rFonts w:hint="eastAsia" w:ascii="宋体" w:hAnsi="宋体" w:eastAsia="宋体" w:cs="Times New Roman"/>
          <w:highlight w:val="none"/>
        </w:rPr>
        <w:t>1、</w:t>
      </w:r>
      <w:r>
        <w:rPr>
          <w:rFonts w:hint="eastAsia" w:ascii="宋体" w:hAnsi="宋体" w:eastAsia="宋体" w:cs="Times New Roman"/>
          <w:highlight w:val="none"/>
          <w:lang w:eastAsia="zh-CN"/>
        </w:rPr>
        <w:t>供应商</w:t>
      </w:r>
      <w:r>
        <w:rPr>
          <w:rFonts w:hint="eastAsia" w:ascii="宋体" w:hAnsi="宋体" w:eastAsia="宋体" w:cs="Times New Roman"/>
          <w:highlight w:val="none"/>
        </w:rPr>
        <w:t>是法人的，提供基本开户银行近三个月内出具的资信证明（同时提供基本存款账户开户许可证）或2024年度或2025年度经第三方审计的财务状况报告（扫描或复印件应全面、完整、清晰），包括资产负债表、现金流量表、利润表和财务（会计）报表附注，并提供第三方机构的营业执照、执业证书。</w:t>
      </w:r>
      <w:r>
        <w:rPr>
          <w:rFonts w:hint="eastAsia" w:ascii="宋体" w:hAnsi="宋体" w:eastAsia="宋体" w:cs="Times New Roman"/>
          <w:highlight w:val="none"/>
          <w:lang w:eastAsia="zh-CN"/>
        </w:rPr>
        <w:t>供应商</w:t>
      </w:r>
      <w:r>
        <w:rPr>
          <w:rFonts w:hint="eastAsia" w:ascii="宋体" w:hAnsi="宋体" w:eastAsia="宋体" w:cs="Times New Roman"/>
          <w:highlight w:val="none"/>
        </w:rPr>
        <w:t>是其他组织和自然人，没有经审计的财务报告，可以提供基本开户银行出具的资信证明（同时提供基本存款账户开户许可证）。</w:t>
      </w:r>
    </w:p>
    <w:p w14:paraId="70D811DC">
      <w:pPr>
        <w:ind w:firstLine="480"/>
        <w:rPr>
          <w:rFonts w:hint="eastAsia" w:ascii="宋体" w:hAnsi="宋体" w:eastAsia="宋体" w:cs="Times New Roman"/>
          <w:highlight w:val="none"/>
        </w:rPr>
      </w:pPr>
      <w:r>
        <w:rPr>
          <w:rFonts w:hint="eastAsia" w:ascii="宋体" w:hAnsi="宋体" w:eastAsia="宋体" w:cs="Times New Roman"/>
          <w:highlight w:val="none"/>
        </w:rPr>
        <w:t>2、近半年内任意1个月的依法缴纳税收和社会保障资金记录的证明材料；依法免税或不需要缴纳社会保障资金的</w:t>
      </w:r>
      <w:r>
        <w:rPr>
          <w:rFonts w:hint="eastAsia" w:ascii="宋体" w:hAnsi="宋体" w:eastAsia="宋体" w:cs="Times New Roman"/>
          <w:highlight w:val="none"/>
          <w:lang w:eastAsia="zh-CN"/>
        </w:rPr>
        <w:t>供应商</w:t>
      </w:r>
      <w:r>
        <w:rPr>
          <w:rFonts w:hint="eastAsia" w:ascii="宋体" w:hAnsi="宋体" w:eastAsia="宋体" w:cs="Times New Roman"/>
          <w:highlight w:val="none"/>
        </w:rPr>
        <w:t>须提供相应文件证明其依法免税或不需要缴纳社会保障资金;新成立企业时间不满足上述时间要求的，按成立时限提供，如还没有经营无法提供已缴纳税收证明材料的作出说明和承诺（格式自拟）；当月或新成立企业，未有缴纳社保和税收证明材料的作出说明和承诺（格式自拟）。</w:t>
      </w:r>
    </w:p>
    <w:p w14:paraId="28565E3D">
      <w:pPr>
        <w:tabs>
          <w:tab w:val="left" w:pos="168"/>
        </w:tabs>
        <w:adjustRightInd w:val="0"/>
        <w:ind w:firstLine="480"/>
        <w:textAlignment w:val="baseline"/>
        <w:outlineLvl w:val="9"/>
        <w:rPr>
          <w:rFonts w:ascii="宋体"/>
          <w:highlight w:val="none"/>
        </w:rPr>
      </w:pPr>
    </w:p>
    <w:p w14:paraId="7953F7C4">
      <w:pPr>
        <w:tabs>
          <w:tab w:val="left" w:pos="168"/>
        </w:tabs>
        <w:adjustRightInd w:val="0"/>
        <w:ind w:firstLine="480"/>
        <w:textAlignment w:val="baseline"/>
        <w:outlineLvl w:val="9"/>
        <w:rPr>
          <w:rFonts w:ascii="宋体"/>
          <w:highlight w:val="none"/>
        </w:rPr>
      </w:pPr>
    </w:p>
    <w:p w14:paraId="6E39C431">
      <w:pPr>
        <w:widowControl/>
        <w:snapToGrid w:val="0"/>
        <w:spacing w:line="360" w:lineRule="auto"/>
        <w:outlineLvl w:val="9"/>
        <w:rPr>
          <w:rFonts w:ascii="宋体"/>
          <w:b/>
          <w:highlight w:val="none"/>
        </w:rPr>
      </w:pPr>
    </w:p>
    <w:p w14:paraId="7204B9E8">
      <w:pPr>
        <w:outlineLvl w:val="9"/>
        <w:rPr>
          <w:rFonts w:ascii="宋体"/>
          <w:b/>
          <w:bCs/>
          <w:sz w:val="28"/>
          <w:szCs w:val="28"/>
          <w:highlight w:val="none"/>
        </w:rPr>
      </w:pPr>
    </w:p>
    <w:p w14:paraId="3FA23FAB">
      <w:pPr>
        <w:outlineLvl w:val="9"/>
        <w:rPr>
          <w:rFonts w:ascii="宋体"/>
          <w:b/>
          <w:bCs/>
          <w:sz w:val="28"/>
          <w:szCs w:val="28"/>
          <w:highlight w:val="none"/>
        </w:rPr>
      </w:pPr>
    </w:p>
    <w:p w14:paraId="6A671A4A">
      <w:pPr>
        <w:outlineLvl w:val="9"/>
        <w:rPr>
          <w:rFonts w:ascii="宋体"/>
          <w:b/>
          <w:bCs/>
          <w:sz w:val="28"/>
          <w:szCs w:val="28"/>
          <w:highlight w:val="none"/>
        </w:rPr>
      </w:pPr>
    </w:p>
    <w:p w14:paraId="07C4B1DA">
      <w:pPr>
        <w:outlineLvl w:val="9"/>
        <w:rPr>
          <w:rFonts w:ascii="宋体"/>
          <w:b/>
          <w:bCs/>
          <w:sz w:val="28"/>
          <w:szCs w:val="28"/>
          <w:highlight w:val="none"/>
        </w:rPr>
      </w:pPr>
    </w:p>
    <w:p w14:paraId="1EE8E6FB">
      <w:pPr>
        <w:outlineLvl w:val="9"/>
        <w:rPr>
          <w:rFonts w:ascii="宋体"/>
          <w:b/>
          <w:bCs/>
          <w:sz w:val="28"/>
          <w:szCs w:val="28"/>
          <w:highlight w:val="none"/>
        </w:rPr>
      </w:pPr>
    </w:p>
    <w:p w14:paraId="5290F81A">
      <w:pPr>
        <w:outlineLvl w:val="9"/>
        <w:rPr>
          <w:rFonts w:ascii="宋体"/>
          <w:b/>
          <w:bCs/>
          <w:sz w:val="28"/>
          <w:szCs w:val="28"/>
          <w:highlight w:val="none"/>
        </w:rPr>
      </w:pPr>
    </w:p>
    <w:p w14:paraId="7DA652AF">
      <w:pPr>
        <w:outlineLvl w:val="9"/>
        <w:rPr>
          <w:rFonts w:ascii="宋体"/>
          <w:b/>
          <w:bCs/>
          <w:sz w:val="28"/>
          <w:szCs w:val="28"/>
          <w:highlight w:val="none"/>
        </w:rPr>
      </w:pPr>
    </w:p>
    <w:p w14:paraId="344DFBB6">
      <w:pPr>
        <w:outlineLvl w:val="9"/>
        <w:rPr>
          <w:rFonts w:ascii="宋体"/>
          <w:b/>
          <w:bCs/>
          <w:sz w:val="28"/>
          <w:szCs w:val="28"/>
          <w:highlight w:val="none"/>
        </w:rPr>
      </w:pPr>
    </w:p>
    <w:p w14:paraId="15F59717">
      <w:pPr>
        <w:pStyle w:val="14"/>
        <w:outlineLvl w:val="9"/>
        <w:rPr>
          <w:b/>
          <w:bCs/>
          <w:sz w:val="28"/>
          <w:szCs w:val="28"/>
          <w:highlight w:val="none"/>
        </w:rPr>
      </w:pPr>
    </w:p>
    <w:p w14:paraId="62BF99B2">
      <w:pPr>
        <w:pStyle w:val="14"/>
        <w:outlineLvl w:val="9"/>
        <w:rPr>
          <w:b/>
          <w:bCs/>
          <w:sz w:val="28"/>
          <w:szCs w:val="28"/>
          <w:highlight w:val="none"/>
        </w:rPr>
      </w:pPr>
    </w:p>
    <w:p w14:paraId="4A069CDD">
      <w:pPr>
        <w:pStyle w:val="14"/>
        <w:outlineLvl w:val="9"/>
        <w:rPr>
          <w:b/>
          <w:bCs/>
          <w:sz w:val="28"/>
          <w:szCs w:val="28"/>
          <w:highlight w:val="none"/>
        </w:rPr>
      </w:pPr>
    </w:p>
    <w:p w14:paraId="165BEB6D">
      <w:pPr>
        <w:pStyle w:val="14"/>
        <w:outlineLvl w:val="9"/>
        <w:rPr>
          <w:highlight w:val="none"/>
        </w:rPr>
      </w:pPr>
    </w:p>
    <w:p w14:paraId="045DA34F">
      <w:pPr>
        <w:pStyle w:val="14"/>
        <w:rPr>
          <w:highlight w:val="none"/>
        </w:rPr>
      </w:pPr>
    </w:p>
    <w:p w14:paraId="50184E9A">
      <w:pPr>
        <w:widowControl/>
        <w:snapToGrid w:val="0"/>
        <w:spacing w:line="360" w:lineRule="auto"/>
        <w:outlineLvl w:val="1"/>
        <w:rPr>
          <w:rFonts w:ascii="宋体"/>
          <w:b/>
          <w:sz w:val="28"/>
          <w:szCs w:val="28"/>
          <w:highlight w:val="none"/>
        </w:rPr>
      </w:pPr>
      <w:bookmarkStart w:id="212" w:name="_Toc29123"/>
      <w:bookmarkStart w:id="213" w:name="_Toc496626242"/>
      <w:bookmarkStart w:id="214" w:name="_Toc29145"/>
      <w:r>
        <w:rPr>
          <w:rFonts w:hint="eastAsia" w:ascii="宋体"/>
          <w:b/>
          <w:sz w:val="28"/>
          <w:szCs w:val="28"/>
          <w:highlight w:val="none"/>
        </w:rPr>
        <w:t>附件</w:t>
      </w:r>
      <w:r>
        <w:rPr>
          <w:rFonts w:ascii="宋体"/>
          <w:b/>
          <w:sz w:val="28"/>
          <w:szCs w:val="28"/>
          <w:highlight w:val="none"/>
        </w:rPr>
        <w:t>8</w:t>
      </w:r>
      <w:r>
        <w:rPr>
          <w:rFonts w:hint="eastAsia" w:ascii="宋体"/>
          <w:b/>
          <w:sz w:val="28"/>
          <w:szCs w:val="28"/>
          <w:highlight w:val="none"/>
        </w:rPr>
        <w:t>：无重大违法记录声明</w:t>
      </w:r>
      <w:bookmarkEnd w:id="212"/>
      <w:bookmarkEnd w:id="213"/>
    </w:p>
    <w:p w14:paraId="5344D7CC">
      <w:pPr>
        <w:ind w:firstLine="2909" w:firstLineChars="805"/>
        <w:rPr>
          <w:rFonts w:ascii="宋体"/>
          <w:b/>
          <w:sz w:val="36"/>
          <w:szCs w:val="36"/>
          <w:highlight w:val="none"/>
        </w:rPr>
      </w:pPr>
    </w:p>
    <w:p w14:paraId="32EDBD06">
      <w:pPr>
        <w:ind w:firstLine="2909" w:firstLineChars="805"/>
        <w:rPr>
          <w:rFonts w:ascii="宋体"/>
          <w:b/>
          <w:sz w:val="36"/>
          <w:szCs w:val="36"/>
          <w:highlight w:val="none"/>
        </w:rPr>
      </w:pPr>
      <w:r>
        <w:rPr>
          <w:rFonts w:hint="eastAsia" w:ascii="宋体" w:hAnsi="宋体"/>
          <w:b/>
          <w:sz w:val="36"/>
          <w:szCs w:val="36"/>
          <w:highlight w:val="none"/>
        </w:rPr>
        <w:t>无重大违法记录声明</w:t>
      </w:r>
    </w:p>
    <w:p w14:paraId="63AC1F3B">
      <w:pPr>
        <w:tabs>
          <w:tab w:val="left" w:pos="168"/>
        </w:tabs>
        <w:adjustRightInd w:val="0"/>
        <w:ind w:firstLine="2530" w:firstLineChars="700"/>
        <w:textAlignment w:val="baseline"/>
        <w:rPr>
          <w:rFonts w:ascii="宋体"/>
          <w:b/>
          <w:sz w:val="36"/>
          <w:szCs w:val="36"/>
          <w:highlight w:val="none"/>
        </w:rPr>
      </w:pPr>
    </w:p>
    <w:p w14:paraId="7EDBD4C4">
      <w:pPr>
        <w:tabs>
          <w:tab w:val="left" w:pos="168"/>
        </w:tabs>
        <w:adjustRightInd w:val="0"/>
        <w:ind w:firstLine="480"/>
        <w:textAlignment w:val="baseline"/>
        <w:rPr>
          <w:rFonts w:ascii="宋体"/>
          <w:highlight w:val="none"/>
        </w:rPr>
      </w:pPr>
      <w:r>
        <w:rPr>
          <w:rFonts w:hint="eastAsia" w:ascii="宋体" w:hAnsi="宋体"/>
          <w:highlight w:val="none"/>
        </w:rPr>
        <w:t>提供参加政府采购活动前</w:t>
      </w:r>
      <w:r>
        <w:rPr>
          <w:rFonts w:ascii="宋体" w:hAnsi="宋体"/>
          <w:highlight w:val="none"/>
        </w:rPr>
        <w:t>3</w:t>
      </w:r>
      <w:r>
        <w:rPr>
          <w:rFonts w:hint="eastAsia" w:ascii="宋体" w:hAnsi="宋体"/>
          <w:highlight w:val="none"/>
        </w:rPr>
        <w:t>年内在经营活动中没有重大违法记录的书面声明。（格式可自定）</w:t>
      </w:r>
    </w:p>
    <w:p w14:paraId="5F6D6730">
      <w:pPr>
        <w:tabs>
          <w:tab w:val="left" w:pos="168"/>
        </w:tabs>
        <w:adjustRightInd w:val="0"/>
        <w:textAlignment w:val="baseline"/>
        <w:rPr>
          <w:rFonts w:ascii="宋体"/>
          <w:b/>
          <w:bCs/>
          <w:highlight w:val="none"/>
        </w:rPr>
      </w:pPr>
    </w:p>
    <w:p w14:paraId="55956070">
      <w:pPr>
        <w:tabs>
          <w:tab w:val="left" w:pos="168"/>
        </w:tabs>
        <w:adjustRightInd w:val="0"/>
        <w:textAlignment w:val="baseline"/>
        <w:rPr>
          <w:rFonts w:ascii="宋体"/>
          <w:b/>
          <w:bCs/>
          <w:highlight w:val="none"/>
        </w:rPr>
      </w:pPr>
    </w:p>
    <w:p w14:paraId="4A6CBC09">
      <w:pPr>
        <w:tabs>
          <w:tab w:val="left" w:pos="168"/>
        </w:tabs>
        <w:adjustRightInd w:val="0"/>
        <w:textAlignment w:val="baseline"/>
        <w:rPr>
          <w:rFonts w:ascii="宋体"/>
          <w:b/>
          <w:bCs/>
          <w:highlight w:val="none"/>
        </w:rPr>
      </w:pPr>
    </w:p>
    <w:p w14:paraId="0B0222AF">
      <w:pPr>
        <w:tabs>
          <w:tab w:val="left" w:pos="168"/>
        </w:tabs>
        <w:adjustRightInd w:val="0"/>
        <w:textAlignment w:val="baseline"/>
        <w:rPr>
          <w:rFonts w:ascii="宋体"/>
          <w:b/>
          <w:bCs/>
          <w:highlight w:val="none"/>
        </w:rPr>
      </w:pPr>
    </w:p>
    <w:p w14:paraId="318164E9">
      <w:pPr>
        <w:tabs>
          <w:tab w:val="left" w:pos="168"/>
        </w:tabs>
        <w:adjustRightInd w:val="0"/>
        <w:textAlignment w:val="baseline"/>
        <w:rPr>
          <w:rFonts w:ascii="宋体"/>
          <w:b/>
          <w:bCs/>
          <w:highlight w:val="none"/>
        </w:rPr>
      </w:pPr>
    </w:p>
    <w:p w14:paraId="6FC7783F">
      <w:pPr>
        <w:tabs>
          <w:tab w:val="left" w:pos="168"/>
        </w:tabs>
        <w:adjustRightInd w:val="0"/>
        <w:textAlignment w:val="baseline"/>
        <w:rPr>
          <w:rFonts w:ascii="宋体"/>
          <w:b/>
          <w:bCs/>
          <w:highlight w:val="none"/>
        </w:rPr>
      </w:pPr>
    </w:p>
    <w:p w14:paraId="7ADFC0A6">
      <w:pPr>
        <w:tabs>
          <w:tab w:val="left" w:pos="168"/>
        </w:tabs>
        <w:adjustRightInd w:val="0"/>
        <w:textAlignment w:val="baseline"/>
        <w:rPr>
          <w:rFonts w:ascii="宋体"/>
          <w:b/>
          <w:bCs/>
          <w:highlight w:val="none"/>
        </w:rPr>
      </w:pPr>
    </w:p>
    <w:p w14:paraId="02D9FD44">
      <w:pPr>
        <w:tabs>
          <w:tab w:val="left" w:pos="168"/>
        </w:tabs>
        <w:adjustRightInd w:val="0"/>
        <w:textAlignment w:val="baseline"/>
        <w:rPr>
          <w:rFonts w:ascii="宋体"/>
          <w:b/>
          <w:bCs/>
          <w:highlight w:val="none"/>
        </w:rPr>
      </w:pPr>
    </w:p>
    <w:p w14:paraId="566223D0">
      <w:pPr>
        <w:tabs>
          <w:tab w:val="left" w:pos="168"/>
        </w:tabs>
        <w:adjustRightInd w:val="0"/>
        <w:textAlignment w:val="baseline"/>
        <w:rPr>
          <w:rFonts w:ascii="宋体"/>
          <w:b/>
          <w:bCs/>
          <w:highlight w:val="none"/>
        </w:rPr>
      </w:pPr>
    </w:p>
    <w:p w14:paraId="78CE9CAD">
      <w:pPr>
        <w:tabs>
          <w:tab w:val="left" w:pos="168"/>
        </w:tabs>
        <w:adjustRightInd w:val="0"/>
        <w:textAlignment w:val="baseline"/>
        <w:rPr>
          <w:rFonts w:ascii="宋体"/>
          <w:b/>
          <w:bCs/>
          <w:highlight w:val="none"/>
        </w:rPr>
      </w:pPr>
    </w:p>
    <w:p w14:paraId="55ADA262">
      <w:pPr>
        <w:tabs>
          <w:tab w:val="left" w:pos="168"/>
        </w:tabs>
        <w:adjustRightInd w:val="0"/>
        <w:textAlignment w:val="baseline"/>
        <w:rPr>
          <w:rFonts w:ascii="宋体"/>
          <w:b/>
          <w:bCs/>
          <w:highlight w:val="none"/>
        </w:rPr>
      </w:pPr>
    </w:p>
    <w:p w14:paraId="0A6A9B1B">
      <w:pPr>
        <w:tabs>
          <w:tab w:val="left" w:pos="168"/>
        </w:tabs>
        <w:adjustRightInd w:val="0"/>
        <w:textAlignment w:val="baseline"/>
        <w:rPr>
          <w:rFonts w:ascii="宋体"/>
          <w:b/>
          <w:bCs/>
          <w:highlight w:val="none"/>
        </w:rPr>
      </w:pPr>
    </w:p>
    <w:p w14:paraId="0A385D7F">
      <w:pPr>
        <w:tabs>
          <w:tab w:val="left" w:pos="168"/>
        </w:tabs>
        <w:adjustRightInd w:val="0"/>
        <w:textAlignment w:val="baseline"/>
        <w:rPr>
          <w:rFonts w:ascii="宋体"/>
          <w:b/>
          <w:bCs/>
          <w:highlight w:val="none"/>
        </w:rPr>
      </w:pPr>
    </w:p>
    <w:p w14:paraId="24131272">
      <w:pPr>
        <w:tabs>
          <w:tab w:val="left" w:pos="168"/>
        </w:tabs>
        <w:adjustRightInd w:val="0"/>
        <w:textAlignment w:val="baseline"/>
        <w:rPr>
          <w:rFonts w:ascii="宋体"/>
          <w:b/>
          <w:bCs/>
          <w:highlight w:val="none"/>
        </w:rPr>
      </w:pPr>
    </w:p>
    <w:p w14:paraId="0BB182EC">
      <w:pPr>
        <w:tabs>
          <w:tab w:val="left" w:pos="168"/>
        </w:tabs>
        <w:adjustRightInd w:val="0"/>
        <w:textAlignment w:val="baseline"/>
        <w:rPr>
          <w:rFonts w:ascii="宋体"/>
          <w:b/>
          <w:bCs/>
          <w:highlight w:val="none"/>
        </w:rPr>
      </w:pPr>
    </w:p>
    <w:p w14:paraId="486FF71D">
      <w:pPr>
        <w:tabs>
          <w:tab w:val="left" w:pos="168"/>
        </w:tabs>
        <w:adjustRightInd w:val="0"/>
        <w:textAlignment w:val="baseline"/>
        <w:rPr>
          <w:rFonts w:ascii="宋体"/>
          <w:b/>
          <w:bCs/>
          <w:highlight w:val="none"/>
        </w:rPr>
      </w:pPr>
    </w:p>
    <w:p w14:paraId="04E7DC51">
      <w:pPr>
        <w:tabs>
          <w:tab w:val="left" w:pos="168"/>
        </w:tabs>
        <w:adjustRightInd w:val="0"/>
        <w:textAlignment w:val="baseline"/>
        <w:rPr>
          <w:rFonts w:ascii="宋体"/>
          <w:b/>
          <w:bCs/>
          <w:highlight w:val="none"/>
        </w:rPr>
      </w:pPr>
    </w:p>
    <w:p w14:paraId="77159233">
      <w:pPr>
        <w:tabs>
          <w:tab w:val="left" w:pos="168"/>
        </w:tabs>
        <w:adjustRightInd w:val="0"/>
        <w:textAlignment w:val="baseline"/>
        <w:rPr>
          <w:rFonts w:ascii="宋体"/>
          <w:b/>
          <w:bCs/>
          <w:highlight w:val="none"/>
        </w:rPr>
      </w:pPr>
    </w:p>
    <w:p w14:paraId="7EE0BC3A">
      <w:pPr>
        <w:tabs>
          <w:tab w:val="left" w:pos="168"/>
        </w:tabs>
        <w:adjustRightInd w:val="0"/>
        <w:textAlignment w:val="baseline"/>
        <w:rPr>
          <w:rFonts w:ascii="宋体"/>
          <w:b/>
          <w:bCs/>
          <w:highlight w:val="none"/>
        </w:rPr>
      </w:pPr>
    </w:p>
    <w:p w14:paraId="4640F5BD">
      <w:pPr>
        <w:tabs>
          <w:tab w:val="left" w:pos="168"/>
        </w:tabs>
        <w:adjustRightInd w:val="0"/>
        <w:textAlignment w:val="baseline"/>
        <w:rPr>
          <w:rFonts w:ascii="宋体"/>
          <w:b/>
          <w:bCs/>
          <w:highlight w:val="none"/>
        </w:rPr>
      </w:pPr>
    </w:p>
    <w:p w14:paraId="74BFC562">
      <w:pPr>
        <w:tabs>
          <w:tab w:val="left" w:pos="168"/>
        </w:tabs>
        <w:adjustRightInd w:val="0"/>
        <w:textAlignment w:val="baseline"/>
        <w:rPr>
          <w:rFonts w:ascii="宋体"/>
          <w:b/>
          <w:bCs/>
          <w:highlight w:val="none"/>
        </w:rPr>
      </w:pPr>
    </w:p>
    <w:p w14:paraId="5A7BB1F1">
      <w:pPr>
        <w:tabs>
          <w:tab w:val="left" w:pos="168"/>
        </w:tabs>
        <w:adjustRightInd w:val="0"/>
        <w:textAlignment w:val="baseline"/>
        <w:rPr>
          <w:rFonts w:ascii="宋体"/>
          <w:b/>
          <w:bCs/>
          <w:highlight w:val="none"/>
        </w:rPr>
      </w:pPr>
    </w:p>
    <w:p w14:paraId="194C3C92">
      <w:pPr>
        <w:tabs>
          <w:tab w:val="left" w:pos="168"/>
        </w:tabs>
        <w:adjustRightInd w:val="0"/>
        <w:textAlignment w:val="baseline"/>
        <w:rPr>
          <w:rFonts w:ascii="宋体"/>
          <w:b/>
          <w:bCs/>
          <w:highlight w:val="none"/>
        </w:rPr>
      </w:pPr>
    </w:p>
    <w:p w14:paraId="5CA3324D">
      <w:pPr>
        <w:widowControl/>
        <w:snapToGrid w:val="0"/>
        <w:spacing w:line="360" w:lineRule="auto"/>
        <w:outlineLvl w:val="9"/>
        <w:rPr>
          <w:rFonts w:ascii="宋体"/>
          <w:b/>
          <w:sz w:val="28"/>
          <w:szCs w:val="28"/>
          <w:highlight w:val="none"/>
        </w:rPr>
      </w:pPr>
    </w:p>
    <w:p w14:paraId="0BBDD38F">
      <w:pPr>
        <w:rPr>
          <w:rFonts w:ascii="宋体"/>
          <w:highlight w:val="none"/>
        </w:rPr>
      </w:pPr>
      <w:r>
        <w:rPr>
          <w:rFonts w:ascii="宋体"/>
          <w:b/>
          <w:sz w:val="28"/>
          <w:szCs w:val="28"/>
          <w:highlight w:val="none"/>
        </w:rPr>
        <w:br w:type="page"/>
      </w:r>
    </w:p>
    <w:bookmarkEnd w:id="214"/>
    <w:p w14:paraId="360E2718">
      <w:pPr>
        <w:pStyle w:val="25"/>
        <w:spacing w:line="360" w:lineRule="auto"/>
        <w:jc w:val="left"/>
        <w:outlineLvl w:val="1"/>
        <w:rPr>
          <w:rFonts w:ascii="宋体" w:hAnsi="宋体" w:cs="宋体"/>
          <w:highlight w:val="none"/>
        </w:rPr>
      </w:pPr>
      <w:bookmarkStart w:id="215" w:name="_Toc15555"/>
      <w:bookmarkStart w:id="216" w:name="_Toc8350"/>
      <w:bookmarkStart w:id="217" w:name="_Toc28726"/>
      <w:r>
        <w:rPr>
          <w:rFonts w:hint="eastAsia" w:ascii="宋体"/>
          <w:sz w:val="28"/>
          <w:szCs w:val="28"/>
          <w:highlight w:val="none"/>
        </w:rPr>
        <w:t>附件9：</w:t>
      </w:r>
      <w:r>
        <w:rPr>
          <w:rFonts w:hint="eastAsia" w:ascii="宋体" w:hAnsi="宋体" w:cs="宋体"/>
          <w:sz w:val="30"/>
          <w:szCs w:val="30"/>
          <w:highlight w:val="none"/>
          <w:lang w:val="zh-CN"/>
        </w:rPr>
        <w:t>具备履行合同所必需的设备和专业技术能力的证明材料</w:t>
      </w:r>
      <w:bookmarkEnd w:id="215"/>
      <w:bookmarkEnd w:id="216"/>
    </w:p>
    <w:p w14:paraId="10BD64B0">
      <w:pPr>
        <w:autoSpaceDE w:val="0"/>
        <w:autoSpaceDN w:val="0"/>
        <w:spacing w:line="360" w:lineRule="auto"/>
        <w:rPr>
          <w:rFonts w:ascii="宋体" w:hAnsi="宋体" w:cs="宋体"/>
          <w:kern w:val="0"/>
          <w:sz w:val="28"/>
          <w:szCs w:val="28"/>
          <w:highlight w:val="none"/>
          <w:lang w:val="zh-CN"/>
        </w:rPr>
      </w:pPr>
    </w:p>
    <w:p w14:paraId="00C7DAA4">
      <w:pPr>
        <w:autoSpaceDE w:val="0"/>
        <w:autoSpaceDN w:val="0"/>
        <w:spacing w:line="360" w:lineRule="auto"/>
        <w:jc w:val="center"/>
        <w:rPr>
          <w:rFonts w:ascii="宋体" w:hAnsi="宋体" w:cs="宋体"/>
          <w:b/>
          <w:bCs/>
          <w:kern w:val="0"/>
          <w:sz w:val="36"/>
          <w:szCs w:val="36"/>
          <w:highlight w:val="none"/>
          <w:lang w:val="zh-CN"/>
        </w:rPr>
      </w:pPr>
      <w:r>
        <w:rPr>
          <w:rFonts w:hint="eastAsia" w:ascii="宋体" w:hAnsi="宋体" w:cs="宋体"/>
          <w:b/>
          <w:bCs/>
          <w:kern w:val="0"/>
          <w:sz w:val="28"/>
          <w:szCs w:val="28"/>
          <w:highlight w:val="none"/>
          <w:lang w:val="zh-CN"/>
        </w:rPr>
        <w:t>具备履行合同所必需的设备和专业技术能力的证明材料</w:t>
      </w:r>
    </w:p>
    <w:p w14:paraId="3282B050">
      <w:pPr>
        <w:autoSpaceDE w:val="0"/>
        <w:autoSpaceDN w:val="0"/>
        <w:spacing w:line="360" w:lineRule="auto"/>
        <w:ind w:firstLine="480"/>
        <w:rPr>
          <w:rFonts w:ascii="宋体" w:hAnsi="宋体" w:cs="宋体"/>
          <w:kern w:val="0"/>
          <w:highlight w:val="none"/>
          <w:lang w:val="zh-CN"/>
        </w:rPr>
      </w:pPr>
    </w:p>
    <w:p w14:paraId="1A7C5BBB">
      <w:pPr>
        <w:autoSpaceDE w:val="0"/>
        <w:autoSpaceDN w:val="0"/>
        <w:spacing w:line="360" w:lineRule="auto"/>
        <w:ind w:firstLine="480"/>
        <w:rPr>
          <w:rFonts w:ascii="宋体" w:hAnsi="宋体" w:cs="宋体"/>
          <w:kern w:val="0"/>
          <w:highlight w:val="none"/>
          <w:lang w:val="zh-CN"/>
        </w:rPr>
      </w:pPr>
      <w:r>
        <w:rPr>
          <w:rFonts w:hint="eastAsia" w:ascii="宋体" w:hAnsi="宋体" w:cs="宋体"/>
          <w:kern w:val="0"/>
          <w:highlight w:val="none"/>
          <w:lang w:val="zh-CN"/>
        </w:rPr>
        <w:t>为保证本项目合同的顺利履行，供应商必须具备履行合同的设备和专业技术能力，须提供必须具备履行合同的设备和专业技术能力的承诺函（格式自拟）。</w:t>
      </w:r>
    </w:p>
    <w:p w14:paraId="1D909CA5">
      <w:pPr>
        <w:ind w:firstLine="175" w:firstLineChars="83"/>
        <w:rPr>
          <w:b/>
          <w:highlight w:val="none"/>
        </w:rPr>
      </w:pPr>
    </w:p>
    <w:p w14:paraId="0F9D1928">
      <w:pPr>
        <w:ind w:firstLine="175" w:firstLineChars="83"/>
        <w:rPr>
          <w:b/>
          <w:highlight w:val="none"/>
        </w:rPr>
      </w:pPr>
    </w:p>
    <w:p w14:paraId="3A121FD6">
      <w:pPr>
        <w:ind w:firstLine="175" w:firstLineChars="83"/>
        <w:rPr>
          <w:b/>
          <w:highlight w:val="none"/>
        </w:rPr>
      </w:pPr>
    </w:p>
    <w:p w14:paraId="3E8B086B">
      <w:pPr>
        <w:ind w:firstLine="175" w:firstLineChars="83"/>
        <w:rPr>
          <w:b/>
          <w:highlight w:val="none"/>
        </w:rPr>
      </w:pPr>
    </w:p>
    <w:p w14:paraId="7E4B8D33">
      <w:pPr>
        <w:ind w:firstLine="175" w:firstLineChars="83"/>
        <w:rPr>
          <w:b/>
          <w:highlight w:val="none"/>
        </w:rPr>
      </w:pPr>
    </w:p>
    <w:p w14:paraId="664F0529">
      <w:pPr>
        <w:ind w:firstLine="175" w:firstLineChars="83"/>
        <w:rPr>
          <w:b/>
          <w:highlight w:val="none"/>
        </w:rPr>
      </w:pPr>
    </w:p>
    <w:p w14:paraId="603591A2">
      <w:pPr>
        <w:ind w:firstLine="175" w:firstLineChars="83"/>
        <w:rPr>
          <w:b/>
          <w:highlight w:val="none"/>
        </w:rPr>
      </w:pPr>
    </w:p>
    <w:p w14:paraId="757B4F8D">
      <w:pPr>
        <w:ind w:firstLine="175" w:firstLineChars="83"/>
        <w:rPr>
          <w:b/>
          <w:highlight w:val="none"/>
        </w:rPr>
      </w:pPr>
    </w:p>
    <w:p w14:paraId="02872958">
      <w:pPr>
        <w:ind w:firstLine="175" w:firstLineChars="83"/>
        <w:rPr>
          <w:b/>
          <w:highlight w:val="none"/>
        </w:rPr>
      </w:pPr>
    </w:p>
    <w:p w14:paraId="5B8F9F5B">
      <w:pPr>
        <w:ind w:firstLine="175" w:firstLineChars="83"/>
        <w:rPr>
          <w:b/>
          <w:highlight w:val="none"/>
        </w:rPr>
      </w:pPr>
    </w:p>
    <w:p w14:paraId="004AEFFA">
      <w:pPr>
        <w:ind w:firstLine="175" w:firstLineChars="83"/>
        <w:rPr>
          <w:b/>
          <w:highlight w:val="none"/>
        </w:rPr>
      </w:pPr>
    </w:p>
    <w:p w14:paraId="1CD16F11">
      <w:pPr>
        <w:ind w:firstLine="175" w:firstLineChars="83"/>
        <w:rPr>
          <w:b/>
          <w:highlight w:val="none"/>
        </w:rPr>
      </w:pPr>
    </w:p>
    <w:p w14:paraId="2252F0B8">
      <w:pPr>
        <w:ind w:firstLine="175" w:firstLineChars="83"/>
        <w:rPr>
          <w:b/>
          <w:highlight w:val="none"/>
        </w:rPr>
      </w:pPr>
    </w:p>
    <w:p w14:paraId="4B3242BC">
      <w:pPr>
        <w:ind w:firstLine="175" w:firstLineChars="83"/>
        <w:rPr>
          <w:b/>
          <w:highlight w:val="none"/>
        </w:rPr>
      </w:pPr>
    </w:p>
    <w:p w14:paraId="06035770">
      <w:pPr>
        <w:ind w:firstLine="175" w:firstLineChars="83"/>
        <w:rPr>
          <w:b/>
          <w:highlight w:val="none"/>
        </w:rPr>
      </w:pPr>
    </w:p>
    <w:p w14:paraId="1E56E55D">
      <w:pPr>
        <w:ind w:firstLine="175" w:firstLineChars="83"/>
        <w:rPr>
          <w:b/>
          <w:highlight w:val="none"/>
        </w:rPr>
      </w:pPr>
    </w:p>
    <w:p w14:paraId="106CAA94">
      <w:pPr>
        <w:ind w:firstLine="175" w:firstLineChars="83"/>
        <w:rPr>
          <w:b/>
          <w:highlight w:val="none"/>
        </w:rPr>
      </w:pPr>
    </w:p>
    <w:p w14:paraId="198F8B87">
      <w:pPr>
        <w:ind w:firstLine="175" w:firstLineChars="83"/>
        <w:rPr>
          <w:b/>
          <w:highlight w:val="none"/>
        </w:rPr>
      </w:pPr>
    </w:p>
    <w:p w14:paraId="7FA5570B">
      <w:pPr>
        <w:ind w:firstLine="175" w:firstLineChars="83"/>
        <w:rPr>
          <w:b/>
          <w:highlight w:val="none"/>
        </w:rPr>
      </w:pPr>
    </w:p>
    <w:p w14:paraId="7EB0E3FB">
      <w:pPr>
        <w:ind w:firstLine="175" w:firstLineChars="83"/>
        <w:rPr>
          <w:b/>
          <w:highlight w:val="none"/>
        </w:rPr>
      </w:pPr>
    </w:p>
    <w:p w14:paraId="3C90B5C7">
      <w:pPr>
        <w:ind w:firstLine="175" w:firstLineChars="83"/>
        <w:rPr>
          <w:b/>
          <w:highlight w:val="none"/>
        </w:rPr>
      </w:pPr>
    </w:p>
    <w:p w14:paraId="3B462E7E">
      <w:pPr>
        <w:ind w:firstLine="175" w:firstLineChars="83"/>
        <w:rPr>
          <w:b/>
          <w:highlight w:val="none"/>
        </w:rPr>
      </w:pPr>
    </w:p>
    <w:p w14:paraId="684BCB30">
      <w:pPr>
        <w:ind w:firstLine="175" w:firstLineChars="83"/>
        <w:rPr>
          <w:b/>
          <w:highlight w:val="none"/>
        </w:rPr>
      </w:pPr>
    </w:p>
    <w:p w14:paraId="523A1401">
      <w:pPr>
        <w:ind w:firstLine="175" w:firstLineChars="83"/>
        <w:rPr>
          <w:b/>
          <w:highlight w:val="none"/>
        </w:rPr>
      </w:pPr>
    </w:p>
    <w:p w14:paraId="7B0CDF61">
      <w:pPr>
        <w:ind w:firstLine="175" w:firstLineChars="83"/>
        <w:rPr>
          <w:b/>
          <w:highlight w:val="none"/>
        </w:rPr>
      </w:pPr>
    </w:p>
    <w:p w14:paraId="4EAA608E">
      <w:pPr>
        <w:ind w:firstLine="175" w:firstLineChars="83"/>
        <w:rPr>
          <w:b/>
          <w:highlight w:val="none"/>
        </w:rPr>
      </w:pPr>
    </w:p>
    <w:p w14:paraId="5D5AEC64">
      <w:pPr>
        <w:ind w:firstLine="175" w:firstLineChars="83"/>
        <w:rPr>
          <w:b/>
          <w:highlight w:val="none"/>
        </w:rPr>
      </w:pPr>
    </w:p>
    <w:p w14:paraId="100CEF6B">
      <w:pPr>
        <w:ind w:firstLine="175" w:firstLineChars="83"/>
        <w:rPr>
          <w:b/>
          <w:highlight w:val="none"/>
        </w:rPr>
      </w:pPr>
    </w:p>
    <w:p w14:paraId="451D7F72">
      <w:pPr>
        <w:ind w:firstLine="175" w:firstLineChars="83"/>
        <w:rPr>
          <w:b/>
          <w:highlight w:val="none"/>
        </w:rPr>
      </w:pPr>
    </w:p>
    <w:p w14:paraId="3028F382">
      <w:pPr>
        <w:ind w:firstLine="175" w:firstLineChars="83"/>
        <w:rPr>
          <w:b/>
          <w:highlight w:val="none"/>
        </w:rPr>
      </w:pPr>
    </w:p>
    <w:p w14:paraId="00D4A77D">
      <w:pPr>
        <w:ind w:firstLine="175" w:firstLineChars="83"/>
        <w:rPr>
          <w:b/>
          <w:highlight w:val="none"/>
        </w:rPr>
      </w:pPr>
    </w:p>
    <w:p w14:paraId="5B2B79B5">
      <w:pPr>
        <w:ind w:firstLine="175" w:firstLineChars="83"/>
        <w:rPr>
          <w:b/>
          <w:highlight w:val="none"/>
        </w:rPr>
      </w:pPr>
    </w:p>
    <w:p w14:paraId="26248A06">
      <w:pPr>
        <w:ind w:firstLine="175" w:firstLineChars="83"/>
        <w:rPr>
          <w:b/>
          <w:highlight w:val="none"/>
        </w:rPr>
      </w:pPr>
    </w:p>
    <w:p w14:paraId="61F3A085">
      <w:pPr>
        <w:ind w:firstLine="175" w:firstLineChars="83"/>
        <w:rPr>
          <w:b/>
          <w:highlight w:val="none"/>
        </w:rPr>
      </w:pPr>
    </w:p>
    <w:p w14:paraId="62E90935">
      <w:pPr>
        <w:ind w:firstLine="175" w:firstLineChars="83"/>
        <w:rPr>
          <w:b/>
          <w:highlight w:val="none"/>
        </w:rPr>
      </w:pPr>
      <w:r>
        <w:rPr>
          <w:rFonts w:hint="eastAsia"/>
          <w:b/>
          <w:highlight w:val="none"/>
        </w:rPr>
        <w:t>（磋商响应文件封面）</w:t>
      </w:r>
    </w:p>
    <w:p w14:paraId="2773A090">
      <w:pPr>
        <w:spacing w:line="360" w:lineRule="auto"/>
        <w:ind w:firstLine="2088" w:firstLineChars="400"/>
        <w:rPr>
          <w:rFonts w:ascii="方正仿宋_GB2312" w:hAnsi="宋体" w:eastAsia="方正仿宋_GB2312"/>
          <w:b/>
          <w:sz w:val="52"/>
          <w:szCs w:val="52"/>
          <w:highlight w:val="none"/>
        </w:rPr>
      </w:pPr>
    </w:p>
    <w:p w14:paraId="60474F75">
      <w:pPr>
        <w:spacing w:line="360" w:lineRule="auto"/>
        <w:ind w:firstLine="2088" w:firstLineChars="400"/>
        <w:rPr>
          <w:rFonts w:ascii="方正仿宋_GB2312" w:hAnsi="宋体" w:eastAsia="方正仿宋_GB2312"/>
          <w:b/>
          <w:sz w:val="52"/>
          <w:szCs w:val="52"/>
          <w:highlight w:val="none"/>
        </w:rPr>
      </w:pPr>
      <w:r>
        <w:rPr>
          <w:rFonts w:hint="eastAsia" w:ascii="方正仿宋_GB2312" w:hAnsi="宋体" w:eastAsia="方正仿宋_GB2312"/>
          <w:b/>
          <w:sz w:val="52"/>
          <w:szCs w:val="52"/>
          <w:highlight w:val="none"/>
        </w:rPr>
        <w:t>青海省政府采购项目</w:t>
      </w:r>
    </w:p>
    <w:p w14:paraId="7FFD37C4">
      <w:pPr>
        <w:spacing w:line="360" w:lineRule="auto"/>
        <w:ind w:firstLine="826" w:firstLineChars="392"/>
        <w:rPr>
          <w:rFonts w:ascii="宋体"/>
          <w:b/>
          <w:szCs w:val="21"/>
          <w:highlight w:val="none"/>
        </w:rPr>
      </w:pPr>
    </w:p>
    <w:p w14:paraId="44012D73">
      <w:pPr>
        <w:spacing w:line="360" w:lineRule="auto"/>
        <w:ind w:firstLine="2364" w:firstLineChars="327"/>
        <w:rPr>
          <w:rFonts w:ascii="宋体"/>
          <w:b/>
          <w:sz w:val="72"/>
          <w:szCs w:val="72"/>
          <w:highlight w:val="none"/>
        </w:rPr>
      </w:pPr>
    </w:p>
    <w:p w14:paraId="3BE6A37A">
      <w:pPr>
        <w:spacing w:line="360" w:lineRule="auto"/>
        <w:ind w:firstLine="2364" w:firstLineChars="327"/>
        <w:rPr>
          <w:rFonts w:ascii="宋体"/>
          <w:b/>
          <w:sz w:val="72"/>
          <w:szCs w:val="72"/>
          <w:highlight w:val="none"/>
        </w:rPr>
      </w:pPr>
      <w:r>
        <w:rPr>
          <w:rFonts w:hint="eastAsia" w:ascii="宋体" w:hAnsi="宋体"/>
          <w:b/>
          <w:sz w:val="72"/>
          <w:szCs w:val="72"/>
          <w:highlight w:val="none"/>
        </w:rPr>
        <w:t>磋商响应文件</w:t>
      </w:r>
    </w:p>
    <w:p w14:paraId="61D6ED50">
      <w:pPr>
        <w:adjustRightInd w:val="0"/>
        <w:spacing w:line="360" w:lineRule="auto"/>
        <w:jc w:val="center"/>
        <w:textAlignment w:val="baseline"/>
        <w:rPr>
          <w:rFonts w:ascii="宋体"/>
          <w:b/>
          <w:bCs/>
          <w:sz w:val="36"/>
          <w:szCs w:val="36"/>
          <w:highlight w:val="none"/>
        </w:rPr>
      </w:pPr>
      <w:r>
        <w:rPr>
          <w:rFonts w:hint="eastAsia" w:ascii="宋体" w:hAnsi="宋体"/>
          <w:b/>
          <w:bCs/>
          <w:sz w:val="36"/>
          <w:szCs w:val="36"/>
          <w:highlight w:val="none"/>
        </w:rPr>
        <w:t>（符合性审查文件）</w:t>
      </w:r>
    </w:p>
    <w:p w14:paraId="25097B60">
      <w:pPr>
        <w:spacing w:line="360" w:lineRule="auto"/>
        <w:ind w:firstLine="689" w:firstLineChars="327"/>
        <w:rPr>
          <w:rFonts w:ascii="宋体"/>
          <w:b/>
          <w:highlight w:val="none"/>
        </w:rPr>
      </w:pPr>
    </w:p>
    <w:p w14:paraId="3245D3FB">
      <w:pPr>
        <w:adjustRightInd w:val="0"/>
        <w:spacing w:line="360" w:lineRule="auto"/>
        <w:textAlignment w:val="baseline"/>
        <w:rPr>
          <w:rFonts w:ascii="宋体"/>
          <w:b/>
          <w:bCs/>
          <w:sz w:val="32"/>
          <w:highlight w:val="none"/>
        </w:rPr>
      </w:pPr>
    </w:p>
    <w:p w14:paraId="3C6E16E5">
      <w:pPr>
        <w:adjustRightInd w:val="0"/>
        <w:spacing w:line="360" w:lineRule="auto"/>
        <w:ind w:left="2530" w:hanging="2530" w:hangingChars="700"/>
        <w:textAlignment w:val="baseline"/>
        <w:rPr>
          <w:rFonts w:hint="eastAsia" w:ascii="宋体" w:eastAsia="宋体"/>
          <w:b/>
          <w:sz w:val="36"/>
          <w:szCs w:val="36"/>
          <w:highlight w:val="none"/>
          <w:lang w:eastAsia="zh-CN"/>
        </w:rPr>
      </w:pPr>
      <w:r>
        <w:rPr>
          <w:rFonts w:hint="eastAsia" w:ascii="宋体" w:hAnsi="宋体"/>
          <w:b/>
          <w:bCs/>
          <w:sz w:val="36"/>
          <w:szCs w:val="36"/>
          <w:highlight w:val="none"/>
        </w:rPr>
        <w:t>采购项目编号</w:t>
      </w:r>
      <w:r>
        <w:rPr>
          <w:rFonts w:hint="eastAsia" w:ascii="宋体" w:hAnsi="宋体"/>
          <w:b/>
          <w:sz w:val="36"/>
          <w:szCs w:val="36"/>
          <w:highlight w:val="none"/>
        </w:rPr>
        <w:t>：</w:t>
      </w:r>
      <w:r>
        <w:rPr>
          <w:rFonts w:hint="eastAsia" w:ascii="宋体" w:hAnsi="宋体"/>
          <w:b/>
          <w:sz w:val="36"/>
          <w:szCs w:val="36"/>
          <w:highlight w:val="none"/>
          <w:lang w:eastAsia="zh-CN"/>
        </w:rPr>
        <w:t>青海浩驰磋商（服务）2026-139号</w:t>
      </w:r>
    </w:p>
    <w:p w14:paraId="175EDF4E">
      <w:pPr>
        <w:adjustRightInd w:val="0"/>
        <w:spacing w:line="360" w:lineRule="auto"/>
        <w:ind w:left="2512" w:right="-248" w:rightChars="-118" w:hanging="2512" w:hangingChars="695"/>
        <w:textAlignment w:val="baseline"/>
        <w:rPr>
          <w:rFonts w:hint="eastAsia" w:ascii="宋体" w:eastAsia="宋体"/>
          <w:b/>
          <w:sz w:val="36"/>
          <w:szCs w:val="36"/>
          <w:highlight w:val="none"/>
          <w:lang w:eastAsia="zh-CN"/>
        </w:rPr>
      </w:pPr>
      <w:r>
        <w:rPr>
          <w:rFonts w:hint="eastAsia" w:ascii="宋体" w:hAnsi="宋体"/>
          <w:b/>
          <w:bCs/>
          <w:sz w:val="36"/>
          <w:szCs w:val="36"/>
          <w:highlight w:val="none"/>
        </w:rPr>
        <w:t>采购项目名</w:t>
      </w:r>
      <w:r>
        <w:rPr>
          <w:rFonts w:hint="eastAsia" w:ascii="宋体" w:hAnsi="宋体"/>
          <w:b/>
          <w:sz w:val="36"/>
          <w:szCs w:val="36"/>
          <w:highlight w:val="none"/>
        </w:rPr>
        <w:t>称</w:t>
      </w:r>
      <w:r>
        <w:rPr>
          <w:rFonts w:ascii="宋体" w:hAnsi="宋体"/>
          <w:b/>
          <w:sz w:val="36"/>
          <w:szCs w:val="36"/>
          <w:highlight w:val="none"/>
        </w:rPr>
        <w:t xml:space="preserve">: </w:t>
      </w:r>
      <w:r>
        <w:rPr>
          <w:rFonts w:hint="eastAsia" w:ascii="宋体" w:hAnsi="宋体"/>
          <w:b/>
          <w:sz w:val="36"/>
          <w:szCs w:val="36"/>
          <w:highlight w:val="none"/>
          <w:lang w:eastAsia="zh-CN"/>
        </w:rPr>
        <w:t>青海大学2026年智慧校园建设数据治理服务项目</w:t>
      </w:r>
    </w:p>
    <w:p w14:paraId="7A08F033">
      <w:pPr>
        <w:adjustRightInd w:val="0"/>
        <w:spacing w:line="360" w:lineRule="auto"/>
        <w:ind w:right="-248" w:rightChars="-118"/>
        <w:textAlignment w:val="baseline"/>
        <w:rPr>
          <w:rFonts w:ascii="宋体"/>
          <w:b/>
          <w:bCs/>
          <w:sz w:val="36"/>
          <w:szCs w:val="36"/>
          <w:highlight w:val="none"/>
        </w:rPr>
      </w:pPr>
    </w:p>
    <w:p w14:paraId="78EF4A9C">
      <w:pPr>
        <w:adjustRightInd w:val="0"/>
        <w:spacing w:line="360" w:lineRule="auto"/>
        <w:ind w:right="-248" w:rightChars="-118"/>
        <w:textAlignment w:val="baseline"/>
        <w:rPr>
          <w:rFonts w:ascii="宋体"/>
          <w:b/>
          <w:bCs/>
          <w:sz w:val="36"/>
          <w:szCs w:val="36"/>
          <w:highlight w:val="none"/>
        </w:rPr>
      </w:pPr>
    </w:p>
    <w:p w14:paraId="01B648B1">
      <w:pPr>
        <w:adjustRightInd w:val="0"/>
        <w:spacing w:line="360" w:lineRule="auto"/>
        <w:ind w:left="-248" w:leftChars="-118" w:firstLine="1"/>
        <w:jc w:val="center"/>
        <w:textAlignment w:val="baseline"/>
        <w:rPr>
          <w:rFonts w:ascii="宋体"/>
          <w:b/>
          <w:sz w:val="36"/>
          <w:szCs w:val="36"/>
          <w:highlight w:val="none"/>
        </w:rPr>
      </w:pPr>
      <w:r>
        <w:rPr>
          <w:rFonts w:ascii="宋体" w:hAnsi="宋体"/>
          <w:b/>
          <w:bCs/>
          <w:sz w:val="36"/>
          <w:szCs w:val="36"/>
          <w:highlight w:val="none"/>
        </w:rPr>
        <w:t xml:space="preserve">  </w:t>
      </w:r>
      <w:r>
        <w:rPr>
          <w:rFonts w:hint="eastAsia" w:ascii="宋体" w:hAnsi="宋体"/>
          <w:b/>
          <w:bCs/>
          <w:sz w:val="36"/>
          <w:szCs w:val="36"/>
          <w:highlight w:val="none"/>
        </w:rPr>
        <w:t>投标单位</w:t>
      </w:r>
      <w:r>
        <w:rPr>
          <w:rFonts w:hint="eastAsia" w:ascii="宋体" w:hAnsi="宋体"/>
          <w:b/>
          <w:sz w:val="36"/>
          <w:szCs w:val="36"/>
          <w:highlight w:val="none"/>
        </w:rPr>
        <w:t>：</w:t>
      </w:r>
    </w:p>
    <w:p w14:paraId="16C88BE2">
      <w:pPr>
        <w:spacing w:line="360" w:lineRule="auto"/>
        <w:ind w:firstLine="3534" w:firstLineChars="1100"/>
        <w:rPr>
          <w:rFonts w:ascii="宋体"/>
          <w:b/>
          <w:sz w:val="32"/>
          <w:highlight w:val="none"/>
        </w:rPr>
      </w:pPr>
      <w:r>
        <w:rPr>
          <w:rFonts w:hint="eastAsia" w:ascii="宋体" w:hAnsi="宋体"/>
          <w:b/>
          <w:sz w:val="32"/>
          <w:highlight w:val="none"/>
        </w:rPr>
        <w:t>年</w:t>
      </w:r>
      <w:r>
        <w:rPr>
          <w:rFonts w:ascii="宋体" w:hAnsi="宋体"/>
          <w:b/>
          <w:sz w:val="32"/>
          <w:highlight w:val="none"/>
        </w:rPr>
        <w:t xml:space="preserve">  </w:t>
      </w:r>
      <w:r>
        <w:rPr>
          <w:rFonts w:hint="eastAsia" w:ascii="宋体" w:hAnsi="宋体"/>
          <w:b/>
          <w:sz w:val="32"/>
          <w:highlight w:val="none"/>
        </w:rPr>
        <w:t>月</w:t>
      </w:r>
      <w:r>
        <w:rPr>
          <w:rFonts w:ascii="宋体" w:hAnsi="宋体"/>
          <w:b/>
          <w:sz w:val="32"/>
          <w:highlight w:val="none"/>
        </w:rPr>
        <w:t xml:space="preserve">  </w:t>
      </w:r>
      <w:r>
        <w:rPr>
          <w:rFonts w:hint="eastAsia" w:ascii="宋体" w:hAnsi="宋体"/>
          <w:b/>
          <w:sz w:val="32"/>
          <w:highlight w:val="none"/>
        </w:rPr>
        <w:t>日</w:t>
      </w:r>
    </w:p>
    <w:p w14:paraId="07864548">
      <w:pPr>
        <w:widowControl/>
        <w:snapToGrid w:val="0"/>
        <w:spacing w:line="360" w:lineRule="auto"/>
        <w:outlineLvl w:val="1"/>
        <w:rPr>
          <w:rFonts w:ascii="宋体"/>
          <w:b/>
          <w:sz w:val="28"/>
          <w:szCs w:val="28"/>
          <w:highlight w:val="none"/>
        </w:rPr>
      </w:pPr>
      <w:r>
        <w:rPr>
          <w:rFonts w:ascii="宋体"/>
          <w:b/>
          <w:sz w:val="28"/>
          <w:szCs w:val="28"/>
          <w:highlight w:val="none"/>
        </w:rPr>
        <w:br w:type="page"/>
      </w:r>
      <w:bookmarkStart w:id="218" w:name="_Toc496626244"/>
      <w:bookmarkStart w:id="219" w:name="_Toc16443"/>
      <w:r>
        <w:rPr>
          <w:rFonts w:hint="eastAsia" w:ascii="宋体"/>
          <w:b/>
          <w:sz w:val="28"/>
          <w:szCs w:val="28"/>
          <w:highlight w:val="none"/>
        </w:rPr>
        <w:t>附件</w:t>
      </w:r>
      <w:bookmarkStart w:id="220" w:name="_Toc376936769"/>
      <w:bookmarkStart w:id="221" w:name="_Toc325726038"/>
      <w:r>
        <w:rPr>
          <w:rFonts w:hint="eastAsia" w:ascii="宋体"/>
          <w:b/>
          <w:sz w:val="28"/>
          <w:szCs w:val="28"/>
          <w:highlight w:val="none"/>
        </w:rPr>
        <w:t>10：</w:t>
      </w:r>
      <w:bookmarkEnd w:id="220"/>
      <w:bookmarkEnd w:id="221"/>
      <w:r>
        <w:rPr>
          <w:rFonts w:hint="eastAsia" w:ascii="宋体"/>
          <w:b/>
          <w:sz w:val="28"/>
          <w:szCs w:val="28"/>
          <w:highlight w:val="none"/>
        </w:rPr>
        <w:t>竞争性磋商首次报价表</w:t>
      </w:r>
      <w:bookmarkEnd w:id="218"/>
      <w:bookmarkEnd w:id="219"/>
    </w:p>
    <w:p w14:paraId="6B493D39">
      <w:pPr>
        <w:widowControl/>
        <w:snapToGrid w:val="0"/>
        <w:spacing w:line="360" w:lineRule="auto"/>
        <w:jc w:val="center"/>
        <w:outlineLvl w:val="9"/>
        <w:rPr>
          <w:rFonts w:ascii="宋体"/>
          <w:b/>
          <w:sz w:val="36"/>
          <w:szCs w:val="36"/>
          <w:highlight w:val="none"/>
        </w:rPr>
      </w:pPr>
    </w:p>
    <w:p w14:paraId="679238A8">
      <w:pPr>
        <w:ind w:firstLine="2711" w:firstLineChars="750"/>
        <w:rPr>
          <w:rFonts w:ascii="宋体"/>
          <w:b/>
          <w:sz w:val="36"/>
          <w:szCs w:val="36"/>
          <w:highlight w:val="none"/>
        </w:rPr>
      </w:pPr>
      <w:r>
        <w:rPr>
          <w:rFonts w:hint="eastAsia" w:ascii="宋体" w:hAnsi="宋体"/>
          <w:b/>
          <w:sz w:val="36"/>
          <w:szCs w:val="36"/>
          <w:highlight w:val="none"/>
        </w:rPr>
        <w:t>竞争性磋商首次报价表</w:t>
      </w:r>
    </w:p>
    <w:p w14:paraId="06741485">
      <w:pPr>
        <w:ind w:firstLine="2711" w:firstLineChars="750"/>
        <w:rPr>
          <w:rFonts w:ascii="宋体"/>
          <w:b/>
          <w:sz w:val="36"/>
          <w:szCs w:val="36"/>
          <w:highlight w:val="none"/>
        </w:rPr>
      </w:pPr>
    </w:p>
    <w:p w14:paraId="56389794">
      <w:pPr>
        <w:rPr>
          <w:rFonts w:ascii="宋体"/>
          <w:b/>
          <w:highlight w:val="none"/>
        </w:rPr>
      </w:pPr>
      <w:r>
        <w:rPr>
          <w:rFonts w:hint="eastAsia" w:ascii="宋体" w:hAnsi="宋体"/>
          <w:b/>
          <w:highlight w:val="none"/>
        </w:rPr>
        <w:t>供应商名称：</w:t>
      </w:r>
      <w:r>
        <w:rPr>
          <w:rFonts w:ascii="宋体" w:hAnsi="宋体"/>
          <w:b/>
          <w:highlight w:val="none"/>
        </w:rPr>
        <w:t xml:space="preserve">                                       </w:t>
      </w:r>
    </w:p>
    <w:p w14:paraId="09FE9D70">
      <w:pPr>
        <w:tabs>
          <w:tab w:val="left" w:pos="219"/>
          <w:tab w:val="right" w:pos="8426"/>
        </w:tabs>
        <w:jc w:val="left"/>
        <w:rPr>
          <w:rFonts w:ascii="宋体"/>
          <w:b/>
          <w:highlight w:val="none"/>
        </w:rPr>
      </w:pPr>
      <w:r>
        <w:rPr>
          <w:rFonts w:ascii="宋体"/>
          <w:highlight w:val="none"/>
        </w:rPr>
        <w:tab/>
      </w:r>
      <w:r>
        <w:rPr>
          <w:rFonts w:ascii="宋体" w:hAnsi="宋体"/>
          <w:b/>
          <w:highlight w:val="none"/>
        </w:rPr>
        <w:t xml:space="preserve">    </w:t>
      </w:r>
      <w:r>
        <w:rPr>
          <w:rFonts w:ascii="宋体"/>
          <w:highlight w:val="none"/>
        </w:rPr>
        <w:tab/>
      </w:r>
      <w:r>
        <w:rPr>
          <w:rFonts w:ascii="宋体" w:hAnsi="宋体"/>
          <w:highlight w:val="none"/>
        </w:rPr>
        <w:t xml:space="preserve">                        </w:t>
      </w:r>
      <w:r>
        <w:rPr>
          <w:rFonts w:hint="eastAsia" w:ascii="宋体" w:hAnsi="宋体"/>
          <w:highlight w:val="none"/>
        </w:rPr>
        <w:t>单位：</w:t>
      </w:r>
      <w:r>
        <w:rPr>
          <w:rFonts w:hint="eastAsia" w:ascii="宋体" w:hAnsi="宋体"/>
          <w:bCs/>
          <w:highlight w:val="none"/>
        </w:rPr>
        <w:t>人民币</w:t>
      </w:r>
      <w:r>
        <w:rPr>
          <w:rFonts w:ascii="宋体" w:hAnsi="宋体"/>
          <w:bCs/>
          <w:highlight w:val="none"/>
        </w:rPr>
        <w:t>(</w:t>
      </w:r>
      <w:r>
        <w:rPr>
          <w:rFonts w:hint="eastAsia" w:ascii="宋体" w:hAnsi="宋体"/>
          <w:bCs/>
          <w:highlight w:val="none"/>
        </w:rPr>
        <w:t>元</w:t>
      </w:r>
      <w:r>
        <w:rPr>
          <w:rFonts w:ascii="宋体" w:hAnsi="宋体"/>
          <w:bCs/>
          <w:highlight w:val="none"/>
        </w:rPr>
        <w:t>)</w:t>
      </w:r>
    </w:p>
    <w:tbl>
      <w:tblPr>
        <w:tblStyle w:val="27"/>
        <w:tblW w:w="8522" w:type="dxa"/>
        <w:jc w:val="center"/>
        <w:tblLayout w:type="fixed"/>
        <w:tblCellMar>
          <w:top w:w="0" w:type="dxa"/>
          <w:left w:w="108" w:type="dxa"/>
          <w:bottom w:w="0" w:type="dxa"/>
          <w:right w:w="108" w:type="dxa"/>
        </w:tblCellMar>
      </w:tblPr>
      <w:tblGrid>
        <w:gridCol w:w="2336"/>
        <w:gridCol w:w="6186"/>
      </w:tblGrid>
      <w:tr w14:paraId="079C63CD">
        <w:tblPrEx>
          <w:tblCellMar>
            <w:top w:w="0" w:type="dxa"/>
            <w:left w:w="108" w:type="dxa"/>
            <w:bottom w:w="0" w:type="dxa"/>
            <w:right w:w="108" w:type="dxa"/>
          </w:tblCellMar>
        </w:tblPrEx>
        <w:trPr>
          <w:trHeight w:val="867"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4578D068">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项目名称</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132AE9AA">
            <w:pPr>
              <w:autoSpaceDE w:val="0"/>
              <w:autoSpaceDN w:val="0"/>
              <w:spacing w:line="360" w:lineRule="auto"/>
              <w:rPr>
                <w:rFonts w:hint="eastAsia" w:ascii="宋体" w:eastAsia="宋体" w:cs="宋体"/>
                <w:kern w:val="0"/>
                <w:highlight w:val="none"/>
                <w:lang w:eastAsia="zh-CN"/>
              </w:rPr>
            </w:pPr>
            <w:r>
              <w:rPr>
                <w:rFonts w:hint="eastAsia" w:ascii="宋体" w:cs="宋体"/>
                <w:kern w:val="0"/>
                <w:highlight w:val="none"/>
                <w:lang w:eastAsia="zh-CN"/>
              </w:rPr>
              <w:t>青海大学2026年智慧校园建设数据治理服务项目</w:t>
            </w:r>
          </w:p>
        </w:tc>
      </w:tr>
      <w:tr w14:paraId="10E8A940">
        <w:tblPrEx>
          <w:tblCellMar>
            <w:top w:w="0" w:type="dxa"/>
            <w:left w:w="108" w:type="dxa"/>
            <w:bottom w:w="0" w:type="dxa"/>
            <w:right w:w="108" w:type="dxa"/>
          </w:tblCellMar>
        </w:tblPrEx>
        <w:trPr>
          <w:trHeight w:val="834"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11612B35">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项目编号</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70AAA51D">
            <w:pPr>
              <w:autoSpaceDE w:val="0"/>
              <w:autoSpaceDN w:val="0"/>
              <w:spacing w:line="360" w:lineRule="auto"/>
              <w:rPr>
                <w:rFonts w:ascii="宋体" w:cs="宋体"/>
                <w:kern w:val="0"/>
                <w:highlight w:val="none"/>
                <w:lang w:val="zh-CN"/>
              </w:rPr>
            </w:pPr>
            <w:r>
              <w:rPr>
                <w:rFonts w:hint="eastAsia" w:ascii="宋体" w:cs="宋体"/>
                <w:kern w:val="0"/>
                <w:highlight w:val="none"/>
                <w:lang w:val="zh-CN"/>
              </w:rPr>
              <w:t>青海浩驰磋商（服务）2026-139号</w:t>
            </w:r>
          </w:p>
        </w:tc>
      </w:tr>
      <w:tr w14:paraId="1E005BFE">
        <w:tblPrEx>
          <w:tblCellMar>
            <w:top w:w="0" w:type="dxa"/>
            <w:left w:w="108" w:type="dxa"/>
            <w:bottom w:w="0" w:type="dxa"/>
            <w:right w:w="108" w:type="dxa"/>
          </w:tblCellMar>
        </w:tblPrEx>
        <w:trPr>
          <w:trHeight w:val="984"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3E8CF3DD">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磋商报价</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399241EE">
            <w:pPr>
              <w:autoSpaceDE w:val="0"/>
              <w:autoSpaceDN w:val="0"/>
              <w:spacing w:line="360" w:lineRule="auto"/>
              <w:rPr>
                <w:rFonts w:ascii="宋体" w:cs="宋体"/>
                <w:kern w:val="0"/>
                <w:highlight w:val="none"/>
                <w:u w:val="single"/>
              </w:rPr>
            </w:pPr>
          </w:p>
        </w:tc>
      </w:tr>
      <w:tr w14:paraId="6224E47A">
        <w:tblPrEx>
          <w:tblCellMar>
            <w:top w:w="0" w:type="dxa"/>
            <w:left w:w="108" w:type="dxa"/>
            <w:bottom w:w="0" w:type="dxa"/>
            <w:right w:w="108" w:type="dxa"/>
          </w:tblCellMar>
        </w:tblPrEx>
        <w:trPr>
          <w:trHeight w:val="606" w:hRule="atLeast"/>
          <w:jc w:val="center"/>
        </w:trPr>
        <w:tc>
          <w:tcPr>
            <w:tcW w:w="2336" w:type="dxa"/>
            <w:tcBorders>
              <w:top w:val="single" w:color="000000" w:sz="6" w:space="0"/>
              <w:left w:val="single" w:color="000000" w:sz="6" w:space="0"/>
              <w:bottom w:val="single" w:color="auto" w:sz="4" w:space="0"/>
              <w:right w:val="single" w:color="auto" w:sz="4" w:space="0"/>
            </w:tcBorders>
            <w:shd w:val="clear" w:color="000000" w:fill="auto"/>
            <w:vAlign w:val="center"/>
          </w:tcPr>
          <w:p w14:paraId="7889F471">
            <w:pPr>
              <w:autoSpaceDE w:val="0"/>
              <w:autoSpaceDN w:val="0"/>
              <w:spacing w:line="360" w:lineRule="auto"/>
              <w:rPr>
                <w:rFonts w:hint="eastAsia" w:ascii="宋体" w:eastAsia="宋体" w:cs="宋体"/>
                <w:kern w:val="0"/>
                <w:highlight w:val="none"/>
                <w:lang w:val="zh-CN" w:eastAsia="zh-CN"/>
              </w:rPr>
            </w:pPr>
            <w:r>
              <w:rPr>
                <w:rFonts w:hint="eastAsia" w:ascii="宋体" w:hAnsi="宋体" w:cs="宋体"/>
                <w:kern w:val="0"/>
                <w:highlight w:val="none"/>
                <w:lang w:val="zh-CN"/>
              </w:rPr>
              <w:t>服务</w:t>
            </w:r>
            <w:r>
              <w:rPr>
                <w:rFonts w:hint="eastAsia" w:ascii="宋体" w:hAnsi="宋体" w:cs="宋体"/>
                <w:kern w:val="0"/>
                <w:highlight w:val="none"/>
                <w:lang w:val="en-US" w:eastAsia="zh-CN"/>
              </w:rPr>
              <w:t>期</w:t>
            </w:r>
          </w:p>
        </w:tc>
        <w:tc>
          <w:tcPr>
            <w:tcW w:w="6186" w:type="dxa"/>
            <w:tcBorders>
              <w:top w:val="single" w:color="000000" w:sz="6" w:space="0"/>
              <w:left w:val="single" w:color="auto" w:sz="4" w:space="0"/>
              <w:bottom w:val="single" w:color="auto" w:sz="4" w:space="0"/>
              <w:right w:val="single" w:color="000000" w:sz="6" w:space="0"/>
            </w:tcBorders>
            <w:shd w:val="clear" w:color="000000" w:fill="auto"/>
            <w:vAlign w:val="center"/>
          </w:tcPr>
          <w:p w14:paraId="2A362C1E">
            <w:pPr>
              <w:autoSpaceDE w:val="0"/>
              <w:autoSpaceDN w:val="0"/>
              <w:spacing w:line="360" w:lineRule="auto"/>
              <w:rPr>
                <w:rFonts w:ascii="宋体" w:cs="宋体"/>
                <w:kern w:val="0"/>
                <w:highlight w:val="none"/>
                <w:lang w:val="zh-CN"/>
              </w:rPr>
            </w:pPr>
          </w:p>
        </w:tc>
      </w:tr>
      <w:tr w14:paraId="6D90FD05">
        <w:tblPrEx>
          <w:tblCellMar>
            <w:top w:w="0" w:type="dxa"/>
            <w:left w:w="108" w:type="dxa"/>
            <w:bottom w:w="0" w:type="dxa"/>
            <w:right w:w="108" w:type="dxa"/>
          </w:tblCellMar>
        </w:tblPrEx>
        <w:trPr>
          <w:trHeight w:val="769"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709ED287">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优惠承诺及其他：</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4463F927">
            <w:pPr>
              <w:autoSpaceDE w:val="0"/>
              <w:autoSpaceDN w:val="0"/>
              <w:spacing w:line="360" w:lineRule="auto"/>
              <w:rPr>
                <w:rFonts w:ascii="宋体" w:cs="宋体"/>
                <w:kern w:val="0"/>
                <w:highlight w:val="none"/>
                <w:lang w:val="zh-CN"/>
              </w:rPr>
            </w:pPr>
          </w:p>
        </w:tc>
      </w:tr>
    </w:tbl>
    <w:p w14:paraId="63D42622">
      <w:pPr>
        <w:adjustRightInd w:val="0"/>
        <w:ind w:firstLine="420" w:firstLineChars="200"/>
        <w:textAlignment w:val="baseline"/>
        <w:rPr>
          <w:rFonts w:ascii="宋体"/>
          <w:highlight w:val="none"/>
        </w:rPr>
      </w:pPr>
    </w:p>
    <w:p w14:paraId="095C341C">
      <w:pPr>
        <w:adjustRightInd w:val="0"/>
        <w:ind w:firstLine="420" w:firstLineChars="200"/>
        <w:textAlignment w:val="baseline"/>
        <w:rPr>
          <w:rFonts w:ascii="宋体"/>
          <w:highlight w:val="none"/>
        </w:rPr>
      </w:pPr>
      <w:r>
        <w:rPr>
          <w:rFonts w:hint="eastAsia" w:ascii="宋体"/>
          <w:highlight w:val="none"/>
        </w:rPr>
        <w:t>注：1、填写此表时不得改变表格形式。</w:t>
      </w:r>
    </w:p>
    <w:p w14:paraId="7672D182">
      <w:pPr>
        <w:adjustRightInd w:val="0"/>
        <w:ind w:firstLine="840" w:firstLineChars="400"/>
        <w:textAlignment w:val="baseline"/>
        <w:rPr>
          <w:rFonts w:ascii="宋体"/>
          <w:highlight w:val="none"/>
        </w:rPr>
      </w:pPr>
      <w:r>
        <w:rPr>
          <w:rFonts w:hint="eastAsia" w:ascii="宋体"/>
          <w:highlight w:val="none"/>
        </w:rPr>
        <w:t>2、磋商报价为总报价。必须包括：</w:t>
      </w:r>
      <w:r>
        <w:rPr>
          <w:rFonts w:hint="eastAsia" w:ascii="宋体" w:cs="宋体"/>
          <w:kern w:val="0"/>
          <w:highlight w:val="none"/>
          <w:lang w:val="zh-CN"/>
        </w:rPr>
        <w:t>该项目规定的服务费用、配套该项目提供的技术服务费用、培训费、保险费、税金及不可预见费等全部费用</w:t>
      </w:r>
      <w:r>
        <w:rPr>
          <w:rFonts w:hint="eastAsia" w:ascii="宋体"/>
          <w:highlight w:val="none"/>
        </w:rPr>
        <w:t>。</w:t>
      </w:r>
    </w:p>
    <w:p w14:paraId="55255B13">
      <w:pPr>
        <w:adjustRightInd w:val="0"/>
        <w:ind w:firstLine="840" w:firstLineChars="400"/>
        <w:textAlignment w:val="baseline"/>
        <w:rPr>
          <w:rFonts w:ascii="宋体"/>
          <w:highlight w:val="none"/>
        </w:rPr>
      </w:pPr>
      <w:r>
        <w:rPr>
          <w:rFonts w:hint="eastAsia" w:ascii="宋体"/>
          <w:highlight w:val="none"/>
        </w:rPr>
        <w:t>3、“服务期”是指</w:t>
      </w:r>
      <w:r>
        <w:rPr>
          <w:rFonts w:hint="eastAsia" w:ascii="宋体"/>
          <w:highlight w:val="none"/>
          <w:lang w:val="en-US" w:eastAsia="zh-CN"/>
        </w:rPr>
        <w:t>服务</w:t>
      </w:r>
      <w:r>
        <w:rPr>
          <w:rFonts w:hint="eastAsia" w:ascii="宋体"/>
          <w:highlight w:val="none"/>
        </w:rPr>
        <w:t>的具体时间。</w:t>
      </w:r>
    </w:p>
    <w:p w14:paraId="10491732">
      <w:pPr>
        <w:adjustRightInd w:val="0"/>
        <w:textAlignment w:val="baseline"/>
        <w:rPr>
          <w:rFonts w:ascii="宋体"/>
          <w:highlight w:val="none"/>
        </w:rPr>
      </w:pPr>
    </w:p>
    <w:p w14:paraId="03033DE3">
      <w:pPr>
        <w:adjustRightInd w:val="0"/>
        <w:textAlignment w:val="baseline"/>
        <w:rPr>
          <w:rFonts w:ascii="宋体"/>
          <w:highlight w:val="none"/>
        </w:rPr>
      </w:pPr>
    </w:p>
    <w:p w14:paraId="608A9F8C">
      <w:pPr>
        <w:adjustRightInd w:val="0"/>
        <w:textAlignment w:val="baseline"/>
        <w:rPr>
          <w:rFonts w:ascii="宋体"/>
          <w:highlight w:val="none"/>
        </w:rPr>
      </w:pPr>
    </w:p>
    <w:p w14:paraId="48CB7F69">
      <w:pPr>
        <w:adjustRightInd w:val="0"/>
        <w:textAlignment w:val="baseline"/>
        <w:rPr>
          <w:rFonts w:ascii="宋体"/>
          <w:highlight w:val="none"/>
        </w:rPr>
      </w:pPr>
    </w:p>
    <w:p w14:paraId="66383AF8">
      <w:pPr>
        <w:rPr>
          <w:rFonts w:ascii="宋体"/>
          <w:highlight w:val="none"/>
        </w:rPr>
      </w:pPr>
    </w:p>
    <w:p w14:paraId="038334E4">
      <w:pPr>
        <w:ind w:firstLine="2215" w:firstLineChars="1055"/>
        <w:rPr>
          <w:rFonts w:ascii="宋体"/>
          <w:highlight w:val="none"/>
        </w:rPr>
      </w:pPr>
    </w:p>
    <w:p w14:paraId="1F4154CA">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投标单位：</w:t>
      </w:r>
      <w:r>
        <w:rPr>
          <w:rFonts w:ascii="方正仿宋_GB2312" w:eastAsia="方正仿宋_GB2312" w:cs="宋体"/>
          <w:kern w:val="0"/>
          <w:highlight w:val="none"/>
          <w:u w:val="single"/>
        </w:rPr>
        <w:t xml:space="preserve">       </w:t>
      </w:r>
      <w:r>
        <w:rPr>
          <w:rFonts w:hint="eastAsia" w:ascii="宋体" w:hAnsi="宋体"/>
          <w:b/>
          <w:highlight w:val="none"/>
        </w:rPr>
        <w:t>（公章）</w:t>
      </w:r>
    </w:p>
    <w:p w14:paraId="00CEA6EB">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方正仿宋_GB2312" w:eastAsia="方正仿宋_GB2312" w:cs="宋体"/>
          <w:kern w:val="0"/>
          <w:highlight w:val="none"/>
          <w:u w:val="single"/>
        </w:rPr>
        <w:t xml:space="preserve">       </w:t>
      </w:r>
      <w:r>
        <w:rPr>
          <w:rFonts w:hint="eastAsia" w:ascii="宋体" w:hAnsi="宋体"/>
          <w:b/>
          <w:highlight w:val="none"/>
        </w:rPr>
        <w:t>（签字或盖章）</w:t>
      </w:r>
    </w:p>
    <w:p w14:paraId="23246F23">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4BE38710">
      <w:pPr>
        <w:rPr>
          <w:rFonts w:ascii="宋体"/>
          <w:b/>
          <w:highlight w:val="none"/>
        </w:rPr>
      </w:pPr>
    </w:p>
    <w:p w14:paraId="52AA7600">
      <w:pPr>
        <w:pStyle w:val="25"/>
        <w:outlineLvl w:val="9"/>
        <w:rPr>
          <w:rFonts w:ascii="宋体"/>
          <w:b/>
          <w:highlight w:val="none"/>
        </w:rPr>
      </w:pPr>
    </w:p>
    <w:p w14:paraId="162C7F02">
      <w:pPr>
        <w:pStyle w:val="25"/>
        <w:outlineLvl w:val="9"/>
        <w:rPr>
          <w:rFonts w:ascii="宋体"/>
          <w:b/>
          <w:highlight w:val="none"/>
        </w:rPr>
      </w:pPr>
    </w:p>
    <w:p w14:paraId="274820B7">
      <w:pPr>
        <w:pStyle w:val="25"/>
        <w:outlineLvl w:val="9"/>
        <w:rPr>
          <w:rFonts w:ascii="宋体"/>
          <w:b/>
          <w:highlight w:val="none"/>
        </w:rPr>
      </w:pPr>
    </w:p>
    <w:p w14:paraId="248A3829">
      <w:pPr>
        <w:pStyle w:val="25"/>
        <w:spacing w:before="0" w:after="0" w:line="360" w:lineRule="auto"/>
        <w:jc w:val="left"/>
        <w:outlineLvl w:val="1"/>
        <w:rPr>
          <w:rFonts w:hint="eastAsia" w:ascii="宋体" w:hAnsi="宋体" w:cs="宋体"/>
          <w:highlight w:val="none"/>
        </w:rPr>
      </w:pPr>
      <w:bookmarkStart w:id="222" w:name="_Toc16768"/>
      <w:bookmarkStart w:id="223" w:name="_Toc19969"/>
      <w:bookmarkStart w:id="224" w:name="_Toc2099"/>
      <w:bookmarkStart w:id="225" w:name="_Toc31141"/>
      <w:bookmarkStart w:id="226" w:name="_Toc8124"/>
      <w:bookmarkStart w:id="227" w:name="_Toc22405"/>
      <w:bookmarkStart w:id="228" w:name="_Toc15385"/>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rPr>
        <w:t>1：</w:t>
      </w:r>
      <w:r>
        <w:rPr>
          <w:rFonts w:hint="eastAsia" w:ascii="宋体" w:hAnsi="Times New Roman" w:eastAsia="宋体" w:cs="Times New Roman"/>
          <w:b/>
          <w:bCs w:val="0"/>
          <w:kern w:val="2"/>
          <w:sz w:val="28"/>
          <w:szCs w:val="28"/>
          <w:highlight w:val="none"/>
          <w:lang w:val="zh-CN" w:eastAsia="zh-CN" w:bidi="ar-SA"/>
        </w:rPr>
        <w:t>分项报价表</w:t>
      </w:r>
      <w:bookmarkEnd w:id="222"/>
      <w:bookmarkEnd w:id="223"/>
      <w:bookmarkEnd w:id="224"/>
      <w:bookmarkEnd w:id="225"/>
      <w:bookmarkEnd w:id="226"/>
      <w:bookmarkEnd w:id="227"/>
      <w:bookmarkEnd w:id="228"/>
    </w:p>
    <w:p w14:paraId="1CE0D0DC">
      <w:pPr>
        <w:autoSpaceDE w:val="0"/>
        <w:autoSpaceDN w:val="0"/>
        <w:spacing w:line="360" w:lineRule="auto"/>
        <w:rPr>
          <w:rFonts w:hint="eastAsia" w:ascii="宋体" w:hAnsi="宋体" w:cs="宋体"/>
          <w:b/>
          <w:bCs/>
          <w:kern w:val="0"/>
          <w:sz w:val="28"/>
          <w:szCs w:val="28"/>
          <w:highlight w:val="none"/>
          <w:lang w:val="zh-CN"/>
        </w:rPr>
      </w:pPr>
    </w:p>
    <w:p w14:paraId="3D9F533B">
      <w:pPr>
        <w:jc w:val="center"/>
        <w:rPr>
          <w:rFonts w:hint="eastAsia" w:ascii="宋体" w:hAnsi="宋体" w:eastAsia="宋体" w:cs="宋体"/>
          <w:b/>
          <w:sz w:val="36"/>
          <w:szCs w:val="36"/>
          <w:highlight w:val="none"/>
          <w:lang w:val="zh-CN"/>
        </w:rPr>
      </w:pPr>
      <w:r>
        <w:rPr>
          <w:rFonts w:hint="eastAsia" w:ascii="宋体" w:hAnsi="宋体" w:eastAsia="宋体" w:cs="宋体"/>
          <w:b/>
          <w:sz w:val="36"/>
          <w:szCs w:val="36"/>
          <w:highlight w:val="none"/>
          <w:lang w:val="zh-CN"/>
        </w:rPr>
        <w:t>分项报价表</w:t>
      </w:r>
    </w:p>
    <w:p w14:paraId="719B111A">
      <w:pPr>
        <w:autoSpaceDE w:val="0"/>
        <w:autoSpaceDN w:val="0"/>
        <w:spacing w:line="360" w:lineRule="auto"/>
        <w:rPr>
          <w:rFonts w:hint="eastAsia" w:ascii="宋体" w:hAnsi="宋体" w:cs="宋体"/>
          <w:b/>
          <w:bCs/>
          <w:kern w:val="0"/>
          <w:sz w:val="28"/>
          <w:szCs w:val="28"/>
          <w:highlight w:val="none"/>
          <w:lang w:val="zh-CN"/>
        </w:rPr>
      </w:pPr>
    </w:p>
    <w:p w14:paraId="3A7AE3C9">
      <w:pPr>
        <w:autoSpaceDE w:val="0"/>
        <w:autoSpaceDN w:val="0"/>
        <w:spacing w:line="360" w:lineRule="auto"/>
        <w:rPr>
          <w:rFonts w:hint="eastAsia" w:ascii="宋体" w:hAnsi="宋体" w:cs="宋体"/>
          <w:kern w:val="0"/>
          <w:highlight w:val="none"/>
          <w:lang w:val="zh-CN"/>
        </w:rPr>
      </w:pPr>
      <w:r>
        <w:rPr>
          <w:rFonts w:hint="eastAsia" w:ascii="宋体" w:hAnsi="宋体" w:cs="宋体"/>
          <w:b/>
          <w:bCs/>
          <w:kern w:val="0"/>
          <w:highlight w:val="none"/>
          <w:lang w:val="zh-CN"/>
        </w:rPr>
        <w:t>磋商供应商名称</w:t>
      </w:r>
      <w:r>
        <w:rPr>
          <w:rFonts w:hint="eastAsia" w:ascii="宋体" w:hAnsi="宋体" w:cs="宋体"/>
          <w:b/>
          <w:bCs/>
          <w:kern w:val="0"/>
          <w:highlight w:val="none"/>
        </w:rPr>
        <w:t xml:space="preserve">：                                          单位：元                  </w:t>
      </w:r>
    </w:p>
    <w:tbl>
      <w:tblPr>
        <w:tblStyle w:val="27"/>
        <w:tblW w:w="4998" w:type="pct"/>
        <w:jc w:val="center"/>
        <w:tblLayout w:type="autofit"/>
        <w:tblCellMar>
          <w:top w:w="0" w:type="dxa"/>
          <w:left w:w="28" w:type="dxa"/>
          <w:bottom w:w="0" w:type="dxa"/>
          <w:right w:w="28" w:type="dxa"/>
        </w:tblCellMar>
      </w:tblPr>
      <w:tblGrid>
        <w:gridCol w:w="472"/>
        <w:gridCol w:w="1182"/>
        <w:gridCol w:w="794"/>
        <w:gridCol w:w="1324"/>
        <w:gridCol w:w="1324"/>
        <w:gridCol w:w="1030"/>
        <w:gridCol w:w="910"/>
        <w:gridCol w:w="65"/>
        <w:gridCol w:w="625"/>
        <w:gridCol w:w="633"/>
      </w:tblGrid>
      <w:tr w14:paraId="35DF5437">
        <w:tblPrEx>
          <w:tblCellMar>
            <w:top w:w="0" w:type="dxa"/>
            <w:left w:w="28" w:type="dxa"/>
            <w:bottom w:w="0" w:type="dxa"/>
            <w:right w:w="28" w:type="dxa"/>
          </w:tblCellMar>
        </w:tblPrEx>
        <w:trPr>
          <w:trHeight w:val="23" w:hRule="atLeast"/>
          <w:jc w:val="center"/>
        </w:trPr>
        <w:tc>
          <w:tcPr>
            <w:tcW w:w="282" w:type="pct"/>
            <w:tcBorders>
              <w:top w:val="single" w:color="000000" w:sz="8" w:space="0"/>
              <w:left w:val="single" w:color="000000" w:sz="8" w:space="0"/>
              <w:bottom w:val="single" w:color="000000" w:sz="6" w:space="0"/>
              <w:right w:val="single" w:color="000000" w:sz="6" w:space="0"/>
            </w:tcBorders>
            <w:noWrap w:val="0"/>
            <w:vAlign w:val="center"/>
          </w:tcPr>
          <w:p w14:paraId="20D33AB2">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序号</w:t>
            </w:r>
          </w:p>
        </w:tc>
        <w:tc>
          <w:tcPr>
            <w:tcW w:w="1182" w:type="pct"/>
            <w:gridSpan w:val="2"/>
            <w:tcBorders>
              <w:top w:val="single" w:color="000000" w:sz="8" w:space="0"/>
              <w:left w:val="single" w:color="000000" w:sz="6" w:space="0"/>
              <w:bottom w:val="single" w:color="000000" w:sz="6" w:space="0"/>
              <w:right w:val="single" w:color="000000" w:sz="6" w:space="0"/>
            </w:tcBorders>
            <w:noWrap w:val="0"/>
            <w:vAlign w:val="center"/>
          </w:tcPr>
          <w:p w14:paraId="5712FD79">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名称</w:t>
            </w:r>
          </w:p>
        </w:tc>
        <w:tc>
          <w:tcPr>
            <w:tcW w:w="792" w:type="pct"/>
            <w:tcBorders>
              <w:top w:val="single" w:color="000000" w:sz="8" w:space="0"/>
              <w:left w:val="single" w:color="000000" w:sz="6" w:space="0"/>
              <w:bottom w:val="single" w:color="000000" w:sz="6" w:space="0"/>
              <w:right w:val="single" w:color="000000" w:sz="6" w:space="0"/>
            </w:tcBorders>
            <w:noWrap w:val="0"/>
            <w:vAlign w:val="center"/>
          </w:tcPr>
          <w:p w14:paraId="30BDB51C">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生产厂家</w:t>
            </w:r>
          </w:p>
        </w:tc>
        <w:tc>
          <w:tcPr>
            <w:tcW w:w="792" w:type="pct"/>
            <w:tcBorders>
              <w:top w:val="single" w:color="000000" w:sz="8" w:space="0"/>
              <w:left w:val="single" w:color="000000" w:sz="6" w:space="0"/>
              <w:bottom w:val="single" w:color="000000" w:sz="6" w:space="0"/>
              <w:right w:val="single" w:color="000000" w:sz="6" w:space="0"/>
            </w:tcBorders>
            <w:noWrap w:val="0"/>
            <w:vAlign w:val="center"/>
          </w:tcPr>
          <w:p w14:paraId="3E2FC6C8">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数量</w:t>
            </w:r>
          </w:p>
        </w:tc>
        <w:tc>
          <w:tcPr>
            <w:tcW w:w="616" w:type="pct"/>
            <w:tcBorders>
              <w:top w:val="single" w:color="000000" w:sz="8" w:space="0"/>
              <w:left w:val="single" w:color="000000" w:sz="6" w:space="0"/>
              <w:bottom w:val="single" w:color="000000" w:sz="6" w:space="0"/>
              <w:right w:val="single" w:color="000000" w:sz="6" w:space="0"/>
            </w:tcBorders>
            <w:noWrap w:val="0"/>
            <w:vAlign w:val="center"/>
          </w:tcPr>
          <w:p w14:paraId="4CAB900B">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单位</w:t>
            </w:r>
          </w:p>
        </w:tc>
        <w:tc>
          <w:tcPr>
            <w:tcW w:w="583" w:type="pct"/>
            <w:gridSpan w:val="2"/>
            <w:tcBorders>
              <w:top w:val="single" w:color="000000" w:sz="8" w:space="0"/>
              <w:left w:val="single" w:color="000000" w:sz="6" w:space="0"/>
              <w:bottom w:val="single" w:color="000000" w:sz="6" w:space="0"/>
              <w:right w:val="single" w:color="000000" w:sz="6" w:space="0"/>
            </w:tcBorders>
            <w:noWrap w:val="0"/>
            <w:vAlign w:val="center"/>
          </w:tcPr>
          <w:p w14:paraId="108141CC">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单价</w:t>
            </w:r>
          </w:p>
        </w:tc>
        <w:tc>
          <w:tcPr>
            <w:tcW w:w="374" w:type="pct"/>
            <w:tcBorders>
              <w:top w:val="single" w:color="000000" w:sz="8" w:space="0"/>
              <w:left w:val="single" w:color="000000" w:sz="6" w:space="0"/>
              <w:bottom w:val="single" w:color="000000" w:sz="6" w:space="0"/>
              <w:right w:val="single" w:color="000000" w:sz="6" w:space="0"/>
            </w:tcBorders>
            <w:noWrap w:val="0"/>
            <w:vAlign w:val="center"/>
          </w:tcPr>
          <w:p w14:paraId="74FC74AD">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合计</w:t>
            </w:r>
          </w:p>
        </w:tc>
        <w:tc>
          <w:tcPr>
            <w:tcW w:w="375" w:type="pct"/>
            <w:tcBorders>
              <w:top w:val="single" w:color="000000" w:sz="8" w:space="0"/>
              <w:left w:val="single" w:color="000000" w:sz="6" w:space="0"/>
              <w:bottom w:val="single" w:color="000000" w:sz="6" w:space="0"/>
              <w:right w:val="single" w:color="000000" w:sz="8" w:space="0"/>
            </w:tcBorders>
            <w:noWrap w:val="0"/>
            <w:vAlign w:val="center"/>
          </w:tcPr>
          <w:p w14:paraId="30826A83">
            <w:pPr>
              <w:autoSpaceDE w:val="0"/>
              <w:autoSpaceDN w:val="0"/>
              <w:spacing w:line="360" w:lineRule="auto"/>
              <w:jc w:val="center"/>
              <w:rPr>
                <w:rFonts w:hint="eastAsia" w:ascii="宋体" w:hAnsi="宋体" w:eastAsia="宋体" w:cs="宋体"/>
                <w:kern w:val="0"/>
                <w:highlight w:val="none"/>
                <w:lang w:val="zh-CN" w:eastAsia="zh-CN"/>
              </w:rPr>
            </w:pPr>
            <w:r>
              <w:rPr>
                <w:rFonts w:hint="eastAsia" w:ascii="宋体" w:hAnsi="宋体" w:cs="宋体"/>
                <w:highlight w:val="none"/>
                <w:lang w:eastAsia="zh-CN"/>
              </w:rPr>
              <w:t>备注</w:t>
            </w:r>
          </w:p>
        </w:tc>
      </w:tr>
      <w:tr w14:paraId="39EEE7D5">
        <w:tblPrEx>
          <w:tblCellMar>
            <w:top w:w="0" w:type="dxa"/>
            <w:left w:w="28" w:type="dxa"/>
            <w:bottom w:w="0" w:type="dxa"/>
            <w:right w:w="28" w:type="dxa"/>
          </w:tblCellMar>
        </w:tblPrEx>
        <w:trPr>
          <w:trHeight w:val="23" w:hRule="atLeast"/>
          <w:jc w:val="center"/>
        </w:trPr>
        <w:tc>
          <w:tcPr>
            <w:tcW w:w="282" w:type="pct"/>
            <w:tcBorders>
              <w:top w:val="single" w:color="000000" w:sz="6" w:space="0"/>
              <w:left w:val="single" w:color="000000" w:sz="8" w:space="0"/>
              <w:bottom w:val="single" w:color="000000" w:sz="6" w:space="0"/>
              <w:right w:val="single" w:color="000000" w:sz="6" w:space="0"/>
            </w:tcBorders>
            <w:noWrap w:val="0"/>
            <w:vAlign w:val="center"/>
          </w:tcPr>
          <w:p w14:paraId="31374C56">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1</w:t>
            </w:r>
          </w:p>
        </w:tc>
        <w:tc>
          <w:tcPr>
            <w:tcW w:w="1182" w:type="pct"/>
            <w:gridSpan w:val="2"/>
            <w:tcBorders>
              <w:top w:val="single" w:color="000000" w:sz="6" w:space="0"/>
              <w:left w:val="single" w:color="000000" w:sz="6" w:space="0"/>
              <w:bottom w:val="single" w:color="000000" w:sz="6" w:space="0"/>
              <w:right w:val="single" w:color="000000" w:sz="6" w:space="0"/>
            </w:tcBorders>
            <w:noWrap w:val="0"/>
            <w:vAlign w:val="center"/>
          </w:tcPr>
          <w:p w14:paraId="2057832B">
            <w:pPr>
              <w:autoSpaceDE w:val="0"/>
              <w:autoSpaceDN w:val="0"/>
              <w:spacing w:line="360" w:lineRule="auto"/>
              <w:jc w:val="center"/>
              <w:rPr>
                <w:rFonts w:hint="eastAsia" w:ascii="宋体" w:hAnsi="宋体" w:cs="宋体"/>
                <w:kern w:val="0"/>
                <w:highlight w:val="none"/>
                <w:lang w:val="zh-CN"/>
              </w:rPr>
            </w:pPr>
          </w:p>
        </w:tc>
        <w:tc>
          <w:tcPr>
            <w:tcW w:w="792" w:type="pct"/>
            <w:tcBorders>
              <w:top w:val="single" w:color="000000" w:sz="6" w:space="0"/>
              <w:left w:val="single" w:color="000000" w:sz="6" w:space="0"/>
              <w:bottom w:val="single" w:color="000000" w:sz="6" w:space="0"/>
              <w:right w:val="single" w:color="000000" w:sz="6" w:space="0"/>
            </w:tcBorders>
            <w:noWrap w:val="0"/>
            <w:vAlign w:val="center"/>
          </w:tcPr>
          <w:p w14:paraId="638E81D7">
            <w:pPr>
              <w:autoSpaceDE w:val="0"/>
              <w:autoSpaceDN w:val="0"/>
              <w:spacing w:line="360" w:lineRule="auto"/>
              <w:jc w:val="center"/>
              <w:rPr>
                <w:rFonts w:hint="eastAsia" w:ascii="宋体" w:hAnsi="宋体" w:cs="宋体"/>
                <w:kern w:val="0"/>
                <w:highlight w:val="none"/>
                <w:lang w:val="zh-CN"/>
              </w:rPr>
            </w:pPr>
          </w:p>
        </w:tc>
        <w:tc>
          <w:tcPr>
            <w:tcW w:w="792" w:type="pct"/>
            <w:tcBorders>
              <w:top w:val="single" w:color="000000" w:sz="6" w:space="0"/>
              <w:left w:val="single" w:color="000000" w:sz="6" w:space="0"/>
              <w:bottom w:val="single" w:color="000000" w:sz="6" w:space="0"/>
              <w:right w:val="single" w:color="000000" w:sz="6" w:space="0"/>
            </w:tcBorders>
            <w:noWrap w:val="0"/>
            <w:vAlign w:val="center"/>
          </w:tcPr>
          <w:p w14:paraId="55604ADD">
            <w:pPr>
              <w:autoSpaceDE w:val="0"/>
              <w:autoSpaceDN w:val="0"/>
              <w:spacing w:line="360" w:lineRule="auto"/>
              <w:jc w:val="center"/>
              <w:rPr>
                <w:rFonts w:hint="eastAsia" w:ascii="宋体" w:hAnsi="宋体" w:cs="宋体"/>
                <w:kern w:val="0"/>
                <w:highlight w:val="none"/>
                <w:lang w:val="zh-CN"/>
              </w:rPr>
            </w:pPr>
          </w:p>
        </w:tc>
        <w:tc>
          <w:tcPr>
            <w:tcW w:w="616" w:type="pct"/>
            <w:tcBorders>
              <w:top w:val="single" w:color="000000" w:sz="6" w:space="0"/>
              <w:left w:val="single" w:color="000000" w:sz="6" w:space="0"/>
              <w:bottom w:val="single" w:color="000000" w:sz="6" w:space="0"/>
              <w:right w:val="single" w:color="000000" w:sz="6" w:space="0"/>
            </w:tcBorders>
            <w:noWrap w:val="0"/>
            <w:vAlign w:val="center"/>
          </w:tcPr>
          <w:p w14:paraId="437F101E">
            <w:pPr>
              <w:autoSpaceDE w:val="0"/>
              <w:autoSpaceDN w:val="0"/>
              <w:spacing w:line="360" w:lineRule="auto"/>
              <w:jc w:val="center"/>
              <w:rPr>
                <w:rFonts w:hint="eastAsia" w:ascii="宋体" w:hAnsi="宋体" w:cs="宋体"/>
                <w:kern w:val="0"/>
                <w:highlight w:val="none"/>
                <w:lang w:val="zh-CN"/>
              </w:rPr>
            </w:pPr>
          </w:p>
        </w:tc>
        <w:tc>
          <w:tcPr>
            <w:tcW w:w="583" w:type="pct"/>
            <w:gridSpan w:val="2"/>
            <w:tcBorders>
              <w:top w:val="single" w:color="000000" w:sz="6" w:space="0"/>
              <w:left w:val="single" w:color="000000" w:sz="6" w:space="0"/>
              <w:bottom w:val="single" w:color="000000" w:sz="6" w:space="0"/>
              <w:right w:val="single" w:color="000000" w:sz="6" w:space="0"/>
            </w:tcBorders>
            <w:noWrap w:val="0"/>
            <w:vAlign w:val="center"/>
          </w:tcPr>
          <w:p w14:paraId="22C3C826">
            <w:pPr>
              <w:autoSpaceDE w:val="0"/>
              <w:autoSpaceDN w:val="0"/>
              <w:spacing w:line="360" w:lineRule="auto"/>
              <w:jc w:val="center"/>
              <w:rPr>
                <w:rFonts w:hint="eastAsia" w:ascii="宋体" w:hAnsi="宋体" w:cs="宋体"/>
                <w:kern w:val="0"/>
                <w:highlight w:val="none"/>
                <w:lang w:val="zh-CN"/>
              </w:rPr>
            </w:pPr>
          </w:p>
        </w:tc>
        <w:tc>
          <w:tcPr>
            <w:tcW w:w="374" w:type="pct"/>
            <w:tcBorders>
              <w:top w:val="single" w:color="000000" w:sz="6" w:space="0"/>
              <w:left w:val="single" w:color="000000" w:sz="6" w:space="0"/>
              <w:bottom w:val="single" w:color="000000" w:sz="6" w:space="0"/>
              <w:right w:val="single" w:color="000000" w:sz="6" w:space="0"/>
            </w:tcBorders>
            <w:noWrap w:val="0"/>
            <w:vAlign w:val="center"/>
          </w:tcPr>
          <w:p w14:paraId="223B2019">
            <w:pPr>
              <w:autoSpaceDE w:val="0"/>
              <w:autoSpaceDN w:val="0"/>
              <w:spacing w:line="360" w:lineRule="auto"/>
              <w:jc w:val="center"/>
              <w:rPr>
                <w:rFonts w:hint="eastAsia" w:ascii="宋体" w:hAnsi="宋体" w:cs="宋体"/>
                <w:kern w:val="0"/>
                <w:highlight w:val="none"/>
                <w:lang w:val="zh-CN"/>
              </w:rPr>
            </w:pPr>
          </w:p>
        </w:tc>
        <w:tc>
          <w:tcPr>
            <w:tcW w:w="375" w:type="pct"/>
            <w:tcBorders>
              <w:top w:val="single" w:color="000000" w:sz="6" w:space="0"/>
              <w:left w:val="single" w:color="000000" w:sz="6" w:space="0"/>
              <w:bottom w:val="single" w:color="000000" w:sz="6" w:space="0"/>
              <w:right w:val="single" w:color="000000" w:sz="8" w:space="0"/>
            </w:tcBorders>
            <w:noWrap w:val="0"/>
            <w:vAlign w:val="center"/>
          </w:tcPr>
          <w:p w14:paraId="58AF137C">
            <w:pPr>
              <w:autoSpaceDE w:val="0"/>
              <w:autoSpaceDN w:val="0"/>
              <w:spacing w:line="360" w:lineRule="auto"/>
              <w:jc w:val="center"/>
              <w:rPr>
                <w:rFonts w:hint="eastAsia" w:ascii="宋体" w:hAnsi="宋体" w:cs="宋体"/>
                <w:kern w:val="0"/>
                <w:highlight w:val="none"/>
                <w:lang w:val="zh-CN"/>
              </w:rPr>
            </w:pPr>
          </w:p>
        </w:tc>
      </w:tr>
      <w:tr w14:paraId="28447BAC">
        <w:tblPrEx>
          <w:tblCellMar>
            <w:top w:w="0" w:type="dxa"/>
            <w:left w:w="28" w:type="dxa"/>
            <w:bottom w:w="0" w:type="dxa"/>
            <w:right w:w="28" w:type="dxa"/>
          </w:tblCellMar>
        </w:tblPrEx>
        <w:trPr>
          <w:trHeight w:val="23" w:hRule="atLeast"/>
          <w:jc w:val="center"/>
        </w:trPr>
        <w:tc>
          <w:tcPr>
            <w:tcW w:w="282" w:type="pct"/>
            <w:tcBorders>
              <w:top w:val="single" w:color="000000" w:sz="6" w:space="0"/>
              <w:left w:val="single" w:color="000000" w:sz="8" w:space="0"/>
              <w:bottom w:val="single" w:color="000000" w:sz="6" w:space="0"/>
              <w:right w:val="single" w:color="000000" w:sz="6" w:space="0"/>
            </w:tcBorders>
            <w:noWrap w:val="0"/>
            <w:vAlign w:val="center"/>
          </w:tcPr>
          <w:p w14:paraId="41E8AF42">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2</w:t>
            </w:r>
          </w:p>
        </w:tc>
        <w:tc>
          <w:tcPr>
            <w:tcW w:w="1182" w:type="pct"/>
            <w:gridSpan w:val="2"/>
            <w:tcBorders>
              <w:top w:val="single" w:color="000000" w:sz="6" w:space="0"/>
              <w:left w:val="single" w:color="000000" w:sz="6" w:space="0"/>
              <w:bottom w:val="single" w:color="000000" w:sz="6" w:space="0"/>
              <w:right w:val="single" w:color="000000" w:sz="6" w:space="0"/>
            </w:tcBorders>
            <w:noWrap w:val="0"/>
            <w:vAlign w:val="center"/>
          </w:tcPr>
          <w:p w14:paraId="17DE750C">
            <w:pPr>
              <w:autoSpaceDE w:val="0"/>
              <w:autoSpaceDN w:val="0"/>
              <w:spacing w:line="360" w:lineRule="auto"/>
              <w:jc w:val="center"/>
              <w:rPr>
                <w:rFonts w:hint="eastAsia" w:ascii="宋体" w:hAnsi="宋体" w:cs="宋体"/>
                <w:kern w:val="0"/>
                <w:highlight w:val="none"/>
                <w:lang w:val="zh-CN"/>
              </w:rPr>
            </w:pPr>
          </w:p>
        </w:tc>
        <w:tc>
          <w:tcPr>
            <w:tcW w:w="792" w:type="pct"/>
            <w:tcBorders>
              <w:top w:val="single" w:color="000000" w:sz="6" w:space="0"/>
              <w:left w:val="single" w:color="000000" w:sz="6" w:space="0"/>
              <w:bottom w:val="single" w:color="000000" w:sz="6" w:space="0"/>
              <w:right w:val="single" w:color="000000" w:sz="6" w:space="0"/>
            </w:tcBorders>
            <w:noWrap w:val="0"/>
            <w:vAlign w:val="center"/>
          </w:tcPr>
          <w:p w14:paraId="0AE0A332">
            <w:pPr>
              <w:autoSpaceDE w:val="0"/>
              <w:autoSpaceDN w:val="0"/>
              <w:spacing w:line="360" w:lineRule="auto"/>
              <w:jc w:val="center"/>
              <w:rPr>
                <w:rFonts w:hint="eastAsia" w:ascii="宋体" w:hAnsi="宋体" w:cs="宋体"/>
                <w:kern w:val="0"/>
                <w:highlight w:val="none"/>
                <w:lang w:val="zh-CN"/>
              </w:rPr>
            </w:pPr>
          </w:p>
        </w:tc>
        <w:tc>
          <w:tcPr>
            <w:tcW w:w="792" w:type="pct"/>
            <w:tcBorders>
              <w:top w:val="single" w:color="000000" w:sz="6" w:space="0"/>
              <w:left w:val="single" w:color="000000" w:sz="6" w:space="0"/>
              <w:bottom w:val="single" w:color="000000" w:sz="6" w:space="0"/>
              <w:right w:val="single" w:color="000000" w:sz="6" w:space="0"/>
            </w:tcBorders>
            <w:noWrap w:val="0"/>
            <w:vAlign w:val="center"/>
          </w:tcPr>
          <w:p w14:paraId="1A1E0165">
            <w:pPr>
              <w:autoSpaceDE w:val="0"/>
              <w:autoSpaceDN w:val="0"/>
              <w:spacing w:line="360" w:lineRule="auto"/>
              <w:jc w:val="center"/>
              <w:rPr>
                <w:rFonts w:hint="eastAsia" w:ascii="宋体" w:hAnsi="宋体" w:cs="宋体"/>
                <w:kern w:val="0"/>
                <w:highlight w:val="none"/>
                <w:lang w:val="zh-CN"/>
              </w:rPr>
            </w:pPr>
          </w:p>
        </w:tc>
        <w:tc>
          <w:tcPr>
            <w:tcW w:w="616" w:type="pct"/>
            <w:tcBorders>
              <w:top w:val="single" w:color="000000" w:sz="6" w:space="0"/>
              <w:left w:val="single" w:color="000000" w:sz="6" w:space="0"/>
              <w:bottom w:val="single" w:color="000000" w:sz="6" w:space="0"/>
              <w:right w:val="single" w:color="000000" w:sz="6" w:space="0"/>
            </w:tcBorders>
            <w:noWrap w:val="0"/>
            <w:vAlign w:val="center"/>
          </w:tcPr>
          <w:p w14:paraId="744211E4">
            <w:pPr>
              <w:autoSpaceDE w:val="0"/>
              <w:autoSpaceDN w:val="0"/>
              <w:spacing w:line="360" w:lineRule="auto"/>
              <w:jc w:val="center"/>
              <w:rPr>
                <w:rFonts w:hint="eastAsia" w:ascii="宋体" w:hAnsi="宋体" w:cs="宋体"/>
                <w:kern w:val="0"/>
                <w:highlight w:val="none"/>
                <w:lang w:val="zh-CN"/>
              </w:rPr>
            </w:pPr>
          </w:p>
        </w:tc>
        <w:tc>
          <w:tcPr>
            <w:tcW w:w="583" w:type="pct"/>
            <w:gridSpan w:val="2"/>
            <w:tcBorders>
              <w:top w:val="single" w:color="000000" w:sz="6" w:space="0"/>
              <w:left w:val="single" w:color="000000" w:sz="6" w:space="0"/>
              <w:bottom w:val="single" w:color="000000" w:sz="6" w:space="0"/>
              <w:right w:val="single" w:color="000000" w:sz="6" w:space="0"/>
            </w:tcBorders>
            <w:noWrap w:val="0"/>
            <w:vAlign w:val="center"/>
          </w:tcPr>
          <w:p w14:paraId="3A1F6E00">
            <w:pPr>
              <w:autoSpaceDE w:val="0"/>
              <w:autoSpaceDN w:val="0"/>
              <w:spacing w:line="360" w:lineRule="auto"/>
              <w:jc w:val="center"/>
              <w:rPr>
                <w:rFonts w:hint="eastAsia" w:ascii="宋体" w:hAnsi="宋体" w:cs="宋体"/>
                <w:kern w:val="0"/>
                <w:highlight w:val="none"/>
                <w:lang w:val="zh-CN"/>
              </w:rPr>
            </w:pPr>
          </w:p>
        </w:tc>
        <w:tc>
          <w:tcPr>
            <w:tcW w:w="374" w:type="pct"/>
            <w:tcBorders>
              <w:top w:val="single" w:color="000000" w:sz="6" w:space="0"/>
              <w:left w:val="single" w:color="000000" w:sz="6" w:space="0"/>
              <w:bottom w:val="single" w:color="000000" w:sz="6" w:space="0"/>
              <w:right w:val="single" w:color="000000" w:sz="6" w:space="0"/>
            </w:tcBorders>
            <w:noWrap w:val="0"/>
            <w:vAlign w:val="center"/>
          </w:tcPr>
          <w:p w14:paraId="18F8C29F">
            <w:pPr>
              <w:autoSpaceDE w:val="0"/>
              <w:autoSpaceDN w:val="0"/>
              <w:spacing w:line="360" w:lineRule="auto"/>
              <w:jc w:val="center"/>
              <w:rPr>
                <w:rFonts w:hint="eastAsia" w:ascii="宋体" w:hAnsi="宋体" w:cs="宋体"/>
                <w:kern w:val="0"/>
                <w:highlight w:val="none"/>
                <w:lang w:val="zh-CN"/>
              </w:rPr>
            </w:pPr>
          </w:p>
        </w:tc>
        <w:tc>
          <w:tcPr>
            <w:tcW w:w="375" w:type="pct"/>
            <w:tcBorders>
              <w:top w:val="single" w:color="000000" w:sz="6" w:space="0"/>
              <w:left w:val="single" w:color="000000" w:sz="6" w:space="0"/>
              <w:bottom w:val="single" w:color="000000" w:sz="6" w:space="0"/>
              <w:right w:val="single" w:color="000000" w:sz="8" w:space="0"/>
            </w:tcBorders>
            <w:noWrap w:val="0"/>
            <w:vAlign w:val="center"/>
          </w:tcPr>
          <w:p w14:paraId="1F2F320F">
            <w:pPr>
              <w:autoSpaceDE w:val="0"/>
              <w:autoSpaceDN w:val="0"/>
              <w:spacing w:line="360" w:lineRule="auto"/>
              <w:jc w:val="center"/>
              <w:rPr>
                <w:rFonts w:hint="eastAsia" w:ascii="宋体" w:hAnsi="宋体" w:cs="宋体"/>
                <w:kern w:val="0"/>
                <w:highlight w:val="none"/>
                <w:lang w:val="zh-CN"/>
              </w:rPr>
            </w:pPr>
          </w:p>
        </w:tc>
      </w:tr>
      <w:tr w14:paraId="7E4C7E17">
        <w:tblPrEx>
          <w:tblCellMar>
            <w:top w:w="0" w:type="dxa"/>
            <w:left w:w="28" w:type="dxa"/>
            <w:bottom w:w="0" w:type="dxa"/>
            <w:right w:w="28" w:type="dxa"/>
          </w:tblCellMar>
        </w:tblPrEx>
        <w:trPr>
          <w:trHeight w:val="23" w:hRule="atLeast"/>
          <w:jc w:val="center"/>
        </w:trPr>
        <w:tc>
          <w:tcPr>
            <w:tcW w:w="282" w:type="pct"/>
            <w:tcBorders>
              <w:top w:val="single" w:color="000000" w:sz="6" w:space="0"/>
              <w:left w:val="single" w:color="000000" w:sz="8" w:space="0"/>
              <w:bottom w:val="single" w:color="000000" w:sz="6" w:space="0"/>
              <w:right w:val="single" w:color="000000" w:sz="6" w:space="0"/>
            </w:tcBorders>
            <w:noWrap w:val="0"/>
            <w:vAlign w:val="center"/>
          </w:tcPr>
          <w:p w14:paraId="098FFDB8">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3</w:t>
            </w:r>
          </w:p>
        </w:tc>
        <w:tc>
          <w:tcPr>
            <w:tcW w:w="1182" w:type="pct"/>
            <w:gridSpan w:val="2"/>
            <w:tcBorders>
              <w:top w:val="single" w:color="000000" w:sz="6" w:space="0"/>
              <w:left w:val="single" w:color="000000" w:sz="6" w:space="0"/>
              <w:bottom w:val="single" w:color="000000" w:sz="6" w:space="0"/>
              <w:right w:val="single" w:color="000000" w:sz="6" w:space="0"/>
            </w:tcBorders>
            <w:noWrap w:val="0"/>
            <w:vAlign w:val="center"/>
          </w:tcPr>
          <w:p w14:paraId="629E2FD9">
            <w:pPr>
              <w:autoSpaceDE w:val="0"/>
              <w:autoSpaceDN w:val="0"/>
              <w:spacing w:line="360" w:lineRule="auto"/>
              <w:jc w:val="center"/>
              <w:rPr>
                <w:rFonts w:hint="eastAsia" w:ascii="宋体" w:hAnsi="宋体" w:cs="宋体"/>
                <w:kern w:val="0"/>
                <w:highlight w:val="none"/>
                <w:lang w:val="zh-CN"/>
              </w:rPr>
            </w:pPr>
          </w:p>
        </w:tc>
        <w:tc>
          <w:tcPr>
            <w:tcW w:w="792" w:type="pct"/>
            <w:tcBorders>
              <w:top w:val="single" w:color="000000" w:sz="6" w:space="0"/>
              <w:left w:val="single" w:color="000000" w:sz="6" w:space="0"/>
              <w:bottom w:val="single" w:color="000000" w:sz="6" w:space="0"/>
              <w:right w:val="single" w:color="000000" w:sz="6" w:space="0"/>
            </w:tcBorders>
            <w:noWrap w:val="0"/>
            <w:vAlign w:val="center"/>
          </w:tcPr>
          <w:p w14:paraId="2449B844">
            <w:pPr>
              <w:autoSpaceDE w:val="0"/>
              <w:autoSpaceDN w:val="0"/>
              <w:spacing w:line="360" w:lineRule="auto"/>
              <w:jc w:val="center"/>
              <w:rPr>
                <w:rFonts w:hint="eastAsia" w:ascii="宋体" w:hAnsi="宋体" w:cs="宋体"/>
                <w:kern w:val="0"/>
                <w:highlight w:val="none"/>
                <w:lang w:val="zh-CN"/>
              </w:rPr>
            </w:pPr>
          </w:p>
        </w:tc>
        <w:tc>
          <w:tcPr>
            <w:tcW w:w="792" w:type="pct"/>
            <w:tcBorders>
              <w:top w:val="single" w:color="000000" w:sz="6" w:space="0"/>
              <w:left w:val="single" w:color="000000" w:sz="6" w:space="0"/>
              <w:bottom w:val="single" w:color="000000" w:sz="6" w:space="0"/>
              <w:right w:val="single" w:color="000000" w:sz="6" w:space="0"/>
            </w:tcBorders>
            <w:noWrap w:val="0"/>
            <w:vAlign w:val="center"/>
          </w:tcPr>
          <w:p w14:paraId="574551D9">
            <w:pPr>
              <w:autoSpaceDE w:val="0"/>
              <w:autoSpaceDN w:val="0"/>
              <w:spacing w:line="360" w:lineRule="auto"/>
              <w:jc w:val="center"/>
              <w:rPr>
                <w:rFonts w:hint="eastAsia" w:ascii="宋体" w:hAnsi="宋体" w:cs="宋体"/>
                <w:kern w:val="0"/>
                <w:highlight w:val="none"/>
                <w:lang w:val="zh-CN"/>
              </w:rPr>
            </w:pPr>
          </w:p>
        </w:tc>
        <w:tc>
          <w:tcPr>
            <w:tcW w:w="616" w:type="pct"/>
            <w:tcBorders>
              <w:top w:val="single" w:color="000000" w:sz="6" w:space="0"/>
              <w:left w:val="single" w:color="000000" w:sz="6" w:space="0"/>
              <w:bottom w:val="single" w:color="000000" w:sz="6" w:space="0"/>
              <w:right w:val="single" w:color="000000" w:sz="6" w:space="0"/>
            </w:tcBorders>
            <w:noWrap w:val="0"/>
            <w:vAlign w:val="center"/>
          </w:tcPr>
          <w:p w14:paraId="51544A04">
            <w:pPr>
              <w:autoSpaceDE w:val="0"/>
              <w:autoSpaceDN w:val="0"/>
              <w:spacing w:line="360" w:lineRule="auto"/>
              <w:jc w:val="center"/>
              <w:rPr>
                <w:rFonts w:hint="eastAsia" w:ascii="宋体" w:hAnsi="宋体" w:cs="宋体"/>
                <w:kern w:val="0"/>
                <w:highlight w:val="none"/>
                <w:lang w:val="zh-CN"/>
              </w:rPr>
            </w:pPr>
          </w:p>
        </w:tc>
        <w:tc>
          <w:tcPr>
            <w:tcW w:w="583" w:type="pct"/>
            <w:gridSpan w:val="2"/>
            <w:tcBorders>
              <w:top w:val="single" w:color="000000" w:sz="6" w:space="0"/>
              <w:left w:val="single" w:color="000000" w:sz="6" w:space="0"/>
              <w:bottom w:val="single" w:color="000000" w:sz="6" w:space="0"/>
              <w:right w:val="single" w:color="000000" w:sz="6" w:space="0"/>
            </w:tcBorders>
            <w:noWrap w:val="0"/>
            <w:vAlign w:val="center"/>
          </w:tcPr>
          <w:p w14:paraId="6C1C2DDA">
            <w:pPr>
              <w:autoSpaceDE w:val="0"/>
              <w:autoSpaceDN w:val="0"/>
              <w:spacing w:line="360" w:lineRule="auto"/>
              <w:jc w:val="center"/>
              <w:rPr>
                <w:rFonts w:hint="eastAsia" w:ascii="宋体" w:hAnsi="宋体" w:cs="宋体"/>
                <w:kern w:val="0"/>
                <w:highlight w:val="none"/>
                <w:lang w:val="zh-CN"/>
              </w:rPr>
            </w:pPr>
          </w:p>
        </w:tc>
        <w:tc>
          <w:tcPr>
            <w:tcW w:w="374" w:type="pct"/>
            <w:tcBorders>
              <w:top w:val="single" w:color="000000" w:sz="6" w:space="0"/>
              <w:left w:val="single" w:color="000000" w:sz="6" w:space="0"/>
              <w:bottom w:val="single" w:color="000000" w:sz="6" w:space="0"/>
              <w:right w:val="single" w:color="000000" w:sz="6" w:space="0"/>
            </w:tcBorders>
            <w:noWrap w:val="0"/>
            <w:vAlign w:val="center"/>
          </w:tcPr>
          <w:p w14:paraId="65B47888">
            <w:pPr>
              <w:autoSpaceDE w:val="0"/>
              <w:autoSpaceDN w:val="0"/>
              <w:spacing w:line="360" w:lineRule="auto"/>
              <w:jc w:val="center"/>
              <w:rPr>
                <w:rFonts w:hint="eastAsia" w:ascii="宋体" w:hAnsi="宋体" w:cs="宋体"/>
                <w:kern w:val="0"/>
                <w:highlight w:val="none"/>
                <w:lang w:val="zh-CN"/>
              </w:rPr>
            </w:pPr>
          </w:p>
        </w:tc>
        <w:tc>
          <w:tcPr>
            <w:tcW w:w="375" w:type="pct"/>
            <w:tcBorders>
              <w:top w:val="single" w:color="000000" w:sz="6" w:space="0"/>
              <w:left w:val="single" w:color="000000" w:sz="6" w:space="0"/>
              <w:bottom w:val="single" w:color="000000" w:sz="6" w:space="0"/>
              <w:right w:val="single" w:color="000000" w:sz="8" w:space="0"/>
            </w:tcBorders>
            <w:noWrap w:val="0"/>
            <w:vAlign w:val="center"/>
          </w:tcPr>
          <w:p w14:paraId="68361A71">
            <w:pPr>
              <w:autoSpaceDE w:val="0"/>
              <w:autoSpaceDN w:val="0"/>
              <w:spacing w:line="360" w:lineRule="auto"/>
              <w:jc w:val="center"/>
              <w:rPr>
                <w:rFonts w:hint="eastAsia" w:ascii="宋体" w:hAnsi="宋体" w:cs="宋体"/>
                <w:kern w:val="0"/>
                <w:highlight w:val="none"/>
                <w:lang w:val="zh-CN"/>
              </w:rPr>
            </w:pPr>
          </w:p>
        </w:tc>
      </w:tr>
      <w:tr w14:paraId="5B9A7EAB">
        <w:tblPrEx>
          <w:tblCellMar>
            <w:top w:w="0" w:type="dxa"/>
            <w:left w:w="28" w:type="dxa"/>
            <w:bottom w:w="0" w:type="dxa"/>
            <w:right w:w="28" w:type="dxa"/>
          </w:tblCellMar>
        </w:tblPrEx>
        <w:trPr>
          <w:trHeight w:val="23" w:hRule="atLeast"/>
          <w:jc w:val="center"/>
        </w:trPr>
        <w:tc>
          <w:tcPr>
            <w:tcW w:w="282" w:type="pct"/>
            <w:tcBorders>
              <w:top w:val="single" w:color="000000" w:sz="6" w:space="0"/>
              <w:left w:val="single" w:color="000000" w:sz="8" w:space="0"/>
              <w:bottom w:val="single" w:color="000000" w:sz="6" w:space="0"/>
              <w:right w:val="single" w:color="000000" w:sz="6" w:space="0"/>
            </w:tcBorders>
            <w:noWrap w:val="0"/>
            <w:vAlign w:val="center"/>
          </w:tcPr>
          <w:p w14:paraId="50D3D885">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4</w:t>
            </w:r>
          </w:p>
        </w:tc>
        <w:tc>
          <w:tcPr>
            <w:tcW w:w="1182" w:type="pct"/>
            <w:gridSpan w:val="2"/>
            <w:tcBorders>
              <w:top w:val="single" w:color="000000" w:sz="6" w:space="0"/>
              <w:left w:val="single" w:color="000000" w:sz="6" w:space="0"/>
              <w:bottom w:val="single" w:color="000000" w:sz="6" w:space="0"/>
              <w:right w:val="single" w:color="000000" w:sz="6" w:space="0"/>
            </w:tcBorders>
            <w:noWrap w:val="0"/>
            <w:vAlign w:val="center"/>
          </w:tcPr>
          <w:p w14:paraId="5D41DCBC">
            <w:pPr>
              <w:autoSpaceDE w:val="0"/>
              <w:autoSpaceDN w:val="0"/>
              <w:spacing w:line="360" w:lineRule="auto"/>
              <w:jc w:val="center"/>
              <w:rPr>
                <w:rFonts w:hint="eastAsia" w:ascii="宋体" w:hAnsi="宋体" w:cs="宋体"/>
                <w:kern w:val="0"/>
                <w:highlight w:val="none"/>
                <w:lang w:val="zh-CN"/>
              </w:rPr>
            </w:pPr>
          </w:p>
        </w:tc>
        <w:tc>
          <w:tcPr>
            <w:tcW w:w="792" w:type="pct"/>
            <w:tcBorders>
              <w:top w:val="single" w:color="000000" w:sz="6" w:space="0"/>
              <w:left w:val="single" w:color="000000" w:sz="6" w:space="0"/>
              <w:bottom w:val="single" w:color="000000" w:sz="6" w:space="0"/>
              <w:right w:val="single" w:color="000000" w:sz="6" w:space="0"/>
            </w:tcBorders>
            <w:noWrap w:val="0"/>
            <w:vAlign w:val="center"/>
          </w:tcPr>
          <w:p w14:paraId="3CC74EE6">
            <w:pPr>
              <w:autoSpaceDE w:val="0"/>
              <w:autoSpaceDN w:val="0"/>
              <w:spacing w:line="360" w:lineRule="auto"/>
              <w:jc w:val="center"/>
              <w:rPr>
                <w:rFonts w:hint="eastAsia" w:ascii="宋体" w:hAnsi="宋体" w:cs="宋体"/>
                <w:kern w:val="0"/>
                <w:highlight w:val="none"/>
                <w:lang w:val="zh-CN"/>
              </w:rPr>
            </w:pPr>
          </w:p>
        </w:tc>
        <w:tc>
          <w:tcPr>
            <w:tcW w:w="792" w:type="pct"/>
            <w:tcBorders>
              <w:top w:val="single" w:color="000000" w:sz="6" w:space="0"/>
              <w:left w:val="single" w:color="000000" w:sz="6" w:space="0"/>
              <w:bottom w:val="single" w:color="000000" w:sz="6" w:space="0"/>
              <w:right w:val="single" w:color="000000" w:sz="6" w:space="0"/>
            </w:tcBorders>
            <w:noWrap w:val="0"/>
            <w:vAlign w:val="center"/>
          </w:tcPr>
          <w:p w14:paraId="4BBD9F7F">
            <w:pPr>
              <w:autoSpaceDE w:val="0"/>
              <w:autoSpaceDN w:val="0"/>
              <w:spacing w:line="360" w:lineRule="auto"/>
              <w:jc w:val="center"/>
              <w:rPr>
                <w:rFonts w:hint="eastAsia" w:ascii="宋体" w:hAnsi="宋体" w:cs="宋体"/>
                <w:kern w:val="0"/>
                <w:highlight w:val="none"/>
                <w:lang w:val="zh-CN"/>
              </w:rPr>
            </w:pPr>
          </w:p>
        </w:tc>
        <w:tc>
          <w:tcPr>
            <w:tcW w:w="616" w:type="pct"/>
            <w:tcBorders>
              <w:top w:val="single" w:color="000000" w:sz="6" w:space="0"/>
              <w:left w:val="single" w:color="000000" w:sz="6" w:space="0"/>
              <w:bottom w:val="single" w:color="000000" w:sz="6" w:space="0"/>
              <w:right w:val="single" w:color="000000" w:sz="6" w:space="0"/>
            </w:tcBorders>
            <w:noWrap w:val="0"/>
            <w:vAlign w:val="center"/>
          </w:tcPr>
          <w:p w14:paraId="737FC146">
            <w:pPr>
              <w:autoSpaceDE w:val="0"/>
              <w:autoSpaceDN w:val="0"/>
              <w:spacing w:line="360" w:lineRule="auto"/>
              <w:jc w:val="center"/>
              <w:rPr>
                <w:rFonts w:hint="eastAsia" w:ascii="宋体" w:hAnsi="宋体" w:cs="宋体"/>
                <w:kern w:val="0"/>
                <w:highlight w:val="none"/>
                <w:lang w:val="zh-CN"/>
              </w:rPr>
            </w:pPr>
          </w:p>
        </w:tc>
        <w:tc>
          <w:tcPr>
            <w:tcW w:w="583" w:type="pct"/>
            <w:gridSpan w:val="2"/>
            <w:tcBorders>
              <w:top w:val="single" w:color="000000" w:sz="6" w:space="0"/>
              <w:left w:val="single" w:color="000000" w:sz="6" w:space="0"/>
              <w:bottom w:val="single" w:color="000000" w:sz="6" w:space="0"/>
              <w:right w:val="single" w:color="000000" w:sz="6" w:space="0"/>
            </w:tcBorders>
            <w:noWrap w:val="0"/>
            <w:vAlign w:val="center"/>
          </w:tcPr>
          <w:p w14:paraId="6212FC8C">
            <w:pPr>
              <w:autoSpaceDE w:val="0"/>
              <w:autoSpaceDN w:val="0"/>
              <w:spacing w:line="360" w:lineRule="auto"/>
              <w:jc w:val="center"/>
              <w:rPr>
                <w:rFonts w:hint="eastAsia" w:ascii="宋体" w:hAnsi="宋体" w:cs="宋体"/>
                <w:kern w:val="0"/>
                <w:highlight w:val="none"/>
                <w:lang w:val="zh-CN"/>
              </w:rPr>
            </w:pPr>
          </w:p>
        </w:tc>
        <w:tc>
          <w:tcPr>
            <w:tcW w:w="374" w:type="pct"/>
            <w:tcBorders>
              <w:top w:val="single" w:color="000000" w:sz="6" w:space="0"/>
              <w:left w:val="single" w:color="000000" w:sz="6" w:space="0"/>
              <w:bottom w:val="single" w:color="000000" w:sz="6" w:space="0"/>
              <w:right w:val="single" w:color="000000" w:sz="6" w:space="0"/>
            </w:tcBorders>
            <w:noWrap w:val="0"/>
            <w:vAlign w:val="center"/>
          </w:tcPr>
          <w:p w14:paraId="41129256">
            <w:pPr>
              <w:autoSpaceDE w:val="0"/>
              <w:autoSpaceDN w:val="0"/>
              <w:spacing w:line="360" w:lineRule="auto"/>
              <w:jc w:val="center"/>
              <w:rPr>
                <w:rFonts w:hint="eastAsia" w:ascii="宋体" w:hAnsi="宋体" w:cs="宋体"/>
                <w:kern w:val="0"/>
                <w:highlight w:val="none"/>
                <w:lang w:val="zh-CN"/>
              </w:rPr>
            </w:pPr>
          </w:p>
        </w:tc>
        <w:tc>
          <w:tcPr>
            <w:tcW w:w="375" w:type="pct"/>
            <w:tcBorders>
              <w:top w:val="single" w:color="000000" w:sz="6" w:space="0"/>
              <w:left w:val="single" w:color="000000" w:sz="6" w:space="0"/>
              <w:bottom w:val="single" w:color="000000" w:sz="6" w:space="0"/>
              <w:right w:val="single" w:color="000000" w:sz="8" w:space="0"/>
            </w:tcBorders>
            <w:noWrap w:val="0"/>
            <w:vAlign w:val="center"/>
          </w:tcPr>
          <w:p w14:paraId="380C5A67">
            <w:pPr>
              <w:autoSpaceDE w:val="0"/>
              <w:autoSpaceDN w:val="0"/>
              <w:spacing w:line="360" w:lineRule="auto"/>
              <w:jc w:val="center"/>
              <w:rPr>
                <w:rFonts w:hint="eastAsia" w:ascii="宋体" w:hAnsi="宋体" w:cs="宋体"/>
                <w:kern w:val="0"/>
                <w:highlight w:val="none"/>
                <w:lang w:val="zh-CN"/>
              </w:rPr>
            </w:pPr>
          </w:p>
        </w:tc>
      </w:tr>
      <w:tr w14:paraId="627CCFBC">
        <w:tblPrEx>
          <w:tblCellMar>
            <w:top w:w="0" w:type="dxa"/>
            <w:left w:w="28" w:type="dxa"/>
            <w:bottom w:w="0" w:type="dxa"/>
            <w:right w:w="28" w:type="dxa"/>
          </w:tblCellMar>
        </w:tblPrEx>
        <w:trPr>
          <w:trHeight w:val="23" w:hRule="atLeast"/>
          <w:jc w:val="center"/>
        </w:trPr>
        <w:tc>
          <w:tcPr>
            <w:tcW w:w="282" w:type="pct"/>
            <w:tcBorders>
              <w:top w:val="single" w:color="000000" w:sz="6" w:space="0"/>
              <w:left w:val="single" w:color="000000" w:sz="8" w:space="0"/>
              <w:bottom w:val="single" w:color="000000" w:sz="6" w:space="0"/>
              <w:right w:val="single" w:color="000000" w:sz="6" w:space="0"/>
            </w:tcBorders>
            <w:noWrap w:val="0"/>
            <w:vAlign w:val="center"/>
          </w:tcPr>
          <w:p w14:paraId="7095EE44">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w:t>
            </w:r>
          </w:p>
        </w:tc>
        <w:tc>
          <w:tcPr>
            <w:tcW w:w="1182" w:type="pct"/>
            <w:gridSpan w:val="2"/>
            <w:tcBorders>
              <w:top w:val="single" w:color="000000" w:sz="6" w:space="0"/>
              <w:left w:val="single" w:color="000000" w:sz="6" w:space="0"/>
              <w:bottom w:val="single" w:color="000000" w:sz="6" w:space="0"/>
              <w:right w:val="single" w:color="000000" w:sz="6" w:space="0"/>
            </w:tcBorders>
            <w:noWrap w:val="0"/>
            <w:vAlign w:val="center"/>
          </w:tcPr>
          <w:p w14:paraId="5E1B6A5F">
            <w:pPr>
              <w:autoSpaceDE w:val="0"/>
              <w:autoSpaceDN w:val="0"/>
              <w:spacing w:line="360" w:lineRule="auto"/>
              <w:jc w:val="center"/>
              <w:rPr>
                <w:rFonts w:hint="eastAsia" w:ascii="宋体" w:hAnsi="宋体" w:cs="宋体"/>
                <w:kern w:val="0"/>
                <w:highlight w:val="none"/>
                <w:lang w:val="zh-CN"/>
              </w:rPr>
            </w:pPr>
          </w:p>
        </w:tc>
        <w:tc>
          <w:tcPr>
            <w:tcW w:w="792" w:type="pct"/>
            <w:tcBorders>
              <w:top w:val="single" w:color="000000" w:sz="6" w:space="0"/>
              <w:left w:val="single" w:color="000000" w:sz="6" w:space="0"/>
              <w:bottom w:val="single" w:color="000000" w:sz="6" w:space="0"/>
              <w:right w:val="single" w:color="000000" w:sz="6" w:space="0"/>
            </w:tcBorders>
            <w:noWrap w:val="0"/>
            <w:vAlign w:val="center"/>
          </w:tcPr>
          <w:p w14:paraId="1306D9D1">
            <w:pPr>
              <w:autoSpaceDE w:val="0"/>
              <w:autoSpaceDN w:val="0"/>
              <w:spacing w:line="360" w:lineRule="auto"/>
              <w:jc w:val="center"/>
              <w:rPr>
                <w:rFonts w:hint="eastAsia" w:ascii="宋体" w:hAnsi="宋体" w:cs="宋体"/>
                <w:kern w:val="0"/>
                <w:highlight w:val="none"/>
                <w:lang w:val="zh-CN"/>
              </w:rPr>
            </w:pPr>
          </w:p>
        </w:tc>
        <w:tc>
          <w:tcPr>
            <w:tcW w:w="792" w:type="pct"/>
            <w:tcBorders>
              <w:top w:val="single" w:color="000000" w:sz="6" w:space="0"/>
              <w:left w:val="single" w:color="000000" w:sz="6" w:space="0"/>
              <w:bottom w:val="single" w:color="000000" w:sz="6" w:space="0"/>
              <w:right w:val="single" w:color="000000" w:sz="6" w:space="0"/>
            </w:tcBorders>
            <w:noWrap w:val="0"/>
            <w:vAlign w:val="center"/>
          </w:tcPr>
          <w:p w14:paraId="5E56EF07">
            <w:pPr>
              <w:autoSpaceDE w:val="0"/>
              <w:autoSpaceDN w:val="0"/>
              <w:spacing w:line="360" w:lineRule="auto"/>
              <w:jc w:val="center"/>
              <w:rPr>
                <w:rFonts w:hint="eastAsia" w:ascii="宋体" w:hAnsi="宋体" w:cs="宋体"/>
                <w:kern w:val="0"/>
                <w:highlight w:val="none"/>
                <w:lang w:val="zh-CN"/>
              </w:rPr>
            </w:pPr>
          </w:p>
        </w:tc>
        <w:tc>
          <w:tcPr>
            <w:tcW w:w="616" w:type="pct"/>
            <w:tcBorders>
              <w:top w:val="single" w:color="000000" w:sz="6" w:space="0"/>
              <w:left w:val="single" w:color="000000" w:sz="6" w:space="0"/>
              <w:bottom w:val="single" w:color="000000" w:sz="6" w:space="0"/>
              <w:right w:val="single" w:color="000000" w:sz="6" w:space="0"/>
            </w:tcBorders>
            <w:noWrap w:val="0"/>
            <w:vAlign w:val="center"/>
          </w:tcPr>
          <w:p w14:paraId="40D2A4B6">
            <w:pPr>
              <w:autoSpaceDE w:val="0"/>
              <w:autoSpaceDN w:val="0"/>
              <w:spacing w:line="360" w:lineRule="auto"/>
              <w:jc w:val="center"/>
              <w:rPr>
                <w:rFonts w:hint="eastAsia" w:ascii="宋体" w:hAnsi="宋体" w:cs="宋体"/>
                <w:kern w:val="0"/>
                <w:highlight w:val="none"/>
                <w:lang w:val="zh-CN"/>
              </w:rPr>
            </w:pPr>
          </w:p>
        </w:tc>
        <w:tc>
          <w:tcPr>
            <w:tcW w:w="583" w:type="pct"/>
            <w:gridSpan w:val="2"/>
            <w:tcBorders>
              <w:top w:val="single" w:color="000000" w:sz="6" w:space="0"/>
              <w:left w:val="single" w:color="000000" w:sz="6" w:space="0"/>
              <w:bottom w:val="single" w:color="000000" w:sz="6" w:space="0"/>
              <w:right w:val="single" w:color="000000" w:sz="6" w:space="0"/>
            </w:tcBorders>
            <w:noWrap w:val="0"/>
            <w:vAlign w:val="center"/>
          </w:tcPr>
          <w:p w14:paraId="23914B1F">
            <w:pPr>
              <w:autoSpaceDE w:val="0"/>
              <w:autoSpaceDN w:val="0"/>
              <w:spacing w:line="360" w:lineRule="auto"/>
              <w:jc w:val="center"/>
              <w:rPr>
                <w:rFonts w:hint="eastAsia" w:ascii="宋体" w:hAnsi="宋体" w:cs="宋体"/>
                <w:kern w:val="0"/>
                <w:highlight w:val="none"/>
                <w:lang w:val="zh-CN"/>
              </w:rPr>
            </w:pPr>
          </w:p>
        </w:tc>
        <w:tc>
          <w:tcPr>
            <w:tcW w:w="374" w:type="pct"/>
            <w:tcBorders>
              <w:top w:val="single" w:color="000000" w:sz="6" w:space="0"/>
              <w:left w:val="single" w:color="000000" w:sz="6" w:space="0"/>
              <w:bottom w:val="single" w:color="000000" w:sz="6" w:space="0"/>
              <w:right w:val="single" w:color="000000" w:sz="6" w:space="0"/>
            </w:tcBorders>
            <w:noWrap w:val="0"/>
            <w:vAlign w:val="center"/>
          </w:tcPr>
          <w:p w14:paraId="6AD7D295">
            <w:pPr>
              <w:autoSpaceDE w:val="0"/>
              <w:autoSpaceDN w:val="0"/>
              <w:spacing w:line="360" w:lineRule="auto"/>
              <w:jc w:val="center"/>
              <w:rPr>
                <w:rFonts w:hint="eastAsia" w:ascii="宋体" w:hAnsi="宋体" w:cs="宋体"/>
                <w:kern w:val="0"/>
                <w:highlight w:val="none"/>
                <w:lang w:val="zh-CN"/>
              </w:rPr>
            </w:pPr>
          </w:p>
        </w:tc>
        <w:tc>
          <w:tcPr>
            <w:tcW w:w="375" w:type="pct"/>
            <w:tcBorders>
              <w:top w:val="single" w:color="000000" w:sz="6" w:space="0"/>
              <w:left w:val="single" w:color="000000" w:sz="6" w:space="0"/>
              <w:bottom w:val="single" w:color="000000" w:sz="6" w:space="0"/>
              <w:right w:val="single" w:color="000000" w:sz="8" w:space="0"/>
            </w:tcBorders>
            <w:noWrap w:val="0"/>
            <w:vAlign w:val="center"/>
          </w:tcPr>
          <w:p w14:paraId="63C62EDC">
            <w:pPr>
              <w:autoSpaceDE w:val="0"/>
              <w:autoSpaceDN w:val="0"/>
              <w:spacing w:line="360" w:lineRule="auto"/>
              <w:jc w:val="center"/>
              <w:rPr>
                <w:rFonts w:hint="eastAsia" w:ascii="宋体" w:hAnsi="宋体" w:cs="宋体"/>
                <w:kern w:val="0"/>
                <w:highlight w:val="none"/>
                <w:lang w:val="zh-CN"/>
              </w:rPr>
            </w:pPr>
          </w:p>
        </w:tc>
      </w:tr>
      <w:tr w14:paraId="56327FAF">
        <w:tblPrEx>
          <w:tblCellMar>
            <w:top w:w="0" w:type="dxa"/>
            <w:left w:w="28" w:type="dxa"/>
            <w:bottom w:w="0" w:type="dxa"/>
            <w:right w:w="28" w:type="dxa"/>
          </w:tblCellMar>
        </w:tblPrEx>
        <w:trPr>
          <w:trHeight w:val="23" w:hRule="atLeast"/>
          <w:jc w:val="center"/>
        </w:trPr>
        <w:tc>
          <w:tcPr>
            <w:tcW w:w="989" w:type="pct"/>
            <w:gridSpan w:val="2"/>
            <w:tcBorders>
              <w:top w:val="single" w:color="000000" w:sz="6" w:space="0"/>
              <w:left w:val="single" w:color="000000" w:sz="8" w:space="0"/>
              <w:bottom w:val="single" w:color="000000" w:sz="8" w:space="0"/>
              <w:right w:val="single" w:color="000000" w:sz="6" w:space="0"/>
            </w:tcBorders>
            <w:noWrap w:val="0"/>
            <w:vAlign w:val="center"/>
          </w:tcPr>
          <w:p w14:paraId="6D659D07">
            <w:pPr>
              <w:autoSpaceDE w:val="0"/>
              <w:autoSpaceDN w:val="0"/>
              <w:spacing w:line="360" w:lineRule="auto"/>
              <w:jc w:val="center"/>
              <w:rPr>
                <w:rFonts w:hint="eastAsia" w:ascii="宋体" w:hAnsi="宋体" w:cs="宋体"/>
                <w:kern w:val="0"/>
                <w:highlight w:val="none"/>
                <w:lang w:val="zh-CN"/>
              </w:rPr>
            </w:pPr>
            <w:r>
              <w:rPr>
                <w:rFonts w:hint="eastAsia" w:ascii="宋体" w:hAnsi="宋体" w:cs="宋体"/>
                <w:kern w:val="0"/>
                <w:highlight w:val="none"/>
                <w:lang w:val="zh-CN"/>
              </w:rPr>
              <w:t>投标总价</w:t>
            </w:r>
          </w:p>
        </w:tc>
        <w:tc>
          <w:tcPr>
            <w:tcW w:w="3219" w:type="pct"/>
            <w:gridSpan w:val="5"/>
            <w:tcBorders>
              <w:top w:val="single" w:color="000000" w:sz="6" w:space="0"/>
              <w:left w:val="single" w:color="000000" w:sz="6" w:space="0"/>
              <w:bottom w:val="single" w:color="000000" w:sz="8" w:space="0"/>
              <w:right w:val="single" w:color="000000" w:sz="8" w:space="0"/>
            </w:tcBorders>
            <w:noWrap w:val="0"/>
            <w:vAlign w:val="center"/>
          </w:tcPr>
          <w:p w14:paraId="2CFBD092">
            <w:p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大写：</w:t>
            </w:r>
          </w:p>
          <w:p w14:paraId="7DEAB59F">
            <w:p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小写：</w:t>
            </w:r>
          </w:p>
        </w:tc>
        <w:tc>
          <w:tcPr>
            <w:tcW w:w="791" w:type="pct"/>
            <w:gridSpan w:val="3"/>
            <w:tcBorders>
              <w:top w:val="single" w:color="000000" w:sz="6" w:space="0"/>
              <w:left w:val="single" w:color="000000" w:sz="6" w:space="0"/>
              <w:bottom w:val="single" w:color="000000" w:sz="8" w:space="0"/>
              <w:right w:val="single" w:color="000000" w:sz="8" w:space="0"/>
            </w:tcBorders>
            <w:noWrap w:val="0"/>
            <w:vAlign w:val="center"/>
          </w:tcPr>
          <w:p w14:paraId="0C7DD113">
            <w:pPr>
              <w:autoSpaceDE w:val="0"/>
              <w:autoSpaceDN w:val="0"/>
              <w:spacing w:line="360" w:lineRule="auto"/>
              <w:rPr>
                <w:rFonts w:hint="eastAsia" w:ascii="宋体" w:hAnsi="宋体" w:cs="宋体"/>
                <w:kern w:val="0"/>
                <w:highlight w:val="none"/>
                <w:lang w:val="zh-CN"/>
              </w:rPr>
            </w:pPr>
          </w:p>
        </w:tc>
      </w:tr>
    </w:tbl>
    <w:p w14:paraId="0624FE79">
      <w:pPr>
        <w:autoSpaceDE w:val="0"/>
        <w:autoSpaceDN w:val="0"/>
        <w:spacing w:line="360" w:lineRule="auto"/>
        <w:rPr>
          <w:rFonts w:hint="eastAsia" w:ascii="宋体" w:hAnsi="宋体" w:cs="宋体"/>
          <w:kern w:val="0"/>
          <w:highlight w:val="none"/>
          <w:lang w:val="zh-CN"/>
        </w:rPr>
      </w:pPr>
      <w:r>
        <w:rPr>
          <w:rFonts w:hint="eastAsia" w:ascii="宋体" w:hAnsi="宋体" w:cs="宋体"/>
          <w:kern w:val="0"/>
          <w:highlight w:val="none"/>
          <w:lang w:val="zh-CN"/>
        </w:rPr>
        <w:t>注：</w:t>
      </w:r>
      <w:r>
        <w:rPr>
          <w:rFonts w:hint="eastAsia" w:ascii="宋体" w:hAnsi="宋体" w:cs="宋体"/>
          <w:kern w:val="0"/>
          <w:highlight w:val="none"/>
        </w:rPr>
        <w:t>1.</w:t>
      </w:r>
      <w:r>
        <w:rPr>
          <w:rFonts w:hint="eastAsia" w:ascii="宋体" w:hAnsi="宋体" w:cs="宋体"/>
          <w:kern w:val="0"/>
          <w:highlight w:val="none"/>
          <w:lang w:val="zh-CN"/>
        </w:rPr>
        <w:t>本表应依照采购清单一览表中的序号按顺序逐项填写，不得遗漏，</w:t>
      </w:r>
      <w:r>
        <w:rPr>
          <w:rFonts w:hint="eastAsia" w:ascii="宋体" w:hAnsi="宋体" w:cs="宋体"/>
          <w:highlight w:val="none"/>
        </w:rPr>
        <w:t>否则</w:t>
      </w:r>
      <w:r>
        <w:rPr>
          <w:rFonts w:hint="eastAsia" w:ascii="宋体" w:hAnsi="宋体" w:cs="宋体"/>
          <w:kern w:val="0"/>
          <w:szCs w:val="20"/>
          <w:highlight w:val="none"/>
        </w:rPr>
        <w:t>，按无效投标处理</w:t>
      </w:r>
      <w:r>
        <w:rPr>
          <w:rFonts w:hint="eastAsia" w:ascii="宋体" w:hAnsi="宋体" w:cs="宋体"/>
          <w:kern w:val="0"/>
          <w:highlight w:val="none"/>
          <w:lang w:val="zh-CN"/>
        </w:rPr>
        <w:t>。</w:t>
      </w:r>
    </w:p>
    <w:p w14:paraId="695C7C16">
      <w:pPr>
        <w:numPr>
          <w:ilvl w:val="0"/>
          <w:numId w:val="3"/>
        </w:numPr>
        <w:autoSpaceDE w:val="0"/>
        <w:autoSpaceDN w:val="0"/>
        <w:spacing w:line="360" w:lineRule="auto"/>
        <w:rPr>
          <w:rFonts w:hint="eastAsia" w:ascii="宋体" w:hAnsi="宋体" w:cs="宋体"/>
          <w:kern w:val="0"/>
          <w:highlight w:val="none"/>
          <w:lang w:val="zh-CN"/>
        </w:rPr>
      </w:pPr>
      <w:bookmarkStart w:id="229" w:name="_Hlk208925121"/>
      <w:r>
        <w:rPr>
          <w:rFonts w:hint="eastAsia" w:ascii="宋体" w:hAnsi="宋体" w:cs="宋体"/>
          <w:kern w:val="0"/>
          <w:highlight w:val="none"/>
          <w:lang w:val="zh-CN"/>
        </w:rPr>
        <w:t>投标报价不能有两个或两个以上的报价方案。</w:t>
      </w:r>
    </w:p>
    <w:bookmarkEnd w:id="229"/>
    <w:p w14:paraId="5EAF723C">
      <w:pPr>
        <w:autoSpaceDE w:val="0"/>
        <w:autoSpaceDN w:val="0"/>
        <w:spacing w:line="360" w:lineRule="auto"/>
        <w:rPr>
          <w:rFonts w:hint="eastAsia" w:ascii="宋体" w:hAnsi="宋体" w:cs="宋体"/>
          <w:kern w:val="0"/>
          <w:highlight w:val="none"/>
          <w:lang w:val="zh-CN"/>
        </w:rPr>
      </w:pPr>
    </w:p>
    <w:p w14:paraId="547CB9BA">
      <w:pPr>
        <w:autoSpaceDE w:val="0"/>
        <w:autoSpaceDN w:val="0"/>
        <w:spacing w:line="360" w:lineRule="auto"/>
        <w:jc w:val="right"/>
        <w:rPr>
          <w:rFonts w:hint="eastAsia" w:ascii="宋体" w:hAnsi="宋体" w:cs="宋体"/>
          <w:b/>
          <w:bCs/>
          <w:kern w:val="0"/>
          <w:highlight w:val="none"/>
          <w:lang w:val="zh-CN"/>
        </w:rPr>
      </w:pPr>
      <w:r>
        <w:rPr>
          <w:rFonts w:hint="eastAsia" w:ascii="宋体" w:hAnsi="宋体" w:cs="宋体"/>
          <w:b/>
          <w:bCs/>
          <w:kern w:val="0"/>
          <w:highlight w:val="none"/>
          <w:lang w:val="zh-CN"/>
        </w:rPr>
        <w:t xml:space="preserve">投标单位：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（公章）</w:t>
      </w:r>
    </w:p>
    <w:p w14:paraId="36A7B89E">
      <w:pPr>
        <w:autoSpaceDE w:val="0"/>
        <w:autoSpaceDN w:val="0"/>
        <w:spacing w:line="360" w:lineRule="auto"/>
        <w:jc w:val="right"/>
        <w:rPr>
          <w:rFonts w:hint="eastAsia" w:ascii="宋体" w:hAnsi="宋体" w:cs="宋体"/>
          <w:b/>
          <w:bCs/>
          <w:kern w:val="0"/>
          <w:highlight w:val="none"/>
          <w:lang w:val="zh-CN"/>
        </w:rPr>
      </w:pPr>
      <w:r>
        <w:rPr>
          <w:rFonts w:hint="eastAsia" w:ascii="宋体" w:hAnsi="宋体" w:cs="宋体"/>
          <w:b/>
          <w:bCs/>
          <w:kern w:val="0"/>
          <w:highlight w:val="none"/>
          <w:lang w:val="zh-CN"/>
        </w:rPr>
        <w:t>法定代表人或委托代理人：        （签字或盖章）</w:t>
      </w:r>
    </w:p>
    <w:p w14:paraId="623C6A17">
      <w:pPr>
        <w:jc w:val="center"/>
        <w:rPr>
          <w:rFonts w:hint="eastAsia" w:ascii="宋体" w:hAnsi="宋体" w:cs="宋体"/>
          <w:b/>
          <w:bCs/>
          <w:kern w:val="0"/>
          <w:highlight w:val="none"/>
          <w:lang w:val="zh-CN"/>
        </w:rPr>
      </w:pP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年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月  </w:t>
      </w:r>
      <w:r>
        <w:rPr>
          <w:rFonts w:hint="eastAsia" w:ascii="宋体" w:hAnsi="宋体" w:cs="宋体"/>
          <w:b/>
          <w:bCs/>
          <w:kern w:val="0"/>
          <w:highlight w:val="none"/>
        </w:rPr>
        <w:t xml:space="preserve"> </w:t>
      </w:r>
      <w:r>
        <w:rPr>
          <w:rFonts w:hint="eastAsia" w:ascii="宋体" w:hAnsi="宋体" w:cs="宋体"/>
          <w:b/>
          <w:bCs/>
          <w:kern w:val="0"/>
          <w:highlight w:val="none"/>
          <w:lang w:val="zh-CN"/>
        </w:rPr>
        <w:t xml:space="preserve"> 日</w:t>
      </w:r>
    </w:p>
    <w:p w14:paraId="270ADFBB">
      <w:pPr>
        <w:pStyle w:val="25"/>
        <w:outlineLvl w:val="9"/>
        <w:rPr>
          <w:rFonts w:ascii="宋体"/>
          <w:b/>
          <w:highlight w:val="none"/>
        </w:rPr>
      </w:pPr>
      <w:r>
        <w:rPr>
          <w:rFonts w:hint="eastAsia" w:ascii="宋体" w:hAnsi="宋体" w:cs="宋体"/>
          <w:sz w:val="30"/>
          <w:szCs w:val="30"/>
          <w:highlight w:val="none"/>
          <w:lang w:val="zh-CN"/>
        </w:rPr>
        <w:br w:type="page"/>
      </w:r>
    </w:p>
    <w:p w14:paraId="0214BEC0">
      <w:pPr>
        <w:widowControl/>
        <w:snapToGrid w:val="0"/>
        <w:spacing w:line="360" w:lineRule="auto"/>
        <w:outlineLvl w:val="1"/>
        <w:rPr>
          <w:rFonts w:ascii="宋体"/>
          <w:b/>
          <w:sz w:val="28"/>
          <w:szCs w:val="28"/>
          <w:highlight w:val="none"/>
        </w:rPr>
      </w:pPr>
      <w:bookmarkStart w:id="230" w:name="_Toc23201"/>
      <w:bookmarkStart w:id="231" w:name="_Toc427748095"/>
      <w:bookmarkStart w:id="232" w:name="_Toc496626246"/>
      <w:r>
        <w:rPr>
          <w:rFonts w:hint="eastAsia" w:ascii="宋体"/>
          <w:b/>
          <w:sz w:val="28"/>
          <w:szCs w:val="28"/>
          <w:highlight w:val="none"/>
        </w:rPr>
        <w:t>附件</w:t>
      </w:r>
      <w:bookmarkStart w:id="233" w:name="_Toc376936771"/>
      <w:bookmarkStart w:id="234" w:name="_Toc325726040"/>
      <w:r>
        <w:rPr>
          <w:rFonts w:ascii="宋体"/>
          <w:b/>
          <w:sz w:val="28"/>
          <w:szCs w:val="28"/>
          <w:highlight w:val="none"/>
        </w:rPr>
        <w:t>1</w:t>
      </w:r>
      <w:r>
        <w:rPr>
          <w:rFonts w:hint="eastAsia" w:ascii="宋体"/>
          <w:b/>
          <w:sz w:val="28"/>
          <w:szCs w:val="28"/>
          <w:highlight w:val="none"/>
          <w:lang w:val="en-US" w:eastAsia="zh-CN"/>
        </w:rPr>
        <w:t>2</w:t>
      </w:r>
      <w:r>
        <w:rPr>
          <w:rFonts w:hint="eastAsia" w:ascii="宋体"/>
          <w:b/>
          <w:sz w:val="28"/>
          <w:szCs w:val="28"/>
          <w:highlight w:val="none"/>
        </w:rPr>
        <w:t>：服务响应表</w:t>
      </w:r>
      <w:bookmarkEnd w:id="230"/>
      <w:bookmarkEnd w:id="231"/>
      <w:bookmarkEnd w:id="232"/>
      <w:bookmarkEnd w:id="233"/>
      <w:bookmarkEnd w:id="234"/>
    </w:p>
    <w:p w14:paraId="1CF19856">
      <w:pPr>
        <w:jc w:val="center"/>
        <w:rPr>
          <w:rFonts w:ascii="宋体"/>
          <w:b/>
          <w:sz w:val="36"/>
          <w:szCs w:val="36"/>
          <w:highlight w:val="none"/>
        </w:rPr>
      </w:pPr>
    </w:p>
    <w:p w14:paraId="4C153503">
      <w:pPr>
        <w:jc w:val="center"/>
        <w:rPr>
          <w:rFonts w:ascii="宋体" w:cs="宋体"/>
          <w:b/>
          <w:sz w:val="36"/>
          <w:szCs w:val="36"/>
          <w:highlight w:val="none"/>
        </w:rPr>
      </w:pPr>
      <w:r>
        <w:rPr>
          <w:rFonts w:hint="eastAsia" w:ascii="宋体" w:hAnsi="宋体" w:cs="宋体"/>
          <w:b/>
          <w:sz w:val="36"/>
          <w:szCs w:val="36"/>
          <w:highlight w:val="none"/>
        </w:rPr>
        <w:t>服务响应表</w:t>
      </w:r>
    </w:p>
    <w:p w14:paraId="7251526D">
      <w:pPr>
        <w:rPr>
          <w:rFonts w:ascii="宋体" w:cs="宋体"/>
          <w:b/>
          <w:highlight w:val="none"/>
        </w:rPr>
      </w:pPr>
      <w:r>
        <w:rPr>
          <w:rFonts w:hint="eastAsia" w:ascii="宋体" w:hAnsi="宋体" w:cs="宋体"/>
          <w:b/>
          <w:highlight w:val="none"/>
        </w:rPr>
        <w:t>磋商供应商</w:t>
      </w:r>
      <w:r>
        <w:rPr>
          <w:rFonts w:ascii="宋体" w:hAnsi="宋体" w:cs="宋体"/>
          <w:b/>
          <w:highlight w:val="none"/>
        </w:rPr>
        <w:t>:</w:t>
      </w:r>
    </w:p>
    <w:tbl>
      <w:tblPr>
        <w:tblStyle w:val="27"/>
        <w:tblW w:w="89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632"/>
        <w:gridCol w:w="851"/>
        <w:gridCol w:w="2410"/>
        <w:gridCol w:w="708"/>
        <w:gridCol w:w="3621"/>
        <w:gridCol w:w="695"/>
      </w:tblGrid>
      <w:tr w14:paraId="271817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632" w:type="dxa"/>
          </w:tcPr>
          <w:p w14:paraId="538D253F">
            <w:pPr>
              <w:spacing w:before="40" w:after="40"/>
              <w:ind w:firstLine="480"/>
              <w:jc w:val="center"/>
              <w:rPr>
                <w:rFonts w:ascii="宋体" w:cs="宋体"/>
                <w:highlight w:val="none"/>
              </w:rPr>
            </w:pPr>
            <w:r>
              <w:rPr>
                <w:rFonts w:ascii="宋体" w:hAnsi="宋体" w:cs="宋体"/>
                <w:highlight w:val="none"/>
              </w:rPr>
              <w:t xml:space="preserve">  </w:t>
            </w:r>
          </w:p>
        </w:tc>
        <w:tc>
          <w:tcPr>
            <w:tcW w:w="3261" w:type="dxa"/>
            <w:gridSpan w:val="2"/>
          </w:tcPr>
          <w:p w14:paraId="49E2722D">
            <w:pPr>
              <w:spacing w:before="40" w:after="40"/>
              <w:ind w:firstLine="105" w:firstLineChars="50"/>
              <w:jc w:val="center"/>
              <w:rPr>
                <w:rFonts w:ascii="宋体" w:cs="宋体"/>
                <w:highlight w:val="none"/>
              </w:rPr>
            </w:pPr>
            <w:r>
              <w:rPr>
                <w:rFonts w:hint="eastAsia" w:ascii="宋体" w:hAnsi="宋体" w:cs="宋体"/>
                <w:highlight w:val="none"/>
              </w:rPr>
              <w:t>采购需求服务内容</w:t>
            </w:r>
          </w:p>
        </w:tc>
        <w:tc>
          <w:tcPr>
            <w:tcW w:w="4329" w:type="dxa"/>
            <w:gridSpan w:val="2"/>
          </w:tcPr>
          <w:p w14:paraId="17BD055C">
            <w:pPr>
              <w:spacing w:before="40" w:after="40"/>
              <w:ind w:firstLine="480"/>
              <w:jc w:val="center"/>
              <w:rPr>
                <w:rFonts w:ascii="宋体" w:cs="宋体"/>
                <w:highlight w:val="none"/>
              </w:rPr>
            </w:pPr>
            <w:r>
              <w:rPr>
                <w:rFonts w:hint="eastAsia" w:ascii="宋体" w:hAnsi="宋体" w:cs="宋体"/>
                <w:highlight w:val="none"/>
              </w:rPr>
              <w:t>投标服务内容</w:t>
            </w:r>
          </w:p>
        </w:tc>
        <w:tc>
          <w:tcPr>
            <w:tcW w:w="695" w:type="dxa"/>
            <w:vAlign w:val="center"/>
          </w:tcPr>
          <w:p w14:paraId="4C69751A">
            <w:pPr>
              <w:spacing w:before="40" w:after="40"/>
              <w:jc w:val="center"/>
              <w:rPr>
                <w:rFonts w:ascii="宋体" w:cs="宋体"/>
                <w:highlight w:val="none"/>
              </w:rPr>
            </w:pPr>
            <w:r>
              <w:rPr>
                <w:rFonts w:hint="eastAsia" w:ascii="宋体" w:hAnsi="宋体" w:cs="宋体"/>
                <w:highlight w:val="none"/>
              </w:rPr>
              <w:t>偏离</w:t>
            </w:r>
          </w:p>
        </w:tc>
      </w:tr>
      <w:tr w14:paraId="6096E9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632" w:type="dxa"/>
          </w:tcPr>
          <w:p w14:paraId="514DBA47">
            <w:pPr>
              <w:spacing w:before="40" w:after="40"/>
              <w:rPr>
                <w:rFonts w:ascii="宋体" w:cs="宋体"/>
                <w:highlight w:val="none"/>
              </w:rPr>
            </w:pPr>
            <w:r>
              <w:rPr>
                <w:rFonts w:hint="eastAsia" w:ascii="宋体" w:hAnsi="宋体" w:cs="宋体"/>
                <w:highlight w:val="none"/>
              </w:rPr>
              <w:t>序号</w:t>
            </w:r>
          </w:p>
        </w:tc>
        <w:tc>
          <w:tcPr>
            <w:tcW w:w="851" w:type="dxa"/>
            <w:vAlign w:val="center"/>
          </w:tcPr>
          <w:p w14:paraId="33C183B9">
            <w:pPr>
              <w:spacing w:before="40" w:after="40"/>
              <w:ind w:firstLine="174" w:firstLineChars="83"/>
              <w:rPr>
                <w:rFonts w:ascii="宋体" w:cs="宋体"/>
                <w:highlight w:val="none"/>
              </w:rPr>
            </w:pPr>
            <w:r>
              <w:rPr>
                <w:rFonts w:hint="eastAsia" w:ascii="宋体" w:hAnsi="宋体" w:cs="宋体"/>
                <w:highlight w:val="none"/>
              </w:rPr>
              <w:t>名称</w:t>
            </w:r>
          </w:p>
        </w:tc>
        <w:tc>
          <w:tcPr>
            <w:tcW w:w="2410" w:type="dxa"/>
            <w:vAlign w:val="center"/>
          </w:tcPr>
          <w:p w14:paraId="32C58B36">
            <w:pPr>
              <w:spacing w:before="40" w:after="40"/>
              <w:jc w:val="center"/>
              <w:rPr>
                <w:rFonts w:ascii="宋体" w:cs="宋体"/>
                <w:highlight w:val="none"/>
              </w:rPr>
            </w:pPr>
            <w:r>
              <w:rPr>
                <w:rFonts w:hint="eastAsia" w:ascii="宋体" w:cs="宋体"/>
                <w:highlight w:val="none"/>
              </w:rPr>
              <w:t>内容</w:t>
            </w:r>
          </w:p>
        </w:tc>
        <w:tc>
          <w:tcPr>
            <w:tcW w:w="708" w:type="dxa"/>
            <w:vAlign w:val="center"/>
          </w:tcPr>
          <w:p w14:paraId="0D7641B7">
            <w:pPr>
              <w:spacing w:before="40" w:after="40"/>
              <w:ind w:firstLine="105" w:firstLineChars="50"/>
              <w:rPr>
                <w:rFonts w:ascii="宋体" w:cs="宋体"/>
                <w:highlight w:val="none"/>
              </w:rPr>
            </w:pPr>
            <w:r>
              <w:rPr>
                <w:rFonts w:hint="eastAsia" w:ascii="宋体" w:hAnsi="宋体" w:cs="宋体"/>
                <w:highlight w:val="none"/>
              </w:rPr>
              <w:t>名称</w:t>
            </w:r>
          </w:p>
        </w:tc>
        <w:tc>
          <w:tcPr>
            <w:tcW w:w="3621" w:type="dxa"/>
            <w:vAlign w:val="center"/>
          </w:tcPr>
          <w:p w14:paraId="6C5B0C39">
            <w:pPr>
              <w:spacing w:before="40" w:after="40"/>
              <w:ind w:left="94"/>
              <w:jc w:val="center"/>
              <w:rPr>
                <w:rFonts w:ascii="宋体" w:cs="宋体"/>
                <w:highlight w:val="none"/>
              </w:rPr>
            </w:pPr>
            <w:r>
              <w:rPr>
                <w:rFonts w:hint="eastAsia" w:ascii="宋体" w:cs="宋体"/>
                <w:highlight w:val="none"/>
              </w:rPr>
              <w:t>响应内容</w:t>
            </w:r>
          </w:p>
        </w:tc>
        <w:tc>
          <w:tcPr>
            <w:tcW w:w="695" w:type="dxa"/>
          </w:tcPr>
          <w:p w14:paraId="47FF4AB9">
            <w:pPr>
              <w:spacing w:before="40" w:after="40"/>
              <w:ind w:firstLine="480"/>
              <w:jc w:val="center"/>
              <w:rPr>
                <w:rFonts w:ascii="宋体" w:cs="宋体"/>
                <w:highlight w:val="none"/>
              </w:rPr>
            </w:pPr>
          </w:p>
        </w:tc>
      </w:tr>
      <w:tr w14:paraId="29924D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17" w:hRule="atLeast"/>
          <w:jc w:val="center"/>
        </w:trPr>
        <w:tc>
          <w:tcPr>
            <w:tcW w:w="632" w:type="dxa"/>
            <w:vAlign w:val="center"/>
          </w:tcPr>
          <w:p w14:paraId="7F369CAB">
            <w:pPr>
              <w:spacing w:before="40" w:after="40"/>
              <w:ind w:firstLine="174" w:firstLineChars="83"/>
              <w:jc w:val="center"/>
              <w:rPr>
                <w:rFonts w:ascii="宋体" w:cs="宋体"/>
                <w:highlight w:val="none"/>
              </w:rPr>
            </w:pPr>
            <w:r>
              <w:rPr>
                <w:rFonts w:ascii="宋体" w:hAnsi="宋体" w:cs="宋体"/>
                <w:highlight w:val="none"/>
              </w:rPr>
              <w:t>1</w:t>
            </w:r>
          </w:p>
        </w:tc>
        <w:tc>
          <w:tcPr>
            <w:tcW w:w="851" w:type="dxa"/>
          </w:tcPr>
          <w:p w14:paraId="756DE7A8">
            <w:pPr>
              <w:spacing w:before="40" w:after="40"/>
              <w:ind w:firstLine="480"/>
              <w:jc w:val="center"/>
              <w:rPr>
                <w:rFonts w:ascii="宋体" w:cs="宋体"/>
                <w:highlight w:val="none"/>
              </w:rPr>
            </w:pPr>
          </w:p>
        </w:tc>
        <w:tc>
          <w:tcPr>
            <w:tcW w:w="2410" w:type="dxa"/>
          </w:tcPr>
          <w:p w14:paraId="7366E2FC">
            <w:pPr>
              <w:spacing w:before="40" w:after="40"/>
              <w:ind w:firstLine="480"/>
              <w:jc w:val="center"/>
              <w:rPr>
                <w:rFonts w:ascii="宋体" w:cs="宋体"/>
                <w:highlight w:val="none"/>
              </w:rPr>
            </w:pPr>
          </w:p>
        </w:tc>
        <w:tc>
          <w:tcPr>
            <w:tcW w:w="708" w:type="dxa"/>
          </w:tcPr>
          <w:p w14:paraId="55496BEA">
            <w:pPr>
              <w:spacing w:before="40" w:after="40"/>
              <w:ind w:firstLine="480"/>
              <w:jc w:val="center"/>
              <w:rPr>
                <w:rFonts w:ascii="宋体" w:cs="宋体"/>
                <w:highlight w:val="none"/>
              </w:rPr>
            </w:pPr>
          </w:p>
        </w:tc>
        <w:tc>
          <w:tcPr>
            <w:tcW w:w="3621" w:type="dxa"/>
          </w:tcPr>
          <w:p w14:paraId="1D11B90F">
            <w:pPr>
              <w:spacing w:before="40" w:after="40"/>
              <w:ind w:firstLine="480"/>
              <w:jc w:val="center"/>
              <w:rPr>
                <w:rFonts w:ascii="宋体" w:cs="宋体"/>
                <w:highlight w:val="none"/>
              </w:rPr>
            </w:pPr>
          </w:p>
        </w:tc>
        <w:tc>
          <w:tcPr>
            <w:tcW w:w="695" w:type="dxa"/>
          </w:tcPr>
          <w:p w14:paraId="5F619D6F">
            <w:pPr>
              <w:spacing w:before="40" w:after="40"/>
              <w:ind w:firstLine="480"/>
              <w:jc w:val="center"/>
              <w:rPr>
                <w:rFonts w:ascii="宋体" w:cs="宋体"/>
                <w:highlight w:val="none"/>
              </w:rPr>
            </w:pPr>
          </w:p>
        </w:tc>
      </w:tr>
      <w:tr w14:paraId="2F4980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90" w:hRule="atLeast"/>
          <w:jc w:val="center"/>
        </w:trPr>
        <w:tc>
          <w:tcPr>
            <w:tcW w:w="632" w:type="dxa"/>
            <w:vAlign w:val="center"/>
          </w:tcPr>
          <w:p w14:paraId="7F39671A">
            <w:pPr>
              <w:spacing w:before="40" w:after="40"/>
              <w:ind w:firstLine="174" w:firstLineChars="83"/>
              <w:jc w:val="center"/>
              <w:rPr>
                <w:rFonts w:ascii="宋体" w:cs="宋体"/>
                <w:highlight w:val="none"/>
              </w:rPr>
            </w:pPr>
            <w:r>
              <w:rPr>
                <w:rFonts w:ascii="宋体" w:hAnsi="宋体" w:cs="宋体"/>
                <w:highlight w:val="none"/>
              </w:rPr>
              <w:t>2</w:t>
            </w:r>
          </w:p>
        </w:tc>
        <w:tc>
          <w:tcPr>
            <w:tcW w:w="851" w:type="dxa"/>
          </w:tcPr>
          <w:p w14:paraId="0841251C">
            <w:pPr>
              <w:spacing w:before="40" w:after="40"/>
              <w:ind w:firstLine="480"/>
              <w:jc w:val="center"/>
              <w:rPr>
                <w:rFonts w:ascii="宋体" w:cs="宋体"/>
                <w:highlight w:val="none"/>
              </w:rPr>
            </w:pPr>
          </w:p>
        </w:tc>
        <w:tc>
          <w:tcPr>
            <w:tcW w:w="2410" w:type="dxa"/>
          </w:tcPr>
          <w:p w14:paraId="41943365">
            <w:pPr>
              <w:spacing w:before="40" w:after="40"/>
              <w:ind w:firstLine="480"/>
              <w:jc w:val="center"/>
              <w:rPr>
                <w:rFonts w:ascii="宋体" w:cs="宋体"/>
                <w:highlight w:val="none"/>
              </w:rPr>
            </w:pPr>
          </w:p>
        </w:tc>
        <w:tc>
          <w:tcPr>
            <w:tcW w:w="708" w:type="dxa"/>
          </w:tcPr>
          <w:p w14:paraId="5F881FA7">
            <w:pPr>
              <w:spacing w:before="40" w:after="40"/>
              <w:ind w:firstLine="480"/>
              <w:jc w:val="center"/>
              <w:rPr>
                <w:rFonts w:ascii="宋体" w:cs="宋体"/>
                <w:highlight w:val="none"/>
              </w:rPr>
            </w:pPr>
          </w:p>
        </w:tc>
        <w:tc>
          <w:tcPr>
            <w:tcW w:w="3621" w:type="dxa"/>
          </w:tcPr>
          <w:p w14:paraId="39B8097E">
            <w:pPr>
              <w:spacing w:before="40" w:after="40"/>
              <w:ind w:firstLine="480"/>
              <w:jc w:val="center"/>
              <w:rPr>
                <w:rFonts w:ascii="宋体" w:cs="宋体"/>
                <w:highlight w:val="none"/>
              </w:rPr>
            </w:pPr>
          </w:p>
        </w:tc>
        <w:tc>
          <w:tcPr>
            <w:tcW w:w="695" w:type="dxa"/>
          </w:tcPr>
          <w:p w14:paraId="4986790E">
            <w:pPr>
              <w:spacing w:before="40" w:after="40"/>
              <w:ind w:firstLine="480"/>
              <w:jc w:val="center"/>
              <w:rPr>
                <w:rFonts w:ascii="宋体" w:cs="宋体"/>
                <w:highlight w:val="none"/>
              </w:rPr>
            </w:pPr>
          </w:p>
        </w:tc>
      </w:tr>
      <w:tr w14:paraId="034B7A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18" w:hRule="atLeast"/>
          <w:jc w:val="center"/>
        </w:trPr>
        <w:tc>
          <w:tcPr>
            <w:tcW w:w="632" w:type="dxa"/>
            <w:vAlign w:val="center"/>
          </w:tcPr>
          <w:p w14:paraId="7DB31C05">
            <w:pPr>
              <w:spacing w:before="40" w:after="40"/>
              <w:ind w:firstLine="174" w:firstLineChars="83"/>
              <w:jc w:val="center"/>
              <w:rPr>
                <w:rFonts w:ascii="宋体" w:cs="宋体"/>
                <w:highlight w:val="none"/>
              </w:rPr>
            </w:pPr>
            <w:r>
              <w:rPr>
                <w:rFonts w:ascii="宋体" w:hAnsi="宋体" w:cs="宋体"/>
                <w:highlight w:val="none"/>
              </w:rPr>
              <w:t>3</w:t>
            </w:r>
          </w:p>
        </w:tc>
        <w:tc>
          <w:tcPr>
            <w:tcW w:w="851" w:type="dxa"/>
          </w:tcPr>
          <w:p w14:paraId="1DDB136C">
            <w:pPr>
              <w:spacing w:before="40" w:after="40"/>
              <w:ind w:firstLine="480"/>
              <w:jc w:val="center"/>
              <w:rPr>
                <w:rFonts w:ascii="宋体" w:cs="宋体"/>
                <w:highlight w:val="none"/>
              </w:rPr>
            </w:pPr>
          </w:p>
        </w:tc>
        <w:tc>
          <w:tcPr>
            <w:tcW w:w="2410" w:type="dxa"/>
          </w:tcPr>
          <w:p w14:paraId="3AAA1865">
            <w:pPr>
              <w:spacing w:before="40" w:after="40"/>
              <w:ind w:firstLine="480"/>
              <w:jc w:val="center"/>
              <w:rPr>
                <w:rFonts w:ascii="宋体" w:cs="宋体"/>
                <w:highlight w:val="none"/>
              </w:rPr>
            </w:pPr>
          </w:p>
        </w:tc>
        <w:tc>
          <w:tcPr>
            <w:tcW w:w="708" w:type="dxa"/>
          </w:tcPr>
          <w:p w14:paraId="53E4A8EE">
            <w:pPr>
              <w:spacing w:before="40" w:after="40"/>
              <w:ind w:firstLine="480"/>
              <w:jc w:val="center"/>
              <w:rPr>
                <w:rFonts w:ascii="宋体" w:cs="宋体"/>
                <w:highlight w:val="none"/>
              </w:rPr>
            </w:pPr>
          </w:p>
        </w:tc>
        <w:tc>
          <w:tcPr>
            <w:tcW w:w="3621" w:type="dxa"/>
          </w:tcPr>
          <w:p w14:paraId="7B96767E">
            <w:pPr>
              <w:spacing w:before="40" w:after="40"/>
              <w:ind w:firstLine="480"/>
              <w:jc w:val="center"/>
              <w:rPr>
                <w:rFonts w:ascii="宋体" w:cs="宋体"/>
                <w:highlight w:val="none"/>
              </w:rPr>
            </w:pPr>
          </w:p>
        </w:tc>
        <w:tc>
          <w:tcPr>
            <w:tcW w:w="695" w:type="dxa"/>
          </w:tcPr>
          <w:p w14:paraId="722CD693">
            <w:pPr>
              <w:spacing w:before="40" w:after="40"/>
              <w:ind w:firstLine="480"/>
              <w:jc w:val="center"/>
              <w:rPr>
                <w:rFonts w:ascii="宋体" w:cs="宋体"/>
                <w:highlight w:val="none"/>
              </w:rPr>
            </w:pPr>
          </w:p>
        </w:tc>
      </w:tr>
      <w:tr w14:paraId="542174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733" w:hRule="atLeast"/>
          <w:jc w:val="center"/>
        </w:trPr>
        <w:tc>
          <w:tcPr>
            <w:tcW w:w="632" w:type="dxa"/>
            <w:vAlign w:val="center"/>
          </w:tcPr>
          <w:p w14:paraId="3D2B9AE7">
            <w:pPr>
              <w:spacing w:before="40" w:after="40"/>
              <w:ind w:firstLine="174" w:firstLineChars="83"/>
              <w:jc w:val="center"/>
              <w:rPr>
                <w:rFonts w:ascii="宋体" w:cs="宋体"/>
                <w:highlight w:val="none"/>
              </w:rPr>
            </w:pPr>
            <w:r>
              <w:rPr>
                <w:rFonts w:ascii="宋体" w:hAnsi="宋体" w:cs="宋体"/>
                <w:highlight w:val="none"/>
              </w:rPr>
              <w:t>4</w:t>
            </w:r>
          </w:p>
        </w:tc>
        <w:tc>
          <w:tcPr>
            <w:tcW w:w="851" w:type="dxa"/>
          </w:tcPr>
          <w:p w14:paraId="1CF5694C">
            <w:pPr>
              <w:spacing w:before="40" w:after="40"/>
              <w:ind w:firstLine="480"/>
              <w:jc w:val="center"/>
              <w:rPr>
                <w:rFonts w:ascii="宋体" w:cs="宋体"/>
                <w:highlight w:val="none"/>
              </w:rPr>
            </w:pPr>
          </w:p>
        </w:tc>
        <w:tc>
          <w:tcPr>
            <w:tcW w:w="2410" w:type="dxa"/>
          </w:tcPr>
          <w:p w14:paraId="51411CF7">
            <w:pPr>
              <w:spacing w:before="40" w:after="40"/>
              <w:ind w:firstLine="480"/>
              <w:jc w:val="center"/>
              <w:rPr>
                <w:rFonts w:ascii="宋体" w:cs="宋体"/>
                <w:highlight w:val="none"/>
              </w:rPr>
            </w:pPr>
          </w:p>
        </w:tc>
        <w:tc>
          <w:tcPr>
            <w:tcW w:w="708" w:type="dxa"/>
          </w:tcPr>
          <w:p w14:paraId="66840E5A">
            <w:pPr>
              <w:spacing w:before="40" w:after="40"/>
              <w:ind w:firstLine="480"/>
              <w:jc w:val="center"/>
              <w:rPr>
                <w:rFonts w:ascii="宋体" w:cs="宋体"/>
                <w:highlight w:val="none"/>
              </w:rPr>
            </w:pPr>
          </w:p>
        </w:tc>
        <w:tc>
          <w:tcPr>
            <w:tcW w:w="3621" w:type="dxa"/>
          </w:tcPr>
          <w:p w14:paraId="753575B5">
            <w:pPr>
              <w:spacing w:before="40" w:after="40"/>
              <w:ind w:firstLine="480"/>
              <w:jc w:val="center"/>
              <w:rPr>
                <w:rFonts w:ascii="宋体" w:cs="宋体"/>
                <w:highlight w:val="none"/>
              </w:rPr>
            </w:pPr>
          </w:p>
        </w:tc>
        <w:tc>
          <w:tcPr>
            <w:tcW w:w="695" w:type="dxa"/>
          </w:tcPr>
          <w:p w14:paraId="60391062">
            <w:pPr>
              <w:spacing w:before="40" w:after="40"/>
              <w:ind w:firstLine="480"/>
              <w:jc w:val="center"/>
              <w:rPr>
                <w:rFonts w:ascii="宋体" w:cs="宋体"/>
                <w:highlight w:val="none"/>
              </w:rPr>
            </w:pPr>
          </w:p>
        </w:tc>
      </w:tr>
      <w:tr w14:paraId="0ADD9C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51" w:hRule="atLeast"/>
          <w:jc w:val="center"/>
        </w:trPr>
        <w:tc>
          <w:tcPr>
            <w:tcW w:w="632" w:type="dxa"/>
            <w:vAlign w:val="center"/>
          </w:tcPr>
          <w:p w14:paraId="27A5D357">
            <w:pPr>
              <w:spacing w:before="40" w:after="40"/>
              <w:ind w:firstLine="174" w:firstLineChars="83"/>
              <w:jc w:val="center"/>
              <w:rPr>
                <w:rFonts w:ascii="宋体" w:cs="宋体"/>
                <w:highlight w:val="none"/>
              </w:rPr>
            </w:pPr>
            <w:r>
              <w:rPr>
                <w:rFonts w:hint="eastAsia" w:ascii="宋体" w:hAnsi="宋体" w:cs="宋体"/>
                <w:highlight w:val="none"/>
              </w:rPr>
              <w:t>…</w:t>
            </w:r>
          </w:p>
        </w:tc>
        <w:tc>
          <w:tcPr>
            <w:tcW w:w="851" w:type="dxa"/>
          </w:tcPr>
          <w:p w14:paraId="5E0B4465">
            <w:pPr>
              <w:spacing w:before="40" w:after="40"/>
              <w:ind w:firstLine="480"/>
              <w:jc w:val="center"/>
              <w:rPr>
                <w:rFonts w:ascii="宋体" w:cs="宋体"/>
                <w:highlight w:val="none"/>
              </w:rPr>
            </w:pPr>
          </w:p>
        </w:tc>
        <w:tc>
          <w:tcPr>
            <w:tcW w:w="2410" w:type="dxa"/>
          </w:tcPr>
          <w:p w14:paraId="28221CB4">
            <w:pPr>
              <w:spacing w:before="40" w:after="40"/>
              <w:ind w:firstLine="480"/>
              <w:jc w:val="center"/>
              <w:rPr>
                <w:rFonts w:ascii="宋体" w:cs="宋体"/>
                <w:highlight w:val="none"/>
              </w:rPr>
            </w:pPr>
          </w:p>
        </w:tc>
        <w:tc>
          <w:tcPr>
            <w:tcW w:w="708" w:type="dxa"/>
          </w:tcPr>
          <w:p w14:paraId="2E65C993">
            <w:pPr>
              <w:spacing w:before="40" w:after="40"/>
              <w:ind w:firstLine="480"/>
              <w:jc w:val="center"/>
              <w:rPr>
                <w:rFonts w:ascii="宋体" w:cs="宋体"/>
                <w:highlight w:val="none"/>
              </w:rPr>
            </w:pPr>
          </w:p>
        </w:tc>
        <w:tc>
          <w:tcPr>
            <w:tcW w:w="3621" w:type="dxa"/>
          </w:tcPr>
          <w:p w14:paraId="3C18FCCD">
            <w:pPr>
              <w:spacing w:before="40" w:after="40"/>
              <w:ind w:firstLine="480"/>
              <w:jc w:val="center"/>
              <w:rPr>
                <w:rFonts w:ascii="宋体" w:cs="宋体"/>
                <w:highlight w:val="none"/>
              </w:rPr>
            </w:pPr>
          </w:p>
        </w:tc>
        <w:tc>
          <w:tcPr>
            <w:tcW w:w="695" w:type="dxa"/>
          </w:tcPr>
          <w:p w14:paraId="68FF1A14">
            <w:pPr>
              <w:spacing w:before="40" w:after="40"/>
              <w:ind w:firstLine="480"/>
              <w:jc w:val="center"/>
              <w:rPr>
                <w:rFonts w:ascii="宋体" w:cs="宋体"/>
                <w:highlight w:val="none"/>
              </w:rPr>
            </w:pPr>
          </w:p>
        </w:tc>
      </w:tr>
    </w:tbl>
    <w:p w14:paraId="1B794FB3">
      <w:pPr>
        <w:ind w:right="480" w:firstLine="4075" w:firstLineChars="1933"/>
        <w:rPr>
          <w:rFonts w:ascii="宋体"/>
          <w:b/>
          <w:highlight w:val="none"/>
        </w:rPr>
      </w:pPr>
    </w:p>
    <w:p w14:paraId="25ED072F">
      <w:pPr>
        <w:ind w:right="480" w:firstLine="420" w:firstLineChars="200"/>
        <w:rPr>
          <w:rFonts w:ascii="宋体"/>
          <w:bCs/>
          <w:highlight w:val="none"/>
        </w:rPr>
      </w:pPr>
      <w:r>
        <w:rPr>
          <w:rFonts w:hint="eastAsia" w:ascii="宋体"/>
          <w:bCs/>
          <w:highlight w:val="none"/>
        </w:rPr>
        <w:t>注：根据磋商文件第五部分磋商及采购项目服务要求二、项目概况及技术要求中内容进行响应。</w:t>
      </w:r>
    </w:p>
    <w:p w14:paraId="48CA9BB9">
      <w:pPr>
        <w:ind w:right="480" w:firstLine="4075" w:firstLineChars="1933"/>
        <w:rPr>
          <w:rFonts w:ascii="宋体"/>
          <w:b/>
          <w:highlight w:val="none"/>
        </w:rPr>
      </w:pPr>
    </w:p>
    <w:p w14:paraId="169A35BC">
      <w:pPr>
        <w:ind w:right="480" w:firstLine="4075" w:firstLineChars="1933"/>
        <w:rPr>
          <w:rFonts w:ascii="宋体"/>
          <w:b/>
          <w:highlight w:val="none"/>
        </w:rPr>
      </w:pPr>
    </w:p>
    <w:p w14:paraId="5205F3CA">
      <w:pPr>
        <w:ind w:right="480" w:firstLine="4075" w:firstLineChars="1933"/>
        <w:rPr>
          <w:rFonts w:ascii="宋体"/>
          <w:b/>
          <w:highlight w:val="none"/>
        </w:rPr>
      </w:pPr>
    </w:p>
    <w:p w14:paraId="30EEF9D5">
      <w:pPr>
        <w:ind w:right="480" w:firstLine="4075" w:firstLineChars="1933"/>
        <w:rPr>
          <w:rFonts w:ascii="宋体"/>
          <w:b/>
          <w:highlight w:val="none"/>
        </w:rPr>
      </w:pPr>
    </w:p>
    <w:p w14:paraId="38C5D7CD">
      <w:pPr>
        <w:ind w:right="480" w:firstLine="4075" w:firstLineChars="1933"/>
        <w:rPr>
          <w:rFonts w:ascii="宋体"/>
          <w:b/>
          <w:highlight w:val="none"/>
        </w:rPr>
      </w:pPr>
    </w:p>
    <w:p w14:paraId="4612560A">
      <w:pPr>
        <w:ind w:right="480" w:firstLine="4075" w:firstLineChars="1933"/>
        <w:rPr>
          <w:rFonts w:ascii="宋体"/>
          <w:b/>
          <w:highlight w:val="none"/>
        </w:rPr>
      </w:pPr>
    </w:p>
    <w:p w14:paraId="0FEBFCA9">
      <w:pPr>
        <w:ind w:right="480" w:firstLine="4075" w:firstLineChars="1933"/>
        <w:rPr>
          <w:rFonts w:ascii="宋体"/>
          <w:b/>
          <w:highlight w:val="none"/>
        </w:rPr>
      </w:pPr>
    </w:p>
    <w:p w14:paraId="608036DE">
      <w:pPr>
        <w:ind w:right="480" w:firstLine="4075" w:firstLineChars="1933"/>
        <w:rPr>
          <w:rFonts w:ascii="宋体"/>
          <w:b/>
          <w:highlight w:val="none"/>
        </w:rPr>
      </w:pPr>
    </w:p>
    <w:p w14:paraId="4FF0B70B">
      <w:pPr>
        <w:ind w:right="480" w:firstLine="4075" w:firstLineChars="1933"/>
        <w:rPr>
          <w:rFonts w:ascii="宋体"/>
          <w:b/>
          <w:highlight w:val="none"/>
        </w:rPr>
      </w:pPr>
    </w:p>
    <w:p w14:paraId="4859AE31">
      <w:pPr>
        <w:ind w:right="480"/>
        <w:rPr>
          <w:rFonts w:ascii="宋体"/>
          <w:b/>
          <w:highlight w:val="none"/>
        </w:rPr>
      </w:pPr>
    </w:p>
    <w:p w14:paraId="537989CD">
      <w:pPr>
        <w:ind w:right="480" w:firstLine="4075" w:firstLineChars="1933"/>
        <w:rPr>
          <w:rFonts w:ascii="宋体"/>
          <w:b/>
          <w:highlight w:val="none"/>
        </w:rPr>
      </w:pPr>
    </w:p>
    <w:p w14:paraId="7E0E18AB">
      <w:pPr>
        <w:ind w:right="480" w:firstLine="4075" w:firstLineChars="1933"/>
        <w:rPr>
          <w:rFonts w:ascii="宋体"/>
          <w:b/>
          <w:highlight w:val="none"/>
        </w:rPr>
      </w:pPr>
    </w:p>
    <w:p w14:paraId="75BA4669">
      <w:pPr>
        <w:ind w:right="480" w:firstLine="4075" w:firstLineChars="1933"/>
        <w:rPr>
          <w:rFonts w:ascii="宋体"/>
          <w:b/>
          <w:highlight w:val="none"/>
        </w:rPr>
      </w:pPr>
      <w:r>
        <w:rPr>
          <w:rFonts w:hint="eastAsia" w:ascii="宋体" w:hAnsi="宋体"/>
          <w:b/>
          <w:highlight w:val="none"/>
        </w:rPr>
        <w:t>投标单位：</w:t>
      </w:r>
      <w:r>
        <w:rPr>
          <w:rFonts w:ascii="宋体" w:hAnsi="宋体" w:cs="宋体"/>
          <w:kern w:val="0"/>
          <w:highlight w:val="none"/>
          <w:u w:val="single"/>
        </w:rPr>
        <w:t xml:space="preserve">       </w:t>
      </w:r>
      <w:r>
        <w:rPr>
          <w:rFonts w:hint="eastAsia" w:ascii="宋体" w:hAnsi="宋体"/>
          <w:b/>
          <w:highlight w:val="none"/>
        </w:rPr>
        <w:t>（公章）</w:t>
      </w:r>
    </w:p>
    <w:p w14:paraId="70DCD4F3">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宋体" w:hAnsi="宋体" w:cs="宋体"/>
          <w:kern w:val="0"/>
          <w:highlight w:val="none"/>
          <w:u w:val="single"/>
        </w:rPr>
        <w:t xml:space="preserve">       </w:t>
      </w:r>
      <w:r>
        <w:rPr>
          <w:rFonts w:hint="eastAsia" w:ascii="宋体" w:hAnsi="宋体"/>
          <w:b/>
          <w:highlight w:val="none"/>
        </w:rPr>
        <w:t>（签字或盖章）</w:t>
      </w:r>
    </w:p>
    <w:p w14:paraId="069F7734">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38C44501">
      <w:pPr>
        <w:widowControl/>
        <w:snapToGrid w:val="0"/>
        <w:spacing w:line="360" w:lineRule="auto"/>
        <w:outlineLvl w:val="1"/>
        <w:rPr>
          <w:rFonts w:ascii="宋体"/>
          <w:b/>
          <w:sz w:val="28"/>
          <w:szCs w:val="28"/>
          <w:highlight w:val="none"/>
        </w:rPr>
      </w:pPr>
      <w:r>
        <w:rPr>
          <w:rFonts w:ascii="宋体"/>
          <w:b/>
          <w:sz w:val="28"/>
          <w:szCs w:val="28"/>
          <w:highlight w:val="none"/>
        </w:rPr>
        <w:br w:type="page"/>
      </w:r>
      <w:bookmarkStart w:id="235" w:name="_Toc496626247"/>
      <w:bookmarkStart w:id="236" w:name="_Toc6609"/>
      <w:bookmarkStart w:id="237" w:name="_Toc496004041"/>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lang w:val="en-US" w:eastAsia="zh-CN"/>
        </w:rPr>
        <w:t>3</w:t>
      </w:r>
      <w:r>
        <w:rPr>
          <w:rFonts w:hint="eastAsia" w:ascii="宋体"/>
          <w:b/>
          <w:sz w:val="28"/>
          <w:szCs w:val="28"/>
          <w:highlight w:val="none"/>
        </w:rPr>
        <w:t>：其他资格证明材料</w:t>
      </w:r>
      <w:bookmarkEnd w:id="235"/>
      <w:bookmarkEnd w:id="236"/>
      <w:bookmarkEnd w:id="237"/>
    </w:p>
    <w:p w14:paraId="038F8CD9">
      <w:pPr>
        <w:ind w:firstLine="2909" w:firstLineChars="805"/>
        <w:rPr>
          <w:rFonts w:ascii="宋体"/>
          <w:b/>
          <w:sz w:val="36"/>
          <w:szCs w:val="36"/>
          <w:highlight w:val="none"/>
        </w:rPr>
      </w:pPr>
    </w:p>
    <w:p w14:paraId="1CA29840">
      <w:pPr>
        <w:ind w:firstLine="2909" w:firstLineChars="805"/>
        <w:rPr>
          <w:rFonts w:ascii="宋体"/>
          <w:b/>
          <w:sz w:val="36"/>
          <w:szCs w:val="36"/>
          <w:highlight w:val="none"/>
        </w:rPr>
      </w:pPr>
      <w:r>
        <w:rPr>
          <w:rFonts w:hint="eastAsia" w:ascii="宋体" w:hAnsi="宋体"/>
          <w:b/>
          <w:sz w:val="36"/>
          <w:szCs w:val="36"/>
          <w:highlight w:val="none"/>
        </w:rPr>
        <w:t>其他资格证明材料</w:t>
      </w:r>
    </w:p>
    <w:p w14:paraId="4FF6A147">
      <w:pPr>
        <w:ind w:firstLine="480"/>
        <w:rPr>
          <w:rFonts w:ascii="宋体"/>
          <w:bCs/>
          <w:highlight w:val="none"/>
        </w:rPr>
      </w:pPr>
    </w:p>
    <w:p w14:paraId="698FE621">
      <w:pPr>
        <w:ind w:firstLine="480"/>
        <w:rPr>
          <w:rFonts w:ascii="宋体" w:hAnsi="宋体"/>
          <w:bCs/>
          <w:highlight w:val="none"/>
        </w:rPr>
      </w:pPr>
      <w:r>
        <w:rPr>
          <w:rFonts w:hint="eastAsia" w:ascii="宋体" w:hAnsi="宋体"/>
          <w:bCs/>
          <w:highlight w:val="none"/>
        </w:rPr>
        <w:t>根据采购项目内容，投标时按磋商文件要求提供投标单位的相关资质证书、从业证书及认为有必要提供的其他资格证明文件等材料。</w:t>
      </w:r>
    </w:p>
    <w:p w14:paraId="432194D7">
      <w:pPr>
        <w:widowControl/>
        <w:snapToGrid w:val="0"/>
        <w:spacing w:line="360" w:lineRule="auto"/>
        <w:outlineLvl w:val="1"/>
        <w:rPr>
          <w:rFonts w:ascii="宋体"/>
          <w:b/>
          <w:sz w:val="28"/>
          <w:szCs w:val="28"/>
          <w:highlight w:val="none"/>
        </w:rPr>
      </w:pPr>
      <w:r>
        <w:rPr>
          <w:rFonts w:ascii="宋体"/>
          <w:b/>
          <w:sz w:val="28"/>
          <w:szCs w:val="28"/>
          <w:highlight w:val="none"/>
        </w:rPr>
        <w:br w:type="page"/>
      </w:r>
      <w:bookmarkStart w:id="238" w:name="_Toc496626248"/>
      <w:bookmarkStart w:id="239" w:name="_Toc496004042"/>
      <w:bookmarkStart w:id="240" w:name="_Toc22615"/>
      <w:r>
        <w:rPr>
          <w:rFonts w:hint="eastAsia" w:ascii="宋体"/>
          <w:b/>
          <w:sz w:val="28"/>
          <w:szCs w:val="28"/>
          <w:highlight w:val="none"/>
        </w:rPr>
        <w:t>附件</w:t>
      </w:r>
      <w:bookmarkStart w:id="241" w:name="_Toc325726045"/>
      <w:bookmarkStart w:id="242" w:name="_Toc365019586"/>
      <w:bookmarkStart w:id="243" w:name="_Toc376936780"/>
      <w:r>
        <w:rPr>
          <w:rFonts w:hint="eastAsia" w:ascii="宋体"/>
          <w:b/>
          <w:sz w:val="28"/>
          <w:szCs w:val="28"/>
          <w:highlight w:val="none"/>
        </w:rPr>
        <w:t>1</w:t>
      </w:r>
      <w:r>
        <w:rPr>
          <w:rFonts w:hint="eastAsia" w:ascii="宋体"/>
          <w:b/>
          <w:sz w:val="28"/>
          <w:szCs w:val="28"/>
          <w:highlight w:val="none"/>
          <w:lang w:val="en-US" w:eastAsia="zh-CN"/>
        </w:rPr>
        <w:t>4</w:t>
      </w:r>
      <w:r>
        <w:rPr>
          <w:rFonts w:hint="eastAsia" w:ascii="宋体"/>
          <w:b/>
          <w:sz w:val="28"/>
          <w:szCs w:val="28"/>
          <w:highlight w:val="none"/>
        </w:rPr>
        <w:t>：</w:t>
      </w:r>
      <w:bookmarkEnd w:id="238"/>
      <w:bookmarkEnd w:id="239"/>
      <w:r>
        <w:rPr>
          <w:rFonts w:hint="eastAsia" w:ascii="宋体"/>
          <w:b/>
          <w:sz w:val="28"/>
          <w:szCs w:val="28"/>
          <w:highlight w:val="none"/>
        </w:rPr>
        <w:t>服务方案</w:t>
      </w:r>
      <w:bookmarkEnd w:id="240"/>
    </w:p>
    <w:p w14:paraId="08E71990">
      <w:pPr>
        <w:ind w:firstLine="2909" w:firstLineChars="805"/>
        <w:rPr>
          <w:rFonts w:ascii="宋体"/>
          <w:b/>
          <w:sz w:val="36"/>
          <w:szCs w:val="36"/>
          <w:highlight w:val="none"/>
        </w:rPr>
      </w:pPr>
    </w:p>
    <w:p w14:paraId="27FE9828">
      <w:pPr>
        <w:ind w:firstLine="708" w:firstLineChars="196"/>
        <w:jc w:val="center"/>
        <w:rPr>
          <w:rFonts w:ascii="宋体"/>
          <w:bCs/>
          <w:highlight w:val="none"/>
        </w:rPr>
      </w:pPr>
      <w:r>
        <w:rPr>
          <w:rFonts w:hint="eastAsia" w:ascii="宋体" w:hAnsi="宋体"/>
          <w:b/>
          <w:sz w:val="36"/>
          <w:szCs w:val="36"/>
          <w:highlight w:val="none"/>
        </w:rPr>
        <w:t>服务方案</w:t>
      </w:r>
    </w:p>
    <w:p w14:paraId="73BB71CC">
      <w:pPr>
        <w:rPr>
          <w:rFonts w:ascii="宋体"/>
          <w:bCs/>
          <w:highlight w:val="none"/>
        </w:rPr>
      </w:pPr>
      <w:r>
        <w:rPr>
          <w:rFonts w:hint="eastAsia" w:ascii="宋体" w:hAnsi="宋体"/>
          <w:bCs/>
          <w:highlight w:val="none"/>
        </w:rPr>
        <w:t>根据采购项目内容，供应商编制项目实施方案。</w:t>
      </w:r>
    </w:p>
    <w:bookmarkEnd w:id="241"/>
    <w:bookmarkEnd w:id="242"/>
    <w:bookmarkEnd w:id="243"/>
    <w:p w14:paraId="118AE016">
      <w:pPr>
        <w:widowControl/>
        <w:snapToGrid w:val="0"/>
        <w:spacing w:line="360" w:lineRule="auto"/>
        <w:outlineLvl w:val="1"/>
        <w:rPr>
          <w:rFonts w:ascii="宋体"/>
          <w:b/>
          <w:sz w:val="28"/>
          <w:szCs w:val="28"/>
          <w:highlight w:val="none"/>
        </w:rPr>
      </w:pPr>
      <w:r>
        <w:rPr>
          <w:rFonts w:ascii="宋体"/>
          <w:b/>
          <w:sz w:val="28"/>
          <w:szCs w:val="28"/>
          <w:highlight w:val="none"/>
        </w:rPr>
        <w:br w:type="page"/>
      </w:r>
      <w:bookmarkStart w:id="244" w:name="_Toc496626249"/>
      <w:bookmarkStart w:id="245" w:name="_Toc817"/>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lang w:val="en-US" w:eastAsia="zh-CN"/>
        </w:rPr>
        <w:t>5</w:t>
      </w:r>
      <w:r>
        <w:rPr>
          <w:rFonts w:hint="eastAsia" w:ascii="宋体"/>
          <w:b/>
          <w:sz w:val="28"/>
          <w:szCs w:val="28"/>
          <w:highlight w:val="none"/>
        </w:rPr>
        <w:t>：供应商类似业绩证明材料</w:t>
      </w:r>
      <w:bookmarkEnd w:id="217"/>
      <w:bookmarkEnd w:id="244"/>
      <w:bookmarkEnd w:id="245"/>
    </w:p>
    <w:p w14:paraId="0F6B4C7A">
      <w:pPr>
        <w:ind w:firstLine="2909" w:firstLineChars="805"/>
        <w:rPr>
          <w:rFonts w:ascii="宋体"/>
          <w:b/>
          <w:sz w:val="36"/>
          <w:szCs w:val="36"/>
          <w:highlight w:val="none"/>
        </w:rPr>
      </w:pPr>
    </w:p>
    <w:p w14:paraId="3DDA5228">
      <w:pPr>
        <w:jc w:val="center"/>
        <w:rPr>
          <w:rFonts w:ascii="宋体"/>
          <w:b/>
          <w:sz w:val="36"/>
          <w:szCs w:val="36"/>
          <w:highlight w:val="none"/>
        </w:rPr>
      </w:pPr>
      <w:r>
        <w:rPr>
          <w:rFonts w:hint="eastAsia" w:ascii="宋体" w:hAnsi="宋体"/>
          <w:b/>
          <w:sz w:val="36"/>
          <w:szCs w:val="36"/>
          <w:highlight w:val="none"/>
        </w:rPr>
        <w:t>供应商类似业绩证明材料</w:t>
      </w:r>
    </w:p>
    <w:p w14:paraId="122F5987">
      <w:pPr>
        <w:tabs>
          <w:tab w:val="left" w:pos="168"/>
        </w:tabs>
        <w:adjustRightInd w:val="0"/>
        <w:ind w:firstLine="2530" w:firstLineChars="700"/>
        <w:textAlignment w:val="baseline"/>
        <w:rPr>
          <w:rFonts w:ascii="宋体"/>
          <w:b/>
          <w:sz w:val="36"/>
          <w:szCs w:val="36"/>
          <w:highlight w:val="none"/>
        </w:rPr>
      </w:pPr>
    </w:p>
    <w:p w14:paraId="7C857563">
      <w:pPr>
        <w:tabs>
          <w:tab w:val="left" w:pos="168"/>
        </w:tabs>
        <w:adjustRightInd w:val="0"/>
        <w:ind w:firstLine="480"/>
        <w:textAlignment w:val="baseline"/>
        <w:rPr>
          <w:rFonts w:ascii="宋体"/>
          <w:highlight w:val="none"/>
        </w:rPr>
      </w:pPr>
      <w:r>
        <w:rPr>
          <w:rFonts w:hint="eastAsia" w:ascii="宋体" w:hAnsi="宋体"/>
          <w:highlight w:val="none"/>
          <w:lang w:val="en-US" w:eastAsia="zh-CN"/>
        </w:rPr>
        <w:t>具体以评审标准要求为准</w:t>
      </w:r>
      <w:r>
        <w:rPr>
          <w:rFonts w:hint="eastAsia" w:ascii="宋体" w:hAnsi="宋体"/>
          <w:highlight w:val="none"/>
        </w:rPr>
        <w:t>。</w:t>
      </w:r>
    </w:p>
    <w:p w14:paraId="58BC2631">
      <w:pPr>
        <w:widowControl/>
        <w:snapToGrid w:val="0"/>
        <w:spacing w:line="360" w:lineRule="auto"/>
        <w:outlineLvl w:val="9"/>
        <w:rPr>
          <w:rFonts w:ascii="宋体"/>
          <w:b/>
          <w:highlight w:val="none"/>
        </w:rPr>
      </w:pPr>
    </w:p>
    <w:p w14:paraId="0310F292">
      <w:pPr>
        <w:widowControl/>
        <w:snapToGrid w:val="0"/>
        <w:spacing w:line="360" w:lineRule="auto"/>
        <w:outlineLvl w:val="9"/>
        <w:rPr>
          <w:rFonts w:ascii="宋体"/>
          <w:b/>
          <w:sz w:val="28"/>
          <w:szCs w:val="28"/>
          <w:highlight w:val="none"/>
        </w:rPr>
      </w:pPr>
    </w:p>
    <w:p w14:paraId="69442179">
      <w:pPr>
        <w:widowControl/>
        <w:snapToGrid w:val="0"/>
        <w:spacing w:line="360" w:lineRule="auto"/>
        <w:outlineLvl w:val="9"/>
        <w:rPr>
          <w:rFonts w:ascii="宋体"/>
          <w:b/>
          <w:sz w:val="28"/>
          <w:szCs w:val="28"/>
          <w:highlight w:val="none"/>
        </w:rPr>
      </w:pPr>
    </w:p>
    <w:p w14:paraId="33D00C95">
      <w:pPr>
        <w:widowControl/>
        <w:snapToGrid w:val="0"/>
        <w:spacing w:line="360" w:lineRule="auto"/>
        <w:outlineLvl w:val="9"/>
        <w:rPr>
          <w:rFonts w:ascii="宋体"/>
          <w:b/>
          <w:sz w:val="28"/>
          <w:szCs w:val="28"/>
          <w:highlight w:val="none"/>
        </w:rPr>
      </w:pPr>
    </w:p>
    <w:p w14:paraId="0643F5BB">
      <w:pPr>
        <w:widowControl/>
        <w:snapToGrid w:val="0"/>
        <w:spacing w:line="360" w:lineRule="auto"/>
        <w:outlineLvl w:val="9"/>
        <w:rPr>
          <w:rFonts w:ascii="宋体"/>
          <w:b/>
          <w:sz w:val="28"/>
          <w:szCs w:val="28"/>
          <w:highlight w:val="none"/>
        </w:rPr>
      </w:pPr>
    </w:p>
    <w:p w14:paraId="6096A964">
      <w:pPr>
        <w:widowControl/>
        <w:snapToGrid w:val="0"/>
        <w:spacing w:line="360" w:lineRule="auto"/>
        <w:outlineLvl w:val="9"/>
        <w:rPr>
          <w:rFonts w:ascii="宋体"/>
          <w:b/>
          <w:sz w:val="28"/>
          <w:szCs w:val="28"/>
          <w:highlight w:val="none"/>
        </w:rPr>
      </w:pPr>
    </w:p>
    <w:p w14:paraId="1FAEFD7F">
      <w:pPr>
        <w:widowControl/>
        <w:snapToGrid w:val="0"/>
        <w:spacing w:line="360" w:lineRule="auto"/>
        <w:outlineLvl w:val="9"/>
        <w:rPr>
          <w:rFonts w:ascii="宋体"/>
          <w:b/>
          <w:sz w:val="28"/>
          <w:szCs w:val="28"/>
          <w:highlight w:val="none"/>
        </w:rPr>
      </w:pPr>
    </w:p>
    <w:p w14:paraId="1A7E8CCB">
      <w:pPr>
        <w:widowControl/>
        <w:snapToGrid w:val="0"/>
        <w:spacing w:line="360" w:lineRule="auto"/>
        <w:outlineLvl w:val="9"/>
        <w:rPr>
          <w:rFonts w:ascii="宋体"/>
          <w:b/>
          <w:sz w:val="28"/>
          <w:szCs w:val="28"/>
          <w:highlight w:val="none"/>
        </w:rPr>
      </w:pPr>
    </w:p>
    <w:p w14:paraId="1DC36855">
      <w:pPr>
        <w:widowControl/>
        <w:snapToGrid w:val="0"/>
        <w:spacing w:line="360" w:lineRule="auto"/>
        <w:outlineLvl w:val="9"/>
        <w:rPr>
          <w:rFonts w:ascii="宋体"/>
          <w:b/>
          <w:sz w:val="28"/>
          <w:szCs w:val="28"/>
          <w:highlight w:val="none"/>
        </w:rPr>
      </w:pPr>
    </w:p>
    <w:p w14:paraId="19DFCFC3">
      <w:pPr>
        <w:widowControl/>
        <w:snapToGrid w:val="0"/>
        <w:spacing w:line="360" w:lineRule="auto"/>
        <w:outlineLvl w:val="9"/>
        <w:rPr>
          <w:rFonts w:ascii="宋体"/>
          <w:b/>
          <w:sz w:val="28"/>
          <w:szCs w:val="28"/>
          <w:highlight w:val="none"/>
        </w:rPr>
      </w:pPr>
    </w:p>
    <w:p w14:paraId="6A5B6A17">
      <w:pPr>
        <w:widowControl/>
        <w:snapToGrid w:val="0"/>
        <w:spacing w:line="360" w:lineRule="auto"/>
        <w:outlineLvl w:val="9"/>
        <w:rPr>
          <w:rFonts w:ascii="宋体"/>
          <w:b/>
          <w:sz w:val="28"/>
          <w:szCs w:val="28"/>
          <w:highlight w:val="none"/>
        </w:rPr>
      </w:pPr>
    </w:p>
    <w:p w14:paraId="70CD6D10">
      <w:pPr>
        <w:widowControl/>
        <w:snapToGrid w:val="0"/>
        <w:spacing w:line="360" w:lineRule="auto"/>
        <w:outlineLvl w:val="9"/>
        <w:rPr>
          <w:rFonts w:ascii="宋体"/>
          <w:b/>
          <w:sz w:val="28"/>
          <w:szCs w:val="28"/>
          <w:highlight w:val="none"/>
        </w:rPr>
      </w:pPr>
    </w:p>
    <w:p w14:paraId="0ADE43B4">
      <w:pPr>
        <w:widowControl/>
        <w:snapToGrid w:val="0"/>
        <w:spacing w:line="360" w:lineRule="auto"/>
        <w:outlineLvl w:val="9"/>
        <w:rPr>
          <w:rFonts w:ascii="宋体"/>
          <w:b/>
          <w:sz w:val="28"/>
          <w:szCs w:val="28"/>
          <w:highlight w:val="none"/>
        </w:rPr>
      </w:pPr>
    </w:p>
    <w:p w14:paraId="7D3B3DBE">
      <w:pPr>
        <w:widowControl/>
        <w:snapToGrid w:val="0"/>
        <w:spacing w:line="360" w:lineRule="auto"/>
        <w:outlineLvl w:val="9"/>
        <w:rPr>
          <w:rFonts w:ascii="宋体"/>
          <w:b/>
          <w:sz w:val="28"/>
          <w:szCs w:val="28"/>
          <w:highlight w:val="none"/>
        </w:rPr>
      </w:pPr>
    </w:p>
    <w:p w14:paraId="7CAE2B10">
      <w:pPr>
        <w:widowControl/>
        <w:snapToGrid w:val="0"/>
        <w:spacing w:line="360" w:lineRule="auto"/>
        <w:outlineLvl w:val="9"/>
        <w:rPr>
          <w:rFonts w:ascii="宋体"/>
          <w:b/>
          <w:sz w:val="28"/>
          <w:szCs w:val="28"/>
          <w:highlight w:val="none"/>
        </w:rPr>
      </w:pPr>
    </w:p>
    <w:p w14:paraId="5109D5E5">
      <w:pPr>
        <w:widowControl/>
        <w:snapToGrid w:val="0"/>
        <w:spacing w:line="360" w:lineRule="auto"/>
        <w:outlineLvl w:val="9"/>
        <w:rPr>
          <w:rFonts w:ascii="宋体"/>
          <w:b/>
          <w:sz w:val="28"/>
          <w:szCs w:val="28"/>
          <w:highlight w:val="none"/>
        </w:rPr>
      </w:pPr>
    </w:p>
    <w:p w14:paraId="35980A49">
      <w:pPr>
        <w:widowControl/>
        <w:snapToGrid w:val="0"/>
        <w:spacing w:line="360" w:lineRule="auto"/>
        <w:outlineLvl w:val="9"/>
        <w:rPr>
          <w:rFonts w:ascii="宋体"/>
          <w:b/>
          <w:sz w:val="28"/>
          <w:szCs w:val="28"/>
          <w:highlight w:val="none"/>
        </w:rPr>
      </w:pPr>
    </w:p>
    <w:p w14:paraId="0C584895">
      <w:pPr>
        <w:widowControl/>
        <w:snapToGrid w:val="0"/>
        <w:spacing w:line="360" w:lineRule="auto"/>
        <w:outlineLvl w:val="9"/>
        <w:rPr>
          <w:rFonts w:ascii="宋体"/>
          <w:b/>
          <w:sz w:val="28"/>
          <w:szCs w:val="28"/>
          <w:highlight w:val="none"/>
        </w:rPr>
      </w:pPr>
    </w:p>
    <w:p w14:paraId="503C4463">
      <w:pPr>
        <w:widowControl/>
        <w:snapToGrid w:val="0"/>
        <w:spacing w:line="360" w:lineRule="auto"/>
        <w:outlineLvl w:val="9"/>
        <w:rPr>
          <w:rFonts w:ascii="宋体"/>
          <w:b/>
          <w:sz w:val="28"/>
          <w:szCs w:val="28"/>
          <w:highlight w:val="none"/>
        </w:rPr>
      </w:pPr>
    </w:p>
    <w:p w14:paraId="5A9BF1DC">
      <w:pPr>
        <w:widowControl/>
        <w:snapToGrid w:val="0"/>
        <w:spacing w:line="360" w:lineRule="auto"/>
        <w:outlineLvl w:val="9"/>
        <w:rPr>
          <w:rFonts w:ascii="宋体"/>
          <w:b/>
          <w:sz w:val="28"/>
          <w:szCs w:val="28"/>
          <w:highlight w:val="none"/>
        </w:rPr>
      </w:pPr>
    </w:p>
    <w:p w14:paraId="25A88B8B">
      <w:pPr>
        <w:widowControl/>
        <w:snapToGrid w:val="0"/>
        <w:spacing w:line="360" w:lineRule="auto"/>
        <w:outlineLvl w:val="9"/>
        <w:rPr>
          <w:rFonts w:ascii="宋体"/>
          <w:b/>
          <w:sz w:val="28"/>
          <w:szCs w:val="28"/>
          <w:highlight w:val="none"/>
        </w:rPr>
      </w:pPr>
      <w:bookmarkStart w:id="246" w:name="_Toc496626250"/>
      <w:bookmarkStart w:id="247" w:name="_Toc496004044"/>
    </w:p>
    <w:p w14:paraId="7D39E927">
      <w:pPr>
        <w:widowControl/>
        <w:snapToGrid w:val="0"/>
        <w:spacing w:line="360" w:lineRule="auto"/>
        <w:outlineLvl w:val="1"/>
        <w:rPr>
          <w:rFonts w:ascii="宋体"/>
          <w:b/>
          <w:sz w:val="28"/>
          <w:szCs w:val="28"/>
          <w:highlight w:val="none"/>
        </w:rPr>
      </w:pPr>
      <w:bookmarkStart w:id="248" w:name="_Toc32594"/>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lang w:val="en-US" w:eastAsia="zh-CN"/>
        </w:rPr>
        <w:t>6</w:t>
      </w:r>
      <w:r>
        <w:rPr>
          <w:rFonts w:hint="eastAsia" w:ascii="宋体"/>
          <w:b/>
          <w:sz w:val="28"/>
          <w:szCs w:val="28"/>
          <w:highlight w:val="none"/>
        </w:rPr>
        <w:t>：</w:t>
      </w:r>
      <w:bookmarkEnd w:id="246"/>
      <w:bookmarkEnd w:id="247"/>
      <w:r>
        <w:rPr>
          <w:rFonts w:hint="eastAsia" w:ascii="宋体"/>
          <w:b/>
          <w:sz w:val="28"/>
          <w:szCs w:val="28"/>
          <w:highlight w:val="none"/>
        </w:rPr>
        <w:t>中小企业声明函</w:t>
      </w:r>
      <w:bookmarkEnd w:id="248"/>
    </w:p>
    <w:p w14:paraId="574F3D61">
      <w:pPr>
        <w:jc w:val="center"/>
        <w:rPr>
          <w:rFonts w:hint="eastAsia" w:ascii="宋体" w:hAnsi="宋体" w:eastAsia="宋体" w:cs="Times New Roman"/>
          <w:b/>
          <w:sz w:val="36"/>
          <w:szCs w:val="36"/>
          <w:highlight w:val="none"/>
        </w:rPr>
      </w:pPr>
    </w:p>
    <w:p w14:paraId="3F16038C">
      <w:pPr>
        <w:jc w:val="center"/>
        <w:rPr>
          <w:rFonts w:hint="eastAsia" w:ascii="宋体" w:hAnsi="宋体" w:eastAsia="宋体" w:cs="Times New Roman"/>
          <w:b/>
          <w:sz w:val="36"/>
          <w:szCs w:val="36"/>
          <w:highlight w:val="none"/>
        </w:rPr>
      </w:pPr>
      <w:r>
        <w:rPr>
          <w:rFonts w:hint="eastAsia" w:ascii="宋体" w:hAnsi="宋体" w:eastAsia="宋体" w:cs="Times New Roman"/>
          <w:b/>
          <w:sz w:val="36"/>
          <w:szCs w:val="36"/>
          <w:highlight w:val="none"/>
        </w:rPr>
        <w:t>中小企业声明函</w:t>
      </w:r>
    </w:p>
    <w:p w14:paraId="1D7D6308">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shd w:val="clear" w:color="auto" w:fill="FFFFFF"/>
        </w:rPr>
        <w:t>本公司（联合体）郑重声明，根据《政府采购促进中小企业发展管理办法》（财库﹝2020﹞46 号）的规定，本公司（联合体）参加</w:t>
      </w:r>
      <w:r>
        <w:rPr>
          <w:rFonts w:hint="eastAsia" w:ascii="宋体" w:hAnsi="宋体" w:eastAsia="宋体" w:cs="宋体"/>
          <w:color w:val="333333"/>
          <w:kern w:val="0"/>
          <w:sz w:val="21"/>
          <w:szCs w:val="21"/>
          <w:highlight w:val="none"/>
          <w:u w:val="single"/>
          <w:shd w:val="clear" w:color="auto" w:fill="FFFFFF"/>
        </w:rPr>
        <w:t>（单位名称）</w:t>
      </w:r>
      <w:r>
        <w:rPr>
          <w:rFonts w:hint="eastAsia" w:ascii="宋体" w:hAnsi="宋体" w:eastAsia="宋体" w:cs="宋体"/>
          <w:color w:val="333333"/>
          <w:kern w:val="0"/>
          <w:sz w:val="21"/>
          <w:szCs w:val="21"/>
          <w:highlight w:val="none"/>
          <w:shd w:val="clear" w:color="auto" w:fill="FFFFFF"/>
        </w:rPr>
        <w:t>的</w:t>
      </w:r>
      <w:r>
        <w:rPr>
          <w:rFonts w:hint="eastAsia" w:ascii="宋体" w:hAnsi="宋体" w:eastAsia="宋体" w:cs="宋体"/>
          <w:color w:val="333333"/>
          <w:kern w:val="0"/>
          <w:sz w:val="21"/>
          <w:szCs w:val="21"/>
          <w:highlight w:val="none"/>
          <w:u w:val="single"/>
          <w:shd w:val="clear" w:color="auto" w:fill="FFFFFF"/>
        </w:rPr>
        <w:t>（项目名称）</w:t>
      </w:r>
      <w:r>
        <w:rPr>
          <w:rFonts w:hint="eastAsia" w:ascii="宋体" w:hAnsi="宋体" w:eastAsia="宋体" w:cs="宋体"/>
          <w:color w:val="333333"/>
          <w:kern w:val="0"/>
          <w:sz w:val="21"/>
          <w:szCs w:val="21"/>
          <w:highlight w:val="none"/>
          <w:shd w:val="clear" w:color="auto" w:fill="FFFFFF"/>
        </w:rPr>
        <w:t>采购活动，服务全部由符合政策要求的中小企业承接。相关企业（含联合体中的中小企业、签订分包意向协议的中小企业）的具体情况如下：</w:t>
      </w:r>
    </w:p>
    <w:p w14:paraId="7455DB93">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u w:val="single"/>
          <w:shd w:val="clear" w:color="auto" w:fill="FFFFFF"/>
        </w:rPr>
        <w:t>1.（标的名称）</w:t>
      </w:r>
      <w:r>
        <w:rPr>
          <w:rFonts w:hint="eastAsia" w:ascii="宋体" w:hAnsi="宋体" w:eastAsia="宋体" w:cs="宋体"/>
          <w:color w:val="333333"/>
          <w:kern w:val="0"/>
          <w:sz w:val="21"/>
          <w:szCs w:val="21"/>
          <w:highlight w:val="none"/>
          <w:shd w:val="clear" w:color="auto" w:fill="FFFFFF"/>
        </w:rPr>
        <w:t>，属于</w:t>
      </w:r>
      <w:r>
        <w:rPr>
          <w:rFonts w:hint="eastAsia" w:ascii="宋体" w:hAnsi="宋体" w:eastAsia="宋体" w:cs="宋体"/>
          <w:color w:val="333333"/>
          <w:kern w:val="0"/>
          <w:sz w:val="21"/>
          <w:szCs w:val="21"/>
          <w:highlight w:val="none"/>
          <w:shd w:val="clear" w:color="auto" w:fill="FFFFFF"/>
          <w:lang w:val="en-US" w:eastAsia="zh-CN"/>
        </w:rPr>
        <w:t xml:space="preserve"> </w:t>
      </w:r>
      <w:r>
        <w:rPr>
          <w:rFonts w:hint="eastAsia" w:ascii="宋体" w:hAnsi="宋体" w:cs="宋体"/>
          <w:color w:val="auto"/>
          <w:kern w:val="0"/>
          <w:highlight w:val="none"/>
          <w:u w:val="single"/>
          <w:shd w:val="clear" w:color="auto" w:fill="FFFFFF"/>
        </w:rPr>
        <w:t>软件和信息技术服务业</w:t>
      </w:r>
      <w:r>
        <w:rPr>
          <w:rFonts w:hint="eastAsia" w:ascii="宋体" w:hAnsi="宋体" w:eastAsia="宋体" w:cs="宋体"/>
          <w:color w:val="333333"/>
          <w:kern w:val="0"/>
          <w:sz w:val="21"/>
          <w:szCs w:val="21"/>
          <w:highlight w:val="none"/>
          <w:u w:val="single"/>
          <w:shd w:val="clear" w:color="auto" w:fill="FFFFFF"/>
        </w:rPr>
        <w:t>（采购文件中明确的所属行业）</w:t>
      </w:r>
      <w:r>
        <w:rPr>
          <w:rFonts w:hint="eastAsia" w:ascii="宋体" w:hAnsi="宋体" w:eastAsia="宋体" w:cs="宋体"/>
          <w:color w:val="333333"/>
          <w:kern w:val="0"/>
          <w:sz w:val="21"/>
          <w:szCs w:val="21"/>
          <w:highlight w:val="none"/>
          <w:shd w:val="clear" w:color="auto" w:fill="FFFFFF"/>
        </w:rPr>
        <w:t>；承建（承接）企业为</w:t>
      </w:r>
      <w:r>
        <w:rPr>
          <w:rFonts w:hint="eastAsia" w:ascii="宋体" w:hAnsi="宋体" w:eastAsia="宋体" w:cs="宋体"/>
          <w:color w:val="333333"/>
          <w:kern w:val="0"/>
          <w:sz w:val="21"/>
          <w:szCs w:val="21"/>
          <w:highlight w:val="none"/>
          <w:u w:val="single"/>
          <w:shd w:val="clear" w:color="auto" w:fill="FFFFFF"/>
        </w:rPr>
        <w:t>（企业名称）</w:t>
      </w:r>
      <w:r>
        <w:rPr>
          <w:rFonts w:hint="eastAsia" w:ascii="宋体" w:hAnsi="宋体" w:eastAsia="宋体" w:cs="宋体"/>
          <w:color w:val="333333"/>
          <w:kern w:val="0"/>
          <w:sz w:val="21"/>
          <w:szCs w:val="21"/>
          <w:highlight w:val="none"/>
          <w:shd w:val="clear" w:color="auto" w:fill="FFFFFF"/>
        </w:rPr>
        <w:t>，从业人员</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人，营业收入为</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万元，资产总额为</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万元，属于</w:t>
      </w:r>
      <w:r>
        <w:rPr>
          <w:rFonts w:hint="eastAsia" w:ascii="宋体" w:hAnsi="宋体" w:eastAsia="宋体" w:cs="宋体"/>
          <w:color w:val="333333"/>
          <w:kern w:val="0"/>
          <w:sz w:val="21"/>
          <w:szCs w:val="21"/>
          <w:highlight w:val="none"/>
          <w:u w:val="single"/>
          <w:shd w:val="clear" w:color="auto" w:fill="FFFFFF"/>
        </w:rPr>
        <w:t>     （中型企业、小型企业、微型企业）</w:t>
      </w:r>
      <w:r>
        <w:rPr>
          <w:rFonts w:hint="eastAsia" w:ascii="宋体" w:hAnsi="宋体" w:eastAsia="宋体" w:cs="宋体"/>
          <w:color w:val="333333"/>
          <w:kern w:val="0"/>
          <w:sz w:val="21"/>
          <w:szCs w:val="21"/>
          <w:highlight w:val="none"/>
          <w:shd w:val="clear" w:color="auto" w:fill="FFFFFF"/>
        </w:rPr>
        <w:t>；</w:t>
      </w:r>
    </w:p>
    <w:p w14:paraId="39F1DAC7">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shd w:val="clear" w:color="auto" w:fill="FFFFFF"/>
        </w:rPr>
        <w:t>2.</w:t>
      </w:r>
      <w:r>
        <w:rPr>
          <w:rFonts w:hint="eastAsia" w:ascii="宋体" w:hAnsi="宋体" w:eastAsia="宋体" w:cs="宋体"/>
          <w:color w:val="333333"/>
          <w:kern w:val="0"/>
          <w:sz w:val="21"/>
          <w:szCs w:val="21"/>
          <w:highlight w:val="none"/>
          <w:u w:val="single"/>
          <w:shd w:val="clear" w:color="auto" w:fill="FFFFFF"/>
        </w:rPr>
        <w:t>（标的名称）</w:t>
      </w:r>
      <w:r>
        <w:rPr>
          <w:rFonts w:hint="eastAsia" w:ascii="宋体" w:hAnsi="宋体" w:eastAsia="宋体" w:cs="宋体"/>
          <w:color w:val="333333"/>
          <w:kern w:val="0"/>
          <w:sz w:val="21"/>
          <w:szCs w:val="21"/>
          <w:highlight w:val="none"/>
          <w:shd w:val="clear" w:color="auto" w:fill="FFFFFF"/>
        </w:rPr>
        <w:t>，属于</w:t>
      </w:r>
      <w:r>
        <w:rPr>
          <w:rFonts w:hint="eastAsia" w:ascii="宋体" w:hAnsi="宋体" w:eastAsia="宋体" w:cs="宋体"/>
          <w:color w:val="333333"/>
          <w:kern w:val="0"/>
          <w:sz w:val="21"/>
          <w:szCs w:val="21"/>
          <w:highlight w:val="none"/>
          <w:shd w:val="clear" w:color="auto" w:fill="FFFFFF"/>
          <w:lang w:val="en-US" w:eastAsia="zh-CN"/>
        </w:rPr>
        <w:t xml:space="preserve"> </w:t>
      </w:r>
      <w:r>
        <w:rPr>
          <w:rFonts w:hint="eastAsia" w:ascii="宋体" w:hAnsi="宋体" w:cs="宋体"/>
          <w:color w:val="auto"/>
          <w:kern w:val="0"/>
          <w:highlight w:val="none"/>
          <w:u w:val="single"/>
          <w:shd w:val="clear" w:color="auto" w:fill="FFFFFF"/>
        </w:rPr>
        <w:t>软件和信息技术服务业</w:t>
      </w:r>
      <w:r>
        <w:rPr>
          <w:rFonts w:hint="eastAsia" w:ascii="宋体" w:hAnsi="宋体" w:eastAsia="宋体" w:cs="宋体"/>
          <w:color w:val="333333"/>
          <w:kern w:val="0"/>
          <w:sz w:val="21"/>
          <w:szCs w:val="21"/>
          <w:highlight w:val="none"/>
          <w:u w:val="single"/>
          <w:shd w:val="clear" w:color="auto" w:fill="FFFFFF"/>
        </w:rPr>
        <w:t>（采购文件中明确的所属行业）</w:t>
      </w:r>
      <w:r>
        <w:rPr>
          <w:rFonts w:hint="eastAsia" w:ascii="宋体" w:hAnsi="宋体" w:eastAsia="宋体" w:cs="宋体"/>
          <w:color w:val="333333"/>
          <w:kern w:val="0"/>
          <w:sz w:val="21"/>
          <w:szCs w:val="21"/>
          <w:highlight w:val="none"/>
          <w:shd w:val="clear" w:color="auto" w:fill="FFFFFF"/>
        </w:rPr>
        <w:t>行业；承建（承接）企业为</w:t>
      </w:r>
      <w:r>
        <w:rPr>
          <w:rFonts w:hint="eastAsia" w:ascii="宋体" w:hAnsi="宋体" w:eastAsia="宋体" w:cs="宋体"/>
          <w:color w:val="333333"/>
          <w:kern w:val="0"/>
          <w:sz w:val="21"/>
          <w:szCs w:val="21"/>
          <w:highlight w:val="none"/>
          <w:u w:val="single"/>
          <w:shd w:val="clear" w:color="auto" w:fill="FFFFFF"/>
        </w:rPr>
        <w:t>（企业名称）</w:t>
      </w:r>
      <w:r>
        <w:rPr>
          <w:rFonts w:hint="eastAsia" w:ascii="宋体" w:hAnsi="宋体" w:eastAsia="宋体" w:cs="宋体"/>
          <w:color w:val="333333"/>
          <w:kern w:val="0"/>
          <w:sz w:val="21"/>
          <w:szCs w:val="21"/>
          <w:highlight w:val="none"/>
          <w:shd w:val="clear" w:color="auto" w:fill="FFFFFF"/>
        </w:rPr>
        <w:t>，从业人员</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人，营业收入为</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万元，资产总额为</w:t>
      </w:r>
      <w:r>
        <w:rPr>
          <w:rFonts w:hint="eastAsia" w:ascii="宋体" w:hAnsi="宋体" w:eastAsia="宋体" w:cs="宋体"/>
          <w:color w:val="333333"/>
          <w:kern w:val="0"/>
          <w:sz w:val="21"/>
          <w:szCs w:val="21"/>
          <w:highlight w:val="none"/>
          <w:u w:val="single"/>
          <w:shd w:val="clear" w:color="auto" w:fill="FFFFFF"/>
        </w:rPr>
        <w:t>   </w:t>
      </w:r>
      <w:r>
        <w:rPr>
          <w:rFonts w:hint="eastAsia" w:ascii="宋体" w:hAnsi="宋体" w:eastAsia="宋体" w:cs="宋体"/>
          <w:color w:val="333333"/>
          <w:kern w:val="0"/>
          <w:sz w:val="21"/>
          <w:szCs w:val="21"/>
          <w:highlight w:val="none"/>
          <w:shd w:val="clear" w:color="auto" w:fill="FFFFFF"/>
        </w:rPr>
        <w:t>万元</w:t>
      </w:r>
      <w:r>
        <w:rPr>
          <w:rFonts w:hint="eastAsia" w:ascii="宋体" w:hAnsi="宋体" w:eastAsia="宋体" w:cs="宋体"/>
          <w:color w:val="333333"/>
          <w:kern w:val="0"/>
          <w:sz w:val="21"/>
          <w:szCs w:val="21"/>
          <w:highlight w:val="none"/>
          <w:shd w:val="clear" w:color="auto" w:fill="FFFFFF"/>
          <w:vertAlign w:val="superscript"/>
        </w:rPr>
        <w:t>1</w:t>
      </w:r>
      <w:r>
        <w:rPr>
          <w:rFonts w:hint="eastAsia" w:ascii="宋体" w:hAnsi="宋体" w:eastAsia="宋体" w:cs="宋体"/>
          <w:color w:val="333333"/>
          <w:kern w:val="0"/>
          <w:sz w:val="21"/>
          <w:szCs w:val="21"/>
          <w:highlight w:val="none"/>
          <w:shd w:val="clear" w:color="auto" w:fill="FFFFFF"/>
        </w:rPr>
        <w:t>，属于</w:t>
      </w:r>
      <w:r>
        <w:rPr>
          <w:rFonts w:hint="eastAsia" w:ascii="宋体" w:hAnsi="宋体" w:eastAsia="宋体" w:cs="宋体"/>
          <w:color w:val="333333"/>
          <w:kern w:val="0"/>
          <w:sz w:val="21"/>
          <w:szCs w:val="21"/>
          <w:highlight w:val="none"/>
          <w:u w:val="single"/>
          <w:shd w:val="clear" w:color="auto" w:fill="FFFFFF"/>
        </w:rPr>
        <w:t>（中型企业、小型企业、微型企业）</w:t>
      </w:r>
      <w:r>
        <w:rPr>
          <w:rFonts w:hint="eastAsia" w:ascii="宋体" w:hAnsi="宋体" w:eastAsia="宋体" w:cs="宋体"/>
          <w:color w:val="333333"/>
          <w:kern w:val="0"/>
          <w:sz w:val="21"/>
          <w:szCs w:val="21"/>
          <w:highlight w:val="none"/>
          <w:shd w:val="clear" w:color="auto" w:fill="FFFFFF"/>
        </w:rPr>
        <w:t>；</w:t>
      </w:r>
    </w:p>
    <w:p w14:paraId="6714168F">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shd w:val="clear" w:color="auto" w:fill="FFFFFF"/>
        </w:rPr>
        <w:t>……</w:t>
      </w:r>
    </w:p>
    <w:p w14:paraId="75AA2BFE">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shd w:val="clear" w:color="auto" w:fill="FFFFFF"/>
        </w:rPr>
        <w:t>以上企业，不属于大企业的分支机构，不存在控股股东为大企业的情形，也不存在与大企业的负责人为同一人的情形。</w:t>
      </w:r>
    </w:p>
    <w:p w14:paraId="040814FB">
      <w:pPr>
        <w:widowControl/>
        <w:spacing w:beforeAutospacing="1" w:afterAutospacing="1" w:line="435" w:lineRule="atLeast"/>
        <w:ind w:firstLine="480"/>
        <w:jc w:val="left"/>
        <w:rPr>
          <w:rFonts w:hint="eastAsia" w:ascii="宋体" w:hAnsi="宋体" w:eastAsia="宋体" w:cs="宋体"/>
          <w:color w:val="333333"/>
          <w:sz w:val="21"/>
          <w:szCs w:val="21"/>
          <w:highlight w:val="none"/>
        </w:rPr>
      </w:pPr>
      <w:r>
        <w:rPr>
          <w:rFonts w:hint="eastAsia" w:ascii="宋体" w:hAnsi="宋体" w:eastAsia="宋体" w:cs="宋体"/>
          <w:color w:val="333333"/>
          <w:kern w:val="0"/>
          <w:sz w:val="21"/>
          <w:szCs w:val="21"/>
          <w:highlight w:val="none"/>
          <w:shd w:val="clear" w:color="auto" w:fill="FFFFFF"/>
        </w:rPr>
        <w:t>本企业对上述声明内容的真实性负责。如有虚假，将依法承担相应责任。</w:t>
      </w:r>
    </w:p>
    <w:p w14:paraId="6CB2909A">
      <w:pPr>
        <w:widowControl/>
        <w:spacing w:beforeAutospacing="1" w:afterAutospacing="1" w:line="435" w:lineRule="atLeast"/>
        <w:ind w:firstLine="5280"/>
        <w:jc w:val="left"/>
        <w:rPr>
          <w:rFonts w:hint="eastAsia" w:ascii="宋体" w:hAnsi="宋体" w:eastAsia="宋体" w:cs="宋体"/>
          <w:kern w:val="0"/>
          <w:sz w:val="21"/>
          <w:szCs w:val="21"/>
          <w:highlight w:val="none"/>
          <w:shd w:val="clear" w:color="auto" w:fill="FFFFFF"/>
        </w:rPr>
      </w:pPr>
    </w:p>
    <w:p w14:paraId="1899FE46">
      <w:pPr>
        <w:widowControl/>
        <w:spacing w:beforeAutospacing="1" w:afterAutospacing="1" w:line="435" w:lineRule="atLeast"/>
        <w:ind w:firstLine="528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shd w:val="clear" w:color="auto" w:fill="FFFFFF"/>
        </w:rPr>
        <w:t>企业名称（盖章）：</w:t>
      </w:r>
    </w:p>
    <w:p w14:paraId="019BADCC">
      <w:pPr>
        <w:widowControl/>
        <w:spacing w:beforeAutospacing="1" w:afterAutospacing="1" w:line="435" w:lineRule="atLeast"/>
        <w:ind w:firstLine="5280"/>
        <w:jc w:val="left"/>
        <w:rPr>
          <w:rFonts w:ascii="Arial" w:hAnsi="Arial" w:cs="Arial"/>
          <w:szCs w:val="21"/>
          <w:highlight w:val="none"/>
        </w:rPr>
      </w:pPr>
      <w:r>
        <w:rPr>
          <w:rFonts w:hint="eastAsia" w:ascii="宋体" w:hAnsi="宋体" w:cs="宋体"/>
          <w:kern w:val="0"/>
          <w:sz w:val="24"/>
          <w:highlight w:val="none"/>
          <w:shd w:val="clear" w:color="auto" w:fill="FFFFFF"/>
        </w:rPr>
        <w:t>日 期：</w:t>
      </w:r>
    </w:p>
    <w:p w14:paraId="28A7C6D5">
      <w:pPr>
        <w:widowControl/>
        <w:snapToGrid w:val="0"/>
        <w:spacing w:line="360" w:lineRule="auto"/>
        <w:outlineLvl w:val="1"/>
        <w:rPr>
          <w:rFonts w:ascii="宋体"/>
          <w:b/>
          <w:sz w:val="28"/>
          <w:szCs w:val="28"/>
          <w:highlight w:val="none"/>
        </w:rPr>
      </w:pPr>
      <w:r>
        <w:rPr>
          <w:rFonts w:ascii="宋体"/>
          <w:b/>
          <w:sz w:val="28"/>
          <w:szCs w:val="28"/>
          <w:highlight w:val="none"/>
        </w:rPr>
        <w:br w:type="page"/>
      </w:r>
      <w:bookmarkStart w:id="249" w:name="_Toc496626251"/>
      <w:bookmarkStart w:id="250" w:name="_Toc17685"/>
      <w:bookmarkStart w:id="251" w:name="_Toc496004045"/>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lang w:val="en-US" w:eastAsia="zh-CN"/>
        </w:rPr>
        <w:t>7</w:t>
      </w:r>
      <w:r>
        <w:rPr>
          <w:rFonts w:hint="eastAsia" w:ascii="宋体"/>
          <w:b/>
          <w:sz w:val="28"/>
          <w:szCs w:val="28"/>
          <w:highlight w:val="none"/>
        </w:rPr>
        <w:t>：残疾人福利性单位声明函</w:t>
      </w:r>
      <w:bookmarkEnd w:id="249"/>
      <w:bookmarkEnd w:id="250"/>
      <w:bookmarkEnd w:id="251"/>
    </w:p>
    <w:p w14:paraId="527D419B">
      <w:pPr>
        <w:jc w:val="center"/>
        <w:rPr>
          <w:rFonts w:ascii="宋体"/>
          <w:b/>
          <w:sz w:val="36"/>
          <w:szCs w:val="36"/>
          <w:highlight w:val="none"/>
        </w:rPr>
      </w:pPr>
      <w:bookmarkStart w:id="252" w:name="OLE_LINK13"/>
      <w:bookmarkStart w:id="253" w:name="OLE_LINK14"/>
    </w:p>
    <w:p w14:paraId="0194EF49">
      <w:pPr>
        <w:jc w:val="center"/>
        <w:rPr>
          <w:rFonts w:ascii="宋体"/>
          <w:b/>
          <w:sz w:val="36"/>
          <w:szCs w:val="36"/>
          <w:highlight w:val="none"/>
        </w:rPr>
      </w:pPr>
      <w:r>
        <w:rPr>
          <w:rFonts w:hint="eastAsia" w:ascii="宋体" w:hAnsi="宋体"/>
          <w:b/>
          <w:sz w:val="36"/>
          <w:szCs w:val="36"/>
          <w:highlight w:val="none"/>
        </w:rPr>
        <w:t>残疾人福利性单位声明函</w:t>
      </w:r>
    </w:p>
    <w:bookmarkEnd w:id="252"/>
    <w:bookmarkEnd w:id="253"/>
    <w:p w14:paraId="369A8DDD">
      <w:pPr>
        <w:spacing w:afterLines="50"/>
        <w:rPr>
          <w:rFonts w:ascii="宋体"/>
          <w:bCs/>
          <w:highlight w:val="none"/>
        </w:rPr>
      </w:pPr>
    </w:p>
    <w:p w14:paraId="2D8316C7">
      <w:pPr>
        <w:spacing w:afterLines="50"/>
        <w:rPr>
          <w:rFonts w:ascii="宋体"/>
          <w:b/>
          <w:bCs/>
          <w:highlight w:val="none"/>
        </w:rPr>
      </w:pPr>
      <w:r>
        <w:rPr>
          <w:rFonts w:hint="eastAsia" w:ascii="宋体" w:hAnsi="宋体"/>
          <w:b/>
          <w:bCs/>
          <w:highlight w:val="none"/>
        </w:rPr>
        <w:t>致：青海浩驰招标代理有限公司</w:t>
      </w:r>
    </w:p>
    <w:p w14:paraId="2C1CFF4E">
      <w:pPr>
        <w:spacing w:line="360" w:lineRule="auto"/>
        <w:ind w:firstLine="480"/>
        <w:rPr>
          <w:highlight w:val="none"/>
        </w:rPr>
      </w:pPr>
    </w:p>
    <w:p w14:paraId="06C4583B">
      <w:pPr>
        <w:spacing w:line="360" w:lineRule="auto"/>
        <w:ind w:firstLine="480"/>
        <w:rPr>
          <w:highlight w:val="none"/>
        </w:rPr>
      </w:pPr>
      <w:r>
        <w:rPr>
          <w:rFonts w:hint="eastAsia"/>
          <w:highlight w:val="none"/>
        </w:rPr>
        <w:t>本单位郑重声明，根据《财政部、民政部、中国残疾人联合会关于促进残疾人就业政府采购政策的通知》（财库〔</w:t>
      </w:r>
      <w:r>
        <w:rPr>
          <w:highlight w:val="none"/>
        </w:rPr>
        <w:t>2017</w:t>
      </w:r>
      <w:r>
        <w:rPr>
          <w:rFonts w:hint="eastAsia"/>
          <w:highlight w:val="none"/>
        </w:rPr>
        <w:t>〕</w:t>
      </w:r>
      <w:r>
        <w:rPr>
          <w:highlight w:val="none"/>
        </w:rPr>
        <w:t>141</w:t>
      </w:r>
      <w:r>
        <w:rPr>
          <w:rFonts w:hint="eastAsia"/>
          <w:highlight w:val="none"/>
        </w:rPr>
        <w:t>号）的规定，本公司为符合条件的残疾人福利性单位，本公司在职职工人数为</w:t>
      </w:r>
      <w:r>
        <w:rPr>
          <w:highlight w:val="none"/>
          <w:u w:val="single"/>
        </w:rPr>
        <w:t xml:space="preserve">       </w:t>
      </w:r>
      <w:r>
        <w:rPr>
          <w:rFonts w:hint="eastAsia"/>
          <w:highlight w:val="none"/>
        </w:rPr>
        <w:t>人，安置的残疾人人数</w:t>
      </w:r>
      <w:r>
        <w:rPr>
          <w:highlight w:val="none"/>
          <w:u w:val="single"/>
        </w:rPr>
        <w:t xml:space="preserve">      </w:t>
      </w:r>
      <w:r>
        <w:rPr>
          <w:rFonts w:hint="eastAsia"/>
          <w:highlight w:val="none"/>
        </w:rPr>
        <w:t>人。且本单位参加</w:t>
      </w:r>
      <w:r>
        <w:rPr>
          <w:highlight w:val="none"/>
        </w:rPr>
        <w:t>______</w:t>
      </w:r>
      <w:r>
        <w:rPr>
          <w:rFonts w:hint="eastAsia"/>
          <w:highlight w:val="none"/>
        </w:rPr>
        <w:t>单位的</w:t>
      </w:r>
      <w:r>
        <w:rPr>
          <w:highlight w:val="none"/>
        </w:rPr>
        <w:t>______</w:t>
      </w:r>
      <w:r>
        <w:rPr>
          <w:rFonts w:hint="eastAsia"/>
          <w:highlight w:val="none"/>
        </w:rPr>
        <w:t>项目采购活动提供本单位制造的货物（由本单位承担工程</w:t>
      </w:r>
      <w:r>
        <w:rPr>
          <w:highlight w:val="none"/>
        </w:rPr>
        <w:t>/</w:t>
      </w:r>
      <w:r>
        <w:rPr>
          <w:rFonts w:hint="eastAsia"/>
          <w:highlight w:val="none"/>
        </w:rPr>
        <w:t>提供服务），或者提供其他残疾人福利性公司制造的货物（不包括使用非残疾人福利性公司注册商标的货物）。</w:t>
      </w:r>
    </w:p>
    <w:p w14:paraId="07279141">
      <w:pPr>
        <w:spacing w:line="360" w:lineRule="auto"/>
        <w:ind w:firstLine="480"/>
        <w:rPr>
          <w:highlight w:val="none"/>
        </w:rPr>
      </w:pPr>
      <w:r>
        <w:rPr>
          <w:rFonts w:hint="eastAsia"/>
          <w:highlight w:val="none"/>
        </w:rPr>
        <w:t>本公司对上述声明的真实性负责。如有虚假，将依法承担相应责任。</w:t>
      </w:r>
    </w:p>
    <w:p w14:paraId="314D4ADD">
      <w:pPr>
        <w:spacing w:line="360" w:lineRule="auto"/>
        <w:ind w:firstLine="480"/>
        <w:rPr>
          <w:highlight w:val="none"/>
        </w:rPr>
      </w:pPr>
    </w:p>
    <w:p w14:paraId="6EFC8589">
      <w:pPr>
        <w:spacing w:line="360" w:lineRule="auto"/>
        <w:rPr>
          <w:highlight w:val="none"/>
        </w:rPr>
      </w:pPr>
      <w:r>
        <w:rPr>
          <w:rFonts w:hint="eastAsia"/>
          <w:highlight w:val="none"/>
        </w:rPr>
        <w:t>注：</w:t>
      </w:r>
      <w:r>
        <w:rPr>
          <w:rFonts w:hint="eastAsia" w:ascii="宋体" w:hAnsi="宋体"/>
          <w:highlight w:val="none"/>
        </w:rPr>
        <w:t>若无此项内容，可不提供此函。</w:t>
      </w:r>
    </w:p>
    <w:p w14:paraId="056D75E0">
      <w:pPr>
        <w:spacing w:line="360" w:lineRule="auto"/>
        <w:ind w:firstLine="480"/>
        <w:rPr>
          <w:highlight w:val="none"/>
        </w:rPr>
      </w:pPr>
    </w:p>
    <w:p w14:paraId="2027E9F0">
      <w:pPr>
        <w:spacing w:line="360" w:lineRule="auto"/>
        <w:ind w:firstLine="480"/>
        <w:rPr>
          <w:highlight w:val="none"/>
        </w:rPr>
      </w:pPr>
    </w:p>
    <w:p w14:paraId="0DFBC300">
      <w:pPr>
        <w:spacing w:line="360" w:lineRule="auto"/>
        <w:ind w:firstLine="480"/>
        <w:rPr>
          <w:highlight w:val="none"/>
        </w:rPr>
      </w:pPr>
    </w:p>
    <w:p w14:paraId="4B73A000">
      <w:pPr>
        <w:spacing w:line="360" w:lineRule="auto"/>
        <w:ind w:firstLine="480"/>
        <w:rPr>
          <w:highlight w:val="none"/>
        </w:rPr>
      </w:pPr>
    </w:p>
    <w:p w14:paraId="636EB543">
      <w:pPr>
        <w:spacing w:line="360" w:lineRule="auto"/>
        <w:ind w:firstLine="480"/>
        <w:rPr>
          <w:highlight w:val="none"/>
        </w:rPr>
      </w:pPr>
    </w:p>
    <w:p w14:paraId="075B88C7">
      <w:pPr>
        <w:spacing w:line="360" w:lineRule="auto"/>
        <w:ind w:firstLine="480"/>
        <w:rPr>
          <w:highlight w:val="none"/>
        </w:rPr>
      </w:pPr>
    </w:p>
    <w:p w14:paraId="241C1C27">
      <w:pPr>
        <w:spacing w:line="360" w:lineRule="auto"/>
        <w:ind w:firstLine="480"/>
        <w:rPr>
          <w:highlight w:val="none"/>
        </w:rPr>
      </w:pPr>
    </w:p>
    <w:p w14:paraId="2B0E3652">
      <w:pPr>
        <w:spacing w:line="360" w:lineRule="auto"/>
        <w:rPr>
          <w:highlight w:val="none"/>
        </w:rPr>
      </w:pPr>
    </w:p>
    <w:p w14:paraId="038B7F31">
      <w:pPr>
        <w:spacing w:line="360" w:lineRule="auto"/>
        <w:rPr>
          <w:highlight w:val="none"/>
        </w:rPr>
      </w:pPr>
    </w:p>
    <w:p w14:paraId="46397946">
      <w:pPr>
        <w:spacing w:line="360" w:lineRule="auto"/>
        <w:ind w:firstLine="480"/>
        <w:rPr>
          <w:highlight w:val="none"/>
        </w:rPr>
      </w:pPr>
    </w:p>
    <w:p w14:paraId="0C2853BA">
      <w:pPr>
        <w:spacing w:line="360" w:lineRule="auto"/>
        <w:ind w:firstLine="480"/>
        <w:rPr>
          <w:highlight w:val="none"/>
        </w:rPr>
      </w:pPr>
    </w:p>
    <w:p w14:paraId="33743721">
      <w:pPr>
        <w:spacing w:line="360" w:lineRule="auto"/>
        <w:jc w:val="center"/>
        <w:rPr>
          <w:rFonts w:ascii="宋体"/>
          <w:b/>
          <w:highlight w:val="none"/>
        </w:rPr>
      </w:pPr>
      <w:r>
        <w:rPr>
          <w:rFonts w:ascii="宋体" w:hAnsi="宋体"/>
          <w:b/>
          <w:highlight w:val="none"/>
        </w:rPr>
        <w:t xml:space="preserve">                         </w:t>
      </w:r>
      <w:r>
        <w:rPr>
          <w:rFonts w:hint="eastAsia" w:ascii="宋体" w:hAnsi="宋体"/>
          <w:b/>
          <w:highlight w:val="none"/>
        </w:rPr>
        <w:t>企业名称：</w:t>
      </w:r>
      <w:r>
        <w:rPr>
          <w:rFonts w:ascii="方正仿宋_GB2312" w:eastAsia="方正仿宋_GB2312" w:cs="宋体"/>
          <w:kern w:val="0"/>
          <w:sz w:val="28"/>
          <w:szCs w:val="28"/>
          <w:highlight w:val="none"/>
          <w:u w:val="single"/>
        </w:rPr>
        <w:t xml:space="preserve">       </w:t>
      </w:r>
      <w:r>
        <w:rPr>
          <w:rFonts w:hint="eastAsia" w:ascii="宋体" w:hAnsi="宋体"/>
          <w:b/>
          <w:highlight w:val="none"/>
        </w:rPr>
        <w:t>（公章）</w:t>
      </w:r>
    </w:p>
    <w:p w14:paraId="72E613A1">
      <w:pPr>
        <w:spacing w:line="360" w:lineRule="auto"/>
        <w:ind w:firstLine="482"/>
        <w:jc w:val="right"/>
        <w:rPr>
          <w:rFonts w:ascii="宋体"/>
          <w:b/>
          <w:highlight w:val="none"/>
        </w:rPr>
      </w:pPr>
      <w:r>
        <w:rPr>
          <w:rFonts w:ascii="宋体" w:hAnsi="宋体"/>
          <w:b/>
          <w:highlight w:val="none"/>
        </w:rPr>
        <w:t xml:space="preserve">       </w:t>
      </w:r>
      <w:r>
        <w:rPr>
          <w:rFonts w:hint="eastAsia" w:ascii="宋体" w:hAnsi="宋体"/>
          <w:b/>
          <w:highlight w:val="none"/>
        </w:rPr>
        <w:t>企业法定代表人：</w:t>
      </w:r>
      <w:r>
        <w:rPr>
          <w:rFonts w:ascii="方正仿宋_GB2312" w:eastAsia="方正仿宋_GB2312" w:cs="宋体"/>
          <w:kern w:val="0"/>
          <w:sz w:val="28"/>
          <w:szCs w:val="28"/>
          <w:highlight w:val="none"/>
          <w:u w:val="single"/>
        </w:rPr>
        <w:t xml:space="preserve">       </w:t>
      </w:r>
      <w:r>
        <w:rPr>
          <w:rFonts w:hint="eastAsia" w:ascii="宋体" w:hAnsi="宋体"/>
          <w:b/>
          <w:highlight w:val="none"/>
        </w:rPr>
        <w:t>（签字或盖章）</w:t>
      </w:r>
    </w:p>
    <w:p w14:paraId="27A81F9C">
      <w:pPr>
        <w:ind w:firstLine="482"/>
        <w:jc w:val="center"/>
        <w:rPr>
          <w:rFonts w:ascii="宋体" w:hAns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bookmarkStart w:id="254" w:name="_Toc496004046"/>
      <w:bookmarkStart w:id="255" w:name="_Toc496626252"/>
      <w:bookmarkStart w:id="256" w:name="_Toc416363470"/>
    </w:p>
    <w:p w14:paraId="54D3B025">
      <w:pPr>
        <w:pStyle w:val="14"/>
        <w:rPr>
          <w:highlight w:val="none"/>
        </w:rPr>
      </w:pPr>
    </w:p>
    <w:p w14:paraId="5A2E8154">
      <w:pPr>
        <w:widowControl/>
        <w:snapToGrid w:val="0"/>
        <w:spacing w:line="360" w:lineRule="auto"/>
        <w:outlineLvl w:val="1"/>
        <w:rPr>
          <w:rFonts w:hint="eastAsia" w:ascii="宋体" w:eastAsia="宋体"/>
          <w:b/>
          <w:sz w:val="28"/>
          <w:szCs w:val="28"/>
          <w:highlight w:val="none"/>
          <w:lang w:eastAsia="zh-CN"/>
        </w:rPr>
      </w:pPr>
      <w:bookmarkStart w:id="257" w:name="_Toc29900"/>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lang w:val="en-US" w:eastAsia="zh-CN"/>
        </w:rPr>
        <w:t>8</w:t>
      </w:r>
      <w:r>
        <w:rPr>
          <w:rFonts w:hint="eastAsia" w:ascii="宋体"/>
          <w:b/>
          <w:sz w:val="28"/>
          <w:szCs w:val="28"/>
          <w:highlight w:val="none"/>
        </w:rPr>
        <w:t>：</w:t>
      </w:r>
      <w:bookmarkEnd w:id="254"/>
      <w:bookmarkEnd w:id="255"/>
      <w:r>
        <w:rPr>
          <w:rFonts w:hint="eastAsia" w:ascii="宋体"/>
          <w:b/>
          <w:sz w:val="28"/>
          <w:szCs w:val="28"/>
          <w:highlight w:val="none"/>
          <w:lang w:eastAsia="zh-CN"/>
        </w:rPr>
        <w:t>监狱企业证明资料</w:t>
      </w:r>
      <w:bookmarkEnd w:id="257"/>
    </w:p>
    <w:p w14:paraId="6CC61830">
      <w:pPr>
        <w:ind w:firstLine="723"/>
        <w:jc w:val="center"/>
        <w:rPr>
          <w:rFonts w:ascii="宋体"/>
          <w:b/>
          <w:sz w:val="36"/>
          <w:szCs w:val="36"/>
          <w:highlight w:val="none"/>
        </w:rPr>
      </w:pPr>
      <w:r>
        <w:rPr>
          <w:rFonts w:ascii="宋体" w:hAnsi="宋体"/>
          <w:b/>
          <w:sz w:val="36"/>
          <w:szCs w:val="36"/>
          <w:highlight w:val="none"/>
        </w:rPr>
        <w:t xml:space="preserve">  </w:t>
      </w:r>
    </w:p>
    <w:p w14:paraId="5CFFBBD9">
      <w:pPr>
        <w:jc w:val="center"/>
        <w:rPr>
          <w:rFonts w:hint="eastAsia" w:ascii="宋体" w:hAnsi="宋体" w:eastAsia="宋体" w:cs="Times New Roman"/>
          <w:b/>
          <w:sz w:val="36"/>
          <w:szCs w:val="36"/>
          <w:highlight w:val="none"/>
          <w:lang w:eastAsia="zh-CN"/>
        </w:rPr>
      </w:pPr>
      <w:bookmarkStart w:id="258" w:name="_Toc496004047"/>
      <w:bookmarkStart w:id="259" w:name="_Toc496626253"/>
      <w:r>
        <w:rPr>
          <w:rFonts w:hint="eastAsia" w:ascii="宋体" w:hAnsi="宋体" w:eastAsia="宋体" w:cs="Times New Roman"/>
          <w:b/>
          <w:sz w:val="36"/>
          <w:szCs w:val="36"/>
          <w:highlight w:val="none"/>
          <w:lang w:eastAsia="zh-CN"/>
        </w:rPr>
        <w:t>监狱企业证明资料</w:t>
      </w:r>
    </w:p>
    <w:p w14:paraId="06B79459">
      <w:pPr>
        <w:adjustRightInd w:val="0"/>
        <w:snapToGrid w:val="0"/>
        <w:spacing w:line="440" w:lineRule="exact"/>
        <w:ind w:left="6114" w:hanging="6114" w:hangingChars="2900"/>
        <w:rPr>
          <w:rFonts w:ascii="宋体" w:cs="宋体"/>
          <w:b/>
          <w:bCs/>
          <w:kern w:val="0"/>
          <w:highlight w:val="none"/>
          <w:lang w:val="zh-CN"/>
        </w:rPr>
      </w:pPr>
    </w:p>
    <w:p w14:paraId="4AD2B7AF">
      <w:pPr>
        <w:spacing w:line="360" w:lineRule="auto"/>
        <w:ind w:firstLine="480"/>
        <w:rPr>
          <w:rFonts w:hint="eastAsia" w:ascii="宋体" w:hAnsi="宋体" w:cs="宋体"/>
          <w:highlight w:val="none"/>
        </w:rPr>
      </w:pPr>
      <w:r>
        <w:rPr>
          <w:rFonts w:hint="eastAsia" w:ascii="宋体" w:hAnsi="宋体" w:cs="宋体"/>
          <w:highlight w:val="none"/>
        </w:rPr>
        <w:t>备注：按《财政部 司法部关于政府采购支持监狱企业发展有关问题的通知》（财库〔2014〕68号）文件规定提供证明文件（复印件）。</w:t>
      </w:r>
    </w:p>
    <w:p w14:paraId="10DD813B">
      <w:pPr>
        <w:spacing w:line="360" w:lineRule="auto"/>
        <w:ind w:firstLine="480"/>
        <w:rPr>
          <w:rFonts w:hint="eastAsia" w:ascii="宋体" w:hAnsi="宋体" w:cs="宋体"/>
          <w:highlight w:val="none"/>
        </w:rPr>
      </w:pPr>
      <w:r>
        <w:rPr>
          <w:rFonts w:hint="eastAsia" w:ascii="宋体" w:hAnsi="宋体" w:cs="宋体"/>
          <w:highlight w:val="none"/>
        </w:rPr>
        <w:t>说明：监狱企业参加政府采购活动时，应当提供由省级以上监狱管理局、戒毒管理局(含新疆生产建设兵团)出具的属于监狱企业的证明文件。</w:t>
      </w:r>
    </w:p>
    <w:p w14:paraId="1CB360F2">
      <w:pPr>
        <w:spacing w:line="360" w:lineRule="auto"/>
        <w:ind w:firstLine="480"/>
        <w:rPr>
          <w:rFonts w:hint="eastAsia" w:ascii="宋体" w:hAnsi="宋体" w:cs="宋体"/>
          <w:highlight w:val="none"/>
        </w:rPr>
      </w:pPr>
      <w:r>
        <w:rPr>
          <w:rFonts w:hint="eastAsia" w:ascii="宋体" w:hAnsi="宋体" w:cs="宋体"/>
          <w:b/>
          <w:bCs/>
          <w:highlight w:val="none"/>
        </w:rPr>
        <w:t>注：</w:t>
      </w:r>
      <w:r>
        <w:rPr>
          <w:rFonts w:hint="eastAsia" w:ascii="宋体" w:hAnsi="宋体" w:cs="宋体"/>
          <w:b/>
          <w:bCs/>
          <w:highlight w:val="none"/>
          <w:lang w:eastAsia="zh-CN"/>
        </w:rPr>
        <w:t>供应商</w:t>
      </w:r>
      <w:r>
        <w:rPr>
          <w:rFonts w:hint="eastAsia" w:ascii="宋体" w:hAnsi="宋体" w:cs="宋体"/>
          <w:b/>
          <w:bCs/>
          <w:highlight w:val="none"/>
        </w:rPr>
        <w:t>参加本次采购活动时，提供虚假监狱企业证明材料的，以提供虚假材料谋取中标处理；若无此项内容可不提供此函。</w:t>
      </w:r>
    </w:p>
    <w:p w14:paraId="289AD358">
      <w:pPr>
        <w:spacing w:line="360" w:lineRule="auto"/>
        <w:jc w:val="center"/>
        <w:rPr>
          <w:rFonts w:hint="eastAsia" w:ascii="宋体" w:hAnsi="宋体" w:cs="宋体"/>
          <w:b/>
          <w:highlight w:val="none"/>
        </w:rPr>
      </w:pPr>
      <w:bookmarkStart w:id="260" w:name="_Toc22071_WPSOffice_Level3"/>
    </w:p>
    <w:p w14:paraId="0C358EDB">
      <w:pPr>
        <w:spacing w:line="360" w:lineRule="auto"/>
        <w:jc w:val="center"/>
        <w:rPr>
          <w:rFonts w:hint="eastAsia" w:ascii="宋体" w:hAnsi="宋体" w:cs="宋体"/>
          <w:b/>
          <w:highlight w:val="none"/>
        </w:rPr>
      </w:pPr>
    </w:p>
    <w:p w14:paraId="5C51F88F">
      <w:pPr>
        <w:spacing w:line="360" w:lineRule="auto"/>
        <w:jc w:val="center"/>
        <w:rPr>
          <w:rFonts w:hint="eastAsia" w:ascii="宋体" w:hAnsi="宋体" w:cs="宋体"/>
          <w:b/>
          <w:highlight w:val="none"/>
        </w:rPr>
      </w:pPr>
    </w:p>
    <w:bookmarkEnd w:id="260"/>
    <w:p w14:paraId="56AAAFFC">
      <w:pPr>
        <w:spacing w:line="360" w:lineRule="auto"/>
        <w:jc w:val="center"/>
        <w:rPr>
          <w:rFonts w:hint="eastAsia" w:ascii="宋体" w:hAnsi="宋体" w:cs="宋体"/>
          <w:b/>
          <w:highlight w:val="none"/>
          <w:lang w:val="zh-CN"/>
        </w:rPr>
      </w:pPr>
      <w:r>
        <w:rPr>
          <w:rFonts w:hint="eastAsia" w:ascii="宋体" w:hAnsi="宋体" w:cs="宋体"/>
          <w:b/>
          <w:highlight w:val="none"/>
        </w:rPr>
        <w:t xml:space="preserve">                            单位名称</w:t>
      </w:r>
      <w:r>
        <w:rPr>
          <w:rFonts w:hint="eastAsia" w:ascii="宋体" w:hAnsi="宋体" w:cs="宋体"/>
          <w:b/>
          <w:highlight w:val="none"/>
          <w:lang w:val="zh-CN"/>
        </w:rPr>
        <w:t>：   （公章）</w:t>
      </w:r>
    </w:p>
    <w:p w14:paraId="6D2E284B">
      <w:pPr>
        <w:spacing w:line="360" w:lineRule="auto"/>
        <w:jc w:val="right"/>
        <w:rPr>
          <w:rFonts w:hint="eastAsia" w:ascii="宋体" w:hAnsi="宋体" w:cs="宋体"/>
          <w:b/>
          <w:highlight w:val="none"/>
          <w:lang w:val="zh-CN"/>
        </w:rPr>
      </w:pPr>
      <w:r>
        <w:rPr>
          <w:rFonts w:hint="eastAsia" w:ascii="宋体" w:hAnsi="宋体" w:cs="宋体"/>
          <w:b/>
          <w:highlight w:val="none"/>
          <w:lang w:val="zh-CN"/>
        </w:rPr>
        <w:t xml:space="preserve">      法定代表人或委托代理人：（签字或盖章）</w:t>
      </w:r>
    </w:p>
    <w:p w14:paraId="1ECCA59B">
      <w:pPr>
        <w:spacing w:line="360" w:lineRule="auto"/>
        <w:jc w:val="center"/>
        <w:rPr>
          <w:rFonts w:hint="eastAsia" w:ascii="宋体" w:hAnsi="宋体" w:cs="宋体"/>
          <w:b/>
          <w:highlight w:val="none"/>
          <w:lang w:val="zh-CN"/>
        </w:rPr>
      </w:pPr>
      <w:r>
        <w:rPr>
          <w:rFonts w:hint="eastAsia" w:ascii="宋体" w:hAnsi="宋体" w:cs="宋体"/>
          <w:b/>
          <w:highlight w:val="none"/>
        </w:rPr>
        <w:t xml:space="preserve">                             </w:t>
      </w:r>
      <w:r>
        <w:rPr>
          <w:rFonts w:hint="eastAsia" w:ascii="宋体" w:hAnsi="宋体" w:cs="宋体"/>
          <w:b/>
          <w:highlight w:val="none"/>
          <w:lang w:val="zh-CN"/>
        </w:rPr>
        <w:t>年</w:t>
      </w:r>
      <w:r>
        <w:rPr>
          <w:rFonts w:hint="eastAsia" w:ascii="宋体" w:hAnsi="宋体" w:cs="宋体"/>
          <w:b/>
          <w:highlight w:val="none"/>
        </w:rPr>
        <w:t xml:space="preserve">   </w:t>
      </w:r>
      <w:r>
        <w:rPr>
          <w:rFonts w:hint="eastAsia" w:ascii="宋体" w:hAnsi="宋体" w:cs="宋体"/>
          <w:b/>
          <w:highlight w:val="none"/>
          <w:lang w:val="zh-CN"/>
        </w:rPr>
        <w:t>月</w:t>
      </w:r>
      <w:r>
        <w:rPr>
          <w:rFonts w:hint="eastAsia" w:ascii="宋体" w:hAnsi="宋体" w:cs="宋体"/>
          <w:b/>
          <w:highlight w:val="none"/>
        </w:rPr>
        <w:t xml:space="preserve">   </w:t>
      </w:r>
      <w:r>
        <w:rPr>
          <w:rFonts w:hint="eastAsia" w:ascii="宋体" w:hAnsi="宋体" w:cs="宋体"/>
          <w:b/>
          <w:highlight w:val="none"/>
          <w:lang w:val="zh-CN"/>
        </w:rPr>
        <w:t>日</w:t>
      </w:r>
    </w:p>
    <w:p w14:paraId="737DA045">
      <w:pPr>
        <w:widowControl/>
        <w:snapToGrid w:val="0"/>
        <w:spacing w:line="360" w:lineRule="auto"/>
        <w:outlineLvl w:val="1"/>
        <w:rPr>
          <w:rFonts w:ascii="宋体"/>
          <w:b/>
          <w:sz w:val="28"/>
          <w:szCs w:val="28"/>
          <w:highlight w:val="none"/>
        </w:rPr>
      </w:pPr>
      <w:r>
        <w:rPr>
          <w:rFonts w:ascii="宋体" w:cs="宋体"/>
          <w:highlight w:val="none"/>
          <w:lang w:val="zh-CN"/>
        </w:rPr>
        <w:br w:type="page"/>
      </w:r>
      <w:bookmarkStart w:id="261" w:name="_Toc5204"/>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lang w:val="en-US" w:eastAsia="zh-CN"/>
        </w:rPr>
        <w:t>9</w:t>
      </w:r>
      <w:r>
        <w:rPr>
          <w:rFonts w:hint="eastAsia" w:ascii="宋体"/>
          <w:b/>
          <w:sz w:val="28"/>
          <w:szCs w:val="28"/>
          <w:highlight w:val="none"/>
        </w:rPr>
        <w:t>：供应商认为在其他方面有必要说明的事项</w:t>
      </w:r>
      <w:bookmarkEnd w:id="258"/>
      <w:bookmarkEnd w:id="259"/>
      <w:bookmarkEnd w:id="261"/>
    </w:p>
    <w:p w14:paraId="5C60CDD0">
      <w:pPr>
        <w:ind w:firstLine="723"/>
        <w:jc w:val="center"/>
        <w:rPr>
          <w:rFonts w:ascii="宋体"/>
          <w:b/>
          <w:sz w:val="36"/>
          <w:szCs w:val="36"/>
          <w:highlight w:val="none"/>
        </w:rPr>
      </w:pPr>
    </w:p>
    <w:p w14:paraId="0CFCB749">
      <w:pPr>
        <w:ind w:firstLine="723"/>
        <w:jc w:val="center"/>
        <w:rPr>
          <w:rFonts w:ascii="宋体"/>
          <w:b/>
          <w:sz w:val="36"/>
          <w:szCs w:val="36"/>
          <w:highlight w:val="none"/>
        </w:rPr>
      </w:pPr>
      <w:r>
        <w:rPr>
          <w:rFonts w:hint="eastAsia" w:ascii="宋体" w:hAnsi="宋体"/>
          <w:b/>
          <w:sz w:val="36"/>
          <w:szCs w:val="36"/>
          <w:highlight w:val="none"/>
        </w:rPr>
        <w:t>供应商认为在其他方面有必要说明的事项</w:t>
      </w:r>
    </w:p>
    <w:p w14:paraId="3059DB38">
      <w:pPr>
        <w:ind w:firstLine="723"/>
        <w:jc w:val="center"/>
        <w:rPr>
          <w:rFonts w:ascii="宋体"/>
          <w:b/>
          <w:sz w:val="36"/>
          <w:szCs w:val="36"/>
          <w:highlight w:val="none"/>
        </w:rPr>
      </w:pPr>
      <w:r>
        <w:rPr>
          <w:rFonts w:hint="eastAsia" w:ascii="宋体" w:hAnsi="宋体"/>
          <w:b/>
          <w:sz w:val="36"/>
          <w:szCs w:val="36"/>
          <w:highlight w:val="none"/>
        </w:rPr>
        <w:t>（格式自定）</w:t>
      </w:r>
    </w:p>
    <w:p w14:paraId="0C7C09DE">
      <w:pPr>
        <w:widowControl/>
        <w:snapToGrid w:val="0"/>
        <w:spacing w:line="360" w:lineRule="auto"/>
        <w:outlineLvl w:val="9"/>
        <w:rPr>
          <w:rFonts w:ascii="宋体"/>
          <w:b/>
          <w:highlight w:val="none"/>
        </w:rPr>
      </w:pPr>
    </w:p>
    <w:p w14:paraId="1B5F5213">
      <w:pPr>
        <w:widowControl/>
        <w:snapToGrid w:val="0"/>
        <w:spacing w:line="360" w:lineRule="auto"/>
        <w:outlineLvl w:val="9"/>
        <w:rPr>
          <w:rFonts w:ascii="宋体"/>
          <w:b/>
          <w:sz w:val="28"/>
          <w:szCs w:val="28"/>
          <w:highlight w:val="none"/>
        </w:rPr>
      </w:pPr>
      <w:r>
        <w:rPr>
          <w:rFonts w:ascii="宋体"/>
          <w:b/>
          <w:highlight w:val="none"/>
        </w:rPr>
        <w:br w:type="page"/>
      </w:r>
      <w:bookmarkEnd w:id="256"/>
    </w:p>
    <w:p w14:paraId="32EB612F">
      <w:pPr>
        <w:ind w:firstLine="2909" w:firstLineChars="805"/>
        <w:rPr>
          <w:rFonts w:ascii="宋体"/>
          <w:b/>
          <w:sz w:val="36"/>
          <w:szCs w:val="36"/>
          <w:highlight w:val="none"/>
        </w:rPr>
      </w:pPr>
      <w:r>
        <w:rPr>
          <w:rFonts w:hint="eastAsia" w:ascii="宋体" w:hAnsi="宋体"/>
          <w:b/>
          <w:sz w:val="36"/>
          <w:szCs w:val="36"/>
          <w:highlight w:val="none"/>
        </w:rPr>
        <w:t>最终磋商报价表</w:t>
      </w:r>
    </w:p>
    <w:p w14:paraId="6B10B0C7">
      <w:pPr>
        <w:spacing w:line="240" w:lineRule="atLeast"/>
        <w:rPr>
          <w:rFonts w:ascii="宋体"/>
          <w:b/>
          <w:sz w:val="24"/>
          <w:highlight w:val="none"/>
        </w:rPr>
      </w:pPr>
      <w:r>
        <w:rPr>
          <w:rFonts w:hint="eastAsia" w:ascii="宋体" w:hAnsi="宋体"/>
          <w:b/>
          <w:sz w:val="24"/>
          <w:highlight w:val="none"/>
        </w:rPr>
        <w:t>供应商名称：</w:t>
      </w:r>
      <w:r>
        <w:rPr>
          <w:rFonts w:ascii="宋体" w:hAnsi="宋体"/>
          <w:b/>
          <w:sz w:val="24"/>
          <w:highlight w:val="none"/>
        </w:rPr>
        <w:t xml:space="preserve">                                        </w:t>
      </w:r>
    </w:p>
    <w:p w14:paraId="57A2B674">
      <w:pPr>
        <w:tabs>
          <w:tab w:val="left" w:pos="242"/>
          <w:tab w:val="right" w:pos="8426"/>
        </w:tabs>
        <w:spacing w:line="240" w:lineRule="atLeast"/>
        <w:jc w:val="left"/>
        <w:rPr>
          <w:rFonts w:ascii="宋体"/>
          <w:b/>
          <w:sz w:val="28"/>
          <w:szCs w:val="28"/>
          <w:highlight w:val="none"/>
        </w:rPr>
      </w:pPr>
      <w:r>
        <w:rPr>
          <w:rFonts w:ascii="宋体"/>
          <w:sz w:val="24"/>
          <w:highlight w:val="none"/>
        </w:rPr>
        <w:tab/>
      </w:r>
      <w:r>
        <w:rPr>
          <w:rFonts w:ascii="宋体"/>
          <w:highlight w:val="none"/>
        </w:rPr>
        <w:tab/>
      </w:r>
      <w:r>
        <w:rPr>
          <w:rFonts w:hint="eastAsia" w:ascii="宋体" w:hAnsi="宋体"/>
          <w:highlight w:val="none"/>
        </w:rPr>
        <w:t>单位：元</w:t>
      </w:r>
    </w:p>
    <w:tbl>
      <w:tblPr>
        <w:tblStyle w:val="27"/>
        <w:tblW w:w="5000" w:type="pct"/>
        <w:jc w:val="center"/>
        <w:tblLayout w:type="autofit"/>
        <w:tblCellMar>
          <w:top w:w="0" w:type="dxa"/>
          <w:left w:w="108" w:type="dxa"/>
          <w:bottom w:w="0" w:type="dxa"/>
          <w:right w:w="108" w:type="dxa"/>
        </w:tblCellMar>
      </w:tblPr>
      <w:tblGrid>
        <w:gridCol w:w="2335"/>
        <w:gridCol w:w="6187"/>
      </w:tblGrid>
      <w:tr w14:paraId="26BAB3D6">
        <w:tblPrEx>
          <w:tblCellMar>
            <w:top w:w="0" w:type="dxa"/>
            <w:left w:w="108" w:type="dxa"/>
            <w:bottom w:w="0" w:type="dxa"/>
            <w:right w:w="108" w:type="dxa"/>
          </w:tblCellMar>
        </w:tblPrEx>
        <w:trPr>
          <w:trHeight w:val="837" w:hRule="atLeast"/>
          <w:jc w:val="center"/>
        </w:trPr>
        <w:tc>
          <w:tcPr>
            <w:tcW w:w="1370" w:type="pct"/>
            <w:tcBorders>
              <w:top w:val="single" w:color="000000" w:sz="6" w:space="0"/>
              <w:left w:val="single" w:color="000000" w:sz="6" w:space="0"/>
              <w:bottom w:val="single" w:color="000000" w:sz="6" w:space="0"/>
              <w:right w:val="single" w:color="auto" w:sz="4" w:space="0"/>
            </w:tcBorders>
            <w:shd w:val="clear" w:color="000000" w:fill="auto"/>
            <w:vAlign w:val="center"/>
          </w:tcPr>
          <w:p w14:paraId="373A6A56">
            <w:pPr>
              <w:autoSpaceDE w:val="0"/>
              <w:autoSpaceDN w:val="0"/>
              <w:spacing w:line="360" w:lineRule="auto"/>
              <w:rPr>
                <w:rFonts w:ascii="宋体" w:hAnsi="宋体" w:cs="宋体"/>
                <w:kern w:val="0"/>
                <w:highlight w:val="none"/>
                <w:lang w:val="zh-CN"/>
              </w:rPr>
            </w:pPr>
            <w:r>
              <w:rPr>
                <w:rFonts w:hint="eastAsia" w:ascii="宋体" w:hAnsi="宋体" w:cs="宋体"/>
                <w:kern w:val="0"/>
                <w:highlight w:val="none"/>
                <w:lang w:val="zh-CN"/>
              </w:rPr>
              <w:t>项目名称</w:t>
            </w:r>
          </w:p>
        </w:tc>
        <w:tc>
          <w:tcPr>
            <w:tcW w:w="3629" w:type="pct"/>
            <w:tcBorders>
              <w:top w:val="single" w:color="000000" w:sz="6" w:space="0"/>
              <w:left w:val="single" w:color="auto" w:sz="4" w:space="0"/>
              <w:bottom w:val="single" w:color="000000" w:sz="6" w:space="0"/>
              <w:right w:val="single" w:color="000000" w:sz="6" w:space="0"/>
            </w:tcBorders>
            <w:shd w:val="clear" w:color="000000" w:fill="auto"/>
            <w:vAlign w:val="center"/>
          </w:tcPr>
          <w:p w14:paraId="6F7B496F">
            <w:pPr>
              <w:autoSpaceDE w:val="0"/>
              <w:autoSpaceDN w:val="0"/>
              <w:spacing w:line="360" w:lineRule="auto"/>
              <w:rPr>
                <w:rFonts w:ascii="宋体" w:hAnsi="宋体" w:cs="宋体"/>
                <w:kern w:val="0"/>
                <w:highlight w:val="none"/>
                <w:lang w:val="zh-CN"/>
              </w:rPr>
            </w:pPr>
            <w:r>
              <w:rPr>
                <w:rFonts w:hint="eastAsia" w:ascii="宋体" w:hAnsi="宋体" w:cs="宋体"/>
                <w:kern w:val="0"/>
                <w:highlight w:val="none"/>
                <w:lang w:val="zh-CN"/>
              </w:rPr>
              <w:t>青海大学2026年智慧校园建设数据治理服务项目</w:t>
            </w:r>
          </w:p>
        </w:tc>
      </w:tr>
      <w:tr w14:paraId="6122860B">
        <w:tblPrEx>
          <w:tblCellMar>
            <w:top w:w="0" w:type="dxa"/>
            <w:left w:w="108" w:type="dxa"/>
            <w:bottom w:w="0" w:type="dxa"/>
            <w:right w:w="108" w:type="dxa"/>
          </w:tblCellMar>
        </w:tblPrEx>
        <w:trPr>
          <w:trHeight w:val="834" w:hRule="atLeast"/>
          <w:jc w:val="center"/>
        </w:trPr>
        <w:tc>
          <w:tcPr>
            <w:tcW w:w="1370" w:type="pct"/>
            <w:tcBorders>
              <w:top w:val="single" w:color="000000" w:sz="6" w:space="0"/>
              <w:left w:val="single" w:color="000000" w:sz="6" w:space="0"/>
              <w:bottom w:val="single" w:color="000000" w:sz="6" w:space="0"/>
              <w:right w:val="single" w:color="auto" w:sz="4" w:space="0"/>
            </w:tcBorders>
            <w:shd w:val="clear" w:color="000000" w:fill="auto"/>
            <w:vAlign w:val="center"/>
          </w:tcPr>
          <w:p w14:paraId="44CDA3FA">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项目编号</w:t>
            </w:r>
          </w:p>
        </w:tc>
        <w:tc>
          <w:tcPr>
            <w:tcW w:w="3629" w:type="pct"/>
            <w:tcBorders>
              <w:top w:val="single" w:color="000000" w:sz="6" w:space="0"/>
              <w:left w:val="single" w:color="auto" w:sz="4" w:space="0"/>
              <w:bottom w:val="single" w:color="000000" w:sz="6" w:space="0"/>
              <w:right w:val="single" w:color="000000" w:sz="6" w:space="0"/>
            </w:tcBorders>
            <w:shd w:val="clear" w:color="000000" w:fill="auto"/>
            <w:vAlign w:val="center"/>
          </w:tcPr>
          <w:p w14:paraId="1BFC253E">
            <w:pPr>
              <w:autoSpaceDE w:val="0"/>
              <w:autoSpaceDN w:val="0"/>
              <w:spacing w:line="360" w:lineRule="auto"/>
              <w:rPr>
                <w:rFonts w:ascii="宋体" w:cs="宋体"/>
                <w:kern w:val="0"/>
                <w:highlight w:val="none"/>
                <w:lang w:val="zh-CN"/>
              </w:rPr>
            </w:pPr>
            <w:r>
              <w:rPr>
                <w:rFonts w:hint="eastAsia" w:ascii="宋体" w:cs="宋体"/>
                <w:kern w:val="0"/>
                <w:highlight w:val="none"/>
                <w:lang w:val="zh-CN"/>
              </w:rPr>
              <w:t>青海浩驰磋商（服务）2026-139号</w:t>
            </w:r>
          </w:p>
        </w:tc>
      </w:tr>
      <w:tr w14:paraId="2592029C">
        <w:tblPrEx>
          <w:tblCellMar>
            <w:top w:w="0" w:type="dxa"/>
            <w:left w:w="108" w:type="dxa"/>
            <w:bottom w:w="0" w:type="dxa"/>
            <w:right w:w="108" w:type="dxa"/>
          </w:tblCellMar>
        </w:tblPrEx>
        <w:trPr>
          <w:trHeight w:val="984" w:hRule="atLeast"/>
          <w:jc w:val="center"/>
        </w:trPr>
        <w:tc>
          <w:tcPr>
            <w:tcW w:w="1370" w:type="pct"/>
            <w:tcBorders>
              <w:top w:val="single" w:color="000000" w:sz="6" w:space="0"/>
              <w:left w:val="single" w:color="000000" w:sz="6" w:space="0"/>
              <w:bottom w:val="single" w:color="000000" w:sz="6" w:space="0"/>
              <w:right w:val="single" w:color="auto" w:sz="4" w:space="0"/>
            </w:tcBorders>
            <w:shd w:val="clear" w:color="000000" w:fill="auto"/>
            <w:vAlign w:val="center"/>
          </w:tcPr>
          <w:p w14:paraId="581C771C">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最终报价</w:t>
            </w:r>
          </w:p>
        </w:tc>
        <w:tc>
          <w:tcPr>
            <w:tcW w:w="3629" w:type="pct"/>
            <w:tcBorders>
              <w:top w:val="single" w:color="000000" w:sz="6" w:space="0"/>
              <w:left w:val="single" w:color="auto" w:sz="4" w:space="0"/>
              <w:bottom w:val="single" w:color="000000" w:sz="6" w:space="0"/>
              <w:right w:val="single" w:color="000000" w:sz="6" w:space="0"/>
            </w:tcBorders>
            <w:shd w:val="clear" w:color="000000" w:fill="auto"/>
            <w:vAlign w:val="center"/>
          </w:tcPr>
          <w:p w14:paraId="081EE1CC">
            <w:pPr>
              <w:autoSpaceDE w:val="0"/>
              <w:autoSpaceDN w:val="0"/>
              <w:spacing w:line="360" w:lineRule="auto"/>
              <w:rPr>
                <w:rFonts w:ascii="宋体" w:cs="宋体"/>
                <w:kern w:val="0"/>
                <w:highlight w:val="none"/>
                <w:u w:val="single"/>
              </w:rPr>
            </w:pPr>
          </w:p>
        </w:tc>
      </w:tr>
      <w:tr w14:paraId="53608BFB">
        <w:tblPrEx>
          <w:tblCellMar>
            <w:top w:w="0" w:type="dxa"/>
            <w:left w:w="108" w:type="dxa"/>
            <w:bottom w:w="0" w:type="dxa"/>
            <w:right w:w="108" w:type="dxa"/>
          </w:tblCellMar>
        </w:tblPrEx>
        <w:trPr>
          <w:trHeight w:val="699" w:hRule="atLeast"/>
          <w:jc w:val="center"/>
        </w:trPr>
        <w:tc>
          <w:tcPr>
            <w:tcW w:w="1370" w:type="pct"/>
            <w:tcBorders>
              <w:top w:val="single" w:color="000000" w:sz="6" w:space="0"/>
              <w:left w:val="single" w:color="000000" w:sz="6" w:space="0"/>
              <w:bottom w:val="single" w:color="auto" w:sz="4" w:space="0"/>
              <w:right w:val="single" w:color="auto" w:sz="4" w:space="0"/>
            </w:tcBorders>
            <w:shd w:val="clear" w:color="000000" w:fill="auto"/>
            <w:vAlign w:val="center"/>
          </w:tcPr>
          <w:p w14:paraId="57526780">
            <w:pPr>
              <w:autoSpaceDE w:val="0"/>
              <w:autoSpaceDN w:val="0"/>
              <w:spacing w:line="360" w:lineRule="auto"/>
              <w:rPr>
                <w:rFonts w:hint="eastAsia" w:ascii="宋体" w:eastAsia="宋体" w:cs="宋体"/>
                <w:kern w:val="0"/>
                <w:highlight w:val="none"/>
                <w:lang w:val="zh-CN" w:eastAsia="zh-CN"/>
              </w:rPr>
            </w:pPr>
            <w:r>
              <w:rPr>
                <w:rFonts w:hint="eastAsia" w:ascii="宋体" w:hAnsi="宋体" w:cs="宋体"/>
                <w:kern w:val="0"/>
                <w:highlight w:val="none"/>
                <w:lang w:val="zh-CN"/>
              </w:rPr>
              <w:t>服务</w:t>
            </w:r>
            <w:r>
              <w:rPr>
                <w:rFonts w:hint="eastAsia" w:ascii="宋体" w:hAnsi="宋体" w:cs="宋体"/>
                <w:kern w:val="0"/>
                <w:highlight w:val="none"/>
                <w:lang w:val="en-US" w:eastAsia="zh-CN"/>
              </w:rPr>
              <w:t>期</w:t>
            </w:r>
          </w:p>
        </w:tc>
        <w:tc>
          <w:tcPr>
            <w:tcW w:w="3629" w:type="pct"/>
            <w:tcBorders>
              <w:top w:val="single" w:color="000000" w:sz="6" w:space="0"/>
              <w:left w:val="single" w:color="auto" w:sz="4" w:space="0"/>
              <w:bottom w:val="single" w:color="auto" w:sz="4" w:space="0"/>
              <w:right w:val="single" w:color="000000" w:sz="6" w:space="0"/>
            </w:tcBorders>
            <w:shd w:val="clear" w:color="000000" w:fill="auto"/>
            <w:vAlign w:val="center"/>
          </w:tcPr>
          <w:p w14:paraId="22845086">
            <w:pPr>
              <w:autoSpaceDE w:val="0"/>
              <w:autoSpaceDN w:val="0"/>
              <w:spacing w:line="360" w:lineRule="auto"/>
              <w:rPr>
                <w:rFonts w:ascii="宋体" w:cs="宋体"/>
                <w:kern w:val="0"/>
                <w:highlight w:val="none"/>
                <w:lang w:val="zh-CN"/>
              </w:rPr>
            </w:pPr>
          </w:p>
        </w:tc>
      </w:tr>
      <w:tr w14:paraId="697E0908">
        <w:tblPrEx>
          <w:tblCellMar>
            <w:top w:w="0" w:type="dxa"/>
            <w:left w:w="108" w:type="dxa"/>
            <w:bottom w:w="0" w:type="dxa"/>
            <w:right w:w="108" w:type="dxa"/>
          </w:tblCellMar>
        </w:tblPrEx>
        <w:trPr>
          <w:trHeight w:val="769" w:hRule="atLeast"/>
          <w:jc w:val="center"/>
        </w:trPr>
        <w:tc>
          <w:tcPr>
            <w:tcW w:w="1370" w:type="pct"/>
            <w:tcBorders>
              <w:top w:val="single" w:color="000000" w:sz="6" w:space="0"/>
              <w:left w:val="single" w:color="000000" w:sz="6" w:space="0"/>
              <w:bottom w:val="single" w:color="000000" w:sz="6" w:space="0"/>
              <w:right w:val="single" w:color="auto" w:sz="4" w:space="0"/>
            </w:tcBorders>
            <w:shd w:val="clear" w:color="000000" w:fill="auto"/>
            <w:vAlign w:val="center"/>
          </w:tcPr>
          <w:p w14:paraId="3DBE7DE4">
            <w:pPr>
              <w:autoSpaceDE w:val="0"/>
              <w:autoSpaceDN w:val="0"/>
              <w:spacing w:line="360" w:lineRule="auto"/>
              <w:rPr>
                <w:rFonts w:ascii="宋体" w:cs="宋体"/>
                <w:kern w:val="0"/>
                <w:highlight w:val="none"/>
                <w:lang w:val="zh-CN"/>
              </w:rPr>
            </w:pPr>
            <w:r>
              <w:rPr>
                <w:rFonts w:hint="eastAsia" w:ascii="宋体" w:hAnsi="宋体" w:cs="宋体"/>
                <w:kern w:val="0"/>
                <w:highlight w:val="none"/>
                <w:lang w:val="zh-CN"/>
              </w:rPr>
              <w:t>优惠承诺及其他：</w:t>
            </w:r>
          </w:p>
        </w:tc>
        <w:tc>
          <w:tcPr>
            <w:tcW w:w="3629" w:type="pct"/>
            <w:tcBorders>
              <w:top w:val="single" w:color="000000" w:sz="6" w:space="0"/>
              <w:left w:val="single" w:color="auto" w:sz="4" w:space="0"/>
              <w:bottom w:val="single" w:color="000000" w:sz="6" w:space="0"/>
              <w:right w:val="single" w:color="000000" w:sz="6" w:space="0"/>
            </w:tcBorders>
            <w:shd w:val="clear" w:color="000000" w:fill="auto"/>
            <w:vAlign w:val="center"/>
          </w:tcPr>
          <w:p w14:paraId="0A11ECAC">
            <w:pPr>
              <w:autoSpaceDE w:val="0"/>
              <w:autoSpaceDN w:val="0"/>
              <w:spacing w:line="360" w:lineRule="auto"/>
              <w:rPr>
                <w:rFonts w:ascii="宋体" w:cs="宋体"/>
                <w:kern w:val="0"/>
                <w:highlight w:val="none"/>
                <w:lang w:val="zh-CN"/>
              </w:rPr>
            </w:pPr>
          </w:p>
        </w:tc>
      </w:tr>
    </w:tbl>
    <w:p w14:paraId="07445963">
      <w:pPr>
        <w:spacing w:line="240" w:lineRule="atLeast"/>
        <w:rPr>
          <w:rFonts w:ascii="宋体"/>
          <w:highlight w:val="none"/>
        </w:rPr>
      </w:pPr>
      <w:r>
        <w:rPr>
          <w:rFonts w:ascii="宋体" w:hAnsi="宋体"/>
          <w:b/>
          <w:highlight w:val="none"/>
        </w:rPr>
        <w:t xml:space="preserve">                                              </w:t>
      </w:r>
    </w:p>
    <w:p w14:paraId="0EE384ED">
      <w:pPr>
        <w:spacing w:line="360" w:lineRule="auto"/>
        <w:ind w:firstLine="308" w:firstLineChars="147"/>
        <w:jc w:val="left"/>
        <w:rPr>
          <w:rFonts w:ascii="宋体"/>
          <w:highlight w:val="none"/>
        </w:rPr>
      </w:pPr>
      <w:r>
        <w:rPr>
          <w:rFonts w:hint="eastAsia" w:ascii="宋体" w:hAnsi="宋体"/>
          <w:highlight w:val="none"/>
        </w:rPr>
        <w:t>注：</w:t>
      </w:r>
      <w:r>
        <w:rPr>
          <w:rFonts w:ascii="宋体" w:hAnsi="宋体"/>
          <w:highlight w:val="none"/>
        </w:rPr>
        <w:t>1</w:t>
      </w:r>
      <w:r>
        <w:rPr>
          <w:rFonts w:hint="eastAsia" w:ascii="宋体" w:hAnsi="宋体"/>
          <w:highlight w:val="none"/>
        </w:rPr>
        <w:t>、在磋商过程中，最后磋商报价与首次报价的价格发生的浮动比例，在项目签订合同时对首次报价单价的基础上进行同比例浮动，作为签订合同的最终单价。</w:t>
      </w:r>
    </w:p>
    <w:p w14:paraId="60C8D1C1">
      <w:pPr>
        <w:spacing w:line="360" w:lineRule="auto"/>
        <w:ind w:firstLine="732" w:firstLineChars="347"/>
        <w:jc w:val="left"/>
        <w:rPr>
          <w:rFonts w:ascii="宋体"/>
          <w:b/>
          <w:bCs/>
          <w:highlight w:val="none"/>
        </w:rPr>
      </w:pPr>
      <w:r>
        <w:rPr>
          <w:rFonts w:ascii="宋体" w:hAnsi="宋体"/>
          <w:b/>
          <w:bCs/>
          <w:highlight w:val="none"/>
        </w:rPr>
        <w:t>2</w:t>
      </w:r>
      <w:r>
        <w:rPr>
          <w:rFonts w:hint="eastAsia" w:ascii="宋体" w:hAnsi="宋体"/>
          <w:b/>
          <w:bCs/>
          <w:highlight w:val="none"/>
        </w:rPr>
        <w:t>、此表不需要编制在响应文件中，二轮报价开启时进行线上填报。</w:t>
      </w:r>
    </w:p>
    <w:p w14:paraId="2C9AA7B3">
      <w:pPr>
        <w:ind w:firstLine="308" w:firstLineChars="147"/>
        <w:jc w:val="left"/>
        <w:rPr>
          <w:rFonts w:ascii="宋体"/>
          <w:highlight w:val="none"/>
        </w:rPr>
      </w:pPr>
    </w:p>
    <w:p w14:paraId="7A91BDD5">
      <w:pPr>
        <w:tabs>
          <w:tab w:val="left" w:pos="168"/>
        </w:tabs>
        <w:adjustRightInd w:val="0"/>
        <w:textAlignment w:val="baseline"/>
        <w:rPr>
          <w:rFonts w:ascii="宋体"/>
          <w:b/>
          <w:bCs/>
          <w:sz w:val="28"/>
          <w:highlight w:val="none"/>
        </w:rPr>
      </w:pPr>
    </w:p>
    <w:p w14:paraId="32545497">
      <w:pPr>
        <w:tabs>
          <w:tab w:val="left" w:pos="168"/>
        </w:tabs>
        <w:adjustRightInd w:val="0"/>
        <w:textAlignment w:val="baseline"/>
        <w:rPr>
          <w:rFonts w:ascii="宋体"/>
          <w:b/>
          <w:bCs/>
          <w:sz w:val="28"/>
          <w:highlight w:val="none"/>
        </w:rPr>
      </w:pPr>
    </w:p>
    <w:p w14:paraId="4472AD17">
      <w:pPr>
        <w:tabs>
          <w:tab w:val="left" w:pos="168"/>
        </w:tabs>
        <w:adjustRightInd w:val="0"/>
        <w:textAlignment w:val="baseline"/>
        <w:rPr>
          <w:rFonts w:ascii="宋体"/>
          <w:b/>
          <w:bCs/>
          <w:sz w:val="28"/>
          <w:highlight w:val="none"/>
        </w:rPr>
      </w:pPr>
    </w:p>
    <w:p w14:paraId="221D3EC8">
      <w:pPr>
        <w:tabs>
          <w:tab w:val="left" w:pos="168"/>
        </w:tabs>
        <w:adjustRightInd w:val="0"/>
        <w:textAlignment w:val="baseline"/>
        <w:rPr>
          <w:rFonts w:ascii="宋体"/>
          <w:b/>
          <w:bCs/>
          <w:sz w:val="28"/>
          <w:highlight w:val="none"/>
        </w:rPr>
      </w:pPr>
    </w:p>
    <w:p w14:paraId="6979B0CC">
      <w:pPr>
        <w:ind w:firstLine="3337" w:firstLineChars="1583"/>
        <w:rPr>
          <w:rFonts w:ascii="宋体"/>
          <w:b/>
          <w:highlight w:val="none"/>
        </w:rPr>
      </w:pPr>
      <w:r>
        <w:rPr>
          <w:rFonts w:hint="eastAsia" w:ascii="宋体" w:hAnsi="宋体"/>
          <w:b/>
          <w:highlight w:val="none"/>
        </w:rPr>
        <w:t>投标单位：</w:t>
      </w:r>
      <w:r>
        <w:rPr>
          <w:rFonts w:ascii="方正仿宋_GB2312" w:eastAsia="方正仿宋_GB2312" w:cs="宋体"/>
          <w:kern w:val="0"/>
          <w:sz w:val="28"/>
          <w:szCs w:val="28"/>
          <w:highlight w:val="none"/>
          <w:u w:val="single"/>
        </w:rPr>
        <w:t xml:space="preserve">       </w:t>
      </w:r>
      <w:r>
        <w:rPr>
          <w:rFonts w:hint="eastAsia" w:ascii="宋体" w:hAnsi="宋体"/>
          <w:b/>
          <w:highlight w:val="none"/>
        </w:rPr>
        <w:t>（公章）</w:t>
      </w:r>
    </w:p>
    <w:p w14:paraId="1A5F091F">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法定代表人或委托代理人：</w:t>
      </w:r>
      <w:r>
        <w:rPr>
          <w:rFonts w:ascii="方正仿宋_GB2312" w:eastAsia="方正仿宋_GB2312" w:cs="宋体"/>
          <w:kern w:val="0"/>
          <w:sz w:val="28"/>
          <w:szCs w:val="28"/>
          <w:highlight w:val="none"/>
          <w:u w:val="single"/>
        </w:rPr>
        <w:t xml:space="preserve">       </w:t>
      </w:r>
      <w:r>
        <w:rPr>
          <w:rFonts w:hint="eastAsia" w:ascii="宋体" w:hAnsi="宋体"/>
          <w:b/>
          <w:highlight w:val="none"/>
        </w:rPr>
        <w:t>（签字或盖章）</w:t>
      </w:r>
    </w:p>
    <w:p w14:paraId="679D0791">
      <w:pPr>
        <w:ind w:firstLine="482"/>
        <w:jc w:val="center"/>
        <w:rPr>
          <w:rFonts w:ascii="宋体"/>
          <w:b/>
          <w:highlight w:val="none"/>
        </w:rPr>
      </w:pPr>
      <w:r>
        <w:rPr>
          <w:rFonts w:ascii="宋体" w:hAnsi="宋体"/>
          <w:b/>
          <w:highlight w:val="none"/>
        </w:rPr>
        <w:t xml:space="preserve">              </w:t>
      </w:r>
      <w:r>
        <w:rPr>
          <w:rFonts w:hint="eastAsia" w:ascii="宋体" w:hAnsi="宋体"/>
          <w:b/>
          <w:highlight w:val="none"/>
        </w:rPr>
        <w:t>年</w:t>
      </w:r>
      <w:r>
        <w:rPr>
          <w:rFonts w:ascii="宋体" w:hAnsi="宋体"/>
          <w:b/>
          <w:highlight w:val="none"/>
        </w:rPr>
        <w:t xml:space="preserve">   </w:t>
      </w:r>
      <w:r>
        <w:rPr>
          <w:rFonts w:hint="eastAsia" w:ascii="宋体" w:hAnsi="宋体"/>
          <w:b/>
          <w:highlight w:val="none"/>
        </w:rPr>
        <w:t>月</w:t>
      </w:r>
      <w:r>
        <w:rPr>
          <w:rFonts w:ascii="宋体" w:hAnsi="宋体"/>
          <w:b/>
          <w:highlight w:val="none"/>
        </w:rPr>
        <w:t xml:space="preserve">  </w:t>
      </w:r>
      <w:r>
        <w:rPr>
          <w:rFonts w:hint="eastAsia" w:ascii="宋体" w:hAnsi="宋体"/>
          <w:b/>
          <w:highlight w:val="none"/>
        </w:rPr>
        <w:t>日</w:t>
      </w:r>
    </w:p>
    <w:p w14:paraId="444FAFCF">
      <w:pPr>
        <w:ind w:firstLine="482"/>
        <w:jc w:val="center"/>
        <w:rPr>
          <w:rFonts w:ascii="宋体"/>
          <w:b/>
          <w:highlight w:val="none"/>
        </w:rPr>
      </w:pPr>
    </w:p>
    <w:p w14:paraId="3062AD2F">
      <w:pPr>
        <w:pStyle w:val="10"/>
        <w:rPr>
          <w:highlight w:val="none"/>
        </w:rPr>
      </w:pPr>
    </w:p>
    <w:p w14:paraId="0135CE14">
      <w:pPr>
        <w:pStyle w:val="26"/>
        <w:rPr>
          <w:highlight w:val="none"/>
        </w:rPr>
      </w:pPr>
    </w:p>
    <w:p w14:paraId="0568B9B4">
      <w:pPr>
        <w:pStyle w:val="26"/>
        <w:rPr>
          <w:highlight w:val="none"/>
        </w:rPr>
      </w:pPr>
    </w:p>
    <w:p w14:paraId="704F0B68">
      <w:pPr>
        <w:tabs>
          <w:tab w:val="left" w:pos="168"/>
        </w:tabs>
        <w:adjustRightInd w:val="0"/>
        <w:textAlignment w:val="baseline"/>
        <w:rPr>
          <w:rFonts w:ascii="宋体"/>
          <w:b/>
          <w:bCs/>
          <w:highlight w:val="none"/>
        </w:rPr>
      </w:pPr>
    </w:p>
    <w:p w14:paraId="2569DE18">
      <w:pPr>
        <w:keepNext/>
        <w:keepLines/>
        <w:widowControl/>
        <w:snapToGrid w:val="0"/>
        <w:spacing w:line="240" w:lineRule="atLeast"/>
        <w:jc w:val="center"/>
        <w:outlineLvl w:val="0"/>
        <w:rPr>
          <w:rFonts w:ascii="宋体"/>
          <w:b/>
          <w:kern w:val="28"/>
          <w:sz w:val="36"/>
          <w:szCs w:val="20"/>
          <w:highlight w:val="none"/>
        </w:rPr>
      </w:pPr>
      <w:bookmarkStart w:id="262" w:name="_Toc325726051"/>
      <w:bookmarkStart w:id="263" w:name="_Toc21667"/>
      <w:bookmarkStart w:id="264" w:name="_Toc496626254"/>
      <w:bookmarkStart w:id="265" w:name="_Toc376936782"/>
      <w:r>
        <w:rPr>
          <w:rFonts w:hint="eastAsia" w:ascii="宋体"/>
          <w:b/>
          <w:kern w:val="28"/>
          <w:sz w:val="36"/>
          <w:szCs w:val="20"/>
          <w:highlight w:val="none"/>
        </w:rPr>
        <w:t>第五部分</w:t>
      </w:r>
      <w:r>
        <w:rPr>
          <w:rFonts w:ascii="宋体"/>
          <w:b/>
          <w:kern w:val="28"/>
          <w:sz w:val="36"/>
          <w:szCs w:val="20"/>
          <w:highlight w:val="none"/>
        </w:rPr>
        <w:t xml:space="preserve">  </w:t>
      </w:r>
      <w:r>
        <w:rPr>
          <w:rFonts w:hint="eastAsia" w:ascii="宋体"/>
          <w:b/>
          <w:kern w:val="28"/>
          <w:sz w:val="36"/>
          <w:szCs w:val="20"/>
          <w:highlight w:val="none"/>
        </w:rPr>
        <w:t>磋商及采购项目内容要求</w:t>
      </w:r>
      <w:bookmarkEnd w:id="262"/>
      <w:bookmarkEnd w:id="263"/>
      <w:bookmarkEnd w:id="264"/>
      <w:bookmarkEnd w:id="265"/>
    </w:p>
    <w:p w14:paraId="5580C8AE">
      <w:pPr>
        <w:widowControl/>
        <w:spacing w:beforeLines="200" w:afterLines="200" w:line="240" w:lineRule="atLeast"/>
        <w:jc w:val="center"/>
        <w:outlineLvl w:val="1"/>
        <w:rPr>
          <w:rFonts w:ascii="宋体"/>
          <w:b/>
          <w:bCs/>
          <w:kern w:val="0"/>
          <w:sz w:val="36"/>
          <w:szCs w:val="36"/>
          <w:highlight w:val="none"/>
        </w:rPr>
      </w:pPr>
      <w:bookmarkStart w:id="266" w:name="_Toc376936783"/>
      <w:bookmarkStart w:id="267" w:name="_Toc325726052"/>
      <w:bookmarkStart w:id="268" w:name="_Toc30259"/>
      <w:bookmarkStart w:id="269" w:name="_Toc23203"/>
      <w:bookmarkStart w:id="270" w:name="_Toc496626255"/>
      <w:bookmarkStart w:id="271" w:name="_Toc25789"/>
      <w:r>
        <w:rPr>
          <w:rFonts w:hint="eastAsia" w:ascii="宋体" w:hAnsi="宋体"/>
          <w:b/>
          <w:bCs/>
          <w:kern w:val="0"/>
          <w:sz w:val="36"/>
          <w:szCs w:val="36"/>
          <w:highlight w:val="none"/>
        </w:rPr>
        <w:t>一、磋商要求</w:t>
      </w:r>
      <w:bookmarkEnd w:id="266"/>
      <w:bookmarkEnd w:id="267"/>
      <w:bookmarkEnd w:id="268"/>
      <w:bookmarkEnd w:id="269"/>
      <w:bookmarkEnd w:id="270"/>
      <w:bookmarkEnd w:id="271"/>
      <w:bookmarkStart w:id="272" w:name="_Toc2073"/>
      <w:bookmarkStart w:id="273" w:name="_Toc376936784"/>
      <w:bookmarkStart w:id="274" w:name="_Toc325726053"/>
      <w:bookmarkStart w:id="275" w:name="_Toc496626256"/>
    </w:p>
    <w:bookmarkEnd w:id="272"/>
    <w:bookmarkEnd w:id="273"/>
    <w:bookmarkEnd w:id="274"/>
    <w:bookmarkEnd w:id="275"/>
    <w:p w14:paraId="443CD14C">
      <w:pPr>
        <w:pStyle w:val="25"/>
        <w:spacing w:line="360" w:lineRule="auto"/>
        <w:jc w:val="left"/>
        <w:outlineLvl w:val="1"/>
        <w:rPr>
          <w:rFonts w:ascii="宋体" w:cs="宋体"/>
          <w:highlight w:val="none"/>
          <w:lang w:val="zh-CN"/>
        </w:rPr>
      </w:pPr>
      <w:bookmarkStart w:id="276" w:name="_Toc14246"/>
      <w:bookmarkStart w:id="277" w:name="_Toc20332"/>
      <w:bookmarkStart w:id="278" w:name="_Toc16678"/>
      <w:bookmarkStart w:id="279" w:name="_Toc27770"/>
      <w:bookmarkStart w:id="280" w:name="_Toc4601"/>
      <w:r>
        <w:rPr>
          <w:rFonts w:ascii="宋体" w:hAnsi="宋体" w:cs="宋体"/>
          <w:sz w:val="28"/>
          <w:szCs w:val="28"/>
          <w:highlight w:val="none"/>
          <w:lang w:val="zh-CN"/>
        </w:rPr>
        <w:t>1.</w:t>
      </w:r>
      <w:r>
        <w:rPr>
          <w:rFonts w:hint="eastAsia" w:ascii="宋体" w:hAnsi="宋体" w:cs="宋体"/>
          <w:sz w:val="28"/>
          <w:szCs w:val="28"/>
          <w:highlight w:val="none"/>
          <w:lang w:val="zh-CN"/>
        </w:rPr>
        <w:t>投标说明</w:t>
      </w:r>
      <w:bookmarkEnd w:id="276"/>
      <w:bookmarkEnd w:id="277"/>
      <w:bookmarkEnd w:id="278"/>
      <w:bookmarkEnd w:id="279"/>
      <w:bookmarkEnd w:id="280"/>
    </w:p>
    <w:p w14:paraId="2918B6B7">
      <w:pPr>
        <w:autoSpaceDE w:val="0"/>
        <w:autoSpaceDN w:val="0"/>
        <w:spacing w:line="360" w:lineRule="auto"/>
        <w:ind w:firstLine="420" w:firstLineChars="200"/>
        <w:rPr>
          <w:rFonts w:ascii="宋体" w:cs="宋体"/>
          <w:kern w:val="0"/>
          <w:highlight w:val="none"/>
          <w:lang w:val="zh-CN"/>
        </w:rPr>
      </w:pPr>
      <w:r>
        <w:rPr>
          <w:rFonts w:ascii="宋体" w:hAnsi="宋体" w:cs="宋体"/>
          <w:kern w:val="0"/>
          <w:highlight w:val="none"/>
          <w:lang w:val="zh-CN"/>
        </w:rPr>
        <w:t>1.1</w:t>
      </w:r>
      <w:r>
        <w:rPr>
          <w:rFonts w:ascii="宋体" w:hAnsi="宋体" w:cs="宋体"/>
          <w:kern w:val="0"/>
          <w:highlight w:val="none"/>
        </w:rPr>
        <w:t xml:space="preserve"> </w:t>
      </w:r>
      <w:r>
        <w:rPr>
          <w:rFonts w:hint="eastAsia" w:ascii="宋体" w:hAnsi="宋体" w:cs="宋体"/>
          <w:kern w:val="0"/>
          <w:highlight w:val="none"/>
          <w:lang w:val="zh-CN"/>
        </w:rPr>
        <w:t>供应商可以按照磋商文件规定进行投标，但必须对项目的所有内容作为一个整体进行投标，不能拆分或少报。否则，投标无效。</w:t>
      </w:r>
    </w:p>
    <w:p w14:paraId="2659BE28">
      <w:pPr>
        <w:autoSpaceDE w:val="0"/>
        <w:autoSpaceDN w:val="0"/>
        <w:spacing w:line="360" w:lineRule="auto"/>
        <w:ind w:firstLine="420" w:firstLineChars="200"/>
        <w:rPr>
          <w:rFonts w:ascii="宋体" w:cs="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 xml:space="preserve">2 </w:t>
      </w:r>
      <w:r>
        <w:rPr>
          <w:rFonts w:hint="eastAsia" w:ascii="宋体" w:hAnsi="宋体" w:cs="宋体"/>
          <w:kern w:val="0"/>
          <w:highlight w:val="none"/>
        </w:rPr>
        <w:t>项目中标后分包情况：</w:t>
      </w:r>
      <w:r>
        <w:rPr>
          <w:rFonts w:hint="eastAsia" w:ascii="宋体" w:hAnsi="宋体" w:cs="宋体"/>
          <w:kern w:val="0"/>
          <w:highlight w:val="none"/>
          <w:u w:val="dashDotHeavy"/>
        </w:rPr>
        <w:t>不允许</w:t>
      </w:r>
      <w:r>
        <w:rPr>
          <w:rFonts w:hint="eastAsia" w:ascii="宋体" w:hAnsi="宋体" w:cs="宋体"/>
          <w:kern w:val="0"/>
          <w:highlight w:val="none"/>
        </w:rPr>
        <w:t>。（允许，供应商拟在中标后将中标项目的非主体、非关键性工作分包的，应当在</w:t>
      </w:r>
      <w:r>
        <w:rPr>
          <w:rFonts w:hint="eastAsia" w:ascii="宋体" w:hAnsi="宋体" w:cs="宋体"/>
          <w:kern w:val="0"/>
          <w:highlight w:val="none"/>
          <w:lang w:eastAsia="zh-CN"/>
        </w:rPr>
        <w:t>响应</w:t>
      </w:r>
      <w:r>
        <w:rPr>
          <w:rFonts w:hint="eastAsia" w:ascii="宋体" w:hAnsi="宋体" w:cs="宋体"/>
          <w:kern w:val="0"/>
          <w:highlight w:val="none"/>
        </w:rPr>
        <w:t>文件中载明分包承担主体，分包承担主体应当具备相应资质条件且不得再次分包）</w:t>
      </w:r>
    </w:p>
    <w:p w14:paraId="35521888">
      <w:pPr>
        <w:pStyle w:val="25"/>
        <w:spacing w:line="360" w:lineRule="auto"/>
        <w:jc w:val="left"/>
        <w:outlineLvl w:val="1"/>
        <w:rPr>
          <w:rFonts w:ascii="宋体" w:cs="宋体"/>
          <w:highlight w:val="none"/>
          <w:lang w:val="zh-CN"/>
        </w:rPr>
      </w:pPr>
      <w:bookmarkStart w:id="281" w:name="_Toc26125"/>
      <w:bookmarkStart w:id="282" w:name="_Toc25360"/>
      <w:bookmarkStart w:id="283" w:name="_Toc8251"/>
      <w:bookmarkStart w:id="284" w:name="_Toc4773"/>
      <w:bookmarkStart w:id="285" w:name="_Toc12656"/>
      <w:r>
        <w:rPr>
          <w:rFonts w:ascii="宋体" w:hAnsi="宋体" w:cs="宋体"/>
          <w:sz w:val="28"/>
          <w:szCs w:val="28"/>
          <w:highlight w:val="none"/>
        </w:rPr>
        <w:t>2.</w:t>
      </w:r>
      <w:bookmarkEnd w:id="281"/>
      <w:bookmarkStart w:id="286" w:name="_Toc1475"/>
      <w:r>
        <w:rPr>
          <w:rFonts w:hint="eastAsia" w:ascii="宋体" w:hAnsi="宋体" w:cs="宋体"/>
          <w:sz w:val="28"/>
          <w:szCs w:val="28"/>
          <w:highlight w:val="none"/>
          <w:lang w:val="zh-CN"/>
        </w:rPr>
        <w:t>重要指标</w:t>
      </w:r>
      <w:bookmarkEnd w:id="282"/>
      <w:bookmarkEnd w:id="283"/>
      <w:bookmarkEnd w:id="284"/>
      <w:bookmarkEnd w:id="285"/>
      <w:bookmarkEnd w:id="286"/>
    </w:p>
    <w:p w14:paraId="3DCAE18F">
      <w:pPr>
        <w:autoSpaceDE w:val="0"/>
        <w:autoSpaceDN w:val="0"/>
        <w:spacing w:line="360" w:lineRule="auto"/>
        <w:ind w:firstLine="420" w:firstLineChars="200"/>
        <w:rPr>
          <w:rFonts w:ascii="宋体" w:cs="宋体"/>
          <w:kern w:val="0"/>
          <w:highlight w:val="none"/>
          <w:u w:val="none"/>
          <w:lang w:val="zh-CN"/>
        </w:rPr>
      </w:pPr>
      <w:bookmarkStart w:id="287" w:name="_Toc18880"/>
      <w:r>
        <w:rPr>
          <w:rFonts w:ascii="宋体" w:hAnsi="宋体" w:cs="宋体"/>
          <w:kern w:val="0"/>
          <w:highlight w:val="none"/>
        </w:rPr>
        <w:t>2</w:t>
      </w:r>
      <w:r>
        <w:rPr>
          <w:rFonts w:ascii="宋体" w:cs="宋体"/>
          <w:kern w:val="0"/>
          <w:highlight w:val="none"/>
          <w:lang w:val="zh-CN"/>
        </w:rPr>
        <w:t>.</w:t>
      </w:r>
      <w:r>
        <w:rPr>
          <w:rFonts w:ascii="宋体" w:hAnsi="宋体" w:cs="宋体"/>
          <w:kern w:val="0"/>
          <w:highlight w:val="none"/>
        </w:rPr>
        <w:t xml:space="preserve">1 </w:t>
      </w:r>
      <w:r>
        <w:rPr>
          <w:rFonts w:hint="eastAsia" w:ascii="宋体" w:hAnsi="宋体" w:cs="宋体"/>
          <w:kern w:val="0"/>
          <w:highlight w:val="none"/>
          <w:lang w:val="zh-CN"/>
        </w:rPr>
        <w:t>磋商文件中凡需与原有设备、系统并机、兼容、匹配等要求的，请主动和采购人联系，取得原有设备、系统相关资料。若有磋商文件未提及或变更内容的，请及时与</w:t>
      </w:r>
      <w:r>
        <w:rPr>
          <w:rFonts w:hint="eastAsia" w:ascii="宋体" w:hAnsi="宋体" w:cs="宋体"/>
          <w:kern w:val="0"/>
          <w:highlight w:val="none"/>
          <w:u w:val="none"/>
          <w:lang w:val="zh-CN"/>
        </w:rPr>
        <w:t>采购人或者采购代理机构联系。</w:t>
      </w:r>
    </w:p>
    <w:p w14:paraId="42465B49">
      <w:pPr>
        <w:autoSpaceDE w:val="0"/>
        <w:autoSpaceDN w:val="0"/>
        <w:spacing w:line="360" w:lineRule="auto"/>
        <w:ind w:firstLine="420" w:firstLineChars="200"/>
        <w:rPr>
          <w:rFonts w:ascii="宋体" w:cs="宋体"/>
          <w:highlight w:val="none"/>
        </w:rPr>
      </w:pPr>
      <w:r>
        <w:rPr>
          <w:rFonts w:ascii="宋体" w:hAnsi="宋体" w:cs="宋体"/>
          <w:kern w:val="0"/>
          <w:highlight w:val="none"/>
        </w:rPr>
        <w:t>2</w:t>
      </w:r>
      <w:r>
        <w:rPr>
          <w:rFonts w:ascii="宋体" w:cs="宋体"/>
          <w:kern w:val="0"/>
          <w:highlight w:val="none"/>
          <w:lang w:val="zh-CN"/>
        </w:rPr>
        <w:t>.</w:t>
      </w:r>
      <w:r>
        <w:rPr>
          <w:rFonts w:ascii="宋体" w:hAnsi="宋体" w:cs="宋体"/>
          <w:kern w:val="0"/>
          <w:highlight w:val="none"/>
        </w:rPr>
        <w:t xml:space="preserve">2 </w:t>
      </w:r>
      <w:r>
        <w:rPr>
          <w:rFonts w:hint="eastAsia" w:ascii="宋体" w:hAnsi="宋体" w:cs="宋体"/>
          <w:kern w:val="0"/>
          <w:highlight w:val="none"/>
          <w:lang w:val="zh-CN"/>
        </w:rPr>
        <w:t>技术参数中除注明签订合同时提供</w:t>
      </w:r>
      <w:r>
        <w:rPr>
          <w:rFonts w:hint="eastAsia" w:ascii="宋体" w:hAnsi="宋体" w:cs="宋体"/>
          <w:highlight w:val="none"/>
        </w:rPr>
        <w:t>的相关授权、服务承诺等资料以外，其余相关资料在投标时必须附在</w:t>
      </w:r>
      <w:r>
        <w:rPr>
          <w:rFonts w:hint="eastAsia" w:ascii="宋体" w:hAnsi="宋体" w:cs="宋体"/>
          <w:highlight w:val="none"/>
          <w:lang w:eastAsia="zh-CN"/>
        </w:rPr>
        <w:t>响应文件</w:t>
      </w:r>
      <w:r>
        <w:rPr>
          <w:rFonts w:hint="eastAsia" w:ascii="宋体" w:hAnsi="宋体" w:cs="宋体"/>
          <w:highlight w:val="none"/>
        </w:rPr>
        <w:t>中。</w:t>
      </w:r>
    </w:p>
    <w:p w14:paraId="247748EB">
      <w:pPr>
        <w:pStyle w:val="25"/>
        <w:spacing w:line="360" w:lineRule="auto"/>
        <w:jc w:val="left"/>
        <w:outlineLvl w:val="1"/>
        <w:rPr>
          <w:rFonts w:ascii="宋体" w:cs="宋体"/>
          <w:highlight w:val="none"/>
          <w:lang w:val="zh-CN"/>
        </w:rPr>
      </w:pPr>
      <w:bookmarkStart w:id="288" w:name="_Toc281"/>
      <w:bookmarkStart w:id="289" w:name="_Toc11220"/>
      <w:bookmarkStart w:id="290" w:name="_Toc16744"/>
      <w:bookmarkStart w:id="291" w:name="_Toc20674"/>
      <w:r>
        <w:rPr>
          <w:rFonts w:ascii="宋体" w:hAnsi="宋体" w:cs="宋体"/>
          <w:sz w:val="28"/>
          <w:szCs w:val="28"/>
          <w:highlight w:val="none"/>
        </w:rPr>
        <w:t>3</w:t>
      </w:r>
      <w:r>
        <w:rPr>
          <w:rFonts w:ascii="宋体" w:cs="宋体"/>
          <w:sz w:val="28"/>
          <w:szCs w:val="28"/>
          <w:highlight w:val="none"/>
          <w:lang w:val="zh-CN"/>
        </w:rPr>
        <w:t>.</w:t>
      </w:r>
      <w:r>
        <w:rPr>
          <w:rFonts w:hint="eastAsia" w:ascii="宋体" w:hAnsi="宋体" w:cs="宋体"/>
          <w:sz w:val="28"/>
          <w:szCs w:val="28"/>
          <w:highlight w:val="none"/>
          <w:lang w:val="zh-CN"/>
        </w:rPr>
        <w:t>商务要求</w:t>
      </w:r>
      <w:bookmarkEnd w:id="287"/>
      <w:bookmarkEnd w:id="288"/>
      <w:bookmarkEnd w:id="289"/>
      <w:bookmarkEnd w:id="290"/>
      <w:bookmarkEnd w:id="291"/>
    </w:p>
    <w:p w14:paraId="194E4288">
      <w:pPr>
        <w:autoSpaceDE w:val="0"/>
        <w:autoSpaceDN w:val="0"/>
        <w:spacing w:line="360" w:lineRule="auto"/>
        <w:ind w:firstLine="360"/>
        <w:jc w:val="left"/>
        <w:rPr>
          <w:rFonts w:hint="default" w:ascii="宋体" w:eastAsia="宋体" w:cs="宋体"/>
          <w:kern w:val="0"/>
          <w:highlight w:val="none"/>
          <w:u w:val="single"/>
          <w:lang w:val="en-US" w:eastAsia="zh-CN"/>
        </w:rPr>
      </w:pPr>
      <w:r>
        <w:rPr>
          <w:rFonts w:ascii="宋体" w:hAnsi="宋体" w:cs="宋体"/>
          <w:kern w:val="0"/>
          <w:highlight w:val="none"/>
        </w:rPr>
        <w:t>3</w:t>
      </w:r>
      <w:r>
        <w:rPr>
          <w:rFonts w:ascii="宋体" w:hAnsi="宋体" w:cs="宋体"/>
          <w:kern w:val="0"/>
          <w:highlight w:val="none"/>
          <w:lang w:val="zh-CN"/>
        </w:rPr>
        <w:t>.1.</w:t>
      </w:r>
      <w:r>
        <w:rPr>
          <w:rFonts w:hint="eastAsia" w:ascii="宋体" w:hAnsi="宋体" w:cs="宋体"/>
          <w:kern w:val="0"/>
          <w:highlight w:val="none"/>
          <w:lang w:val="zh-CN"/>
        </w:rPr>
        <w:t>服务</w:t>
      </w:r>
      <w:r>
        <w:rPr>
          <w:rFonts w:hint="eastAsia" w:ascii="宋体" w:hAnsi="宋体" w:cs="宋体"/>
          <w:kern w:val="0"/>
          <w:highlight w:val="none"/>
          <w:lang w:val="en-US" w:eastAsia="zh-CN"/>
        </w:rPr>
        <w:t>期：自乙方完成数据治理服务配套工具部署并正式交付甲方使用之日起算，服务期限为1年；具体交付时间：合同签订后60个日历日完成交付；免费质保期：验收合格后3年。</w:t>
      </w:r>
    </w:p>
    <w:p w14:paraId="57470D31">
      <w:pPr>
        <w:autoSpaceDE w:val="0"/>
        <w:autoSpaceDN w:val="0"/>
        <w:spacing w:line="360" w:lineRule="auto"/>
        <w:ind w:firstLine="360"/>
        <w:jc w:val="left"/>
        <w:rPr>
          <w:rFonts w:ascii="宋体" w:cs="宋体"/>
          <w:kern w:val="0"/>
          <w:highlight w:val="none"/>
          <w:u w:val="single"/>
          <w:lang w:val="zh-CN"/>
        </w:rPr>
      </w:pPr>
      <w:r>
        <w:rPr>
          <w:rFonts w:ascii="宋体" w:hAnsi="宋体" w:cs="宋体"/>
          <w:kern w:val="0"/>
          <w:highlight w:val="none"/>
        </w:rPr>
        <w:t>3</w:t>
      </w:r>
      <w:r>
        <w:rPr>
          <w:rFonts w:ascii="宋体" w:hAnsi="宋体" w:cs="宋体"/>
          <w:kern w:val="0"/>
          <w:highlight w:val="none"/>
          <w:lang w:val="zh-CN"/>
        </w:rPr>
        <w:t>.2.</w:t>
      </w:r>
      <w:r>
        <w:rPr>
          <w:rFonts w:hint="eastAsia" w:ascii="宋体" w:hAnsi="宋体" w:cs="宋体"/>
          <w:kern w:val="0"/>
          <w:highlight w:val="none"/>
          <w:lang w:val="zh-CN"/>
        </w:rPr>
        <w:t>服务地点：青海大学</w:t>
      </w:r>
    </w:p>
    <w:p w14:paraId="08D78AFA">
      <w:pPr>
        <w:autoSpaceDE w:val="0"/>
        <w:autoSpaceDN w:val="0"/>
        <w:spacing w:line="360" w:lineRule="auto"/>
        <w:ind w:left="0" w:leftChars="0" w:firstLine="359" w:firstLineChars="171"/>
        <w:rPr>
          <w:rFonts w:ascii="宋体" w:cs="宋体"/>
          <w:kern w:val="0"/>
          <w:highlight w:val="none"/>
          <w:lang w:val="zh-CN"/>
        </w:rPr>
      </w:pPr>
      <w:r>
        <w:rPr>
          <w:rFonts w:ascii="宋体" w:hAnsi="宋体" w:cs="宋体"/>
          <w:kern w:val="0"/>
          <w:highlight w:val="none"/>
        </w:rPr>
        <w:t>3</w:t>
      </w:r>
      <w:r>
        <w:rPr>
          <w:rFonts w:ascii="宋体" w:hAnsi="宋体" w:cs="宋体"/>
          <w:kern w:val="0"/>
          <w:highlight w:val="none"/>
          <w:lang w:val="zh-CN"/>
        </w:rPr>
        <w:t>.3.</w:t>
      </w:r>
      <w:r>
        <w:rPr>
          <w:rFonts w:hint="eastAsia" w:ascii="宋体" w:hAnsi="宋体" w:cs="宋体"/>
          <w:kern w:val="0"/>
          <w:highlight w:val="none"/>
          <w:lang w:val="zh-CN"/>
        </w:rPr>
        <w:t>付款方式：</w:t>
      </w:r>
      <w:r>
        <w:rPr>
          <w:rFonts w:hint="eastAsia" w:ascii="宋体" w:hAnsi="宋体" w:cs="宋体"/>
          <w:kern w:val="0"/>
          <w:highlight w:val="none"/>
        </w:rPr>
        <w:t>详见“第三部分</w:t>
      </w:r>
      <w:r>
        <w:rPr>
          <w:rFonts w:ascii="宋体" w:hAnsi="宋体" w:cs="宋体"/>
          <w:kern w:val="0"/>
          <w:highlight w:val="none"/>
        </w:rPr>
        <w:t xml:space="preserve">  </w:t>
      </w:r>
      <w:r>
        <w:rPr>
          <w:rFonts w:hint="eastAsia" w:ascii="宋体" w:hAnsi="宋体" w:cs="宋体"/>
          <w:kern w:val="0"/>
          <w:highlight w:val="none"/>
        </w:rPr>
        <w:t>青海省政府采购项目合同书范本”中“四、付款方式”的规定</w:t>
      </w:r>
    </w:p>
    <w:p w14:paraId="59BD07B8">
      <w:pPr>
        <w:pStyle w:val="14"/>
        <w:rPr>
          <w:highlight w:val="none"/>
        </w:rPr>
      </w:pPr>
    </w:p>
    <w:p w14:paraId="08690457">
      <w:pPr>
        <w:pStyle w:val="14"/>
        <w:rPr>
          <w:highlight w:val="none"/>
        </w:rPr>
      </w:pPr>
    </w:p>
    <w:p w14:paraId="269EE69D">
      <w:pPr>
        <w:pStyle w:val="14"/>
        <w:rPr>
          <w:highlight w:val="none"/>
        </w:rPr>
      </w:pPr>
    </w:p>
    <w:p w14:paraId="302C94FC">
      <w:pPr>
        <w:pStyle w:val="14"/>
        <w:rPr>
          <w:highlight w:val="none"/>
        </w:rPr>
      </w:pPr>
    </w:p>
    <w:p w14:paraId="713C080F">
      <w:pPr>
        <w:pStyle w:val="14"/>
        <w:rPr>
          <w:highlight w:val="none"/>
        </w:rPr>
      </w:pPr>
    </w:p>
    <w:p w14:paraId="5B654305">
      <w:pPr>
        <w:pStyle w:val="14"/>
        <w:rPr>
          <w:highlight w:val="none"/>
        </w:rPr>
      </w:pPr>
    </w:p>
    <w:p w14:paraId="11A55304">
      <w:pPr>
        <w:pStyle w:val="14"/>
        <w:rPr>
          <w:highlight w:val="none"/>
        </w:rPr>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A0B565A">
      <w:pPr>
        <w:pStyle w:val="10"/>
        <w:numPr>
          <w:ilvl w:val="0"/>
          <w:numId w:val="4"/>
        </w:numPr>
        <w:spacing w:line="360" w:lineRule="auto"/>
        <w:jc w:val="center"/>
        <w:outlineLvl w:val="1"/>
        <w:rPr>
          <w:rFonts w:ascii="宋体" w:hAnsi="宋体"/>
          <w:b/>
          <w:bCs/>
          <w:kern w:val="0"/>
          <w:sz w:val="36"/>
          <w:szCs w:val="36"/>
          <w:highlight w:val="none"/>
        </w:rPr>
      </w:pPr>
      <w:bookmarkStart w:id="292" w:name="_Toc13489"/>
      <w:r>
        <w:rPr>
          <w:rFonts w:hint="eastAsia" w:ascii="宋体" w:hAnsi="宋体"/>
          <w:b/>
          <w:bCs/>
          <w:kern w:val="0"/>
          <w:sz w:val="36"/>
          <w:szCs w:val="36"/>
          <w:highlight w:val="none"/>
        </w:rPr>
        <w:t>项目概况及技术要求</w:t>
      </w:r>
      <w:bookmarkEnd w:id="292"/>
    </w:p>
    <w:p w14:paraId="69E29BAD">
      <w:pPr>
        <w:pStyle w:val="26"/>
        <w:jc w:val="center"/>
        <w:rPr>
          <w:rFonts w:hint="eastAsia"/>
          <w:b/>
          <w:bCs/>
          <w:sz w:val="28"/>
          <w:szCs w:val="28"/>
          <w:highlight w:val="none"/>
          <w:lang w:eastAsia="zh-CN"/>
        </w:rPr>
      </w:pPr>
      <w:r>
        <w:rPr>
          <w:rFonts w:hint="eastAsia"/>
          <w:b/>
          <w:bCs/>
          <w:sz w:val="28"/>
          <w:szCs w:val="28"/>
          <w:highlight w:val="none"/>
          <w:lang w:eastAsia="zh-CN"/>
        </w:rPr>
        <w:t>青海大学2026年智慧校园建设数据治理服务项目采购清单一览表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324"/>
        <w:gridCol w:w="9825"/>
        <w:gridCol w:w="1210"/>
        <w:gridCol w:w="922"/>
      </w:tblGrid>
      <w:tr w14:paraId="75F9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48EA09FE">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467" w:type="pct"/>
            <w:tcBorders>
              <w:top w:val="single" w:color="auto" w:sz="4" w:space="0"/>
              <w:left w:val="single" w:color="auto" w:sz="4" w:space="0"/>
              <w:bottom w:val="single" w:color="auto" w:sz="4" w:space="0"/>
              <w:right w:val="single" w:color="auto" w:sz="4" w:space="0"/>
            </w:tcBorders>
            <w:vAlign w:val="center"/>
          </w:tcPr>
          <w:p w14:paraId="0A65DE99">
            <w:pPr>
              <w:spacing w:line="240" w:lineRule="auto"/>
              <w:ind w:firstLine="210" w:firstLineChars="1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3466" w:type="pct"/>
            <w:tcBorders>
              <w:top w:val="single" w:color="auto" w:sz="4" w:space="0"/>
              <w:left w:val="single" w:color="auto" w:sz="4" w:space="0"/>
              <w:bottom w:val="single" w:color="auto" w:sz="4" w:space="0"/>
              <w:right w:val="single" w:color="auto" w:sz="4" w:space="0"/>
            </w:tcBorders>
            <w:vAlign w:val="center"/>
          </w:tcPr>
          <w:p w14:paraId="242B64D0">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技术参数</w:t>
            </w:r>
          </w:p>
        </w:tc>
        <w:tc>
          <w:tcPr>
            <w:tcW w:w="427" w:type="pct"/>
            <w:tcBorders>
              <w:top w:val="single" w:color="auto" w:sz="4" w:space="0"/>
              <w:left w:val="single" w:color="auto" w:sz="4" w:space="0"/>
              <w:bottom w:val="single" w:color="auto" w:sz="4" w:space="0"/>
              <w:right w:val="single" w:color="auto" w:sz="4" w:space="0"/>
            </w:tcBorders>
            <w:vAlign w:val="center"/>
          </w:tcPr>
          <w:p w14:paraId="257C01FC">
            <w:pPr>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数量</w:t>
            </w:r>
            <w:r>
              <w:rPr>
                <w:rFonts w:hint="eastAsia" w:ascii="宋体" w:hAnsi="宋体" w:eastAsia="宋体" w:cs="宋体"/>
                <w:sz w:val="21"/>
                <w:szCs w:val="21"/>
                <w:highlight w:val="none"/>
                <w:lang w:eastAsia="zh-CN"/>
              </w:rPr>
              <w:t>及单位</w:t>
            </w:r>
          </w:p>
        </w:tc>
        <w:tc>
          <w:tcPr>
            <w:tcW w:w="325" w:type="pct"/>
            <w:tcBorders>
              <w:top w:val="single" w:color="auto" w:sz="4" w:space="0"/>
              <w:left w:val="single" w:color="auto" w:sz="4" w:space="0"/>
              <w:bottom w:val="single" w:color="auto" w:sz="4" w:space="0"/>
              <w:right w:val="single" w:color="auto" w:sz="4" w:space="0"/>
            </w:tcBorders>
            <w:vAlign w:val="center"/>
          </w:tcPr>
          <w:p w14:paraId="7E84BC73">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14:paraId="3111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13" w:type="pct"/>
            <w:tcBorders>
              <w:top w:val="single" w:color="auto" w:sz="4" w:space="0"/>
              <w:left w:val="single" w:color="auto" w:sz="4" w:space="0"/>
              <w:bottom w:val="single" w:color="auto" w:sz="4" w:space="0"/>
              <w:right w:val="single" w:color="auto" w:sz="4" w:space="0"/>
            </w:tcBorders>
            <w:vAlign w:val="center"/>
          </w:tcPr>
          <w:p w14:paraId="1B7577C1">
            <w:pPr>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p>
        </w:tc>
        <w:tc>
          <w:tcPr>
            <w:tcW w:w="467" w:type="pct"/>
            <w:tcBorders>
              <w:top w:val="single" w:color="auto" w:sz="4" w:space="0"/>
              <w:left w:val="single" w:color="auto" w:sz="4" w:space="0"/>
              <w:bottom w:val="single" w:color="auto" w:sz="4" w:space="0"/>
              <w:right w:val="single" w:color="auto" w:sz="4" w:space="0"/>
            </w:tcBorders>
            <w:vAlign w:val="center"/>
          </w:tcPr>
          <w:p w14:paraId="5AD1EB5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青海大学2026年智慧校园建设数据治理服务项目</w:t>
            </w:r>
          </w:p>
        </w:tc>
        <w:tc>
          <w:tcPr>
            <w:tcW w:w="3466" w:type="pct"/>
            <w:tcBorders>
              <w:top w:val="single" w:color="auto" w:sz="4" w:space="0"/>
              <w:left w:val="single" w:color="auto" w:sz="4" w:space="0"/>
              <w:bottom w:val="single" w:color="auto" w:sz="4" w:space="0"/>
              <w:right w:val="single" w:color="auto" w:sz="4" w:space="0"/>
            </w:tcBorders>
          </w:tcPr>
          <w:p w14:paraId="13B1D1F0">
            <w:pPr>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围绕学校数据标准体系研制、科学指标体系构建、数据质量提升、数据安全管理体系完善、数据应用场景与水平建设等工作目标，提供准确、有效的数据采集、治理提升技术服务。包括：</w:t>
            </w:r>
          </w:p>
          <w:p w14:paraId="40A16C2A">
            <w:pPr>
              <w:spacing w:line="24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一、数据标准建设服务</w:t>
            </w:r>
          </w:p>
          <w:p w14:paraId="0460DE3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（一）技术服务团队与数据标准调研服务</w:t>
            </w:r>
          </w:p>
          <w:p w14:paraId="49C70C5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此项工作专业性、经验性要求极强，要求必须提供具备有效沟通、理解学校业务部门需求和学校技术部门要求，并能多方“翻译”，将其融合转换成项目实施成效的能力和经验，带领技术服务团队有效、高质量地服务的项目经理；同时在实施过程中现场必须提供不少于5人的专项技术服务团队。项目经理及技术服务人员具有人才、人事、科研、教务、学工等高校部门接洽沟通、数据源梳理，以及数据表与字段全量采集、标准化处理、业务关联分析、数据应用场景实施等服务经验，能够在学校实地承担本项目所需的访谈、问卷、技术核查、文档分析、标准研制、标准实施、技术验证、技术改进等服务内容。</w:t>
            </w:r>
          </w:p>
          <w:p w14:paraId="66765C5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技术服务团队提供每周与业务部门不少于3次的访谈调研服务，通过调研整理数据问题与技术清单，调研内容涵盖部门职能与核心业务流程、现有数据资产现状、数据生产使用与共享需求、数据质量问题、数据标准资源、分析主题与指标需求等，实施周期内每月至少提供1份具有数据标准研制指导的《业务部门数据调研报告》。</w:t>
            </w:r>
          </w:p>
          <w:p w14:paraId="1593E8D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（二）数据标准建设文案编制服务</w:t>
            </w:r>
          </w:p>
          <w:p w14:paraId="2648761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1.结合学校实际调研结果，提供青海大学数据标准建设相关的文案编制服务，包括但不限于：</w:t>
            </w:r>
          </w:p>
          <w:p w14:paraId="6FC42DD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数据元标准》文案：基于学校人事、教学、科研、学生等核心业务域的实际管理需求与应用场景，结合现有信息系统数据库中数据的业务价值、使用频率及共享重要性，编制不少于1200个关键数据元的标准信息；每个数据元须完整定义数据元名称、中文注释、说明、状态、数据长度、数据分类、安全级别等不少于7个的核心属性。</w:t>
            </w:r>
          </w:p>
          <w:p w14:paraId="22B7107C">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数据代码标准》文案：依据国家相关标准、教育行业标准及学校现有校级规范，编制统一的《青海大学数据代码标准》，覆盖人事、教学、科研、学生、财务、资产等核心业务域常用代码类型，每个代码表须完整明确代码表名称、中文释义、所属部门、使用说明、状态等不少于5个的关键信息。</w:t>
            </w:r>
          </w:p>
          <w:p w14:paraId="6C0BBBC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数据分类分级规范》文案：严格参照《教育系统数据分类分级工作指南》《数据安全技术数据分类分级规则》等国家及行业标准规范，结合学校数据资源实际情况与管理需求，编制多维度数据分类体系及不少于3级的精细化数据安全分级规范。</w:t>
            </w:r>
          </w:p>
          <w:p w14:paraId="660213A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数据安全管理》《数据资源管理》文案：同步编制与分类分级结果联动的安全管理文案，明确不同类别、级别数据在采集、存储、共享、使用、质量、确权、安全、归档等全生命周期环节的差异化安全防护要求与管控措施。</w:t>
            </w:r>
          </w:p>
          <w:p w14:paraId="3D1189A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（5）每一文案提供不少于2版的迭代完善服务，且需配合学校组织的研讨会议，提供专业咨询，确定每一版的内容。</w:t>
            </w:r>
          </w:p>
          <w:p w14:paraId="7713E0EC">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数据标准制定须具备前瞻性，需基于自身数据治理行业实施经验，全面摸排学校现有未系统化管理的缺失数据维度，将该类缺失数据纳入本次数据标准体系搭建范围，同步制定对应数据标准及规范化管理规则，从源头解决因缺失数据未统一管理导致的各业务系统数据不一致问题，保障数据标准体系的完整性、适配性与可扩展性。</w:t>
            </w:r>
          </w:p>
          <w:p w14:paraId="74DE50C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2.文案能够在线管理，保留历史版本，提供在线查阅、下载功能，校内授权用户可随时调取，方便查阅合规要求与使用规范。</w:t>
            </w:r>
          </w:p>
          <w:p w14:paraId="4A92AC4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（三）数据责任确权与“一数一源”实施服务​</w:t>
            </w:r>
          </w:p>
          <w:p w14:paraId="6831049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1.确权组织实施服务​</w:t>
            </w:r>
          </w:p>
          <w:p w14:paraId="1D77E36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基于已编制的《数据元标准》，开展全量标准层数据元权责认定工作，严格落实“一数一源、一源多用”管理原则。通过线下研讨、部门对接、意见征集等方式，逐一明确每个数据元的权威生产部门、日常维护责任主体、数据管理权责边界，完成全量权威数据源的正式确权，确保数据来源唯一、责任归属清晰。​</w:t>
            </w:r>
          </w:p>
          <w:p w14:paraId="66A14B9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最终形成标准化的《数据确权清单》，清单需完整载明以下核心信息：数据元名称、所属业务域、对应数据元标准属性、权威数据源、生产责任部门、维护责任部门、权责范围、更新维护频率/要求、确权确认状态等，清单需经各业务部门签字确认及学校数据管理部门审核通过后正式生效。</w:t>
            </w:r>
          </w:p>
          <w:p w14:paraId="2ECE15BD">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2.【演示】线上确权工具功能支撑服务</w:t>
            </w:r>
          </w:p>
          <w:p w14:paraId="0CDC56DB">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配套数据治理工具需内置专属“数据确权功能模块”，为确权工作提供全流程线上化支撑，实现任务发起、字段级确权、进度跟踪、问题反馈的闭环管理，具体功能要求如下：​</w:t>
            </w:r>
          </w:p>
          <w:p w14:paraId="386B17CC">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（1）数据责任矩阵与确权任务管理​</w:t>
            </w:r>
          </w:p>
          <w:p w14:paraId="77DCC1E2">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任务发起：管理员可向各业务部门发起数据模型（含字段级）权属确认任务。既可以根据《数据元标准》中预设的部门/人员信息批量派发任务，也可以针对性选择特定模型/字段，向指定部门/人员派发任务。​</w:t>
            </w:r>
          </w:p>
          <w:p w14:paraId="618119D8">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字段级精细化确权：一个数据模型中的不同字段分属不同部门确权，被指定人员可在线完成“确认/转交/拒收”操作，转交后撤回；接收人可查看本部门责任范围内的字段清单，明确权责边界。​</w:t>
            </w:r>
          </w:p>
          <w:p w14:paraId="7E166718">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操作留痕与检索：系统完整记录确权全流程操作日志（含任务发起、转交、确认、拒收等），按“确权任务名称、模型名称、确认状态、转交状态、接收部门”等维度检索查询，确保确权过程可追溯。</w:t>
            </w:r>
          </w:p>
          <w:p w14:paraId="6BF07096">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（2）数据需求与问题反馈管理​</w:t>
            </w:r>
          </w:p>
          <w:p w14:paraId="00687027">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数据需求申请：各部门需使用系统中未提供的数据时，可通过线上模块提交数据使用需求，明确需求场景、所需数据元、使用用途等信息，系统自动流转至数据管理部门处理，申请人可实时查看需求处理进度（待审核/处理中/已驳回/已落地）及结果反馈。​</w:t>
            </w:r>
          </w:p>
          <w:p w14:paraId="6B78E07E">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数据问题反馈：各部门在数据使用过程中发现数据缺失、错误、不一致、更新不及时等问题时，可在线提交反馈，标注问题涉及的字段、问题描述、影响的下游应用等信息，系统自动推送至该字段的生产/维护责任部门，提醒其限期处理；反馈人可跟踪查看问题处理状态（待响应/处理中/已解决/无法解决）及处理结果。</w:t>
            </w:r>
          </w:p>
          <w:p w14:paraId="2DF6B7F6">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（3）确权进度监控与统计​</w:t>
            </w:r>
          </w:p>
          <w:p w14:paraId="41408431">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提供以下指标展示：确权覆盖数据模型总数、待确认模型数、已确认模型数、字段级确权完成率、各部门确权进度排行榜、长期未确权的部门及对应模型/字段数量等，方便学校数据管理部门实时掌握确权进展，对未及时完成确权的部门进行跟踪督办。​</w:t>
            </w:r>
          </w:p>
          <w:p w14:paraId="7C09C78A">
            <w:pPr>
              <w:spacing w:line="24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二、数据标准实施服务</w:t>
            </w:r>
          </w:p>
          <w:p w14:paraId="7C551BB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（一）数据源治理服务</w:t>
            </w:r>
          </w:p>
          <w:p w14:paraId="6CF7867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提供覆盖数据源接入、数据识别标注、集成调度与持续治理四大核心环节的全链条数据源治理服务，实现数据源、元数据、业务语义与集成任务之间的闭环联动。具体要求包含但不限于：</w:t>
            </w:r>
          </w:p>
          <w:p w14:paraId="1E3D67D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 数据源校园网管理服务</w:t>
            </w:r>
          </w:p>
          <w:p w14:paraId="21974B6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提供对学校结构化、半结构化、非结构化及API类数据源的校园网内统一注册、测试、启停与维护服务。</w:t>
            </w:r>
          </w:p>
          <w:p w14:paraId="7F7828D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（1）完成不少于26个学校业务系统的全量数据资产梳理服务。实现对应数据源的登记与配置，确保治理范围内的每个数据源均能成功连接并稳定运行。</w:t>
            </w:r>
          </w:p>
          <w:p w14:paraId="79A6086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须有效维护每个数据源的连接名称、类型（数据库/日志/API等）、所属部门、承建厂商、主机/IP、端口、连接状态等不少于7个的元信息。提供服务配套的校园网内工具允许学校直接查看和编辑数据源，以及时处理数据源的动态变化。</w:t>
            </w:r>
          </w:p>
          <w:p w14:paraId="050E6E1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（3）提供服务配套的校园网内工具对数据源操作用户关联溯源。细化管理用户权限，使一般用户只能操作自己添加的数据源，无法编辑其他用户添加的数据源。</w:t>
            </w:r>
          </w:p>
          <w:p w14:paraId="2A847BA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2.多形态数据源接入服务</w:t>
            </w:r>
          </w:p>
          <w:p w14:paraId="0B9ABC8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完成结构化（关系型数据库）、半结构化（日志）、非结构化（Excel等文件）及API接口的标准化接入，支持批流一体的数据集成能力并提供插件化扩展能力。</w:t>
            </w:r>
          </w:p>
          <w:p w14:paraId="69F9C5A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（1）结构化数据采集服务：直连Oracle、MySQL、SQLServer、openGauss、海量、达梦等国内外主流数据库，通过JDBC/ODBC等多种方式接入生产库，完成学校指定结构化业务数据向数据仓库的采集。</w:t>
            </w:r>
          </w:p>
          <w:p w14:paraId="45D70F7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半结构化数据采集服务：适配Syslog、SNMP等主流日志传输协议，实现nginx、kafka等各类日志产生/存储载体的日志数据采集并实现日志数据的低延迟同步；采用日志增量流式采集架构，通过日志监听、断点续传、实时解析一体化能力，解决数据采集的实时性问题；实现分布式日志场景跨节点日志聚合采集与统一解析（无需额外部署日志转发组件）；提供可视化界面配置采集路径与解析规则，使原始日志转化为结构化数据，完成学校指定半结构化日志数据向数据仓库的采集。</w:t>
            </w:r>
          </w:p>
          <w:p w14:paraId="35258BD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非结构化数据采集服务：搭建Web端校园网内在线表格工具，实现Excel上传、多人协同编辑与质量规则校验，配套提供数据表拆分、扩展、Excel下载、指定数据表存储等可视化操作工具，保障数据一致性与准确性，按学校要求完成指定非结构化文件数据的标准化处理，并向数据仓库采集。</w:t>
            </w:r>
          </w:p>
          <w:p w14:paraId="18A73D35">
            <w:pPr>
              <w:spacing w:line="240" w:lineRule="auto"/>
              <w:rPr>
                <w:rFonts w:hint="eastAsia" w:ascii="宋体" w:hAnsi="宋体" w:eastAsia="宋体" w:cs="宋体"/>
                <w:b/>
                <w:bCs/>
                <w:sz w:val="21"/>
                <w:szCs w:val="21"/>
                <w:highlight w:val="none"/>
              </w:rPr>
            </w:pPr>
            <w:r>
              <w:rPr>
                <w:rFonts w:hint="eastAsia" w:ascii="宋体" w:hAnsi="宋体" w:eastAsia="宋体" w:cs="宋体"/>
                <w:sz w:val="21"/>
                <w:szCs w:val="21"/>
                <w:highlight w:val="none"/>
              </w:rPr>
              <w:t>（4）</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演示</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API接口数据采集服务：提供标准接口注册与调用配置服务，实现第三方应用与本系统的无缝数据交互，具备API多层级嵌套开发、可视化编排、灵活传参及多模式发布能力，按学校要求完成指定API接口数据的标准化采集与按需流转，具体要求如下：​</w:t>
            </w:r>
          </w:p>
          <w:p w14:paraId="6BE9778A">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API可视化编排：通过图形化界面拖拽、配置的方式，完成多个API接口的级联业务编排开发，无需复杂编码即可实现API之间的嵌套调用逻辑，降低编排难度。</w:t>
            </w:r>
          </w:p>
          <w:p w14:paraId="7E8BA8CD">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API参数传递与过滤：将前一个API的输出数据自动作为后一个API的输入参数传递，且可通过图形化界面配置逻辑条件过滤规则（如字段匹配、数值范围筛选等），精准控制数据流转。</w:t>
            </w:r>
          </w:p>
          <w:p w14:paraId="78AFA59B">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多模式API发布：单个API接口完成认证后，可直接进行标准化转发，采用新协议对外发布数据，无需落地存储；API接口数据落地存储后，可基于数据表直接封装为新的API协议对外发布。</w:t>
            </w:r>
          </w:p>
          <w:p w14:paraId="03BDBA7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提供扩展性服务：针对学校业务所需的各类新类型数据源，提供新增插件开发部署服务实现标准化采集适配，支持自定义开发插件完成适配采集，确保数据采集能力可随学校业务需求灵活扩展，保障数据治理全流程的数据源覆盖完整性。</w:t>
            </w:r>
          </w:p>
          <w:p w14:paraId="0482A24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3.数据识别与标注服务</w:t>
            </w:r>
          </w:p>
          <w:p w14:paraId="3311359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按照教育部相关工作指南，提供对本校教育数据进行分类、定级、范围划定、目录拟定与动态管理等数据识别全流程服务，有效识别机构数据、人员数据、业务数据，能够区分一般数据、重要数据和核心数据，形成数据识别资源清单，包含数据名称、类型、规模、存储位置、归属部门等不少于5个标识信息，并提供服务配套校园网内工具便于学校使用管理。</w:t>
            </w:r>
          </w:p>
          <w:p w14:paraId="4F09248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提供核心数据、重要数据和一般数据三级标注服务，完成表级与字段级中文注释标注，确保数据含义清晰明确，便于理解和使用，形成数据标注资源清单，包含分类、属性、级别、安全、管理及范围、规模、敏感点、管控要求等全量标签，可通过服务配套校园网内工具快速查看、动态管理；工具搭载AI能力，可对字段中文注释进行智能推荐，实现更高效的注释标注。</w:t>
            </w:r>
          </w:p>
          <w:p w14:paraId="2FCC375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4.集成任务调度与编排服务</w:t>
            </w:r>
          </w:p>
          <w:p w14:paraId="3BCDEB1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基于接入的数据源，提供配置结构化数据的离线和实时ETL任务的服务工具，支持初始化同步、起点同步、终点同步、断点同步，可通过可视化界面及拖拉拽组件的方式创建实时数据开发任务、编排复杂调度流程，能够实现任务串行或并行、条件分支（如上一节点失败则跳转至告警节点）、Shell脚本、存储过程等不少于5种混合编排，简化调度流程设计难度，实现跨数据库的秒级数据同步，以满足实时跨系统业务协同的需求，按事件触发模式触发实时ETL任务。</w:t>
            </w:r>
          </w:p>
          <w:p w14:paraId="03B4369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（2）调度策略按实际需求采用定时、循环等多种方式，并具备任务回收站、草稿保存、异常重试等不少于3种容错机制，能够对入仓的调度做校验，增强任务执行的灵活性和可靠性。</w:t>
            </w:r>
          </w:p>
          <w:p w14:paraId="2348A04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提供任务运行监控看板工具，实时展示管理端接口运行异常个数、用户端接口运行异常个数、前后台调度执行失败个数、执行成功个数等不少于4种运行状态，帮助管理员快速掌握任务运行状况并采取相应措施。</w:t>
            </w:r>
          </w:p>
          <w:p w14:paraId="5497A80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（4）提供全流程调度编排配套服务，基于上述工具能力为学校提供调度任务配置服务，包含任务初始化部署、日常调度策略优化、异常问题排查解决、按需调整编排逻辑，保障调度编排任务长期稳定运行。</w:t>
            </w:r>
          </w:p>
          <w:p w14:paraId="1C1206C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5.变更发现与持续治理服务</w:t>
            </w:r>
          </w:p>
          <w:p w14:paraId="5AF80D4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提供自动发现新增或变更的数据对象服务，支撑动态数据资产管理。能够配置默认每日执行的元数据自动采集任务，比对历史快照，自动识别新增/删除/修改的表或字段，生成差异比对结果，为数据管理提供决策依据。</w:t>
            </w:r>
          </w:p>
          <w:p w14:paraId="7BD5EF4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（2）对变更项生成差异比对结果，允许人工确认后更新数据目录，确保资产清单持续准确，维持数据目录的时效性和完整性。</w:t>
            </w:r>
          </w:p>
          <w:p w14:paraId="1257504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（二）数据仓库技术服务</w:t>
            </w:r>
          </w:p>
          <w:p w14:paraId="0FD119D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1.数据仓库建设服务</w:t>
            </w:r>
          </w:p>
          <w:p w14:paraId="2B9A937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依据本校业务特点和需求，设计并建设完成不少于4层的数据仓库架构，制定各层职责与数据流转规则，可根据业务需求自由增加多个分层，实现更细化的数据分层管理，在服务配套工具中有体现、能使用，具体分层工作内容包括但不限于如下分层及定位：</w:t>
            </w:r>
          </w:p>
          <w:p w14:paraId="2CD8348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ODS（贴源层）：承接前期多形态数据源采集成果，提供原始业务系统数据（含结构化、半结构化、非结构化及API接口采集数据）的全量/增量接入与暂存服务，保留源系统原始数据结构、字段名称及数据状态，不做任何清洗转换；支持按时间戳回溯任意时段原始数据，确保数据采集后原始数据可追溯、可复用，为后续分层处理提供纯净数据输入。</w:t>
            </w:r>
          </w:p>
          <w:p w14:paraId="728C209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DWD（明细层）：对接ODS贴源层原始数据，开展数据清洗（去重、补空、纠错、格式标准化）、业务规则校验（与高校数据标准字段对齐）及轻度聚合（按业务过程拆分组合）工作，构建以招生、选课、科研立项等业务过程为中心的明细宽表；确保每类业务数据字段与学校数据标准严格一致，为上层汇总分析提供标准化、高质量的明细数据支撑。</w:t>
            </w:r>
          </w:p>
          <w:p w14:paraId="0B6FF0D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DWS（汇总层）：基于DWD明细层标准化数据，按学生、教师、科研、教学、机构等主题域构建公共汇总模型，通过多维度聚合（如按年级、院系、学期、项目类型等）生成复用性强的汇总数据，为ADS/DM应用层提供统一、高效的数据基底。</w:t>
            </w:r>
          </w:p>
          <w:p w14:paraId="7383AE5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ADS/DM（应用层）：对接DWS汇总层统一数据基底，面向高校具体业务应用场景（如教务报表统计、师生数字画像构建、校园管理驾驶舱展示等），构建应用专属数据集市；按不同应用需求进行数据筛选、二次计算与格式适配，确保数据可直接对接报表工具、可视化平台等上层应用系统，实现数据从仓库到业务应用的快速落地。</w:t>
            </w:r>
          </w:p>
          <w:p w14:paraId="2A03689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（2）提供标准模型管理服务，通过服务配套校园网内工具完成分类浏览、检索，模型严格关联已发布的数据元、代码等标准，确保字段命名、数据类型、业务含义、码值映射全局统一，技术服务包括但不限于：</w:t>
            </w:r>
          </w:p>
          <w:p w14:paraId="6218BF6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代码标准与数据元强制依赖管控服务：数据元值域选择“引用标准代码”时，强制从已发布标准代码库选取，禁止手动输入非标准值；批量导入国家标准数据元时，自动解析依赖的代码标准，缺失则同步导入，否则导入失败；标准代码发生新增、停用等版本变更时，自动扫描并标记所有引用该代码的数据元，通过被引用次数可查看引用类别、表名称、表注释、字段名称、字段注释等信息，辅助管理员了解标准代码变化的影响范围。</w:t>
            </w:r>
          </w:p>
          <w:p w14:paraId="7A4CA72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数据模型源头控制服务：实施“无标准不建模”策略，模型所有字段必须引用已注册的数据元，禁止手动定义字段属性；模型字段引用数据元后，其类型、长度、精度、安全等级等核心属性自动锁定，不可在模型层单独修改；修改字段属性须先变更源数据元，经发布后由模型自动同步更新；可自动扫描物理表字段，识别与标准数据模型的一致性，如存在不一致情况，可根据差异结果完成模型与实体表的同步，可将模型同步到实体表或将实体表同步到模型。在编辑实体表时，能够将实体表的字段变更同步到关联的模型中，新增的字段可自动扩充到标准数据元集合中，保持标准数据元、标准模型、实体表三者的一致性。</w:t>
            </w:r>
          </w:p>
          <w:p w14:paraId="7FB0C85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全链路版本联动与追溯服务：实现跨对象版本传导，代码或数据元升级版本时，可自动进行版本留存，以便历史回溯；提供链接图谱功能，可在图谱中查看数据元的基础信息、关联的模型和码表、检测规则、安全级别。</w:t>
            </w:r>
          </w:p>
          <w:p w14:paraId="002E3EA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违规操作全流程阻断服务：禁止直接删除已被引用的代码标准或数据元，如需删除，须先解除所有下游引用或将其状态变更为“下线”或“停用”；在标准发布或模型同步至生产环境前，自动执行完整性校验，若模型引用的数据元处于“下线”或“停用”状态，或引用的代码标准已停用，立即阻断发布流程并同步报错提示。</w:t>
            </w:r>
          </w:p>
          <w:p w14:paraId="6C48633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提供数据清洗与转换服务，零代码可视化配置或脚本（SQL/Python等）方式开发清洗转换任务，完成去重、补全、异常值处理、格式标准化、代码映射等操作；有脏数据拦截机制，不符合标准或质量规则的数据不得流入数据标准层及以上层级。</w:t>
            </w:r>
          </w:p>
          <w:p w14:paraId="367871A5">
            <w:pPr>
              <w:spacing w:line="240" w:lineRule="auto"/>
              <w:rPr>
                <w:rFonts w:hint="eastAsia" w:ascii="宋体" w:hAnsi="宋体" w:eastAsia="宋体" w:cs="宋体"/>
                <w:b/>
                <w:bCs/>
                <w:sz w:val="21"/>
                <w:szCs w:val="21"/>
                <w:highlight w:val="none"/>
              </w:rPr>
            </w:pPr>
            <w:r>
              <w:rPr>
                <w:rFonts w:hint="eastAsia" w:ascii="宋体" w:hAnsi="宋体" w:eastAsia="宋体" w:cs="宋体"/>
                <w:b w:val="0"/>
                <w:bCs w:val="0"/>
                <w:sz w:val="21"/>
                <w:szCs w:val="21"/>
                <w:highlight w:val="none"/>
              </w:rPr>
              <w:t>（4）提供全链路数据血缘追溯服务，完整记录模型版本变更历史与数据血缘关系，从应用指标反向追溯至源系统字段，核心要求如下：</w:t>
            </w:r>
          </w:p>
          <w:p w14:paraId="4765447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表级与字段级映射展示：可精准识别同步任务的源表和目标表，正确可视化展示表之间的血缘关联关系，以及表内字段与字段之间的精准映射关系。​</w:t>
            </w:r>
          </w:p>
          <w:p w14:paraId="7E3390F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字段取值查询：可自动带出当前数据血缘对应节点数据表的全部数据字段，对任意选中的字段发起取值查询操作，快速获取字段具体数据内容。</w:t>
            </w:r>
          </w:p>
          <w:p w14:paraId="298B2B4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上下游数据追溯与差异排查：可基于查询到的字段数据内容，自动依托血缘关系追溯该字段在上下游关联表中的数据情况，辅助技术人员快速排查数据不一致、数据差异等问题。​</w:t>
            </w:r>
          </w:p>
          <w:p w14:paraId="54B22F9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（5）依照教育领域国家相关数据标准，提供人员基础数据、机构基础数据、教学基础数据、科研基础数据四大核心主题数据模型梳理、构建服务，支持财务、后勤、资产等主题数据模型扩展。</w:t>
            </w:r>
          </w:p>
          <w:p w14:paraId="7F786E9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2.主题数据梳理服务</w:t>
            </w:r>
          </w:p>
          <w:p w14:paraId="75AEAF5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依照教育领域国家相关数据标准，梳理构建本校应用层主题数据模型，均实现标准化、结构化落地可直接应用：包含人员基础、机构基础、教学基础、科研基础、校务基本情况、教学管理、师资队伍、学生工作、科学研究等应用主题，确保所有模型贴合校方实际应用场景，可直接对接业务系统落地使用。</w:t>
            </w:r>
          </w:p>
          <w:p w14:paraId="48D687E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3.历史数据全生命周期管理服务</w:t>
            </w:r>
          </w:p>
          <w:p w14:paraId="6FE2606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（1）对核心数据、重要数据采用拉链表结构进行存储，可完整记录关键属性的全量历史变更过程，允许按时间轴回溯任意历史状态，实现数据全链路溯源与审计。</w:t>
            </w:r>
          </w:p>
          <w:p w14:paraId="7944328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（2）提供具有可视化界面的服务配套校园网内工具，能够定义增量数据捕获规则，可依据源表结构自动生成拉链表及ETL处理逻辑，自动维护数据生效时间、失效时间与当前有效版本标识。</w:t>
            </w:r>
          </w:p>
          <w:p w14:paraId="0C98D0A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（3）按任意历史时间点精确查询、批量导出该时间节点下的有效主数据快照，单快照查询响应时间不超过5秒，批量导出规模不低于10万条/次。</w:t>
            </w:r>
          </w:p>
          <w:p w14:paraId="38C6450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（4）提供的拉链表服务需兼顾查询性能与存储效率，多维历史状态高效访问，满足多维度、多条件组合历史查询需求。</w:t>
            </w:r>
          </w:p>
          <w:p w14:paraId="0DD4525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4.接口替代服务</w:t>
            </w:r>
          </w:p>
          <w:p w14:paraId="749D5FD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本次数据治理服务项目完成后，须遵循“逐步过渡、平稳衔接”原则制定专项实施方案，通过替代接口的开发、部署、测试全流程服务，在保障原有业务正常运行、数据传输不中断的前提下，有序完成学校现有所有业务系统已对接API接口、数据交换环节的全量替代；替代后的接口需严格适配本次项目搭建的统一数据标准与管理体系，实现数据接入、传输、共享的标准化、统一化管理。</w:t>
            </w:r>
          </w:p>
          <w:p w14:paraId="6A314D5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（三）数据资源目录建设服务</w:t>
            </w:r>
          </w:p>
          <w:p w14:paraId="5F1B362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1.数据资源目录建设服务</w:t>
            </w:r>
          </w:p>
          <w:p w14:paraId="5774C98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提供全校数据资源目录扫描、梳理与构建服务，形成数据资源清单，提供配套校园网内工具对治理后的结构化数据资源（如表、视图、指标、标签等）进行集中发布与展示，校内用户根据用户权限在线浏览、检索和申请使用，按单次、天/周/月周期更新。</w:t>
            </w:r>
          </w:p>
          <w:p w14:paraId="67D4187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提供资源目录多维度组织管理服务，须提供按业务域、数据分类、所属部门等维度自定义目录结构服务，分类层级与分类维度的灵活新增、编辑与删除；提供表名称、申请状态、关键词、所属部门、业务系统、数据格式等组合检索条件和按申请总数、浏览量、发布时间、更新时间等条件的排序功能，确保用户快速定位所需资源。</w:t>
            </w:r>
          </w:p>
          <w:p w14:paraId="566AC2D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维护每项数据资源的完整元信息，包括：名称、责任单位、共享类型、使用方式、业务说明，以及安全级别、字段序号、数据提供状态、字段名称、字段注释、字段描述、字段类型、字段长度、是否主键、是否允空、所属部门、业务系统、请求字段、返回字段、代码表、加密、脱敏、模糊查询、是否必填等数据项清单。</w:t>
            </w:r>
          </w:p>
          <w:p w14:paraId="64E631B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（4）提供的数据申请功能API接口、文本数据、ETL接口、数据库视图等不少于4种调用方式，实现字段级申请控制，嵌入电子协议环节确保数据使用的合规性，允许按权限在线查询。</w:t>
            </w:r>
          </w:p>
          <w:p w14:paraId="564DD60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（5）审核管理环节需实现自动化的审核流程管理，提供线上化权限控制面板，确保数据访问权限与使用场景的精准匹配。</w:t>
            </w:r>
          </w:p>
          <w:p w14:paraId="4457B76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围绕数据湖、数据仓库、数据标准、数据资源目录、数据安全、共享开放等领域，通过柱状图、折线图、饼图等可视化统计图表直观呈现数据治理成效；能够从业务视角聚焦数据供需关系，清晰展示各单位向数据中心提供数据情况及申请数据情况；能够从技术视角可快速定位任意数仓层级下数据表，查看指定数据表的全链路分析，覆盖数据从采集、加工、生成清单及服务应用，精确定位到字段级别。</w:t>
            </w:r>
          </w:p>
          <w:p w14:paraId="44DA7D8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依托学校业务系统及归口部门，为各业务部门建立标准规范的专属数据资产台账，提供数据供给情况（包括：参与数据汇聚的系统数量、对外共享接口类型与数量、数据入湖频率等）展示，分配配套工具中的对应管理权限，部门相关权限人员查阅与下载数据标准、代码标准、管理制度等文件，确保数据生产与管理符合全校统一规范。</w:t>
            </w:r>
          </w:p>
          <w:p w14:paraId="781729CC">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（8）所有操作（如资源编辑、子集创建、授权配置）须保留操作日志，并按角色、用户、操作类型进行审计追溯。</w:t>
            </w:r>
          </w:p>
          <w:p w14:paraId="34735E7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2.个人工作台服务</w:t>
            </w:r>
          </w:p>
          <w:p w14:paraId="0CBCCAE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（1）展示资源申请审核、质量问题反馈、标准确权审核等待办事项；按岗位配置差异化操作权限。</w:t>
            </w:r>
          </w:p>
          <w:p w14:paraId="4184E7F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（2）按时间、事项类型筛选查询；可查看办理进度、审核意见及最终结果，允许驳回后修改重提。</w:t>
            </w:r>
          </w:p>
          <w:p w14:paraId="2399AA2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（3）撤回申请、批量提交申请。</w:t>
            </w:r>
          </w:p>
          <w:p w14:paraId="0FCF722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（四）配套数据治理服务工具</w:t>
            </w:r>
          </w:p>
          <w:p w14:paraId="53DEDC2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在数据治理服务过程及质保期、驻场期内，提供配套的、具有自主知识产权的、符合网络安全要求的数据标准、数据质量、数据安全等应用工具，学校享有长期使用权，包括但不限于工具平台、脚本库、算法引擎、标准库等，所有工具必须在校园网内部署使用，杜绝工作数据出校，服务方需提供公司与服务技术团队成员不少于5年的数据保密承诺。</w:t>
            </w:r>
          </w:p>
          <w:p w14:paraId="2819C96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服务中配套的数据治理工具采用B/S架构，可通过Chrome、Edge、Firefox、360等主流浏览器免插件访问，无需安装本地客户端，文件断点续传、数据增量同步，具备高并发任务调度能力，不少于2000用户并发访问与任务调度，系统稳定运行无阻塞。</w:t>
            </w:r>
          </w:p>
          <w:p w14:paraId="00DD983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3.工具安全合规具体要求：</w:t>
            </w:r>
          </w:p>
          <w:p w14:paraId="14965F2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（1）身份权限：细粒度权限控制，对接学校统一身份认证，具备登录失败锁定、超时退出机制；</w:t>
            </w:r>
          </w:p>
          <w:p w14:paraId="776AEB5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（2）审计追溯：内置审计模块，强制记录登录、功能操作等所有关键操作，日志须不可篡改并可以按照姓名、用户身份、操作类型、操作时间等参数在线查询；</w:t>
            </w:r>
          </w:p>
          <w:p w14:paraId="6C7DF5C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（3）数据脱敏：界面展示身份证、手机号等敏感信息时，须能够脱敏；</w:t>
            </w:r>
          </w:p>
          <w:p w14:paraId="52798D7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（4）传输存储：通过国密算法或SSL加密传输，临时缓存数据须加密存储或及时清除。</w:t>
            </w:r>
          </w:p>
          <w:p w14:paraId="506063D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安全能力：承诺工具无后门、无恶意代码，具有访问控制、安全审计、数据完整性、数据保密性、会话管理等相关安全功能和机制，出具信息系统三级及以上等保测评证书等安全相关证明，能够配合学校完成相关核心系统的等保测评工作。</w:t>
            </w:r>
          </w:p>
          <w:p w14:paraId="20204FC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4.工具需支撑学校全量数据稳定运行及3万以上师生体量的使用刚需，保障数据湖仓在极限负载下的稳定性与可用性，各阶段性能硬性要求如下：</w:t>
            </w:r>
          </w:p>
          <w:p w14:paraId="6DB9FC0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数据采集阶段：单节点吞吐能力≥50万条/秒、数据抽取能力≥100Mb/s，可高效应对实时数据洪峰；</w:t>
            </w:r>
          </w:p>
          <w:p w14:paraId="6BB2308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数据治理阶段：数据处理峰值≥10亿条/小时、吞吐能力≥100G/小时，可满足密集计算窗口的高效处理需求；</w:t>
            </w:r>
          </w:p>
          <w:p w14:paraId="1751363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质保与驻场服务阶段：任务并发处理能力≥80条/秒，保障多任务同时运行无阻塞；</w:t>
            </w:r>
          </w:p>
          <w:p w14:paraId="0A38744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数据共享阶段：可提供不少于500个API服务支撑，日均API调用处理能力≥75万次，且实现万条数据秒级响应。</w:t>
            </w:r>
          </w:p>
          <w:p w14:paraId="3828EE08">
            <w:pPr>
              <w:spacing w:line="24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三、数据应用场景服务</w:t>
            </w:r>
          </w:p>
          <w:p w14:paraId="11E85F2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（一）基于学校业务与应用场景的数据指标体系构建与管理服务</w:t>
            </w:r>
          </w:p>
          <w:p w14:paraId="40DE051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1.指标全生命周期管理服务</w:t>
            </w:r>
          </w:p>
          <w:p w14:paraId="415AFA7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（1）指标数据接入服务</w:t>
            </w:r>
          </w:p>
          <w:p w14:paraId="61DF175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对接数据仓库应用层标准化数据，并支持多数据源接入，搭建查看/使用/维护/管理等多级权限管控体系，用户仅可在权限范围内操作对应数据源；实现指标数据接入的安全可控、精准授权，为后续指标开发提供合规、可复用的数据源支撑。</w:t>
            </w:r>
          </w:p>
          <w:p w14:paraId="5CF2A83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（2）指标开发服务</w:t>
            </w:r>
          </w:p>
          <w:p w14:paraId="78543EB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指标配置：通过统一界面配置指标基础属性、业务属性、自定义属性及贴合应用需求的计算逻辑、变量信息、任务调度信息。设置指标访问权限及指标任务调度配置（多类型写入策略、自定义调度计划）。</w:t>
            </w:r>
          </w:p>
          <w:p w14:paraId="7DDA50B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指标开发：选择应用层数据源及对应数据字段，通过配置指标、分析维度、统计方法等方式开发单指标；基于已有单指标，通过配置指标计算公式、关联方式、分析维度等方式开发多指标；或通过编写SQL开发指标。提供多样化计算逻辑配置，包含求和、计数、去重计数、平均值、排名、环比增长量/增长率、聚合、占比、环比等统计方式，实现时间上卷、四则运算、函数运算等多种运算方式，满足学校教务、科研、学生、人事等多场景指标计算需求；</w:t>
            </w:r>
          </w:p>
          <w:p w14:paraId="1370F07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指标检测：禁止同名指标、自动识别相似指标，确保应用层指标体系的唯一性与规范性。</w:t>
            </w:r>
          </w:p>
          <w:p w14:paraId="6830E72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（3）指标管理服务</w:t>
            </w:r>
          </w:p>
          <w:p w14:paraId="608D928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按人事管理、学生工作、本科教务管理、研究生培养、科研管理等学校核心业务领域分类管理指标，可根据应用需求新增、编辑、删除分类；</w:t>
            </w:r>
          </w:p>
          <w:p w14:paraId="12C4860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提供多维度指标详情查询，能够筛选分析范围，通过柱状图、折线图、表格等多种可视化形式展示查询结果，并能导出明细数据；​</w:t>
            </w:r>
          </w:p>
          <w:p w14:paraId="0A40A4A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能够查看自定义时间范围内的指标数值变化趋势，自动生成折线图，呈现波动规律；​</w:t>
            </w:r>
          </w:p>
          <w:p w14:paraId="10C9E35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可视化展示指标全链路血缘关系，展示从原始数据表、中间表、指标计算的完整链路，标注每个节点的数据处理规则；展示指标被哪些图表模型、驾驶舱、分析主题、预警规则引用；标识链路中异常节点，快速定位问题，且血缘关系可追溯至治理成果数据源；​</w:t>
            </w:r>
          </w:p>
          <w:p w14:paraId="6C0ABC2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提供指标计算的原始数据验证，展示参与计算的所有原始数据表清单（能够查看表结构、字段含义），可条件筛选查看原始数据明细，导出源数据明细用于验证计算准确性。​</w:t>
            </w:r>
          </w:p>
          <w:p w14:paraId="03160E5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完整记录指标全生命周期变更，展示历史版本、变更时间、编辑人、变更类型（属性修改/计算规则调整/维度关联变更等），对比展示变更前后的关键配置及指标数值变化。</w:t>
            </w:r>
          </w:p>
          <w:p w14:paraId="30AD26F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（4）标签管理服务</w:t>
            </w:r>
          </w:p>
          <w:p w14:paraId="2B30114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能够为指标数据定义标签，标签需包括标签编码、标签名称、物理字段名、打标对象、是否多值标签、负责人、标签逻辑等属性。能够通过SQL、Python等开发方式创建标签开发任务对打标对象进行标签赋值。</w:t>
            </w:r>
          </w:p>
          <w:p w14:paraId="0DCC95F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提供新增、编辑、删除标签分类；编辑、删除已有标签；查看标签数据；标签数据清空；记录标签历史版本内容，并查看历史版本详情；限制标签查看/使用/维护/管理权限等标签管理能力。</w:t>
            </w:r>
          </w:p>
          <w:p w14:paraId="0107CBA4">
            <w:pPr>
              <w:spacing w:line="240" w:lineRule="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（5）指标市场</w:t>
            </w:r>
          </w:p>
          <w:p w14:paraId="16789D7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搭建校内专属指标市场，通过指标看板展示指标信息，并能够通过拖拽指标组件的方式，调整布局和卡片大小，并预览、保存与分享；能够实现指标在指标市场的批量发布与取消，可根据展示需求可视化配置图表类型（柱状图、折线图、饼图、指标卡等）、分析维度、计算方式。</w:t>
            </w:r>
          </w:p>
          <w:p w14:paraId="0A07F6E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指标市场以卡片形式展示已发布的内容，并能够查看指标详情（指标名称、分类、分析维度、业务口径）等，指标收藏。</w:t>
            </w:r>
          </w:p>
          <w:p w14:paraId="3BF4625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2.标准化指标梳理服务</w:t>
            </w:r>
          </w:p>
          <w:p w14:paraId="242A051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（1）教务专业及课程资源数据模型及指标梳理</w:t>
            </w:r>
          </w:p>
          <w:p w14:paraId="58F9CCD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基于治理后的教务数据源，梳理教务专业及课程资源数据模型及指标，涵盖专业建设、课程资源建设两个方面，分别从学校、学院的组织层级提供不少于40个指标数据，覆盖课程规模、课程建设、专业建设、人才培养等维度。</w:t>
            </w:r>
          </w:p>
          <w:p w14:paraId="709C6CE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（2）教职工情况数据模型及指标梳理</w:t>
            </w:r>
          </w:p>
          <w:p w14:paraId="119EC68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基于治理后的教职工数据源，梳理教职工情况数据模型及指标，聚焦学校、学院、教师等对象的数量、变化趋势、同比环比、排名等应用需求，提供不少于40个指标数据，覆盖教职工基本情况、教师变动、高层次人才、研究生导师等维度。</w:t>
            </w:r>
          </w:p>
          <w:p w14:paraId="3FFF7C5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（3）科研情况数据模型及指标梳理</w:t>
            </w:r>
          </w:p>
          <w:p w14:paraId="4419BF5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基于治理后的科研数据源，梳理科研情况数据模型及指标，围绕学校、学院、教师等对象的科研成果相关应用需求，提供不少于40个指标数据，覆盖科研获奖、横纵向项目、教师论文、研究基地与平台等维度。</w:t>
            </w:r>
          </w:p>
          <w:p w14:paraId="39471A8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（4）学生情况数据模型及指标梳理</w:t>
            </w:r>
          </w:p>
          <w:p w14:paraId="443AD2DC">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基于治理后的学生数据源，梳理学生情况数据模型及指标，贴合招就管理、政工队伍等应用场景的学生群体动态分析需求，提供不少于40个指标数据，覆盖本专科生基本情况、政工队伍、招生来源、分专业情况等维度。</w:t>
            </w:r>
          </w:p>
          <w:p w14:paraId="48D416A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（二）数据指标及治理结果展示服务</w:t>
            </w:r>
          </w:p>
          <w:p w14:paraId="0696CAEC">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1.多源融合分析能力</w:t>
            </w:r>
          </w:p>
          <w:p w14:paraId="4DDF00D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学校实际需求提供不少于3个高质量数据驾驶舱展示面板的设计与开发、多源数据整合与分析服务，基于治理后的标准数据资产，实现跨系统、跨结构的数据关联与统一分析。能够整合来自关系型数据库、NoSQL数据库、文件及API接口等多种异构数据源。</w:t>
            </w:r>
          </w:p>
          <w:p w14:paraId="6FF6E0B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2.标准化报表与可视化成果交付</w:t>
            </w:r>
          </w:p>
          <w:p w14:paraId="2E896A6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基于治理完成的标准模型和指标体系，按学校实际需求利用配套工具快速构建面向业务场景的可视化分析内容：</w:t>
            </w:r>
          </w:p>
          <w:p w14:paraId="24DCF4E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（1）结构化报表：条件分组、公式计算、同比/环比/占比/排名等高级统计功能；</w:t>
            </w:r>
          </w:p>
          <w:p w14:paraId="7B78919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（2）决策驾驶舱：组件化拖拽布局、智能排版、动态交互，适合构建决策驾驶舱；</w:t>
            </w:r>
          </w:p>
          <w:p w14:paraId="4D2C9F6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（3）地理空间可视化：内置地图、自定义地图及GIS集成，直观展示数据地理分布情况。</w:t>
            </w:r>
          </w:p>
          <w:p w14:paraId="37456F2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（4）多面板联动与互通：各数据展示面板实现数据与展示面板联动，多个面板展示同一数据时，统一访问底层同一指标数据源，确保数据口径一致；面板间的相互跳转，实现跨面板的关联分析与数据溯源。</w:t>
            </w:r>
          </w:p>
          <w:p w14:paraId="3E19132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3.交互式分析体验服务</w:t>
            </w:r>
          </w:p>
          <w:p w14:paraId="7CFE448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所交付的分析成果须通过配套工具实现用户交互操作，包括但不限于：</w:t>
            </w:r>
          </w:p>
          <w:p w14:paraId="7FADA11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（1）图表联动：点击任一图表或表格元素，可自动刷新同页面内其他关联组件；</w:t>
            </w:r>
          </w:p>
          <w:p w14:paraId="276F615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（2）多维钻取：按时间、组织、业务维度等进行向上/向下/任意组合的多层级钻取；</w:t>
            </w:r>
          </w:p>
          <w:p w14:paraId="32E762B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（3）实时监控：对关键指标数据变化自动刷新与异常提示。</w:t>
            </w:r>
          </w:p>
          <w:p w14:paraId="636DA9A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4.成果版本与协同管理</w:t>
            </w:r>
          </w:p>
          <w:p w14:paraId="2D94391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对交付的数据展示面板实施版本控制服务：</w:t>
            </w:r>
          </w:p>
          <w:p w14:paraId="27F99D0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（1）能够保存多个历史版本并添加备注；</w:t>
            </w:r>
          </w:p>
          <w:p w14:paraId="41926E1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（2）按需还原至任意历史版本；</w:t>
            </w:r>
          </w:p>
          <w:p w14:paraId="56669A3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（3）实现多人协作时的文件锁定机制，防止编辑冲突。</w:t>
            </w:r>
          </w:p>
          <w:p w14:paraId="7B4F31D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5.安全与权限集成</w:t>
            </w:r>
          </w:p>
          <w:p w14:paraId="162B6A1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所有数据应用成果须与学校统一身份认证体系对接，实现按用户角色、部门、数据权限动态控制数据可见范围。</w:t>
            </w:r>
          </w:p>
          <w:p w14:paraId="7341680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6.跨终端兼容与部署灵活性</w:t>
            </w:r>
          </w:p>
          <w:p w14:paraId="6DEB921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分析成果须基于HTML5等开放技术构建，无需安装插件，兼容国产化及主流浏览器，并能够在国产化及主流操作系统环境下稳定运行。</w:t>
            </w:r>
          </w:p>
          <w:p w14:paraId="556F397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（三）人才数据应用场景服务</w:t>
            </w:r>
          </w:p>
          <w:p w14:paraId="4E8FB90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具体要求包含但不限于以下内容，以调研后学校实际需求为准：</w:t>
            </w:r>
          </w:p>
          <w:p w14:paraId="74F7B3E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1.教师个人画像</w:t>
            </w:r>
          </w:p>
          <w:p w14:paraId="2E0837A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（1）深入分析教师行为与业绩表现</w:t>
            </w:r>
          </w:p>
          <w:p w14:paraId="6F75016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要求通过教师的基础信息、教学行为、课时量、科研成果、获奖情况等多维度数据，绘制出教师的个性化画像；</w:t>
            </w:r>
          </w:p>
          <w:p w14:paraId="563647E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提供查看历史时间点的画像数据，帮助学校和教育主管部门深入了解教师的个人特征和能力。</w:t>
            </w:r>
          </w:p>
          <w:p w14:paraId="16A3712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（2）教师列表查询与条件检索</w:t>
            </w:r>
          </w:p>
          <w:p w14:paraId="52AE98A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提供按工号、姓名或画像模型条件检索教师，其中画像模型条件包括教师的基本信息（如职称、政治面貌等）、指标信息（如教师发表论文总数、教学工作量等）、标签信息（如教学名师、海归等）；</w:t>
            </w:r>
          </w:p>
          <w:p w14:paraId="5AD1DBA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提供将条件过滤出的教师列表快速保存为群组，用于群组分析，也可以保存为常用查询方案。</w:t>
            </w:r>
          </w:p>
          <w:p w14:paraId="3AE7A48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（3）具体教师画像信息查看</w:t>
            </w:r>
          </w:p>
          <w:p w14:paraId="3990CB7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提供查看具体某个教师的画像信息，涵盖个人信息、教育教学、科学研究等多个维度；</w:t>
            </w:r>
          </w:p>
          <w:p w14:paraId="60BFF1DC">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通过柱状图等图表呈现教师个人成长过程中的业绩表现以及在学校、学院所处的水平；</w:t>
            </w:r>
          </w:p>
          <w:p w14:paraId="50802BA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提供切换日期查看不同时间点的教师画像，可追溯历史数据进行展示。</w:t>
            </w:r>
          </w:p>
          <w:p w14:paraId="762A708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2.教师群体画像</w:t>
            </w:r>
          </w:p>
          <w:p w14:paraId="68499D7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（1）提供按教师团队、学院、学科、学校等不少于4类的教师群体画像相关数据治理与数据画像生成服务，能够对群组列表的增删查改，群组四种圈群方式：全部教师、条件筛选、直接选择人员、导入人员。</w:t>
            </w:r>
          </w:p>
          <w:p w14:paraId="7376597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（2）根据圈群结果查看群组成员，灵活分析群体特征，可从画像模型中选择关注的基础信息、指标、标签等属性进行分析，查看群体中的平均值、最大最小值或分布情况、变化趋势等。</w:t>
            </w:r>
          </w:p>
          <w:p w14:paraId="0BA6C5FC">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（3）提供切换日期查看不同时间点的群组分析结果，可追溯历史数据进行展示。</w:t>
            </w:r>
          </w:p>
          <w:p w14:paraId="2C14E81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3.教师画像对比分析</w:t>
            </w:r>
          </w:p>
          <w:p w14:paraId="07C280A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（1）个体教师对比</w:t>
            </w:r>
          </w:p>
          <w:p w14:paraId="2D3EE83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提供选择教师进行个体画像对比，教师可通过组织机构/姓名工号进行检索，也可选择某个群组内的成员；</w:t>
            </w:r>
          </w:p>
          <w:p w14:paraId="2932FA3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选择完成后可以对比两个教师个体之间的画像数据（含教学行为、科研成果等核心维度），了解不同教师之间的差异和优劣势。同时将单个教师与学院/学校同类人员进行比对分析，直观呈现个人在教学成效、科研产出等指标上与同类人员的差异及优劣势。</w:t>
            </w:r>
          </w:p>
          <w:p w14:paraId="6DB194C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（2）学院师资画像对比</w:t>
            </w:r>
          </w:p>
          <w:p w14:paraId="5392F43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提供选择学院进行学院画像对比，可对比学院之间的师资结构、教育教学、科学研究等水平的差异，包括教师画像数据的汇总、平均值、最大值等对比。</w:t>
            </w:r>
          </w:p>
          <w:p w14:paraId="6539706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（3）学科等群组画像对比</w:t>
            </w:r>
          </w:p>
          <w:p w14:paraId="5D78B02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选择群组进行群组画像对比，可对比群组之间的师资结构、教育教学、科学研究等水平的差异，包括教师画像数据的汇总、平均值、最大值等对比；提供切换日期查看不同时间点的画像对比结果，可追溯历史数据进行展示。</w:t>
            </w:r>
          </w:p>
          <w:p w14:paraId="2F944F1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4.动态人才情况展示</w:t>
            </w:r>
          </w:p>
          <w:p w14:paraId="13B8468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（1）综合概览</w:t>
            </w:r>
          </w:p>
          <w:p w14:paraId="2B04DE6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包括但不限于：</w:t>
            </w:r>
          </w:p>
          <w:p w14:paraId="22EC77A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人员总体概览：教职工总数、教学科研人员总数、国家级人才总数、省级人才总数、引进人才总数、博士后总数、高水平学者总数；</w:t>
            </w:r>
          </w:p>
          <w:p w14:paraId="7EE3AFA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人员结构分析：教职工性别分布、专任教师45岁以下占比、各教学科研单位人才分布、教学科研人员岗位分布、教学科研人员职称分布；</w:t>
            </w:r>
          </w:p>
          <w:p w14:paraId="75D5361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高层次人才分布：国家级人才总数、全职院士总数、兼职院士总数、领军人才总数、青年人才总数、省级人才总数、兵团级人才总数、自治区级人才总数；</w:t>
            </w:r>
          </w:p>
          <w:p w14:paraId="0BD788F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人员趋势分析：近五年人才引进数量趋势、近五年博士后进站数量趋势；</w:t>
            </w:r>
          </w:p>
          <w:p w14:paraId="05B806F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人员学科分布分析：全校教学科研人员学科大类人员分布数量、全校教学科研人员一级学科人员分布数量、全校教学科研人员学科方向人员分布数量。</w:t>
            </w:r>
          </w:p>
          <w:p w14:paraId="38338E8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（2）高层次人才</w:t>
            </w:r>
          </w:p>
          <w:p w14:paraId="23753E3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包括但不限于：</w:t>
            </w:r>
          </w:p>
          <w:p w14:paraId="453F915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人才总体概览：人才总人数、国家级人才总数、省级人才总数、校级人才总数。</w:t>
            </w:r>
          </w:p>
          <w:p w14:paraId="51B0492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高层次人才结构分布：国家级人才分布、省级人才分布、校级人才分布、高层次人才项目类型分布、各学院高层次人才分布。</w:t>
            </w:r>
          </w:p>
          <w:p w14:paraId="2FE7F14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高层次人才趋势分析：高层次人才近五年数量变化趋势。</w:t>
            </w:r>
          </w:p>
          <w:p w14:paraId="61E0D9C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高层次人才成果产出分析：高层次人才近五年科研成果产出。</w:t>
            </w:r>
          </w:p>
          <w:p w14:paraId="3EB7CCEC">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高层次人才学科分布分析：高层次人才学科大类人员分布数量、高层次人才一级学科人员分布数量、高层次人才学科方向人员分布数量。</w:t>
            </w:r>
          </w:p>
          <w:p w14:paraId="65F88F4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（3）引进人才</w:t>
            </w:r>
          </w:p>
          <w:p w14:paraId="258C2AA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包括但不限于：</w:t>
            </w:r>
          </w:p>
          <w:p w14:paraId="6FCB1C7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引进人才趋势分析：近五年引进人才数量、引进人才上会情况、引进人才报到情况、引进人才成长成才情况近五年引进人才年龄、近五年引进人才岗位、近五年引进人才职称、近五年引进人才性别、近五年引进人才学缘、近五年引进人才海外（境外）经历、近五年引进人才博士后经历。</w:t>
            </w:r>
          </w:p>
          <w:p w14:paraId="07310A8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引进人才学科分布分析：引进人才学科大类人员分布数量、引进人才一级学科人员分布数量、引进人才学科方向人员分布数量。</w:t>
            </w:r>
          </w:p>
          <w:p w14:paraId="019499A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引进人才成果产出分析：引进人才近五年科研情况。</w:t>
            </w:r>
          </w:p>
          <w:p w14:paraId="1D0D699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青年研究员概览：青年研究员总数、青年研究员入选国家级人才工程情况。</w:t>
            </w:r>
          </w:p>
          <w:p w14:paraId="5D5E6C8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青年研究员学科分布分析：青年研究员学科大类人员分布数量、青年研究员一级学科人员分布数量、青年研究员学科方向人员分布数量。</w:t>
            </w:r>
          </w:p>
          <w:p w14:paraId="58B5502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青年研究员成果产出分析：青年研究员近五年科研情况。</w:t>
            </w:r>
          </w:p>
          <w:p w14:paraId="0B161B4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（4）博士及博士后</w:t>
            </w:r>
          </w:p>
          <w:p w14:paraId="11A2B96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包括但不限于：</w:t>
            </w:r>
          </w:p>
          <w:p w14:paraId="100A8CD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博士总体概览：博士总数、萃英博士总数、普通博士总数、联培博士总数。</w:t>
            </w:r>
          </w:p>
          <w:p w14:paraId="53C4460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博士结构分析：博士性别分布、博士45岁以上总数、博士45岁以上占比、博士45岁以下总数、博士45岁以下占比、博士按学缘分布、博士按政治面貌分布。</w:t>
            </w:r>
          </w:p>
          <w:p w14:paraId="42A8B4D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合作导师概览：博士合作导师总数、博士合作导师占全校教学科研人员的比例、合作导师累计招收博士数量、各学院合作导师分布。</w:t>
            </w:r>
          </w:p>
          <w:p w14:paraId="1D15126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博士后进出站分析：科研流动站列表、科研流动站在站人数、近五年科研流动站进站人员分布、近五年科研流动站出站去向、近五年科研流动站进站数量、近五年科研流动站出站数量。</w:t>
            </w:r>
          </w:p>
          <w:p w14:paraId="11995A1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博士成果产出分析：博士近五年科研成果产出。</w:t>
            </w:r>
          </w:p>
          <w:p w14:paraId="5CA9D0F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5.人才引进数据采集服务</w:t>
            </w:r>
          </w:p>
          <w:p w14:paraId="26A4727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为数据治理工作补充高质量人才数据资源，具体服务内容包含但不限于以下内容，以学校实际需求为准：</w:t>
            </w:r>
          </w:p>
          <w:p w14:paraId="01090C6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（1）人才引进全流程数据追踪采集服务</w:t>
            </w:r>
          </w:p>
          <w:p w14:paraId="0F825FC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提供符合学校管理和网络安全要求的招聘数据采集页面技术服务，能够自定义配置，通过招聘信息发布、访问数据统计分析、在线简历投递、图文咨询等环节相关数据全链条采集。</w:t>
            </w:r>
          </w:p>
          <w:p w14:paraId="26EEED7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多批次招聘计划数据采集服务，根据需求设置招聘时段、对象、人数、岗位线上申请、历史岗位信息复用与优化、岗位审核发布等，联动学校岗位体系数据，同步空缺编制数据，提供年度招聘计划申请与审批、招聘计划下达、赴外引才计划申报审批、岗位信息增删、批量导入导出的操作支撑。</w:t>
            </w:r>
          </w:p>
          <w:p w14:paraId="6E812C2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提供在线选岗、附件扫码上传、应聘申请撤销等操作服务，支撑应聘进度实时查询服务，通过短信、邮件多渠道推送应聘通知、offer、附件链接等内容，并能够采集相关数据。</w:t>
            </w:r>
          </w:p>
          <w:p w14:paraId="5E21165F">
            <w:pPr>
              <w:spacing w:line="240" w:lineRule="auto"/>
              <w:rPr>
                <w:rFonts w:hint="eastAsia" w:ascii="宋体" w:hAnsi="宋体" w:eastAsia="宋体" w:cs="宋体"/>
                <w:b/>
                <w:bCs/>
                <w:sz w:val="21"/>
                <w:szCs w:val="21"/>
                <w:highlight w:val="none"/>
              </w:rPr>
            </w:pP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演示】为应聘者提供简历智能处理服务，上传PDF、WORD格式简历附件，通过AI智能提取基本信息、学习经历、工作经历、获奖情况等内容并自动填充至简历，可在智能填充基础上进行二次调整，同时根据岗位要求为应聘者智能推荐适配岗位；开展简历智能遴选服务，协助二级单位、组织人事部等各审核节点通过对话方式精准定位符合条件的候选人，以色差标注方式呈现应聘者岗位资质匹配情况，提供多视角待办审核支撑，完成院系初审、组织人事部终审全流程服务，并实现简历批量下载；覆盖笔试、面试、心理测试、体检全流程考核服务，提供成绩线上录入、审批流转支撑，同步开展岗位调剂与录用公示相关服务。</w:t>
            </w:r>
          </w:p>
          <w:p w14:paraId="56590B12">
            <w:pPr>
              <w:spacing w:line="240" w:lineRule="auto"/>
              <w:rPr>
                <w:rFonts w:hint="eastAsia" w:ascii="宋体" w:hAnsi="宋体" w:eastAsia="宋体" w:cs="宋体"/>
                <w:sz w:val="21"/>
                <w:szCs w:val="21"/>
                <w:highlight w:val="none"/>
              </w:rPr>
            </w:pPr>
            <w:r>
              <w:rPr>
                <w:rFonts w:hint="eastAsia" w:ascii="宋体" w:hAnsi="宋体" w:eastAsia="宋体" w:cs="宋体"/>
                <w:b/>
                <w:bCs/>
                <w:sz w:val="21"/>
                <w:szCs w:val="21"/>
                <w:highlight w:val="none"/>
              </w:rPr>
              <w:t>对人才引进全流程敏感信息实施脱敏展示、加密存储管理，执行管理员二次校验查看机制；搭建并维护人才简历库，能够对库内归集的所有人才数据按岗位、学历、工作经历等关键词进行多维度搜索及批量/单条编辑操作，开展招聘全流程监控与多维度图表统计分析，实现招聘全流程操作可追溯，保障人才数据顺畅流转。</w:t>
            </w:r>
          </w:p>
          <w:p w14:paraId="1BC0EEE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（2）人才引进移动端服务</w:t>
            </w:r>
          </w:p>
          <w:p w14:paraId="74EBDA6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管理人员移动端简历批量遴选、在线审核、审核签名的操作支撑，实现审核流程与工作流的联动，审核操作完成后自动流转至下一审核环节，保障审核流程透明化，便于管理人员全程监控审核进度，提升人才数据审核效率。</w:t>
            </w:r>
          </w:p>
          <w:p w14:paraId="12BF6FD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对移动端证件号、手机号、家庭住址等敏感字段实施脱敏展示服务，对重要字段进行加密存储管理；提供二次校验方式，支撑脱敏字段合规查看，对所有脱敏字段查看操作进行全程日志记录，实现移动端人才数据操作可追溯，保障人才数据安全。</w:t>
            </w:r>
          </w:p>
          <w:p w14:paraId="74B5264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（3）人才面试专项服务</w:t>
            </w:r>
          </w:p>
          <w:p w14:paraId="650B8F2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面试通知发送、面试参加确认、面试准考证发放服务，完成面试成绩线上录入、面试结果审核，提供数据采集整理服务。</w:t>
            </w:r>
          </w:p>
          <w:p w14:paraId="32C27EE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针对应聘者开展岗位匹配智能分析，统计展示岗位要求条件总数，对比分析每项条件要求标准与应聘者实际情况，通过不同颜色标识呈现条件满足状态，为面试筛选提供数据支撑。</w:t>
            </w:r>
          </w:p>
          <w:p w14:paraId="2B8834E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支持面试分组名称、主考官、应聘人员数、校内专家人数等信息设置与提取，提供博士应聘人员详细信息及附件材料查阅服务，专家在线打分、评价等级评定，自动生成专家评价表与评价汇总表，保障面试评价数据完整归集。</w:t>
            </w:r>
          </w:p>
          <w:p w14:paraId="0F59635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协助主考官完成应聘人员最终评价等级修改与理由批注，保障修改后结果顺畅提交至下一审批环节；为校级面试提供重新组织专家打分定级的支撑服务，协助管理员查看学院原有打分定级结果，保障专家查阅应聘者完整信息及附件，复议流程，确保复议流程数据可追溯，完成面试定级数据的统一管理。</w:t>
            </w:r>
          </w:p>
          <w:p w14:paraId="675B14C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（四）学生数据预警场景服务</w:t>
            </w:r>
          </w:p>
          <w:p w14:paraId="6A882E3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具体要求包含但不限于以下内容，以调研后学校实际需求为准：</w:t>
            </w:r>
          </w:p>
          <w:p w14:paraId="69FDC9E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1.预警规则与监控体系服务</w:t>
            </w:r>
          </w:p>
          <w:p w14:paraId="4A35B29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（1）提供构建以“学生”为对象的专项预警指标体系，包括但不限于以下情况，以实际调研学校需求为准：</w:t>
            </w:r>
          </w:p>
          <w:p w14:paraId="196546A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晚未归预警：基于门禁/宿舍进出等数据，设定某时间后未返校即触发；</w:t>
            </w:r>
          </w:p>
          <w:p w14:paraId="40B15B8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上课时段无假出校预警：对接课表系统，识别在排课时间段内无请假记录却出校的行为。</w:t>
            </w:r>
          </w:p>
          <w:p w14:paraId="125E972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长期不在校预警：连续N天无任何校园活动记录（包括门禁进出、宿舍刷卡、食堂/超市消费、图书馆刷卡等）</w:t>
            </w:r>
          </w:p>
          <w:p w14:paraId="39A0979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精准资助：学生在校（有门禁/宿舍记录），但连续M天（如7天）无任何校内消费（食堂、超市等），且历史月均消费显著高于当前水平。</w:t>
            </w:r>
          </w:p>
          <w:p w14:paraId="7A17E65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频繁夜不归宿预警：一个月内累计超过K次（如3次）23:00后未返回宿舍。</w:t>
            </w:r>
          </w:p>
          <w:p w14:paraId="50CC383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寒暑假期间在校异常活动预警：非官方备案留校学生，在假期期间出现门禁或消费记录。</w:t>
            </w:r>
          </w:p>
          <w:p w14:paraId="385CF06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（2）每类预警项须提供多级预警阈值设置（如低、中、高），并可绑定不同响应策略。</w:t>
            </w:r>
          </w:p>
          <w:p w14:paraId="4A92FA8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（3）所有预警规则须提供启用/停用、即时计算、历史结果清空等操作，并保留完整版本记录。</w:t>
            </w:r>
          </w:p>
          <w:p w14:paraId="11D9061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自定义规则配置、多人员类型分类管理、适配不同数据来源等方式，快速拓展至教职工、临聘人员、家属等学校其他人员群体，为各类非学生人员的异常行为监控、风险预警及闭环处置提供全流程支撑，无需大规模二次开发即可适配学校全人员类型的预警管理需求。</w:t>
            </w:r>
          </w:p>
          <w:p w14:paraId="6028A78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2.预警相关人员与角色管理体系建设服务</w:t>
            </w:r>
          </w:p>
          <w:p w14:paraId="44EA495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（1）预警责任人配置：</w:t>
            </w:r>
          </w:p>
          <w:p w14:paraId="3C963F3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为每个预警项或预警级别指定主责人（如辅导员）和抄送人（如学院副书记、家长联系人）；责任人可按组织架构（学院、年级、班级）批量绑定，也可手动指定；能够设置“替补责任人”，当主责人离岗时自动转交任务。</w:t>
            </w:r>
          </w:p>
          <w:p w14:paraId="690151E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（2）用户角色与视图权限分离服务：</w:t>
            </w:r>
          </w:p>
          <w:p w14:paraId="0C06126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系统须预置至少三类角色：</w:t>
            </w:r>
          </w:p>
          <w:p w14:paraId="21E96EA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校级管理员：可查看全校预警总览、统计报表、规则配置；</w:t>
            </w:r>
          </w:p>
          <w:p w14:paraId="6A45F29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院系负责人：仅查看本单位预警名单、处理进度、导出本院数据；</w:t>
            </w:r>
          </w:p>
          <w:p w14:paraId="4725F08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辅导员/导师：仅查看所负责学生的预警详情及处理入口。</w:t>
            </w:r>
          </w:p>
          <w:p w14:paraId="6C6C786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角色权限通过统一身份认证，实现细粒度数据行级控制（如“仅看本人学生”）。</w:t>
            </w:r>
          </w:p>
          <w:p w14:paraId="1265F17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3.预警名单与任务分发服务</w:t>
            </w:r>
          </w:p>
          <w:p w14:paraId="698C88B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（1）预警触发后，系统自动生成待办任务，并推送至对应责任人的工作台；</w:t>
            </w:r>
          </w:p>
          <w:p w14:paraId="755211F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（2）按“学生”或“预警类型”两种维度查询预警名单，展示字段包括：学生姓名、学号、预警时间、预警类型、当前状态（未处理/处理中/已闭环）、责任人、处理时限等；</w:t>
            </w:r>
          </w:p>
          <w:p w14:paraId="11B7B80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（3）能够一键导出或按条件批量导出预警名单，用于线下核查或上报。</w:t>
            </w:r>
          </w:p>
          <w:p w14:paraId="6022434D">
            <w:pPr>
              <w:spacing w:line="240" w:lineRule="auto"/>
              <w:rPr>
                <w:rFonts w:hint="eastAsia" w:ascii="宋体" w:hAnsi="宋体" w:eastAsia="宋体" w:cs="宋体"/>
                <w:b/>
                <w:bCs/>
                <w:sz w:val="21"/>
                <w:szCs w:val="21"/>
                <w:highlight w:val="none"/>
              </w:rPr>
            </w:pPr>
            <w:r>
              <w:rPr>
                <w:rFonts w:hint="eastAsia" w:ascii="宋体" w:hAnsi="宋体" w:eastAsia="宋体" w:cs="宋体"/>
                <w:sz w:val="21"/>
                <w:szCs w:val="21"/>
                <w:highlight w:val="none"/>
              </w:rPr>
              <w:t>4.</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演示</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预警处置与闭环反馈服务</w:t>
            </w:r>
          </w:p>
          <w:p w14:paraId="4A56C490">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（1）责任人登录消息平台后，可查看“我的待办预警”；</w:t>
            </w:r>
          </w:p>
          <w:p w14:paraId="091BD263">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（2）提供在线填写处理意见、上传佐证材料（如请假单、谈话记录）、标记处理状态（已核实、已联系、已整改等）等服务；</w:t>
            </w:r>
          </w:p>
          <w:p w14:paraId="3885CFFB">
            <w:pPr>
              <w:spacing w:line="24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（3）处理完成后，系统自动更新预警状态，并通知抄送人；</w:t>
            </w:r>
          </w:p>
          <w:p w14:paraId="0C128F44">
            <w:pPr>
              <w:spacing w:line="240" w:lineRule="auto"/>
              <w:rPr>
                <w:rFonts w:hint="eastAsia" w:ascii="宋体" w:hAnsi="宋体" w:eastAsia="宋体" w:cs="宋体"/>
                <w:sz w:val="21"/>
                <w:szCs w:val="21"/>
                <w:highlight w:val="none"/>
              </w:rPr>
            </w:pPr>
            <w:r>
              <w:rPr>
                <w:rFonts w:hint="eastAsia" w:ascii="宋体" w:hAnsi="宋体" w:eastAsia="宋体" w:cs="宋体"/>
                <w:b/>
                <w:bCs/>
                <w:sz w:val="21"/>
                <w:szCs w:val="21"/>
                <w:highlight w:val="none"/>
              </w:rPr>
              <w:t>（4）提供设置超时未处理自动升级机制（如24小时内未处理，自动提醒上级领导）。</w:t>
            </w:r>
          </w:p>
          <w:p w14:paraId="66977DDC">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5.可视化监控与统计分析服务</w:t>
            </w:r>
          </w:p>
          <w:p w14:paraId="006DA35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（1）校级监控大屏：实时展示全校预警总量、各学院分布、高频预警类型、处理及时率等关键指标；查看预警统计数据时，可点击穿透至具体学生的预警详情及对应老师的处理结果；</w:t>
            </w:r>
          </w:p>
          <w:p w14:paraId="29CD42A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（2）院系管理视图：展示本单位预警总量、未处理清单、责任人响应时效排名；查看院系级预警统计数据时，可点击穿透至本院系内具体学生的预警详情及对应老师的处理结果；</w:t>
            </w:r>
          </w:p>
          <w:p w14:paraId="64851C4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（3）个人工作台：仅显示本人负责学生的最新预警及历史处理记录；</w:t>
            </w:r>
          </w:p>
          <w:p w14:paraId="27FA165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（4）所有视图均提供按日期回溯，查看历史某日的预警快照。</w:t>
            </w:r>
          </w:p>
          <w:p w14:paraId="5FCF7A3D">
            <w:pPr>
              <w:spacing w:line="24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四、数据质量与安全保障服务</w:t>
            </w:r>
          </w:p>
          <w:p w14:paraId="544542A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（一）数据质量管理服务</w:t>
            </w:r>
          </w:p>
          <w:p w14:paraId="24E15D5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具体要求包含但不限于：</w:t>
            </w:r>
          </w:p>
          <w:p w14:paraId="435DC7A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1.数据质量规则管理服务</w:t>
            </w:r>
          </w:p>
          <w:p w14:paraId="1FFAA01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能够预置通用质量规则库，能够利用AI智能服务根据字段名称智能推荐对应质检规则类型，完成对数仓数据的自动化检测，规则类型包括：非空性、唯一性、值域有效性、枚举有效性、代码有效性、引用完整性、逻辑一致性等。配置如身份证、学号、邮箱、手机号等常见字段校验；</w:t>
            </w:r>
          </w:p>
          <w:p w14:paraId="4801487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（2）在一个质量检测作业中，配置多个检测字段，提高数据质量检测效率。数据质量检测按规则检测或按表检测；</w:t>
            </w:r>
          </w:p>
          <w:p w14:paraId="1E9330A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（3）在质量检测作业执行过程中，针对同一字段设置不同检测规则时（如针对身份证号，同时检测其非空、长度），可按规则分别呈现异常数据情况。</w:t>
            </w:r>
          </w:p>
          <w:p w14:paraId="58AEE52B">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（4）能够对每个部门的业务完整性进行监测，通过添加或导入标准清单，并将标准清单与ODS数据湖中的数据表进行映射，从而检测该部门的核心数据是否完整。</w:t>
            </w:r>
          </w:p>
          <w:p w14:paraId="38F3F51C">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2.质量检测与完整性核查服务</w:t>
            </w:r>
          </w:p>
          <w:p w14:paraId="4B539C0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（1）按表、字段粒度配置质检方案，可绑定业务系统或责任部门，并设置执行周期（日/周/月/年）。</w:t>
            </w:r>
          </w:p>
          <w:p w14:paraId="56D5298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（2）与学校数据标准联动，自动检测核心数据是否完整（如关键表缺失、字段未采集等）。</w:t>
            </w:r>
          </w:p>
          <w:p w14:paraId="3C73EBD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（3）按部门在线登记质量问题，记录问题对象、描述、解决方案、解决状态等信息，实现问题闭环管理。</w:t>
            </w:r>
          </w:p>
          <w:p w14:paraId="6685035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3.质量报告与预警服务</w:t>
            </w:r>
          </w:p>
          <w:p w14:paraId="0D90730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每次检测后自动生成结构化质量报告，内容包括：数据质量概述、评价维度平均分值、数据校验内容、检核规则分析、质量检测趋势分析、数据表统计、质量改进趋势分析、质量问题分布趋势分析，并支持PDF下载。</w:t>
            </w:r>
          </w:p>
          <w:p w14:paraId="10BDA80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（2）提供按部门、业务系统或自定义范围自动生成差异化报告，满足多角色需求。</w:t>
            </w:r>
          </w:p>
          <w:p w14:paraId="463171A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（3）能够将报告自动推送至指定责任人或部门。</w:t>
            </w:r>
          </w:p>
          <w:p w14:paraId="56C6725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4.结果留存与持续改进服务</w:t>
            </w:r>
          </w:p>
          <w:p w14:paraId="3AA92E3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（1）保留最近N次详细质检结果，质检方案汇总数据永久存储，支撑长期质量趋势分析。</w:t>
            </w:r>
          </w:p>
          <w:p w14:paraId="52D0B2D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（2）通过常态化检测—反馈—修正—再检测机制，推动“谁产生、谁负责”的数据质量责任落实，持续提升数据真实、准确、完整、及时水平。</w:t>
            </w:r>
          </w:p>
          <w:p w14:paraId="6F2F47C3">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5.质量评价管理服务</w:t>
            </w:r>
          </w:p>
          <w:p w14:paraId="461C7180">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允许用户自定义配置多维度数据质量评价规则，可根据学校数据治理需求，灵活设置评价指标、权重及评分标准。基于配置的评价规则，完成数据质量综合评价，清晰量化数据质量水平及数据治理推进成效，为治理优化提供数据支撑。</w:t>
            </w:r>
          </w:p>
          <w:p w14:paraId="6AD605A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6.驻场工程师服务</w:t>
            </w:r>
          </w:p>
          <w:p w14:paraId="2E1F8DD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项目实施完成后，提供2名具备数据应用、数据安全、数据库专业软件运维等能力的专业驻场数据工程师，驻场1年，负责数据采集、处理、质量提升、应用场景建设等日常数据工程响应，支撑底层数据库软件的运行与管理，保障数据全量、高质量纳入统一数据治理体系，保障数据治理质量的可持续性。</w:t>
            </w:r>
          </w:p>
          <w:p w14:paraId="5348346A">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（二）数据分类分级与安全管理服务</w:t>
            </w:r>
          </w:p>
          <w:p w14:paraId="6AD4E5E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具体要求包括但不限于：</w:t>
            </w:r>
          </w:p>
          <w:p w14:paraId="190F9C6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1.数据分类分级实施服务</w:t>
            </w:r>
          </w:p>
          <w:p w14:paraId="74448E3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（1）对治理范围内的全量数据项（含表、字段）开展人工研判与规则辅助识别，形成全校统一的《数据分类分级清单》，明确每项数据的类别、级别、责任部门及权属关系。</w:t>
            </w:r>
          </w:p>
          <w:p w14:paraId="4A342EF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（2）能够对指定数据库、数据表的数据进行AI智能安全分类分级及数据质检规则推荐；选择数据表时可标注重要性辅助筛选；分类分级结果需按字段推荐分类类型、标识可信度，并列出明确推荐依据。</w:t>
            </w:r>
          </w:p>
          <w:p w14:paraId="226E31B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2.安全策略配置与执行服务</w:t>
            </w:r>
          </w:p>
          <w:p w14:paraId="7702D64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（1）基于分类分级结果，在数据集成、存储、共享、服务等环节配置细粒度安全策略：</w:t>
            </w:r>
          </w:p>
          <w:p w14:paraId="619F3B2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数据脱敏：能够对不同级别数据配置差异化脱敏规则，脱敏方式包括数字随机脱敏、字符仿真脱敏、字符随机脱敏、全随机脱敏、字符掩码（保留/遮盖前m位、后n位、中间段等）等，能够在数据共享交换时按字段选择脱敏策略；已配置脱敏规则的数据项，在数据服务发布、授权时自动带出脱敏规则；</w:t>
            </w:r>
          </w:p>
          <w:p w14:paraId="3A130F8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数据加密：能够对字段级数据在传输或存储时进行加密，算法包括AES、MD5、SM2、SM3、SM4等加密方式；可以以应用为单位绑定密钥，用户上传自定义密钥，在数据开发阶段可根据自定义密钥进行加密和解密，在数据开放阶段可根据自定义密钥进行解密。</w:t>
            </w:r>
          </w:p>
          <w:p w14:paraId="09CA41C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访问控制：根据安全等级动态控制数据是否可发布、可申请、可下载，对“不予共享”字段禁止对外暴露。</w:t>
            </w:r>
          </w:p>
          <w:p w14:paraId="68B7AD7E">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（2）在数据资源目录、元数据管理、表详情页中，须清晰地展示每项数据的分类、分级、脱敏策略、加密策略等安全属性。</w:t>
            </w:r>
          </w:p>
          <w:p w14:paraId="4093FA1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3.安全机制与合规保障服务</w:t>
            </w:r>
          </w:p>
          <w:p w14:paraId="4EB0336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所有数据申请调用的敏感数据操作（如查询、导出、API调用）须记录完整审计日志，包含清单名称、应用名称、IP、前台用户、访问时间、响应时间、执行时间、返回数据行数、返回字段数等，日志留存不少于6个月。</w:t>
            </w:r>
          </w:p>
          <w:p w14:paraId="633A9B6C">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所有数据平台的功能操作（如新增、修改、删除、冻结、解冻、重置、查询、导入、导出等）须记录完整审计日志，包含姓名、用户身份、IP地址、归属地、请求方法、请求地址、异常、操作时间、操作类型、操作内容等，日志留存不少于6个月。</w:t>
            </w:r>
          </w:p>
          <w:p w14:paraId="698AA76F">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演示</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提供基于安全等级动态生成审批流程，在数据申请时自动触发对应级别的审核机制。针对一张数据表的申请，当表中不同字段归属不同来源部门时，相应字段的审核流程应自动分支流转到对应的部门进行审核；当表中不同字段属于不同安全等级时，应根据各个字段的安全等级自动激活对应的审核流程进行审核，且上述两种自动化机制可以同时生效、协同运行。审批流程允许多级节点配置，可设置审批顺序，确保流程透明可控。审批通过后，系统自动完成权限授予操作，包括字段级脱敏规则同步、行级数据范围限定及文件格式授权，实现“审批－授权－使用”全流程自动化。</w:t>
            </w:r>
          </w:p>
          <w:p w14:paraId="27481BB4">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4.数据备份服务</w:t>
            </w:r>
          </w:p>
          <w:p w14:paraId="2AC978B5">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对项目全量数据实施统一备份管理，统筹配置备份文件存储路径、磁盘自动清理计划、异地备份计划等；按需制定备份策略，明确备份频率与范围并自动执行备份任务；允许手动启停备份任务，同时对备份文件进行集中管理，允许完成备份文件的手动清理及异地服务器迁移操作；若备份任务失败，通过多渠道将异常信息及时通知至指定联系人。</w:t>
            </w:r>
          </w:p>
          <w:p w14:paraId="5F94F78E">
            <w:pPr>
              <w:spacing w:line="24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五、其他要求</w:t>
            </w:r>
          </w:p>
          <w:p w14:paraId="1E5F891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1.计算节点与存储资源要求</w:t>
            </w:r>
          </w:p>
          <w:p w14:paraId="60CF9787">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须通过校园网物理专线链路提供本项目所需计算节点、存储资源租用服务，确保低时延、高稳定、高带宽的数据访问与处理能力（期限为3个月，自项目启动之日起计算），计算节点与存储资源须满足以下要求，完成数据仓库的部署与调试，保障项目按计划推进。</w:t>
            </w:r>
          </w:p>
          <w:p w14:paraId="2EF6290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计算节点：采用不少于5节点的高性能计算集群模式，CPU总核数≥150核，总内存≥256GB，分布式并行计算、多任务高并发调度；兼容openGauss、海量、金仓等主流国产数据库，提供全生命周期技术服务，包括部署安装、集群管理、日常运维、性能调优、备份恢复、安全加固、漏洞修复及日志审计等能力，确保在国产数据库环境下数据仓库稳定、高效、安全运行。</w:t>
            </w:r>
          </w:p>
          <w:p w14:paraId="5171BBC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存储资源：数据多副本冗余、在线扩容、冷热数据分层存储，千万量级数据的数据仓库、标准库、指标库、历史拉链表及快照等全量存储需求，故障隔离，单个I/O节点或存储单元发生故障不影响整体访问，按用户、用户组及项目设置磁盘配额，精细化容量管理与多用户环境下的数据访问安全。</w:t>
            </w:r>
          </w:p>
          <w:p w14:paraId="7CC62922">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学校硬件资源到位后，须负责免费将临时资源上的数据仓库、数据资产、运行任务等全部内容，平滑迁移至学校指定硬件环境，迁移过程须保证数据零丢失；迁移期间不影响核心业务运行；迁移后数据仓库性能不低于临时资源运行水平确保系统正常运行。</w:t>
            </w:r>
          </w:p>
          <w:p w14:paraId="3FC7B9D8">
            <w:pPr>
              <w:spacing w:line="240" w:lineRule="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.知识产权与数据权属</w:t>
            </w:r>
          </w:p>
          <w:p w14:paraId="069115C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（1）数据所有权与使用权限制</w:t>
            </w:r>
          </w:p>
          <w:p w14:paraId="47B1BE66">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所涉及的所有原始数据、治理后数据（包括但不限于元数据、主数据、指标数据、标签数据、分析结果等）及其衍生数据资产，其所有权、知识产权及全部相关权益均归学校独家所有，不得以任何形式主张对上述数据的权利。在项目实施过程中，仅为履行本合同目的临时、有限地使用学校提供的数据，不得用于任何其他用途，不得复制、传播、转让、出售或向第三方披露；项目验收完成后，须立即停止使用所有学校数据，并按要求销毁或返还全部数据副本（含测试数据、中间数据、日志等）；未经学校书面许可，不得将本项目产生的数据模型、指标口径、标签体系等成果用于其他客户或公开宣传。</w:t>
            </w:r>
          </w:p>
          <w:p w14:paraId="0F1A5349">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（2）交付物与保密义务</w:t>
            </w:r>
          </w:p>
          <w:p w14:paraId="59587481">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所有交付成果（脚本、规则、配置文件、文档等）须为通用开放格式，严禁私有加密，服务期满须无偿移交全部可读、可编辑的源码级配置，确保学校能独立理解治理逻辑并延续工作，不依赖原厂商。此外，须签署保密协议，对接触的校内敏感信息（如师生个人信息、科研数据、管理决策数据等）承担严格保密责任，保密义务不因合同终止而解除，持续有效期不少于5年。</w:t>
            </w:r>
          </w:p>
          <w:p w14:paraId="499E9857">
            <w:pPr>
              <w:spacing w:line="240" w:lineRule="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 质保售后、工具部署适配及整体服务保障要求</w:t>
            </w:r>
          </w:p>
          <w:p w14:paraId="2DB07E2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所有服务、应用、工具、组件均须通过校园网物理链路提供服务，服务方应具备数据治理工具自有知识产权，所有功能模块须与学校系统、安全环境对接，实现统一部署、认证、门户、管理，有效支撑数据治理服务开展；配套工具全面适配国产化软硬件环境，兼容鲲鹏、海光、飞腾等国产服务器存储设备，麒麟、统信等主流国产操作系统，openGauss、海量、金仓等国产数据库及国产中间件，禁止采用互不兼容的独立平台拼凑交付；未来若学校提出进一步国产化迁移需求，须免费、无条件配合完成所有服务、数据应用及数据治理配套服务工具向指定国产化环境的全量迁移，确保迁移后功能、数据完整性不受影响。</w:t>
            </w:r>
          </w:p>
          <w:p w14:paraId="619C5308">
            <w:pPr>
              <w:spacing w:line="240" w:lineRule="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所有页面（含数据应用、数据治理配套服务工具）均须支持IPv6和HTTPS访问并完成配置；管理端、客户端须对接青海大学一站式服务大厅及掌上青大APP，H5页面集成至掌上青大APP，不得单独建设APP；数据应用、数据治理配套服务工具须对接一站式服务大厅告警消息推送、消息平台、待办平台、短信平台，实现单点登录、数据实时同步/全量采集/共享、服务提取，并提供接口永久免费开放</w:t>
            </w:r>
            <w:r>
              <w:rPr>
                <w:rFonts w:hint="eastAsia" w:ascii="宋体" w:hAnsi="宋体" w:eastAsia="宋体" w:cs="宋体"/>
                <w:color w:val="auto"/>
                <w:sz w:val="21"/>
                <w:szCs w:val="21"/>
                <w:highlight w:val="none"/>
              </w:rPr>
              <w:t>承诺函。</w:t>
            </w:r>
          </w:p>
          <w:p w14:paraId="0BB1B798">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自项目验收合格之日起三年的免费质保服务，免费服务期内，若学校因业务需要提出数据应用、数据治理配套服务工具改动，须在1个月内免费提供不改变框架的个性化修改；对因设计、数据应用、数据治理配套服务工具隐含缺陷及制造缺陷引发的故障承担责任，证实缺陷后须在接到通知后2个工作日内，采用符合要求的新模块更换或修补缺陷部分；同时须对以下内容提供免费维护：因系统设计、开发、配置或部署缺陷导致的功能异常、性能下降或数据错误；与国产数据库、国产操作系统或学校现有平台（统一身份认证、数据中心等）的兼容性问题；已交付的数据模型、指标逻辑、标签规则、数据交换任务等治理成果的准确性与稳定性保障；以及因学校合理业务需求变更导致的非结构性调整（如字段增减、阈值微调、报表样式优化等）。</w:t>
            </w:r>
          </w:p>
          <w:p w14:paraId="6C2AA71D">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数据应用、数据治理配套服务工具上线前须配合学校通过对应等级国家信息系统安全等级保护测评并提供第三方安全测试报告，全程配合学校完成各次等级保护测评工作。</w:t>
            </w:r>
          </w:p>
        </w:tc>
        <w:tc>
          <w:tcPr>
            <w:tcW w:w="427" w:type="pct"/>
            <w:tcBorders>
              <w:top w:val="single" w:color="auto" w:sz="4" w:space="0"/>
              <w:left w:val="single" w:color="auto" w:sz="4" w:space="0"/>
              <w:bottom w:val="single" w:color="auto" w:sz="4" w:space="0"/>
              <w:right w:val="single" w:color="auto" w:sz="4" w:space="0"/>
            </w:tcBorders>
            <w:vAlign w:val="center"/>
          </w:tcPr>
          <w:p w14:paraId="08108C7E">
            <w:pPr>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项</w:t>
            </w:r>
          </w:p>
        </w:tc>
        <w:tc>
          <w:tcPr>
            <w:tcW w:w="325" w:type="pct"/>
            <w:tcBorders>
              <w:top w:val="single" w:color="auto" w:sz="4" w:space="0"/>
              <w:left w:val="single" w:color="auto" w:sz="4" w:space="0"/>
              <w:bottom w:val="single" w:color="auto" w:sz="4" w:space="0"/>
              <w:right w:val="single" w:color="auto" w:sz="4" w:space="0"/>
            </w:tcBorders>
            <w:vAlign w:val="center"/>
          </w:tcPr>
          <w:p w14:paraId="734AACFD">
            <w:pPr>
              <w:spacing w:line="240" w:lineRule="auto"/>
              <w:jc w:val="center"/>
              <w:rPr>
                <w:rFonts w:hint="eastAsia" w:ascii="宋体" w:hAnsi="宋体" w:eastAsia="宋体" w:cs="宋体"/>
                <w:sz w:val="21"/>
                <w:szCs w:val="21"/>
                <w:highlight w:val="none"/>
              </w:rPr>
            </w:pPr>
          </w:p>
        </w:tc>
      </w:tr>
    </w:tbl>
    <w:p w14:paraId="716DA870">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000000"/>
          <w:sz w:val="21"/>
          <w:szCs w:val="21"/>
          <w:highlight w:val="none"/>
          <w:lang w:val="en-US" w:eastAsia="zh-CN"/>
        </w:rPr>
      </w:pPr>
    </w:p>
    <w:sectPr>
      <w:footerReference r:id="rId1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36FFE66-1A87-49D6-877B-283FAC04D92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5E83EA4E-7D58-4683-8F56-C10E17F882B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87F3917-6FB2-49B7-84B4-34F9308A5093}"/>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embedRegular r:id="rId4" w:fontKey="{8A11C4C6-76E0-4128-A840-F13265562C2D}"/>
  </w:font>
  <w:font w:name="新宋体">
    <w:panose1 w:val="02010609030101010101"/>
    <w:charset w:val="86"/>
    <w:family w:val="modern"/>
    <w:pitch w:val="default"/>
    <w:sig w:usb0="00000203" w:usb1="288F0000" w:usb2="00000006" w:usb3="00000000" w:csb0="00040001" w:csb1="00000000"/>
    <w:embedRegular r:id="rId5" w:fontKey="{D10F4696-2ED1-4D8E-9BC7-808F6A942956}"/>
  </w:font>
  <w:font w:name="华文行楷">
    <w:panose1 w:val="02010800040101010101"/>
    <w:charset w:val="86"/>
    <w:family w:val="auto"/>
    <w:pitch w:val="default"/>
    <w:sig w:usb0="00000001" w:usb1="080F0000" w:usb2="00000000" w:usb3="00000000" w:csb0="00040000" w:csb1="00000000"/>
    <w:embedRegular r:id="rId6" w:fontKey="{562F4669-EABB-4921-8D8F-39F93119331D}"/>
  </w:font>
  <w:font w:name="方正楷体_GBK">
    <w:panose1 w:val="02000000000000000000"/>
    <w:charset w:val="86"/>
    <w:family w:val="script"/>
    <w:pitch w:val="default"/>
    <w:sig w:usb0="800002BF" w:usb1="38CF7CFA" w:usb2="00000016" w:usb3="00000000" w:csb0="00040000" w:csb1="00000000"/>
    <w:embedRegular r:id="rId7" w:fontKey="{A98B0364-7167-4B08-B85B-EF15441903DB}"/>
  </w:font>
  <w:font w:name="华文中宋">
    <w:panose1 w:val="02010600040101010101"/>
    <w:charset w:val="86"/>
    <w:family w:val="auto"/>
    <w:pitch w:val="default"/>
    <w:sig w:usb0="00000287" w:usb1="080F0000" w:usb2="00000000" w:usb3="00000000" w:csb0="0004009F" w:csb1="DFD70000"/>
    <w:embedRegular r:id="rId8" w:fontKey="{44590A08-2ED8-4C9B-8805-0F4A70156A89}"/>
  </w:font>
  <w:font w:name="方正仿宋_GB2312">
    <w:panose1 w:val="02000000000000000000"/>
    <w:charset w:val="86"/>
    <w:family w:val="auto"/>
    <w:pitch w:val="default"/>
    <w:sig w:usb0="A00002BF" w:usb1="184F6CFA" w:usb2="00000012" w:usb3="00000000" w:csb0="00040001" w:csb1="00000000"/>
    <w:embedRegular r:id="rId9" w:fontKey="{C746BF03-E724-403A-8A33-EDAB60BE0B99}"/>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94FCF">
    <w:pPr>
      <w:pStyle w:val="16"/>
      <w:ind w:firstLine="480"/>
      <w:jc w:val="center"/>
      <w:rPr>
        <w:rFonts w:ascii="宋体"/>
        <w:sz w:val="24"/>
      </w:rPr>
    </w:pPr>
  </w:p>
  <w:p w14:paraId="723C0859">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3DAA4">
    <w:pPr>
      <w:pStyle w:val="16"/>
      <w:framePr w:wrap="around" w:vAnchor="text" w:hAnchor="margin" w:y="1"/>
      <w:ind w:firstLine="360"/>
      <w:rPr>
        <w:rStyle w:val="31"/>
      </w:rPr>
    </w:pPr>
    <w:r>
      <w:rPr>
        <w:rStyle w:val="31"/>
      </w:rPr>
      <w:fldChar w:fldCharType="begin"/>
    </w:r>
    <w:r>
      <w:rPr>
        <w:rStyle w:val="31"/>
      </w:rPr>
      <w:instrText xml:space="preserve">PAGE  </w:instrText>
    </w:r>
    <w:r>
      <w:rPr>
        <w:rStyle w:val="31"/>
      </w:rPr>
      <w:fldChar w:fldCharType="separate"/>
    </w:r>
    <w:r>
      <w:rPr>
        <w:rStyle w:val="31"/>
      </w:rPr>
      <w:t>64</w:t>
    </w:r>
    <w:r>
      <w:rPr>
        <w:rStyle w:val="31"/>
      </w:rPr>
      <w:fldChar w:fldCharType="end"/>
    </w:r>
  </w:p>
  <w:p w14:paraId="60BADBF6">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4E4FF">
    <w:pPr>
      <w:pStyle w:val="16"/>
      <w:ind w:firstLine="480"/>
      <w:jc w:val="center"/>
      <w:rPr>
        <w:rFonts w:ascii="宋体"/>
        <w:sz w:val="24"/>
      </w:rPr>
    </w:pPr>
  </w:p>
  <w:p w14:paraId="0B226FF6">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918D">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4E49F">
                          <w:pPr>
                            <w:pStyle w:val="1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B4E49F">
                    <w:pPr>
                      <w:pStyle w:val="1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E6744">
    <w:pPr>
      <w:pStyle w:val="16"/>
      <w:ind w:firstLine="480"/>
      <w:jc w:val="center"/>
      <w:rPr>
        <w:rFonts w:ascii="宋体"/>
        <w:sz w:val="24"/>
      </w:rPr>
    </w:pPr>
  </w:p>
  <w:p w14:paraId="60A24628">
    <w:pPr>
      <w:pStyle w:val="1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7E63F">
    <w:pPr>
      <w:pStyle w:val="10"/>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41459">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B41459">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3F907">
    <w:pPr>
      <w:pStyle w:val="10"/>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9AF1E">
                          <w:pPr>
                            <w:pStyle w:val="1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59AF1E">
                    <w:pPr>
                      <w:pStyle w:val="1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1526F">
    <w:pPr>
      <w:pStyle w:val="17"/>
      <w:pBdr>
        <w:top w:val="none" w:color="auto" w:sz="0" w:space="0"/>
        <w:left w:val="none" w:color="auto" w:sz="0" w:space="0"/>
        <w:bottom w:val="none" w:color="auto" w:sz="0" w:space="0"/>
        <w:right w:val="none" w:color="auto" w:sz="0" w:space="0"/>
      </w:pBdr>
      <w:rPr>
        <w:rFonts w:ascii="方正仿宋_GB2312" w:eastAsia="方正仿宋_GB2312"/>
        <w:b/>
        <w:i/>
        <w:sz w:val="24"/>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9BD8F">
    <w:pPr>
      <w:pStyle w:val="17"/>
      <w:pBdr>
        <w:top w:val="none" w:color="auto" w:sz="0" w:space="0"/>
        <w:left w:val="none" w:color="auto" w:sz="0" w:space="0"/>
        <w:bottom w:val="none" w:color="auto" w:sz="0" w:space="0"/>
        <w:right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19903">
    <w:pPr>
      <w:pStyle w:val="17"/>
      <w:pBdr>
        <w:top w:val="none" w:color="auto" w:sz="0" w:space="0"/>
        <w:left w:val="none" w:color="auto" w:sz="0" w:space="0"/>
        <w:bottom w:val="none" w:color="auto" w:sz="0" w:space="0"/>
        <w:right w:val="none" w:color="auto" w:sz="0" w:space="0"/>
      </w:pBdr>
      <w:rPr>
        <w:rFonts w:ascii="方正仿宋_GB2312" w:eastAsia="方正仿宋_GB2312"/>
        <w:b/>
        <w:i/>
        <w:sz w:val="24"/>
        <w:u w:val="single"/>
      </w:rPr>
    </w:pPr>
  </w:p>
  <w:p w14:paraId="4ACEC9CF">
    <w:pPr>
      <w:ind w:left="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55679">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0B7C03D6"/>
    <w:multiLevelType w:val="singleLevel"/>
    <w:tmpl w:val="0B7C03D6"/>
    <w:lvl w:ilvl="0" w:tentative="0">
      <w:start w:val="11"/>
      <w:numFmt w:val="chineseCounting"/>
      <w:suff w:val="nothing"/>
      <w:lvlText w:val="%1、"/>
      <w:lvlJc w:val="left"/>
      <w:rPr>
        <w:rFonts w:hint="eastAsia"/>
      </w:rPr>
    </w:lvl>
  </w:abstractNum>
  <w:abstractNum w:abstractNumId="2">
    <w:nsid w:val="67840197"/>
    <w:multiLevelType w:val="singleLevel"/>
    <w:tmpl w:val="67840197"/>
    <w:lvl w:ilvl="0" w:tentative="0">
      <w:start w:val="2"/>
      <w:numFmt w:val="chineseCounting"/>
      <w:suff w:val="nothing"/>
      <w:lvlText w:val="%1、"/>
      <w:lvlJc w:val="left"/>
      <w:rPr>
        <w:rFonts w:hint="eastAsia"/>
      </w:rPr>
    </w:lvl>
  </w:abstractNum>
  <w:abstractNum w:abstractNumId="3">
    <w:nsid w:val="7B82D156"/>
    <w:multiLevelType w:val="singleLevel"/>
    <w:tmpl w:val="7B82D156"/>
    <w:lvl w:ilvl="0" w:tentative="0">
      <w:start w:val="2"/>
      <w:numFmt w:val="decimal"/>
      <w:lvlText w:val="%1."/>
      <w:lvlJc w:val="left"/>
      <w:pPr>
        <w:tabs>
          <w:tab w:val="left" w:pos="312"/>
        </w:tabs>
        <w:ind w:left="480" w:firstLine="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NzRiN2YzNzNkNGQyMjAwMzVmYTJkODE5ZjFlMzMifQ=="/>
  </w:docVars>
  <w:rsids>
    <w:rsidRoot w:val="268F17CA"/>
    <w:rsid w:val="0006109E"/>
    <w:rsid w:val="00092AE4"/>
    <w:rsid w:val="000A4E17"/>
    <w:rsid w:val="000C7634"/>
    <w:rsid w:val="000F0DF4"/>
    <w:rsid w:val="00101367"/>
    <w:rsid w:val="001173A9"/>
    <w:rsid w:val="001C6780"/>
    <w:rsid w:val="001D4405"/>
    <w:rsid w:val="001E53FE"/>
    <w:rsid w:val="001F73BB"/>
    <w:rsid w:val="0023340E"/>
    <w:rsid w:val="00263898"/>
    <w:rsid w:val="002A0207"/>
    <w:rsid w:val="002C47E1"/>
    <w:rsid w:val="003541E9"/>
    <w:rsid w:val="00371A5A"/>
    <w:rsid w:val="003D65AE"/>
    <w:rsid w:val="003E4D62"/>
    <w:rsid w:val="00560C8D"/>
    <w:rsid w:val="0058758B"/>
    <w:rsid w:val="005D4732"/>
    <w:rsid w:val="00610597"/>
    <w:rsid w:val="00632F62"/>
    <w:rsid w:val="00681326"/>
    <w:rsid w:val="006F01DB"/>
    <w:rsid w:val="007E5615"/>
    <w:rsid w:val="0085390E"/>
    <w:rsid w:val="008A7E08"/>
    <w:rsid w:val="008B430F"/>
    <w:rsid w:val="008C59D9"/>
    <w:rsid w:val="009C2568"/>
    <w:rsid w:val="00A2142F"/>
    <w:rsid w:val="00A35999"/>
    <w:rsid w:val="00A4361E"/>
    <w:rsid w:val="00AB4038"/>
    <w:rsid w:val="00BA6A16"/>
    <w:rsid w:val="00C2274B"/>
    <w:rsid w:val="00C47AE6"/>
    <w:rsid w:val="00D34240"/>
    <w:rsid w:val="00D53C5F"/>
    <w:rsid w:val="00D60E93"/>
    <w:rsid w:val="00DE36B0"/>
    <w:rsid w:val="00DF4225"/>
    <w:rsid w:val="00E55843"/>
    <w:rsid w:val="00E86A09"/>
    <w:rsid w:val="00EB7115"/>
    <w:rsid w:val="00ED1F39"/>
    <w:rsid w:val="00ED78AE"/>
    <w:rsid w:val="00F70DE9"/>
    <w:rsid w:val="00FA7B2F"/>
    <w:rsid w:val="00FD18C4"/>
    <w:rsid w:val="013D3099"/>
    <w:rsid w:val="01483505"/>
    <w:rsid w:val="017442FA"/>
    <w:rsid w:val="01AF5332"/>
    <w:rsid w:val="01B20283"/>
    <w:rsid w:val="01E52B54"/>
    <w:rsid w:val="022134C4"/>
    <w:rsid w:val="026305F6"/>
    <w:rsid w:val="02920E32"/>
    <w:rsid w:val="02AD1803"/>
    <w:rsid w:val="02C23069"/>
    <w:rsid w:val="02EE06D0"/>
    <w:rsid w:val="03070CEC"/>
    <w:rsid w:val="03195159"/>
    <w:rsid w:val="03726617"/>
    <w:rsid w:val="038E1B67"/>
    <w:rsid w:val="03C47BAD"/>
    <w:rsid w:val="04001B35"/>
    <w:rsid w:val="040D0E35"/>
    <w:rsid w:val="042B70D8"/>
    <w:rsid w:val="043A7E49"/>
    <w:rsid w:val="045E2D23"/>
    <w:rsid w:val="046447EC"/>
    <w:rsid w:val="04CB5FDF"/>
    <w:rsid w:val="05023D42"/>
    <w:rsid w:val="053C7FC0"/>
    <w:rsid w:val="0543421B"/>
    <w:rsid w:val="0546627C"/>
    <w:rsid w:val="057A4137"/>
    <w:rsid w:val="05A57877"/>
    <w:rsid w:val="05A676D7"/>
    <w:rsid w:val="05BB6691"/>
    <w:rsid w:val="05E44887"/>
    <w:rsid w:val="05E530D0"/>
    <w:rsid w:val="061C0E01"/>
    <w:rsid w:val="063D40C6"/>
    <w:rsid w:val="065F10D4"/>
    <w:rsid w:val="06712419"/>
    <w:rsid w:val="069939D7"/>
    <w:rsid w:val="06AD084E"/>
    <w:rsid w:val="06E15158"/>
    <w:rsid w:val="06F762A4"/>
    <w:rsid w:val="072E563C"/>
    <w:rsid w:val="07D105F2"/>
    <w:rsid w:val="07DF0702"/>
    <w:rsid w:val="07E8334B"/>
    <w:rsid w:val="08283748"/>
    <w:rsid w:val="08365982"/>
    <w:rsid w:val="0850082E"/>
    <w:rsid w:val="08585DDB"/>
    <w:rsid w:val="08665F5F"/>
    <w:rsid w:val="08971A59"/>
    <w:rsid w:val="08B467D7"/>
    <w:rsid w:val="08E13DC4"/>
    <w:rsid w:val="09365083"/>
    <w:rsid w:val="09777606"/>
    <w:rsid w:val="09C401AC"/>
    <w:rsid w:val="09C52395"/>
    <w:rsid w:val="09D152B3"/>
    <w:rsid w:val="09E0252C"/>
    <w:rsid w:val="0A081A83"/>
    <w:rsid w:val="0A62720E"/>
    <w:rsid w:val="0A8435D2"/>
    <w:rsid w:val="0ABF6E2D"/>
    <w:rsid w:val="0AE31100"/>
    <w:rsid w:val="0AE72069"/>
    <w:rsid w:val="0AF42E98"/>
    <w:rsid w:val="0B062F91"/>
    <w:rsid w:val="0B4D5952"/>
    <w:rsid w:val="0B554541"/>
    <w:rsid w:val="0B59281A"/>
    <w:rsid w:val="0B751E6B"/>
    <w:rsid w:val="0B7D02A4"/>
    <w:rsid w:val="0BB608BA"/>
    <w:rsid w:val="0BB8476F"/>
    <w:rsid w:val="0BBD3CC4"/>
    <w:rsid w:val="0BE847A8"/>
    <w:rsid w:val="0BEE4EC9"/>
    <w:rsid w:val="0BF11187"/>
    <w:rsid w:val="0BF81873"/>
    <w:rsid w:val="0C3D72CE"/>
    <w:rsid w:val="0C444224"/>
    <w:rsid w:val="0C6D4572"/>
    <w:rsid w:val="0C8A677F"/>
    <w:rsid w:val="0CCF14C0"/>
    <w:rsid w:val="0CE46D40"/>
    <w:rsid w:val="0CEE7C1A"/>
    <w:rsid w:val="0CFF0F1B"/>
    <w:rsid w:val="0D381A81"/>
    <w:rsid w:val="0D587B13"/>
    <w:rsid w:val="0D6916FC"/>
    <w:rsid w:val="0D881DD5"/>
    <w:rsid w:val="0DB90FCB"/>
    <w:rsid w:val="0DD248FB"/>
    <w:rsid w:val="0DD316A0"/>
    <w:rsid w:val="0E0D41AB"/>
    <w:rsid w:val="0E18072F"/>
    <w:rsid w:val="0E4145C9"/>
    <w:rsid w:val="0E7F061F"/>
    <w:rsid w:val="0EA27458"/>
    <w:rsid w:val="0EAF2A15"/>
    <w:rsid w:val="0ED84941"/>
    <w:rsid w:val="0EEF563B"/>
    <w:rsid w:val="0F006AEC"/>
    <w:rsid w:val="0F0B5180"/>
    <w:rsid w:val="0F144BE2"/>
    <w:rsid w:val="0F2C1D70"/>
    <w:rsid w:val="0F2E48C8"/>
    <w:rsid w:val="0F6056D0"/>
    <w:rsid w:val="0F651E8C"/>
    <w:rsid w:val="0F713C26"/>
    <w:rsid w:val="0F955FBB"/>
    <w:rsid w:val="0FE349C9"/>
    <w:rsid w:val="10015EDC"/>
    <w:rsid w:val="105015D1"/>
    <w:rsid w:val="10A1053B"/>
    <w:rsid w:val="111F64CC"/>
    <w:rsid w:val="113F4BD0"/>
    <w:rsid w:val="11507CD0"/>
    <w:rsid w:val="115C1FDD"/>
    <w:rsid w:val="115C29DA"/>
    <w:rsid w:val="116E2B13"/>
    <w:rsid w:val="11CC7E12"/>
    <w:rsid w:val="11D20D72"/>
    <w:rsid w:val="11EA4393"/>
    <w:rsid w:val="12745F08"/>
    <w:rsid w:val="12763439"/>
    <w:rsid w:val="129D103D"/>
    <w:rsid w:val="12A165D1"/>
    <w:rsid w:val="12C050BC"/>
    <w:rsid w:val="12C73EF9"/>
    <w:rsid w:val="12D42D15"/>
    <w:rsid w:val="12DE2ED6"/>
    <w:rsid w:val="12DE5D0A"/>
    <w:rsid w:val="12DF41F2"/>
    <w:rsid w:val="130B4AB3"/>
    <w:rsid w:val="1318579D"/>
    <w:rsid w:val="13274D28"/>
    <w:rsid w:val="133B6A25"/>
    <w:rsid w:val="13441D7E"/>
    <w:rsid w:val="135E02A9"/>
    <w:rsid w:val="13606F15"/>
    <w:rsid w:val="13AD75FF"/>
    <w:rsid w:val="13CC3CD0"/>
    <w:rsid w:val="13FC4DD4"/>
    <w:rsid w:val="144E4D7A"/>
    <w:rsid w:val="149B0123"/>
    <w:rsid w:val="14B2619D"/>
    <w:rsid w:val="14DE3B0C"/>
    <w:rsid w:val="150D1907"/>
    <w:rsid w:val="15296F69"/>
    <w:rsid w:val="155434EA"/>
    <w:rsid w:val="158D540D"/>
    <w:rsid w:val="158E0DC9"/>
    <w:rsid w:val="15B62C00"/>
    <w:rsid w:val="15BE749A"/>
    <w:rsid w:val="15F878C6"/>
    <w:rsid w:val="16551BAC"/>
    <w:rsid w:val="16B415E1"/>
    <w:rsid w:val="16BB69BF"/>
    <w:rsid w:val="16C3745D"/>
    <w:rsid w:val="16F43E00"/>
    <w:rsid w:val="17066DEB"/>
    <w:rsid w:val="172D55D5"/>
    <w:rsid w:val="176C53FF"/>
    <w:rsid w:val="17AF1E38"/>
    <w:rsid w:val="17F66137"/>
    <w:rsid w:val="17FA16AF"/>
    <w:rsid w:val="180B3C96"/>
    <w:rsid w:val="1816350A"/>
    <w:rsid w:val="181A637C"/>
    <w:rsid w:val="182C7CE5"/>
    <w:rsid w:val="184055F1"/>
    <w:rsid w:val="186E17C3"/>
    <w:rsid w:val="18D72D4C"/>
    <w:rsid w:val="18D74616"/>
    <w:rsid w:val="18E3288B"/>
    <w:rsid w:val="196C14C4"/>
    <w:rsid w:val="1A290DBB"/>
    <w:rsid w:val="1A345395"/>
    <w:rsid w:val="1A5F3850"/>
    <w:rsid w:val="1A6A4C5B"/>
    <w:rsid w:val="1AA96DEB"/>
    <w:rsid w:val="1AAD791E"/>
    <w:rsid w:val="1ABF1CEA"/>
    <w:rsid w:val="1B0260DE"/>
    <w:rsid w:val="1B491A7D"/>
    <w:rsid w:val="1BA62117"/>
    <w:rsid w:val="1BFB0A50"/>
    <w:rsid w:val="1C07728B"/>
    <w:rsid w:val="1C1C4CE0"/>
    <w:rsid w:val="1C252021"/>
    <w:rsid w:val="1C37598E"/>
    <w:rsid w:val="1C3D7EE7"/>
    <w:rsid w:val="1C3E6DE4"/>
    <w:rsid w:val="1C5054AF"/>
    <w:rsid w:val="1C823A83"/>
    <w:rsid w:val="1C851087"/>
    <w:rsid w:val="1C8B411E"/>
    <w:rsid w:val="1CA23671"/>
    <w:rsid w:val="1CA94A00"/>
    <w:rsid w:val="1CB358ED"/>
    <w:rsid w:val="1CBC1FFC"/>
    <w:rsid w:val="1D133BAC"/>
    <w:rsid w:val="1D39260F"/>
    <w:rsid w:val="1D684760"/>
    <w:rsid w:val="1D786FD8"/>
    <w:rsid w:val="1D7D370E"/>
    <w:rsid w:val="1D9F0C47"/>
    <w:rsid w:val="1DA82F09"/>
    <w:rsid w:val="1DD40047"/>
    <w:rsid w:val="1DDA6E3B"/>
    <w:rsid w:val="1DDE45C5"/>
    <w:rsid w:val="1DF30F5E"/>
    <w:rsid w:val="1E2B7432"/>
    <w:rsid w:val="1E4C7D38"/>
    <w:rsid w:val="1E880D1B"/>
    <w:rsid w:val="1EB91129"/>
    <w:rsid w:val="1EC02562"/>
    <w:rsid w:val="1EDB2E6A"/>
    <w:rsid w:val="1F1C3FFC"/>
    <w:rsid w:val="1F2472DD"/>
    <w:rsid w:val="1F39155E"/>
    <w:rsid w:val="1F4E5CE2"/>
    <w:rsid w:val="1F6031E5"/>
    <w:rsid w:val="1F6471DB"/>
    <w:rsid w:val="1FEE7E1B"/>
    <w:rsid w:val="202B19E9"/>
    <w:rsid w:val="20681AEE"/>
    <w:rsid w:val="20732154"/>
    <w:rsid w:val="20AA6774"/>
    <w:rsid w:val="210823A6"/>
    <w:rsid w:val="213C5454"/>
    <w:rsid w:val="21507F48"/>
    <w:rsid w:val="215E639F"/>
    <w:rsid w:val="21684092"/>
    <w:rsid w:val="218029E1"/>
    <w:rsid w:val="21A13B19"/>
    <w:rsid w:val="21DF0EC4"/>
    <w:rsid w:val="221F5B56"/>
    <w:rsid w:val="22325497"/>
    <w:rsid w:val="223E5BEA"/>
    <w:rsid w:val="229402E8"/>
    <w:rsid w:val="22BE0FB6"/>
    <w:rsid w:val="22CE3412"/>
    <w:rsid w:val="23121255"/>
    <w:rsid w:val="23264FFC"/>
    <w:rsid w:val="232E5C5F"/>
    <w:rsid w:val="232F19D7"/>
    <w:rsid w:val="23627AB6"/>
    <w:rsid w:val="236D1CCB"/>
    <w:rsid w:val="23842664"/>
    <w:rsid w:val="23D50E2B"/>
    <w:rsid w:val="23E7405F"/>
    <w:rsid w:val="23F1506F"/>
    <w:rsid w:val="241906BD"/>
    <w:rsid w:val="241B64CA"/>
    <w:rsid w:val="245153D6"/>
    <w:rsid w:val="24756635"/>
    <w:rsid w:val="248D1283"/>
    <w:rsid w:val="24B108F5"/>
    <w:rsid w:val="24C10BC5"/>
    <w:rsid w:val="25003475"/>
    <w:rsid w:val="25284260"/>
    <w:rsid w:val="25494622"/>
    <w:rsid w:val="257D04CF"/>
    <w:rsid w:val="25861DB0"/>
    <w:rsid w:val="25F34E08"/>
    <w:rsid w:val="260A23B5"/>
    <w:rsid w:val="260F1419"/>
    <w:rsid w:val="26185C40"/>
    <w:rsid w:val="26291256"/>
    <w:rsid w:val="26506ACD"/>
    <w:rsid w:val="265A3AA2"/>
    <w:rsid w:val="265D0657"/>
    <w:rsid w:val="267728FE"/>
    <w:rsid w:val="26785CF7"/>
    <w:rsid w:val="26816E90"/>
    <w:rsid w:val="268F17CA"/>
    <w:rsid w:val="26CA2C53"/>
    <w:rsid w:val="26D14D60"/>
    <w:rsid w:val="26DF742E"/>
    <w:rsid w:val="26F57DA5"/>
    <w:rsid w:val="26F92CBD"/>
    <w:rsid w:val="27383B2E"/>
    <w:rsid w:val="273D2434"/>
    <w:rsid w:val="2749750B"/>
    <w:rsid w:val="274A6102"/>
    <w:rsid w:val="2772209C"/>
    <w:rsid w:val="27A26F17"/>
    <w:rsid w:val="280D584F"/>
    <w:rsid w:val="28466A4F"/>
    <w:rsid w:val="285D7463"/>
    <w:rsid w:val="2863040D"/>
    <w:rsid w:val="28760CC7"/>
    <w:rsid w:val="28935454"/>
    <w:rsid w:val="289D2D62"/>
    <w:rsid w:val="28A32C4B"/>
    <w:rsid w:val="28C87BA2"/>
    <w:rsid w:val="28CD79CD"/>
    <w:rsid w:val="2903434C"/>
    <w:rsid w:val="29604312"/>
    <w:rsid w:val="296A5517"/>
    <w:rsid w:val="297E7214"/>
    <w:rsid w:val="29C7367D"/>
    <w:rsid w:val="29DF7CB3"/>
    <w:rsid w:val="29F64FFC"/>
    <w:rsid w:val="2A137E7D"/>
    <w:rsid w:val="2A7255C8"/>
    <w:rsid w:val="2A7445E5"/>
    <w:rsid w:val="2A8F3E3C"/>
    <w:rsid w:val="2AAD1B5F"/>
    <w:rsid w:val="2AC63C33"/>
    <w:rsid w:val="2AD90BA6"/>
    <w:rsid w:val="2B114234"/>
    <w:rsid w:val="2B226845"/>
    <w:rsid w:val="2B4A5460"/>
    <w:rsid w:val="2B6378E1"/>
    <w:rsid w:val="2B6668BA"/>
    <w:rsid w:val="2B9667E8"/>
    <w:rsid w:val="2B9864EF"/>
    <w:rsid w:val="2B996BB4"/>
    <w:rsid w:val="2BA44D6C"/>
    <w:rsid w:val="2BAF1BAA"/>
    <w:rsid w:val="2C374BFA"/>
    <w:rsid w:val="2C410A83"/>
    <w:rsid w:val="2C502E0C"/>
    <w:rsid w:val="2C82573A"/>
    <w:rsid w:val="2C8B1401"/>
    <w:rsid w:val="2C976EAA"/>
    <w:rsid w:val="2C9C6D28"/>
    <w:rsid w:val="2CD51841"/>
    <w:rsid w:val="2CE33060"/>
    <w:rsid w:val="2D0C16CC"/>
    <w:rsid w:val="2D126ABA"/>
    <w:rsid w:val="2D4D5DF5"/>
    <w:rsid w:val="2D786B61"/>
    <w:rsid w:val="2DB249DF"/>
    <w:rsid w:val="2DCF595A"/>
    <w:rsid w:val="2E0B7130"/>
    <w:rsid w:val="2E0C1BAB"/>
    <w:rsid w:val="2E474DD9"/>
    <w:rsid w:val="2E7670F4"/>
    <w:rsid w:val="2E9A2215"/>
    <w:rsid w:val="2EA361F4"/>
    <w:rsid w:val="2EBB5F58"/>
    <w:rsid w:val="2EBF779F"/>
    <w:rsid w:val="2ED309E0"/>
    <w:rsid w:val="2F3740ED"/>
    <w:rsid w:val="2F441E44"/>
    <w:rsid w:val="2FA37F49"/>
    <w:rsid w:val="2FE3518C"/>
    <w:rsid w:val="2FFC28E1"/>
    <w:rsid w:val="300D348D"/>
    <w:rsid w:val="301631A3"/>
    <w:rsid w:val="301B63C6"/>
    <w:rsid w:val="303D2C55"/>
    <w:rsid w:val="304A335E"/>
    <w:rsid w:val="305D69EA"/>
    <w:rsid w:val="305E62B4"/>
    <w:rsid w:val="307A4B5B"/>
    <w:rsid w:val="30FD36C3"/>
    <w:rsid w:val="30FE52FB"/>
    <w:rsid w:val="31396580"/>
    <w:rsid w:val="317078BD"/>
    <w:rsid w:val="31A83080"/>
    <w:rsid w:val="31F6761E"/>
    <w:rsid w:val="320B0543"/>
    <w:rsid w:val="322E4844"/>
    <w:rsid w:val="324F174E"/>
    <w:rsid w:val="32696CB3"/>
    <w:rsid w:val="329F0927"/>
    <w:rsid w:val="32DD31FD"/>
    <w:rsid w:val="3327702B"/>
    <w:rsid w:val="333C1E46"/>
    <w:rsid w:val="334129FB"/>
    <w:rsid w:val="33416FC8"/>
    <w:rsid w:val="338C409E"/>
    <w:rsid w:val="33CD760B"/>
    <w:rsid w:val="33D339B9"/>
    <w:rsid w:val="33E505BB"/>
    <w:rsid w:val="33E762D2"/>
    <w:rsid w:val="33E9780D"/>
    <w:rsid w:val="340B294D"/>
    <w:rsid w:val="343C7F3B"/>
    <w:rsid w:val="345B5839"/>
    <w:rsid w:val="34637732"/>
    <w:rsid w:val="34B013D3"/>
    <w:rsid w:val="34BB6432"/>
    <w:rsid w:val="34BB7EFD"/>
    <w:rsid w:val="35136CA3"/>
    <w:rsid w:val="3538226D"/>
    <w:rsid w:val="35513FD5"/>
    <w:rsid w:val="355754E9"/>
    <w:rsid w:val="356D0868"/>
    <w:rsid w:val="35801178"/>
    <w:rsid w:val="359D0A22"/>
    <w:rsid w:val="359F6DD5"/>
    <w:rsid w:val="35F1677D"/>
    <w:rsid w:val="35FD4C2E"/>
    <w:rsid w:val="35FE1348"/>
    <w:rsid w:val="36734541"/>
    <w:rsid w:val="36A91D74"/>
    <w:rsid w:val="36C30B3F"/>
    <w:rsid w:val="36CD29EA"/>
    <w:rsid w:val="36F56D67"/>
    <w:rsid w:val="373271F9"/>
    <w:rsid w:val="379419BE"/>
    <w:rsid w:val="379A790F"/>
    <w:rsid w:val="37A470E2"/>
    <w:rsid w:val="37C9358B"/>
    <w:rsid w:val="37D22284"/>
    <w:rsid w:val="37E56DDC"/>
    <w:rsid w:val="37EC35B9"/>
    <w:rsid w:val="384358B1"/>
    <w:rsid w:val="38514BAD"/>
    <w:rsid w:val="3881462B"/>
    <w:rsid w:val="389322E0"/>
    <w:rsid w:val="38A247B6"/>
    <w:rsid w:val="38DF22BC"/>
    <w:rsid w:val="38EF1AE2"/>
    <w:rsid w:val="391767DF"/>
    <w:rsid w:val="39612E55"/>
    <w:rsid w:val="39650B88"/>
    <w:rsid w:val="399E0E42"/>
    <w:rsid w:val="39BA23A1"/>
    <w:rsid w:val="39C86892"/>
    <w:rsid w:val="3A163D53"/>
    <w:rsid w:val="3A17184B"/>
    <w:rsid w:val="3A172C17"/>
    <w:rsid w:val="3A441EEC"/>
    <w:rsid w:val="3A46254E"/>
    <w:rsid w:val="3A7E454D"/>
    <w:rsid w:val="3A8A0B21"/>
    <w:rsid w:val="3AA4054B"/>
    <w:rsid w:val="3AEA24FA"/>
    <w:rsid w:val="3B4208AB"/>
    <w:rsid w:val="3B6C3BE9"/>
    <w:rsid w:val="3B6F08F3"/>
    <w:rsid w:val="3BC93FB9"/>
    <w:rsid w:val="3BE745C4"/>
    <w:rsid w:val="3BF03690"/>
    <w:rsid w:val="3BF770DE"/>
    <w:rsid w:val="3C082C21"/>
    <w:rsid w:val="3C112CD0"/>
    <w:rsid w:val="3C187054"/>
    <w:rsid w:val="3C2D636B"/>
    <w:rsid w:val="3C4574F5"/>
    <w:rsid w:val="3C5C5800"/>
    <w:rsid w:val="3C781121"/>
    <w:rsid w:val="3C8327B4"/>
    <w:rsid w:val="3C897293"/>
    <w:rsid w:val="3CB53394"/>
    <w:rsid w:val="3CBF344A"/>
    <w:rsid w:val="3D112A60"/>
    <w:rsid w:val="3D900CDD"/>
    <w:rsid w:val="3DA91EB2"/>
    <w:rsid w:val="3DB53D72"/>
    <w:rsid w:val="3DBA03C3"/>
    <w:rsid w:val="3DE73182"/>
    <w:rsid w:val="3DED69EA"/>
    <w:rsid w:val="3E1321C9"/>
    <w:rsid w:val="3E173A67"/>
    <w:rsid w:val="3E2837AF"/>
    <w:rsid w:val="3E3F2FBE"/>
    <w:rsid w:val="3E785D29"/>
    <w:rsid w:val="3EB119F1"/>
    <w:rsid w:val="3ECB03B5"/>
    <w:rsid w:val="3F0C5071"/>
    <w:rsid w:val="3F311094"/>
    <w:rsid w:val="3F4F46E3"/>
    <w:rsid w:val="3F867930"/>
    <w:rsid w:val="3FA330D9"/>
    <w:rsid w:val="3FBB0422"/>
    <w:rsid w:val="3FDD13E1"/>
    <w:rsid w:val="401610DE"/>
    <w:rsid w:val="401A527D"/>
    <w:rsid w:val="401D4260"/>
    <w:rsid w:val="403448A1"/>
    <w:rsid w:val="40464190"/>
    <w:rsid w:val="407F76A2"/>
    <w:rsid w:val="408A0869"/>
    <w:rsid w:val="40A53295"/>
    <w:rsid w:val="40A65AC6"/>
    <w:rsid w:val="40AD4AAD"/>
    <w:rsid w:val="41022FFD"/>
    <w:rsid w:val="4108336A"/>
    <w:rsid w:val="41303B7B"/>
    <w:rsid w:val="414C6F51"/>
    <w:rsid w:val="4158794C"/>
    <w:rsid w:val="41594439"/>
    <w:rsid w:val="415C2130"/>
    <w:rsid w:val="416674FF"/>
    <w:rsid w:val="418436DD"/>
    <w:rsid w:val="41A236EE"/>
    <w:rsid w:val="41B20784"/>
    <w:rsid w:val="41B2453B"/>
    <w:rsid w:val="42335659"/>
    <w:rsid w:val="42483384"/>
    <w:rsid w:val="42535BB1"/>
    <w:rsid w:val="42A332F2"/>
    <w:rsid w:val="42C6780A"/>
    <w:rsid w:val="430F719D"/>
    <w:rsid w:val="431A5C44"/>
    <w:rsid w:val="433D4662"/>
    <w:rsid w:val="43A11867"/>
    <w:rsid w:val="43E228FB"/>
    <w:rsid w:val="43EB6C4A"/>
    <w:rsid w:val="43EC2ED8"/>
    <w:rsid w:val="441B6520"/>
    <w:rsid w:val="4436483A"/>
    <w:rsid w:val="443E6138"/>
    <w:rsid w:val="4450382F"/>
    <w:rsid w:val="44885526"/>
    <w:rsid w:val="44934204"/>
    <w:rsid w:val="45164A60"/>
    <w:rsid w:val="45C06945"/>
    <w:rsid w:val="46223947"/>
    <w:rsid w:val="4632068F"/>
    <w:rsid w:val="463C6034"/>
    <w:rsid w:val="465A0BBB"/>
    <w:rsid w:val="46712740"/>
    <w:rsid w:val="46FC4313"/>
    <w:rsid w:val="473470C7"/>
    <w:rsid w:val="47554DC2"/>
    <w:rsid w:val="47663CE2"/>
    <w:rsid w:val="47787E77"/>
    <w:rsid w:val="47972A1D"/>
    <w:rsid w:val="47C762E2"/>
    <w:rsid w:val="47F72214"/>
    <w:rsid w:val="48063014"/>
    <w:rsid w:val="48355390"/>
    <w:rsid w:val="48533E45"/>
    <w:rsid w:val="487C3048"/>
    <w:rsid w:val="489C26F2"/>
    <w:rsid w:val="48B723D6"/>
    <w:rsid w:val="48D77032"/>
    <w:rsid w:val="48E56510"/>
    <w:rsid w:val="48FD1AAC"/>
    <w:rsid w:val="493D38D3"/>
    <w:rsid w:val="495522C6"/>
    <w:rsid w:val="495C0735"/>
    <w:rsid w:val="49754ACC"/>
    <w:rsid w:val="49DA5504"/>
    <w:rsid w:val="49EE483C"/>
    <w:rsid w:val="4A024288"/>
    <w:rsid w:val="4A1F66C1"/>
    <w:rsid w:val="4A4F1DC3"/>
    <w:rsid w:val="4A6061F8"/>
    <w:rsid w:val="4A767D37"/>
    <w:rsid w:val="4A7A069B"/>
    <w:rsid w:val="4A903604"/>
    <w:rsid w:val="4AAF6A0A"/>
    <w:rsid w:val="4AB83EDC"/>
    <w:rsid w:val="4AD14F9E"/>
    <w:rsid w:val="4B1A77A2"/>
    <w:rsid w:val="4B3A3E5B"/>
    <w:rsid w:val="4B471718"/>
    <w:rsid w:val="4B8332FB"/>
    <w:rsid w:val="4B912D8D"/>
    <w:rsid w:val="4BAE7A6B"/>
    <w:rsid w:val="4BBE2525"/>
    <w:rsid w:val="4BC36FDC"/>
    <w:rsid w:val="4BF36A73"/>
    <w:rsid w:val="4BF36C44"/>
    <w:rsid w:val="4C060DB3"/>
    <w:rsid w:val="4C473AE8"/>
    <w:rsid w:val="4C91655D"/>
    <w:rsid w:val="4CEC0189"/>
    <w:rsid w:val="4D422183"/>
    <w:rsid w:val="4D5E565F"/>
    <w:rsid w:val="4D820A70"/>
    <w:rsid w:val="4D93478D"/>
    <w:rsid w:val="4E0538DC"/>
    <w:rsid w:val="4E367BC3"/>
    <w:rsid w:val="4E4624E4"/>
    <w:rsid w:val="4E544C58"/>
    <w:rsid w:val="4E6A373F"/>
    <w:rsid w:val="4E784351"/>
    <w:rsid w:val="4E9543AB"/>
    <w:rsid w:val="4EC01F05"/>
    <w:rsid w:val="4EE32BDD"/>
    <w:rsid w:val="4EEF28F5"/>
    <w:rsid w:val="4EF64B4C"/>
    <w:rsid w:val="4FD31C97"/>
    <w:rsid w:val="4FEC1A6E"/>
    <w:rsid w:val="5087599F"/>
    <w:rsid w:val="50AD6421"/>
    <w:rsid w:val="50B23AFB"/>
    <w:rsid w:val="50C51DCA"/>
    <w:rsid w:val="50D91B6D"/>
    <w:rsid w:val="50FC1938"/>
    <w:rsid w:val="51080CA1"/>
    <w:rsid w:val="510870B1"/>
    <w:rsid w:val="511F5313"/>
    <w:rsid w:val="512B159E"/>
    <w:rsid w:val="515B7CB7"/>
    <w:rsid w:val="517A1653"/>
    <w:rsid w:val="517C11A5"/>
    <w:rsid w:val="519E57E5"/>
    <w:rsid w:val="51A2723F"/>
    <w:rsid w:val="51AB457E"/>
    <w:rsid w:val="51E707C1"/>
    <w:rsid w:val="51FC0A11"/>
    <w:rsid w:val="523E5542"/>
    <w:rsid w:val="524B02E8"/>
    <w:rsid w:val="52945136"/>
    <w:rsid w:val="5302488E"/>
    <w:rsid w:val="532E58C0"/>
    <w:rsid w:val="53394028"/>
    <w:rsid w:val="533C41C5"/>
    <w:rsid w:val="53456FDE"/>
    <w:rsid w:val="53482EDA"/>
    <w:rsid w:val="534F7D33"/>
    <w:rsid w:val="53852DC9"/>
    <w:rsid w:val="538D4B13"/>
    <w:rsid w:val="53C82F4E"/>
    <w:rsid w:val="53F5203F"/>
    <w:rsid w:val="54040192"/>
    <w:rsid w:val="540549C1"/>
    <w:rsid w:val="544D38E7"/>
    <w:rsid w:val="549170B8"/>
    <w:rsid w:val="549C410D"/>
    <w:rsid w:val="54AC4FFA"/>
    <w:rsid w:val="54FE3807"/>
    <w:rsid w:val="551F79A1"/>
    <w:rsid w:val="553D0765"/>
    <w:rsid w:val="558E2409"/>
    <w:rsid w:val="55946974"/>
    <w:rsid w:val="559C669F"/>
    <w:rsid w:val="55D21BBD"/>
    <w:rsid w:val="56085B21"/>
    <w:rsid w:val="561065E3"/>
    <w:rsid w:val="561C2EE1"/>
    <w:rsid w:val="562156F5"/>
    <w:rsid w:val="566D62CB"/>
    <w:rsid w:val="56892BD1"/>
    <w:rsid w:val="56E458CB"/>
    <w:rsid w:val="570109B9"/>
    <w:rsid w:val="57016E41"/>
    <w:rsid w:val="570A0E75"/>
    <w:rsid w:val="572B4110"/>
    <w:rsid w:val="57A744B3"/>
    <w:rsid w:val="57DB3900"/>
    <w:rsid w:val="580526ED"/>
    <w:rsid w:val="58151DBA"/>
    <w:rsid w:val="581D7EAE"/>
    <w:rsid w:val="58AB2894"/>
    <w:rsid w:val="58D65097"/>
    <w:rsid w:val="5943175D"/>
    <w:rsid w:val="59C72A58"/>
    <w:rsid w:val="59D32AE1"/>
    <w:rsid w:val="59F6057D"/>
    <w:rsid w:val="5A5D5F45"/>
    <w:rsid w:val="5A921FBB"/>
    <w:rsid w:val="5A930163"/>
    <w:rsid w:val="5AB126F6"/>
    <w:rsid w:val="5ABF7F2C"/>
    <w:rsid w:val="5AEB4202"/>
    <w:rsid w:val="5AEC478B"/>
    <w:rsid w:val="5B050E1F"/>
    <w:rsid w:val="5B076DC2"/>
    <w:rsid w:val="5B0B44FC"/>
    <w:rsid w:val="5B2B798A"/>
    <w:rsid w:val="5B427C37"/>
    <w:rsid w:val="5B4E4122"/>
    <w:rsid w:val="5B7C0F56"/>
    <w:rsid w:val="5BB8579B"/>
    <w:rsid w:val="5C1D0043"/>
    <w:rsid w:val="5C6C03B4"/>
    <w:rsid w:val="5CAC6B74"/>
    <w:rsid w:val="5CCA110D"/>
    <w:rsid w:val="5D115E7F"/>
    <w:rsid w:val="5D5F0727"/>
    <w:rsid w:val="5D691457"/>
    <w:rsid w:val="5D6C6EE5"/>
    <w:rsid w:val="5D757DB0"/>
    <w:rsid w:val="5DCB5506"/>
    <w:rsid w:val="5DD65C7B"/>
    <w:rsid w:val="5E021BE6"/>
    <w:rsid w:val="5E0B12EA"/>
    <w:rsid w:val="5E302DDC"/>
    <w:rsid w:val="5E623282"/>
    <w:rsid w:val="5E7E4392"/>
    <w:rsid w:val="5EDF418E"/>
    <w:rsid w:val="5EE23C3E"/>
    <w:rsid w:val="5EF463B9"/>
    <w:rsid w:val="5EF930F3"/>
    <w:rsid w:val="5F6366B5"/>
    <w:rsid w:val="5FB753BE"/>
    <w:rsid w:val="5FCC33BE"/>
    <w:rsid w:val="5FD9754E"/>
    <w:rsid w:val="5FFF76CF"/>
    <w:rsid w:val="60355A78"/>
    <w:rsid w:val="604715A6"/>
    <w:rsid w:val="604E3101"/>
    <w:rsid w:val="607D5C68"/>
    <w:rsid w:val="60B8658C"/>
    <w:rsid w:val="60C2697C"/>
    <w:rsid w:val="60E20F4D"/>
    <w:rsid w:val="61077514"/>
    <w:rsid w:val="61243C22"/>
    <w:rsid w:val="612C03D7"/>
    <w:rsid w:val="613B3E0B"/>
    <w:rsid w:val="615A329B"/>
    <w:rsid w:val="616C642D"/>
    <w:rsid w:val="61722012"/>
    <w:rsid w:val="61B0356C"/>
    <w:rsid w:val="61CC1C61"/>
    <w:rsid w:val="62426280"/>
    <w:rsid w:val="62600C89"/>
    <w:rsid w:val="626340F9"/>
    <w:rsid w:val="628B15D4"/>
    <w:rsid w:val="62B249B9"/>
    <w:rsid w:val="62C162E2"/>
    <w:rsid w:val="63315412"/>
    <w:rsid w:val="63671A75"/>
    <w:rsid w:val="63715118"/>
    <w:rsid w:val="63911785"/>
    <w:rsid w:val="63A04625"/>
    <w:rsid w:val="63CB5A34"/>
    <w:rsid w:val="63D61AC1"/>
    <w:rsid w:val="63E14484"/>
    <w:rsid w:val="63E83E49"/>
    <w:rsid w:val="64036E96"/>
    <w:rsid w:val="642C31C3"/>
    <w:rsid w:val="64625EBC"/>
    <w:rsid w:val="64837EDA"/>
    <w:rsid w:val="64F102BF"/>
    <w:rsid w:val="64F1485A"/>
    <w:rsid w:val="6502427A"/>
    <w:rsid w:val="6535464F"/>
    <w:rsid w:val="659A7545"/>
    <w:rsid w:val="65D010C8"/>
    <w:rsid w:val="65DA25DC"/>
    <w:rsid w:val="66220DFA"/>
    <w:rsid w:val="669B69D9"/>
    <w:rsid w:val="66A93175"/>
    <w:rsid w:val="66E47901"/>
    <w:rsid w:val="66E86B42"/>
    <w:rsid w:val="66F67E0E"/>
    <w:rsid w:val="6739352D"/>
    <w:rsid w:val="67580ADF"/>
    <w:rsid w:val="67712125"/>
    <w:rsid w:val="67DB53F8"/>
    <w:rsid w:val="67E81E4D"/>
    <w:rsid w:val="685B3AD8"/>
    <w:rsid w:val="687B27F8"/>
    <w:rsid w:val="68CD5B3A"/>
    <w:rsid w:val="68D61D57"/>
    <w:rsid w:val="68DA7122"/>
    <w:rsid w:val="68F320A6"/>
    <w:rsid w:val="690A7BA1"/>
    <w:rsid w:val="695157D0"/>
    <w:rsid w:val="69C93490"/>
    <w:rsid w:val="69D361E5"/>
    <w:rsid w:val="69E37DF4"/>
    <w:rsid w:val="6A336578"/>
    <w:rsid w:val="6A5A6906"/>
    <w:rsid w:val="6A5D1F52"/>
    <w:rsid w:val="6A6042B5"/>
    <w:rsid w:val="6A8366E0"/>
    <w:rsid w:val="6AF512CD"/>
    <w:rsid w:val="6B043F43"/>
    <w:rsid w:val="6B2B4A32"/>
    <w:rsid w:val="6BA76336"/>
    <w:rsid w:val="6BAE30A6"/>
    <w:rsid w:val="6C3601D3"/>
    <w:rsid w:val="6CAF40F8"/>
    <w:rsid w:val="6CC95681"/>
    <w:rsid w:val="6CDD3319"/>
    <w:rsid w:val="6CE52678"/>
    <w:rsid w:val="6CEC1F75"/>
    <w:rsid w:val="6D0B205B"/>
    <w:rsid w:val="6D105AC9"/>
    <w:rsid w:val="6D132A0B"/>
    <w:rsid w:val="6D1468AE"/>
    <w:rsid w:val="6D3C2870"/>
    <w:rsid w:val="6D611FFE"/>
    <w:rsid w:val="6D646497"/>
    <w:rsid w:val="6D7D6685"/>
    <w:rsid w:val="6D855A48"/>
    <w:rsid w:val="6DA92CB2"/>
    <w:rsid w:val="6DB413BA"/>
    <w:rsid w:val="6DE902C8"/>
    <w:rsid w:val="6E073A29"/>
    <w:rsid w:val="6E0C7334"/>
    <w:rsid w:val="6E4B13D6"/>
    <w:rsid w:val="6E5F44BF"/>
    <w:rsid w:val="6E67025A"/>
    <w:rsid w:val="6EAA0D8B"/>
    <w:rsid w:val="6EBB0AD1"/>
    <w:rsid w:val="6EBC0B36"/>
    <w:rsid w:val="6EDD3662"/>
    <w:rsid w:val="6EEB2223"/>
    <w:rsid w:val="6EED083D"/>
    <w:rsid w:val="6F06455E"/>
    <w:rsid w:val="6F28280D"/>
    <w:rsid w:val="6F285E67"/>
    <w:rsid w:val="6F340B83"/>
    <w:rsid w:val="6F3C65DA"/>
    <w:rsid w:val="6F6541CD"/>
    <w:rsid w:val="6F6760E8"/>
    <w:rsid w:val="6F7F0FDE"/>
    <w:rsid w:val="6F9500AA"/>
    <w:rsid w:val="6F9E025C"/>
    <w:rsid w:val="6FA5183E"/>
    <w:rsid w:val="6FB3005E"/>
    <w:rsid w:val="6FB66D08"/>
    <w:rsid w:val="6FC147F6"/>
    <w:rsid w:val="6FEA6982"/>
    <w:rsid w:val="6FED37B7"/>
    <w:rsid w:val="70157226"/>
    <w:rsid w:val="70386E78"/>
    <w:rsid w:val="70565C31"/>
    <w:rsid w:val="706E310B"/>
    <w:rsid w:val="70877D29"/>
    <w:rsid w:val="70AE3508"/>
    <w:rsid w:val="70C25205"/>
    <w:rsid w:val="70C80728"/>
    <w:rsid w:val="70EF3F7D"/>
    <w:rsid w:val="71104C10"/>
    <w:rsid w:val="712323A4"/>
    <w:rsid w:val="7181015E"/>
    <w:rsid w:val="71C4646A"/>
    <w:rsid w:val="71EA0140"/>
    <w:rsid w:val="71F118FE"/>
    <w:rsid w:val="72590E11"/>
    <w:rsid w:val="72656A1F"/>
    <w:rsid w:val="72EF7AC4"/>
    <w:rsid w:val="73374BA6"/>
    <w:rsid w:val="736138BF"/>
    <w:rsid w:val="73D03795"/>
    <w:rsid w:val="73D70FC8"/>
    <w:rsid w:val="73F065F6"/>
    <w:rsid w:val="73F550D4"/>
    <w:rsid w:val="74315C67"/>
    <w:rsid w:val="74411B79"/>
    <w:rsid w:val="74542618"/>
    <w:rsid w:val="745C7069"/>
    <w:rsid w:val="747661D6"/>
    <w:rsid w:val="74877B4D"/>
    <w:rsid w:val="75525713"/>
    <w:rsid w:val="75610474"/>
    <w:rsid w:val="75637537"/>
    <w:rsid w:val="757F4DA8"/>
    <w:rsid w:val="7589009F"/>
    <w:rsid w:val="75893E82"/>
    <w:rsid w:val="75A20731"/>
    <w:rsid w:val="75B34C2D"/>
    <w:rsid w:val="75CD1E11"/>
    <w:rsid w:val="75E74393"/>
    <w:rsid w:val="7601347A"/>
    <w:rsid w:val="762D4ECF"/>
    <w:rsid w:val="76337903"/>
    <w:rsid w:val="76347E65"/>
    <w:rsid w:val="76384E76"/>
    <w:rsid w:val="767B40A9"/>
    <w:rsid w:val="76BE25BE"/>
    <w:rsid w:val="76E5087B"/>
    <w:rsid w:val="76F762BB"/>
    <w:rsid w:val="77024615"/>
    <w:rsid w:val="77081FA5"/>
    <w:rsid w:val="77815A40"/>
    <w:rsid w:val="77AD340F"/>
    <w:rsid w:val="77CA0AC0"/>
    <w:rsid w:val="77D637BD"/>
    <w:rsid w:val="78372CAB"/>
    <w:rsid w:val="784A70CA"/>
    <w:rsid w:val="785900EE"/>
    <w:rsid w:val="78766A39"/>
    <w:rsid w:val="788D60F9"/>
    <w:rsid w:val="789D27E0"/>
    <w:rsid w:val="78E54394"/>
    <w:rsid w:val="792F6A65"/>
    <w:rsid w:val="79444D45"/>
    <w:rsid w:val="796535FC"/>
    <w:rsid w:val="79AC25AE"/>
    <w:rsid w:val="79C33B54"/>
    <w:rsid w:val="79C97604"/>
    <w:rsid w:val="79DC10E6"/>
    <w:rsid w:val="79F469CC"/>
    <w:rsid w:val="7A570B53"/>
    <w:rsid w:val="7A8022CA"/>
    <w:rsid w:val="7ABF218C"/>
    <w:rsid w:val="7B2A3189"/>
    <w:rsid w:val="7B4955E4"/>
    <w:rsid w:val="7B4A03A9"/>
    <w:rsid w:val="7B667ABD"/>
    <w:rsid w:val="7B68091A"/>
    <w:rsid w:val="7BFE3A89"/>
    <w:rsid w:val="7C0040DA"/>
    <w:rsid w:val="7C02545D"/>
    <w:rsid w:val="7C223636"/>
    <w:rsid w:val="7C433AEA"/>
    <w:rsid w:val="7C730A93"/>
    <w:rsid w:val="7C9117F6"/>
    <w:rsid w:val="7C957637"/>
    <w:rsid w:val="7CB9448F"/>
    <w:rsid w:val="7CF14CE5"/>
    <w:rsid w:val="7D4025FE"/>
    <w:rsid w:val="7D5E1E12"/>
    <w:rsid w:val="7D61739E"/>
    <w:rsid w:val="7D9677FD"/>
    <w:rsid w:val="7DAA2AF8"/>
    <w:rsid w:val="7DDA6D11"/>
    <w:rsid w:val="7E0E6602"/>
    <w:rsid w:val="7E825C71"/>
    <w:rsid w:val="7EC56CB6"/>
    <w:rsid w:val="7EE40B9B"/>
    <w:rsid w:val="7F1E703D"/>
    <w:rsid w:val="7F4A7452"/>
    <w:rsid w:val="7F5060EC"/>
    <w:rsid w:val="7F550F96"/>
    <w:rsid w:val="7F6578FB"/>
    <w:rsid w:val="7F714013"/>
    <w:rsid w:val="7FBE6679"/>
    <w:rsid w:val="7FC328B2"/>
    <w:rsid w:val="7FCA3C53"/>
    <w:rsid w:val="7FD7726C"/>
    <w:rsid w:val="7FDA4208"/>
    <w:rsid w:val="7FE548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ocked="1"/>
    <w:lsdException w:qFormat="1" w:uiPriority="9" w:name="heading 3" w:locked="1"/>
    <w:lsdException w:qFormat="1" w:uiPriority="0"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qFormat="1" w:unhideWhenUsed="0" w:uiPriority="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qFormat="1" w:unhideWhenUsed="0" w:uiPriority="0" w:semiHidden="0" w:name="footnote text" w:locked="1"/>
    <w:lsdException w:qFormat="1" w:unhideWhenUsed="0" w:uiPriority="0"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qFormat="1" w:unhideWhenUsed="0" w:uiPriority="0" w:semiHidden="0"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qFormat="1" w:uiPriority="99" w:name="Body Text First Indent" w:locked="1"/>
    <w:lsdException w:qFormat="1" w:unhideWhenUsed="0" w:uiPriority="0" w:semiHidden="0" w:name="Body Text First Indent 2" w:locked="1"/>
    <w:lsdException w:uiPriority="99" w:name="Note Heading" w:locked="1"/>
    <w:lsdException w:qFormat="1" w:unhideWhenUsed="0" w:uiPriority="0" w:semiHidden="0" w:name="Body Text 2" w:locked="1"/>
    <w:lsdException w:qFormat="1" w:unhideWhenUsed="0" w:uiPriority="0" w:semiHidden="0" w:name="Body Text 3" w:locked="1"/>
    <w:lsdException w:uiPriority="99" w:name="Body Text Indent 2" w:locked="1"/>
    <w:lsdException w:uiPriority="99" w:name="Body Text Indent 3" w:locked="1"/>
    <w:lsdException w:uiPriority="99" w:name="Block Text" w:locked="1"/>
    <w:lsdException w:qFormat="1"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9"/>
    <w:pPr>
      <w:keepNext/>
      <w:keepLines/>
      <w:widowControl/>
      <w:snapToGrid w:val="0"/>
      <w:spacing w:line="400" w:lineRule="atLeast"/>
      <w:jc w:val="center"/>
      <w:outlineLvl w:val="0"/>
    </w:pPr>
    <w:rPr>
      <w:rFonts w:ascii="宋体"/>
      <w:b/>
      <w:kern w:val="28"/>
      <w:sz w:val="36"/>
      <w:szCs w:val="22"/>
    </w:rPr>
  </w:style>
  <w:style w:type="paragraph" w:styleId="3">
    <w:name w:val="heading 2"/>
    <w:basedOn w:val="1"/>
    <w:next w:val="1"/>
    <w:unhideWhenUsed/>
    <w:qFormat/>
    <w:locked/>
    <w:uiPriority w:val="0"/>
    <w:pPr>
      <w:keepNext/>
      <w:keepLines/>
      <w:spacing w:before="260" w:after="260" w:line="416" w:lineRule="auto"/>
      <w:outlineLvl w:val="1"/>
    </w:pPr>
    <w:rPr>
      <w:rFonts w:ascii="Cambria" w:hAnsi="Cambria"/>
      <w:b/>
      <w:bCs/>
      <w:sz w:val="32"/>
      <w:szCs w:val="32"/>
    </w:rPr>
  </w:style>
  <w:style w:type="paragraph" w:styleId="4">
    <w:name w:val="heading 4"/>
    <w:basedOn w:val="1"/>
    <w:next w:val="1"/>
    <w:unhideWhenUsed/>
    <w:qFormat/>
    <w:locked/>
    <w:uiPriority w:val="0"/>
    <w:pPr>
      <w:keepNext/>
      <w:keepLines/>
      <w:widowControl w:val="0"/>
      <w:numPr>
        <w:ilvl w:val="3"/>
        <w:numId w:val="0"/>
      </w:numPr>
      <w:spacing w:line="360" w:lineRule="auto"/>
      <w:ind w:left="864" w:hanging="144" w:firstLineChars="0"/>
      <w:outlineLvl w:val="3"/>
    </w:pPr>
    <w:rPr>
      <w:rFonts w:ascii="Times New Roman" w:hAnsi="Times New Roman" w:eastAsia="宋体"/>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locked/>
    <w:uiPriority w:val="0"/>
    <w:pPr>
      <w:spacing w:line="500" w:lineRule="exact"/>
      <w:ind w:left="0" w:leftChars="0" w:firstLine="0" w:firstLineChars="0"/>
    </w:pPr>
  </w:style>
  <w:style w:type="paragraph" w:styleId="6">
    <w:name w:val="Normal Indent"/>
    <w:basedOn w:val="1"/>
    <w:qFormat/>
    <w:locked/>
    <w:uiPriority w:val="0"/>
    <w:pPr>
      <w:ind w:firstLine="420" w:firstLineChars="200"/>
    </w:pPr>
  </w:style>
  <w:style w:type="paragraph" w:styleId="7">
    <w:name w:val="index 5"/>
    <w:basedOn w:val="1"/>
    <w:next w:val="1"/>
    <w:semiHidden/>
    <w:qFormat/>
    <w:locked/>
    <w:uiPriority w:val="0"/>
    <w:pPr>
      <w:ind w:left="800" w:leftChars="800"/>
    </w:pPr>
    <w:rPr>
      <w:szCs w:val="20"/>
    </w:rPr>
  </w:style>
  <w:style w:type="paragraph" w:styleId="8">
    <w:name w:val="annotation text"/>
    <w:basedOn w:val="1"/>
    <w:qFormat/>
    <w:locked/>
    <w:uiPriority w:val="0"/>
    <w:rPr>
      <w:szCs w:val="20"/>
    </w:rPr>
  </w:style>
  <w:style w:type="paragraph" w:styleId="9">
    <w:name w:val="Body Text 3"/>
    <w:basedOn w:val="1"/>
    <w:qFormat/>
    <w:locked/>
    <w:uiPriority w:val="0"/>
    <w:pPr>
      <w:spacing w:line="240" w:lineRule="auto"/>
      <w:ind w:firstLine="0" w:firstLineChars="0"/>
      <w:jc w:val="center"/>
    </w:pPr>
    <w:rPr>
      <w:kern w:val="2"/>
      <w:sz w:val="21"/>
    </w:rPr>
  </w:style>
  <w:style w:type="paragraph" w:styleId="10">
    <w:name w:val="Body Text"/>
    <w:basedOn w:val="1"/>
    <w:link w:val="35"/>
    <w:qFormat/>
    <w:uiPriority w:val="99"/>
    <w:pPr>
      <w:spacing w:after="120"/>
    </w:pPr>
    <w:rPr>
      <w:rFonts w:ascii="Calibri" w:hAnsi="Calibri"/>
    </w:rPr>
  </w:style>
  <w:style w:type="paragraph" w:styleId="11">
    <w:name w:val="Body Text Indent"/>
    <w:basedOn w:val="1"/>
    <w:next w:val="12"/>
    <w:qFormat/>
    <w:locked/>
    <w:uiPriority w:val="99"/>
    <w:pPr>
      <w:spacing w:after="120"/>
      <w:ind w:left="420" w:leftChars="200"/>
    </w:pPr>
  </w:style>
  <w:style w:type="paragraph" w:styleId="12">
    <w:name w:val="Body Text First Indent 2"/>
    <w:basedOn w:val="11"/>
    <w:next w:val="1"/>
    <w:qFormat/>
    <w:locked/>
    <w:uiPriority w:val="0"/>
    <w:pPr>
      <w:ind w:firstLine="420" w:firstLineChars="200"/>
    </w:pPr>
    <w:rPr>
      <w:rFonts w:ascii="Times New Roman" w:hAnsi="Times New Roman" w:eastAsia="宋体" w:cs="Times New Roman"/>
      <w:sz w:val="20"/>
      <w:szCs w:val="24"/>
    </w:rPr>
  </w:style>
  <w:style w:type="paragraph" w:styleId="13">
    <w:name w:val="toc 3"/>
    <w:basedOn w:val="1"/>
    <w:next w:val="1"/>
    <w:qFormat/>
    <w:uiPriority w:val="99"/>
    <w:pPr>
      <w:tabs>
        <w:tab w:val="right" w:leader="dot" w:pos="8777"/>
      </w:tabs>
      <w:spacing w:line="480" w:lineRule="exact"/>
      <w:ind w:left="482" w:firstLine="103" w:firstLineChars="43"/>
      <w:jc w:val="left"/>
    </w:pPr>
    <w:rPr>
      <w:i/>
      <w:iCs/>
      <w:sz w:val="20"/>
      <w:szCs w:val="20"/>
    </w:rPr>
  </w:style>
  <w:style w:type="paragraph" w:styleId="14">
    <w:name w:val="Plain Text"/>
    <w:basedOn w:val="1"/>
    <w:link w:val="34"/>
    <w:qFormat/>
    <w:uiPriority w:val="99"/>
    <w:rPr>
      <w:rFonts w:ascii="宋体" w:hAnsi="Courier New"/>
      <w:szCs w:val="20"/>
    </w:rPr>
  </w:style>
  <w:style w:type="paragraph" w:styleId="15">
    <w:name w:val="Balloon Text"/>
    <w:basedOn w:val="1"/>
    <w:link w:val="50"/>
    <w:semiHidden/>
    <w:unhideWhenUsed/>
    <w:qFormat/>
    <w:locked/>
    <w:uiPriority w:val="99"/>
    <w:rPr>
      <w:sz w:val="18"/>
      <w:szCs w:val="18"/>
    </w:rPr>
  </w:style>
  <w:style w:type="paragraph" w:styleId="16">
    <w:name w:val="footer"/>
    <w:basedOn w:val="1"/>
    <w:link w:val="36"/>
    <w:qFormat/>
    <w:uiPriority w:val="99"/>
    <w:pPr>
      <w:tabs>
        <w:tab w:val="center" w:pos="4153"/>
        <w:tab w:val="right" w:pos="8306"/>
      </w:tabs>
      <w:snapToGrid w:val="0"/>
      <w:jc w:val="left"/>
    </w:pPr>
    <w:rPr>
      <w:sz w:val="18"/>
    </w:rPr>
  </w:style>
  <w:style w:type="paragraph" w:styleId="17">
    <w:name w:val="header"/>
    <w:basedOn w:val="1"/>
    <w:link w:val="3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99"/>
    <w:pPr>
      <w:jc w:val="left"/>
    </w:pPr>
    <w:rPr>
      <w:b/>
      <w:bCs/>
      <w:caps/>
      <w:sz w:val="20"/>
      <w:szCs w:val="20"/>
    </w:rPr>
  </w:style>
  <w:style w:type="paragraph" w:styleId="19">
    <w:name w:val="Subtitle"/>
    <w:basedOn w:val="1"/>
    <w:next w:val="1"/>
    <w:link w:val="38"/>
    <w:qFormat/>
    <w:uiPriority w:val="99"/>
    <w:pPr>
      <w:spacing w:before="240" w:after="60" w:line="312" w:lineRule="auto"/>
      <w:jc w:val="center"/>
      <w:outlineLvl w:val="1"/>
    </w:pPr>
    <w:rPr>
      <w:rFonts w:ascii="Cambria" w:hAnsi="Cambria"/>
      <w:b/>
      <w:bCs/>
      <w:kern w:val="28"/>
      <w:sz w:val="32"/>
      <w:szCs w:val="32"/>
    </w:rPr>
  </w:style>
  <w:style w:type="paragraph" w:styleId="20">
    <w:name w:val="footnote text"/>
    <w:basedOn w:val="1"/>
    <w:next w:val="7"/>
    <w:qFormat/>
    <w:locked/>
    <w:uiPriority w:val="0"/>
    <w:pPr>
      <w:numPr>
        <w:ilvl w:val="0"/>
        <w:numId w:val="1"/>
      </w:numPr>
      <w:tabs>
        <w:tab w:val="clear" w:pos="1200"/>
      </w:tabs>
      <w:snapToGrid w:val="0"/>
      <w:ind w:left="0" w:firstLine="0"/>
      <w:jc w:val="left"/>
    </w:pPr>
    <w:rPr>
      <w:sz w:val="18"/>
      <w:szCs w:val="18"/>
    </w:rPr>
  </w:style>
  <w:style w:type="paragraph" w:styleId="21">
    <w:name w:val="toc 2"/>
    <w:basedOn w:val="1"/>
    <w:next w:val="1"/>
    <w:qFormat/>
    <w:uiPriority w:val="99"/>
    <w:pPr>
      <w:tabs>
        <w:tab w:val="right" w:leader="dot" w:pos="8777"/>
      </w:tabs>
      <w:ind w:firstLine="566" w:firstLineChars="236"/>
      <w:jc w:val="left"/>
    </w:pPr>
    <w:rPr>
      <w:smallCaps/>
      <w:sz w:val="20"/>
      <w:szCs w:val="20"/>
    </w:rPr>
  </w:style>
  <w:style w:type="paragraph" w:styleId="22">
    <w:name w:val="Body Text 2"/>
    <w:basedOn w:val="1"/>
    <w:qFormat/>
    <w:locked/>
    <w:uiPriority w:val="0"/>
    <w:pPr>
      <w:spacing w:after="120" w:line="480" w:lineRule="auto"/>
    </w:pPr>
  </w:style>
  <w:style w:type="paragraph" w:styleId="23">
    <w:name w:val="HTML Preformatted"/>
    <w:basedOn w:val="1"/>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24">
    <w:name w:val="Normal (Web)"/>
    <w:basedOn w:val="1"/>
    <w:qFormat/>
    <w:uiPriority w:val="99"/>
    <w:pPr>
      <w:spacing w:before="100" w:beforeAutospacing="1" w:after="100" w:afterAutospacing="1"/>
      <w:jc w:val="left"/>
    </w:pPr>
    <w:rPr>
      <w:kern w:val="0"/>
    </w:rPr>
  </w:style>
  <w:style w:type="paragraph" w:styleId="25">
    <w:name w:val="Title"/>
    <w:basedOn w:val="1"/>
    <w:next w:val="1"/>
    <w:link w:val="39"/>
    <w:qFormat/>
    <w:uiPriority w:val="99"/>
    <w:pPr>
      <w:jc w:val="center"/>
      <w:outlineLvl w:val="0"/>
    </w:pPr>
    <w:rPr>
      <w:rFonts w:ascii="Cambria" w:hAnsi="Cambria"/>
      <w:b/>
      <w:bCs/>
      <w:sz w:val="36"/>
      <w:szCs w:val="32"/>
    </w:rPr>
  </w:style>
  <w:style w:type="paragraph" w:styleId="26">
    <w:name w:val="Body Text First Indent"/>
    <w:basedOn w:val="10"/>
    <w:semiHidden/>
    <w:unhideWhenUsed/>
    <w:qFormat/>
    <w:locked/>
    <w:uiPriority w:val="99"/>
    <w:pPr>
      <w:ind w:firstLine="420" w:firstLineChars="100"/>
    </w:p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locked/>
    <w:uiPriority w:val="22"/>
    <w:rPr>
      <w:b/>
    </w:rPr>
  </w:style>
  <w:style w:type="character" w:styleId="31">
    <w:name w:val="page number"/>
    <w:basedOn w:val="29"/>
    <w:qFormat/>
    <w:uiPriority w:val="99"/>
    <w:rPr>
      <w:rFonts w:cs="Times New Roman"/>
    </w:rPr>
  </w:style>
  <w:style w:type="character" w:styleId="32">
    <w:name w:val="Hyperlink"/>
    <w:basedOn w:val="29"/>
    <w:semiHidden/>
    <w:unhideWhenUsed/>
    <w:qFormat/>
    <w:locked/>
    <w:uiPriority w:val="99"/>
    <w:rPr>
      <w:color w:val="0000FF"/>
      <w:u w:val="single"/>
    </w:rPr>
  </w:style>
  <w:style w:type="character" w:customStyle="1" w:styleId="33">
    <w:name w:val="标题 1 Char"/>
    <w:basedOn w:val="29"/>
    <w:link w:val="2"/>
    <w:qFormat/>
    <w:locked/>
    <w:uiPriority w:val="99"/>
    <w:rPr>
      <w:rFonts w:cs="Times New Roman"/>
      <w:b/>
      <w:bCs/>
      <w:kern w:val="44"/>
      <w:sz w:val="44"/>
      <w:szCs w:val="44"/>
    </w:rPr>
  </w:style>
  <w:style w:type="character" w:customStyle="1" w:styleId="34">
    <w:name w:val="纯文本 Char"/>
    <w:basedOn w:val="29"/>
    <w:link w:val="14"/>
    <w:semiHidden/>
    <w:qFormat/>
    <w:locked/>
    <w:uiPriority w:val="99"/>
    <w:rPr>
      <w:rFonts w:ascii="宋体" w:hAnsi="Courier New" w:cs="Courier New"/>
      <w:sz w:val="21"/>
      <w:szCs w:val="21"/>
    </w:rPr>
  </w:style>
  <w:style w:type="character" w:customStyle="1" w:styleId="35">
    <w:name w:val="正文文本 Char"/>
    <w:basedOn w:val="29"/>
    <w:link w:val="10"/>
    <w:semiHidden/>
    <w:qFormat/>
    <w:locked/>
    <w:uiPriority w:val="99"/>
    <w:rPr>
      <w:rFonts w:cs="Times New Roman"/>
      <w:sz w:val="24"/>
      <w:szCs w:val="24"/>
    </w:rPr>
  </w:style>
  <w:style w:type="character" w:customStyle="1" w:styleId="36">
    <w:name w:val="页脚 Char"/>
    <w:basedOn w:val="29"/>
    <w:link w:val="16"/>
    <w:semiHidden/>
    <w:qFormat/>
    <w:locked/>
    <w:uiPriority w:val="99"/>
    <w:rPr>
      <w:rFonts w:cs="Times New Roman"/>
      <w:sz w:val="18"/>
      <w:szCs w:val="18"/>
    </w:rPr>
  </w:style>
  <w:style w:type="character" w:customStyle="1" w:styleId="37">
    <w:name w:val="页眉 Char"/>
    <w:basedOn w:val="29"/>
    <w:link w:val="17"/>
    <w:semiHidden/>
    <w:qFormat/>
    <w:locked/>
    <w:uiPriority w:val="99"/>
    <w:rPr>
      <w:rFonts w:cs="Times New Roman"/>
      <w:sz w:val="18"/>
      <w:szCs w:val="18"/>
    </w:rPr>
  </w:style>
  <w:style w:type="character" w:customStyle="1" w:styleId="38">
    <w:name w:val="副标题 Char"/>
    <w:basedOn w:val="29"/>
    <w:link w:val="19"/>
    <w:qFormat/>
    <w:locked/>
    <w:uiPriority w:val="99"/>
    <w:rPr>
      <w:rFonts w:ascii="Cambria" w:hAnsi="Cambria" w:cs="Times New Roman"/>
      <w:b/>
      <w:bCs/>
      <w:kern w:val="28"/>
      <w:sz w:val="32"/>
      <w:szCs w:val="32"/>
    </w:rPr>
  </w:style>
  <w:style w:type="character" w:customStyle="1" w:styleId="39">
    <w:name w:val="标题 Char"/>
    <w:basedOn w:val="29"/>
    <w:link w:val="25"/>
    <w:qFormat/>
    <w:locked/>
    <w:uiPriority w:val="99"/>
    <w:rPr>
      <w:rFonts w:ascii="Cambria" w:hAnsi="Cambria" w:cs="Times New Roman"/>
      <w:b/>
      <w:bCs/>
      <w:sz w:val="32"/>
      <w:szCs w:val="32"/>
    </w:rPr>
  </w:style>
  <w:style w:type="paragraph" w:customStyle="1" w:styleId="40">
    <w:name w:val="TOC 标题1"/>
    <w:basedOn w:val="2"/>
    <w:next w:val="1"/>
    <w:qFormat/>
    <w:uiPriority w:val="99"/>
    <w:pPr>
      <w:spacing w:before="480" w:line="276" w:lineRule="auto"/>
      <w:outlineLvl w:val="9"/>
    </w:pPr>
    <w:rPr>
      <w:rFonts w:ascii="仿宋" w:hAnsi="仿宋" w:eastAsia="仿宋"/>
      <w:color w:val="000000"/>
      <w:kern w:val="0"/>
      <w:sz w:val="32"/>
      <w:szCs w:val="32"/>
    </w:rPr>
  </w:style>
  <w:style w:type="paragraph" w:customStyle="1" w:styleId="41">
    <w:name w:val="Char"/>
    <w:basedOn w:val="1"/>
    <w:qFormat/>
    <w:uiPriority w:val="99"/>
    <w:pPr>
      <w:widowControl/>
      <w:spacing w:line="240" w:lineRule="exact"/>
      <w:jc w:val="left"/>
    </w:pPr>
    <w:rPr>
      <w:rFonts w:ascii="Verdana" w:hAnsi="Verdana"/>
      <w:kern w:val="0"/>
      <w:szCs w:val="20"/>
      <w:lang w:eastAsia="en-US"/>
    </w:rPr>
  </w:style>
  <w:style w:type="paragraph" w:styleId="42">
    <w:name w:val="List Paragraph"/>
    <w:basedOn w:val="1"/>
    <w:qFormat/>
    <w:uiPriority w:val="99"/>
    <w:pPr>
      <w:ind w:firstLine="420" w:firstLineChars="200"/>
    </w:pPr>
  </w:style>
  <w:style w:type="paragraph" w:styleId="4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4">
    <w:name w:val="NormalCharacter"/>
    <w:qFormat/>
    <w:uiPriority w:val="0"/>
    <w:rPr>
      <w:rFonts w:ascii="Times New Roman" w:hAnsi="Times New Roman" w:eastAsia="宋体"/>
    </w:rPr>
  </w:style>
  <w:style w:type="table" w:customStyle="1" w:styleId="45">
    <w:name w:val="Table Normal"/>
    <w:semiHidden/>
    <w:unhideWhenUsed/>
    <w:qFormat/>
    <w:uiPriority w:val="0"/>
    <w:tblPr>
      <w:tblCellMar>
        <w:top w:w="0" w:type="dxa"/>
        <w:left w:w="0" w:type="dxa"/>
        <w:bottom w:w="0" w:type="dxa"/>
        <w:right w:w="0" w:type="dxa"/>
      </w:tblCellMar>
    </w:tblPr>
  </w:style>
  <w:style w:type="paragraph" w:customStyle="1" w:styleId="46">
    <w:name w:val="Default"/>
    <w:basedOn w:val="1"/>
    <w:qFormat/>
    <w:uiPriority w:val="0"/>
    <w:pPr>
      <w:autoSpaceDE w:val="0"/>
      <w:autoSpaceDN w:val="0"/>
      <w:jc w:val="left"/>
    </w:pPr>
    <w:rPr>
      <w:rFonts w:ascii="宋体" w:hAnsi="宋体" w:cs="宋体"/>
      <w:color w:val="000000"/>
      <w:sz w:val="24"/>
    </w:rPr>
  </w:style>
  <w:style w:type="paragraph" w:customStyle="1" w:styleId="47">
    <w:name w:val="表头"/>
    <w:qFormat/>
    <w:uiPriority w:val="0"/>
    <w:pPr>
      <w:jc w:val="center"/>
    </w:pPr>
    <w:rPr>
      <w:rFonts w:ascii="Times New Roman" w:hAnsi="Times New Roman" w:eastAsia="宋体" w:cs="Times New Roman"/>
      <w:b/>
      <w:kern w:val="2"/>
      <w:sz w:val="21"/>
      <w:szCs w:val="21"/>
      <w:lang w:val="en-US" w:eastAsia="zh-CN" w:bidi="ar-SA"/>
    </w:rPr>
  </w:style>
  <w:style w:type="character" w:customStyle="1" w:styleId="48">
    <w:name w:val="font21"/>
    <w:basedOn w:val="29"/>
    <w:qFormat/>
    <w:uiPriority w:val="0"/>
    <w:rPr>
      <w:rFonts w:hint="eastAsia" w:ascii="宋体" w:hAnsi="宋体" w:eastAsia="宋体" w:cs="宋体"/>
      <w:color w:val="000000"/>
      <w:sz w:val="21"/>
      <w:szCs w:val="21"/>
      <w:u w:val="none"/>
    </w:rPr>
  </w:style>
  <w:style w:type="character" w:customStyle="1" w:styleId="49">
    <w:name w:val="font31"/>
    <w:basedOn w:val="29"/>
    <w:qFormat/>
    <w:uiPriority w:val="0"/>
    <w:rPr>
      <w:rFonts w:hint="eastAsia" w:ascii="宋体" w:hAnsi="宋体" w:eastAsia="宋体" w:cs="宋体"/>
      <w:color w:val="000000"/>
      <w:sz w:val="21"/>
      <w:szCs w:val="21"/>
      <w:u w:val="none"/>
    </w:rPr>
  </w:style>
  <w:style w:type="character" w:customStyle="1" w:styleId="50">
    <w:name w:val="批注框文本 Char"/>
    <w:basedOn w:val="29"/>
    <w:link w:val="15"/>
    <w:semiHidden/>
    <w:qFormat/>
    <w:uiPriority w:val="99"/>
    <w:rPr>
      <w:kern w:val="2"/>
      <w:sz w:val="18"/>
      <w:szCs w:val="18"/>
    </w:rPr>
  </w:style>
  <w:style w:type="paragraph" w:customStyle="1" w:styleId="51">
    <w:name w:val="Table Text"/>
    <w:basedOn w:val="1"/>
    <w:qFormat/>
    <w:uiPriority w:val="0"/>
    <w:pPr>
      <w:widowControl/>
      <w:tabs>
        <w:tab w:val="decimal" w:pos="0"/>
      </w:tabs>
      <w:autoSpaceDE w:val="0"/>
      <w:autoSpaceDN w:val="0"/>
      <w:adjustRightInd w:val="0"/>
      <w:spacing w:before="80" w:beforeLines="0" w:after="80" w:afterLines="0"/>
    </w:pPr>
    <w:rPr>
      <w:rFonts w:ascii="Arial" w:hAnsi="Arial"/>
      <w:kern w:val="0"/>
      <w:sz w:val="18"/>
      <w:szCs w:val="20"/>
    </w:rPr>
  </w:style>
  <w:style w:type="paragraph" w:customStyle="1" w:styleId="52">
    <w:name w:val="列出段落11"/>
    <w:basedOn w:val="1"/>
    <w:autoRedefine/>
    <w:qFormat/>
    <w:uiPriority w:val="99"/>
    <w:pPr>
      <w:widowControl w:val="0"/>
      <w:ind w:firstLine="420" w:firstLineChars="200"/>
      <w:jc w:val="both"/>
    </w:pPr>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73c4a997-2f76-43b5-aad4-1cb9b532de13</errorID>
      <errorWord>2026年05月</errorWord>
      <group>L1_Knowledge</group>
      <groupName>知识性问题</groupName>
      <ability>L2_Time</ability>
      <abilityName>日期时间</abilityName>
      <candidateList>
        <item>2026年5月</item>
      </candidateList>
      <explain>根据日常书写习惯，月份一般会省略前导零。</explain>
      <paraID>560FC977</paraID>
      <start>0</start>
      <end>8</end>
      <status>unmodified</status>
      <modifiedWord/>
      <trackRevisions>false</trackRevisions>
    </reviewItem>
    <reviewItem>
      <errorID>b9f1ebc9-b136-498d-ac37-f2527a93f206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12830B0C</paraID>
      <start>0</start>
      <end>3</end>
      <status>unmodified</status>
      <modifiedWord/>
      <trackRevisions>false</trackRevisions>
    </reviewItem>
    <reviewItem>
      <errorID>8aff456c-317b-4980-91ac-c35c6f636cd5</errorID>
      <errorWord>《政府采购法》</errorWord>
      <group>L1_Word</group>
      <groupName>字词问题</groupName>
      <ability>L2_Typo</ability>
      <abilityName>字词错误</abilityName>
      <candidateList>
        <item>《中华人民共和国政府采购法》</item>
      </candidateList>
      <explain/>
      <paraID>12830B0C</paraID>
      <start>5</start>
      <end>12</end>
      <status>unmodified</status>
      <modifiedWord/>
      <trackRevisions>false</trackRevisions>
    </reviewItem>
    <reviewItem>
      <errorID>b6d1243d-69e5-4906-93f4-19b22190121f</errorID>
      <errorWord>第22条</errorWord>
      <group>L1_Knowledge</group>
      <groupName>知识性问题</groupName>
      <ability>L2_Knowledge</ability>
      <abilityName>其他知识</abilityName>
      <candidateList>
        <item>第二十二条</item>
      </candidateList>
      <explain/>
      <paraID>12830B0C</paraID>
      <start>12</start>
      <end>16</end>
      <status>unmodified</status>
      <modifiedWord/>
      <trackRevisions>false</trackRevisions>
    </reviewItem>
    <reviewItem>
      <errorID>d9c03c25-dcad-4e03-a970-c64d5675339d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63F6771E</paraID>
      <start>0</start>
      <end>3</end>
      <status>unmodified</status>
      <modifiedWord/>
      <trackRevisions>false</trackRevisions>
    </reviewItem>
    <reviewItem>
      <errorID>319b9987-a2c1-485b-b4b6-e9624f3cec50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25C8546</paraID>
      <start>0</start>
      <end>3</end>
      <status>unmodified</status>
      <modifiedWord/>
      <trackRevisions>false</trackRevisions>
    </reviewItem>
    <reviewItem>
      <errorID>ad666b18-df06-48b5-aa56-d62cf992a130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32F29008</paraID>
      <start>0</start>
      <end>3</end>
      <status>unmodified</status>
      <modifiedWord/>
      <trackRevisions>false</trackRevisions>
    </reviewItem>
    <reviewItem>
      <errorID>979a147d-e886-43ec-8a7e-a43735c3423e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19FCAA71</paraID>
      <start>0</start>
      <end>3</end>
      <status>unmodified</status>
      <modifiedWord/>
      <trackRevisions>false</trackRevisions>
    </reviewItem>
    <reviewItem>
      <errorID>e0c40320-4c34-4c84-aa2e-b0a2c0474008</errorID>
      <errorWord>)</errorWord>
      <group>L1_Format</group>
      <groupName>格式问题</groupName>
      <ability>L2_HalfPunc</ability>
      <abilityName>全半角检查</abilityName>
      <candidateList>
        <item>）</item>
      </candidateList>
      <explain>文本全半角错误。</explain>
      <paraID>19FCAA71</paraID>
      <start>157</start>
      <end>158</end>
      <status>unmodified</status>
      <modifiedWord/>
      <trackRevisions>false</trackRevisions>
    </reviewItem>
    <reviewItem>
      <errorID>a14993bb-237a-4910-aa3e-4161a9f04e05</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19FCAA71</paraID>
      <start>192</start>
      <end>193</end>
      <status>unmodified</status>
      <modifiedWord/>
      <trackRevisions>false</trackRevisions>
    </reviewItem>
    <reviewItem>
      <errorID>cbba27ea-aaa4-40cb-a7f4-a0e08d971840</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19FCAA71</paraID>
      <start>197</start>
      <end>198</end>
      <status>unmodified</status>
      <modifiedWord/>
      <trackRevisions>false</trackRevisions>
    </reviewItem>
    <reviewItem>
      <errorID>910d7885-70e1-4c93-b561-530187e23acf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5F523D93</paraID>
      <start>0</start>
      <end>3</end>
      <status>unmodified</status>
      <modifiedWord/>
      <trackRevisions>false</trackRevisions>
    </reviewItem>
    <reviewItem>
      <errorID>c16a2998-d12e-416a-b63b-13160863a928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39DFA632</paraID>
      <start>0</start>
      <end>2</end>
      <status>unmodified</status>
      <modifiedWord/>
      <trackRevisions>false</trackRevisions>
    </reviewItem>
    <reviewItem>
      <errorID>7497b24a-402b-4fa1-9801-84684d13a424</errorID>
      <errorWord>,</errorWord>
      <group>L1_Format</group>
      <groupName>格式问题</groupName>
      <ability>L2_HalfPunc</ability>
      <abilityName>全半角检查</abilityName>
      <candidateList>
        <item>，</item>
      </candidateList>
      <explain>文本全半角错误。</explain>
      <paraID>726636B2</paraID>
      <start>18</start>
      <end>19</end>
      <status>unmodified</status>
      <modifiedWord/>
      <trackRevisions>false</trackRevisions>
    </reviewItem>
    <reviewItem>
      <errorID>98b93462-fec8-4704-9818-9539da0cdc76</errorID>
      <errorWord>％</errorWord>
      <group>L1_Format</group>
      <groupName>格式问题</groupName>
      <ability>L2_HalfPunc</ability>
      <abilityName>全半角检查</abilityName>
      <candidateList>
        <item>%</item>
      </candidateList>
      <explain>文本全半角错误。</explain>
      <paraID>26AAC3A4</paraID>
      <start>3</start>
      <end>4</end>
      <status>unmodified</status>
      <modifiedWord/>
      <trackRevisions>false</trackRevisions>
    </reviewItem>
    <reviewItem>
      <errorID>8097f4b1-8df9-43cb-96cb-b96ca676a0ac</errorID>
      <errorWord>％</errorWord>
      <group>L1_Format</group>
      <groupName>格式问题</groupName>
      <ability>L2_HalfPunc</ability>
      <abilityName>全半角检查</abilityName>
      <candidateList>
        <item>%</item>
      </candidateList>
      <explain>文本全半角错误。</explain>
      <paraID>18615409</paraID>
      <start>3</start>
      <end>4</end>
      <status>unmodified</status>
      <modifiedWord/>
      <trackRevisions>false</trackRevisions>
    </reviewItem>
    <reviewItem>
      <errorID>7a38566f-6c72-479c-b4c6-87f7add33a76</errorID>
      <errorWord>％</errorWord>
      <group>L1_Format</group>
      <groupName>格式问题</groupName>
      <ability>L2_HalfPunc</ability>
      <abilityName>全半角检查</abilityName>
      <candidateList>
        <item>%</item>
      </candidateList>
      <explain>文本全半角错误。</explain>
      <paraID> C8C8152</paraID>
      <start>3</start>
      <end>4</end>
      <status>unmodified</status>
      <modifiedWord/>
      <trackRevisions>false</trackRevisions>
    </reviewItem>
    <reviewItem>
      <errorID>3c9059ea-7dfd-4577-ae8c-200195c83ac2</errorID>
      <errorWord>％</errorWord>
      <group>L1_Format</group>
      <groupName>格式问题</groupName>
      <ability>L2_HalfPunc</ability>
      <abilityName>全半角检查</abilityName>
      <candidateList>
        <item>%</item>
      </candidateList>
      <explain>文本全半角错误。</explain>
      <paraID>35F702BB</paraID>
      <start>3</start>
      <end>4</end>
      <status>unmodified</status>
      <modifiedWord/>
      <trackRevisions>false</trackRevisions>
    </reviewItem>
    <reviewItem>
      <errorID>a58572eb-876d-4c2b-abd4-d2d4ffdf959c</errorID>
      <errorWord>％</errorWord>
      <group>L1_Format</group>
      <groupName>格式问题</groupName>
      <ability>L2_HalfPunc</ability>
      <abilityName>全半角检查</abilityName>
      <candidateList>
        <item>%</item>
      </candidateList>
      <explain>文本全半角错误。</explain>
      <paraID>42F4C07D</paraID>
      <start>3</start>
      <end>4</end>
      <status>unmodified</status>
      <modifiedWord/>
      <trackRevisions>false</trackRevisions>
    </reviewItem>
    <reviewItem>
      <errorID>d7c6054b-00a8-4b9b-a6d2-ea4647d99adc</errorID>
      <errorWord>％</errorWord>
      <group>L1_Format</group>
      <groupName>格式问题</groupName>
      <ability>L2_HalfPunc</ability>
      <abilityName>全半角检查</abilityName>
      <candidateList>
        <item>%</item>
      </candidateList>
      <explain>文本全半角错误。</explain>
      <paraID>3228B4B9</paraID>
      <start>3</start>
      <end>4</end>
      <status>unmodified</status>
      <modifiedWord/>
      <trackRevisions>false</trackRevisions>
    </reviewItem>
    <reviewItem>
      <errorID>86bece3d-622e-4bd7-9e87-2de3278b44ca</errorID>
      <errorWord>％</errorWord>
      <group>L1_Format</group>
      <groupName>格式问题</groupName>
      <ability>L2_HalfPunc</ability>
      <abilityName>全半角检查</abilityName>
      <candidateList>
        <item>%</item>
      </candidateList>
      <explain>文本全半角错误。</explain>
      <paraID>7FF73651</paraID>
      <start>3</start>
      <end>4</end>
      <status>unmodified</status>
      <modifiedWord/>
      <trackRevisions>false</trackRevisions>
    </reviewItem>
    <reviewItem>
      <errorID>2535c217-9393-4fd4-a08c-fae9d7f0da83</errorID>
      <errorWord>％</errorWord>
      <group>L1_Format</group>
      <groupName>格式问题</groupName>
      <ability>L2_HalfPunc</ability>
      <abilityName>全半角检查</abilityName>
      <candidateList>
        <item>%</item>
      </candidateList>
      <explain>文本全半角错误。</explain>
      <paraID> D944AF1</paraID>
      <start>4</start>
      <end>5</end>
      <status>unmodified</status>
      <modifiedWord/>
      <trackRevisions>false</trackRevisions>
    </reviewItem>
    <reviewItem>
      <errorID>195af3ee-02ba-48cc-8e9b-7acc29f6ae59</errorID>
      <errorWord>％</errorWord>
      <group>L1_Format</group>
      <groupName>格式问题</groupName>
      <ability>L2_HalfPunc</ability>
      <abilityName>全半角检查</abilityName>
      <candidateList>
        <item>%</item>
      </candidateList>
      <explain>文本全半角错误。</explain>
      <paraID>111EBDD6</paraID>
      <start>4</start>
      <end>5</end>
      <status>unmodified</status>
      <modifiedWord/>
      <trackRevisions>false</trackRevisions>
    </reviewItem>
    <reviewItem>
      <errorID>c0315e5c-20d5-48e1-a05d-e437fb478659</errorID>
      <errorWord>％</errorWord>
      <group>L1_Format</group>
      <groupName>格式问题</groupName>
      <ability>L2_HalfPunc</ability>
      <abilityName>全半角检查</abilityName>
      <candidateList>
        <item>%</item>
      </candidateList>
      <explain>文本全半角错误。</explain>
      <paraID>4A94772E</paraID>
      <start>3</start>
      <end>4</end>
      <status>unmodified</status>
      <modifiedWord/>
      <trackRevisions>false</trackRevisions>
    </reviewItem>
    <reviewItem>
      <errorID>968937c6-6248-41e9-9bba-4ffd7a791ff9</errorID>
      <errorWord>％</errorWord>
      <group>L1_Format</group>
      <groupName>格式问题</groupName>
      <ability>L2_HalfPunc</ability>
      <abilityName>全半角检查</abilityName>
      <candidateList>
        <item>%</item>
      </candidateList>
      <explain>文本全半角错误。</explain>
      <paraID>27A1FCD1</paraID>
      <start>4</start>
      <end>5</end>
      <status>unmodified</status>
      <modifiedWord/>
      <trackRevisions>false</trackRevisions>
    </reviewItem>
    <reviewItem>
      <errorID>f8686b75-fb88-4912-bf33-594e033b61d6</errorID>
      <errorWord>％</errorWord>
      <group>L1_Format</group>
      <groupName>格式问题</groupName>
      <ability>L2_HalfPunc</ability>
      <abilityName>全半角检查</abilityName>
      <candidateList>
        <item>%</item>
      </candidateList>
      <explain>文本全半角错误。</explain>
      <paraID>76790E04</paraID>
      <start>4</start>
      <end>5</end>
      <status>unmodified</status>
      <modifiedWord/>
      <trackRevisions>false</trackRevisions>
    </reviewItem>
    <reviewItem>
      <errorID>efb80a41-2901-42bc-96a3-6841b91ec348</errorID>
      <errorWord>％</errorWord>
      <group>L1_Format</group>
      <groupName>格式问题</groupName>
      <ability>L2_HalfPunc</ability>
      <abilityName>全半角检查</abilityName>
      <candidateList>
        <item>%</item>
      </candidateList>
      <explain>文本全半角错误。</explain>
      <paraID>4658F6F6</paraID>
      <start>4</start>
      <end>5</end>
      <status>unmodified</status>
      <modifiedWord/>
      <trackRevisions>false</trackRevisions>
    </reviewItem>
    <reviewItem>
      <errorID>3aed6634-46b0-446c-9373-155097438234</errorID>
      <errorWord>％</errorWord>
      <group>L1_Format</group>
      <groupName>格式问题</groupName>
      <ability>L2_HalfPunc</ability>
      <abilityName>全半角检查</abilityName>
      <candidateList>
        <item>%</item>
      </candidateList>
      <explain>文本全半角错误。</explain>
      <paraID>141E2119</paraID>
      <start>3</start>
      <end>4</end>
      <status>unmodified</status>
      <modifiedWord/>
      <trackRevisions>false</trackRevisions>
    </reviewItem>
    <reviewItem>
      <errorID>5b94fdcd-3403-4458-a31b-0d27bfa93e59</errorID>
      <errorWord>％</errorWord>
      <group>L1_Format</group>
      <groupName>格式问题</groupName>
      <ability>L2_HalfPunc</ability>
      <abilityName>全半角检查</abilityName>
      <candidateList>
        <item>%</item>
      </candidateList>
      <explain>文本全半角错误。</explain>
      <paraID>26663A29</paraID>
      <start>3</start>
      <end>4</end>
      <status>unmodified</status>
      <modifiedWord/>
      <trackRevisions>false</trackRevisions>
    </reviewItem>
    <reviewItem>
      <errorID>39701917-bad6-462c-9642-76ea3e7d44fb</errorID>
      <errorWord>％</errorWord>
      <group>L1_Format</group>
      <groupName>格式问题</groupName>
      <ability>L2_HalfPunc</ability>
      <abilityName>全半角检查</abilityName>
      <candidateList>
        <item>%</item>
      </candidateList>
      <explain>文本全半角错误。</explain>
      <paraID>374453B3</paraID>
      <start>4</start>
      <end>5</end>
      <status>unmodified</status>
      <modifiedWord/>
      <trackRevisions>false</trackRevisions>
    </reviewItem>
    <reviewItem>
      <errorID>738804b3-9567-4062-bdac-8447adba2a33</errorID>
      <errorWord>％</errorWord>
      <group>L1_Format</group>
      <groupName>格式问题</groupName>
      <ability>L2_HalfPunc</ability>
      <abilityName>全半角检查</abilityName>
      <candidateList>
        <item>%</item>
      </candidateList>
      <explain>文本全半角错误。</explain>
      <paraID>3282957F</paraID>
      <start>4</start>
      <end>5</end>
      <status>unmodified</status>
      <modifiedWord/>
      <trackRevisions>false</trackRevisions>
    </reviewItem>
    <reviewItem>
      <errorID>0416bdde-9602-424b-a11a-33e3ba15a379</errorID>
      <errorWord>％</errorWord>
      <group>L1_Format</group>
      <groupName>格式问题</groupName>
      <ability>L2_HalfPunc</ability>
      <abilityName>全半角检查</abilityName>
      <candidateList>
        <item>%</item>
      </candidateList>
      <explain>文本全半角错误。</explain>
      <paraID> 391CCDB</paraID>
      <start>4</start>
      <end>5</end>
      <status>unmodified</status>
      <modifiedWord/>
      <trackRevisions>false</trackRevisions>
    </reviewItem>
    <reviewItem>
      <errorID>c74f21c1-fd81-4ba3-812f-ea9ca843243b</errorID>
      <errorWord>％</errorWord>
      <group>L1_Format</group>
      <groupName>格式问题</groupName>
      <ability>L2_HalfPunc</ability>
      <abilityName>全半角检查</abilityName>
      <candidateList>
        <item>%</item>
      </candidateList>
      <explain>文本全半角错误。</explain>
      <paraID>75ECB8EE</paraID>
      <start>4</start>
      <end>5</end>
      <status>unmodified</status>
      <modifiedWord/>
      <trackRevisions>false</trackRevisions>
    </reviewItem>
    <reviewItem>
      <errorID>e4a044cd-1747-436f-ad8e-8a28cddfc865</errorID>
      <errorWord>％</errorWord>
      <group>L1_Format</group>
      <groupName>格式问题</groupName>
      <ability>L2_HalfPunc</ability>
      <abilityName>全半角检查</abilityName>
      <candidateList>
        <item>%</item>
      </candidateList>
      <explain>文本全半角错误。</explain>
      <paraID>12190426</paraID>
      <start>4</start>
      <end>5</end>
      <status>unmodified</status>
      <modifiedWord/>
      <trackRevisions>false</trackRevisions>
    </reviewItem>
    <reviewItem>
      <errorID>c3e5780a-0d75-49cb-a061-28b341fd8464</errorID>
      <errorWord>％</errorWord>
      <group>L1_Format</group>
      <groupName>格式问题</groupName>
      <ability>L2_HalfPunc</ability>
      <abilityName>全半角检查</abilityName>
      <candidateList>
        <item>%</item>
      </candidateList>
      <explain>文本全半角错误。</explain>
      <paraID>5036A55E</paraID>
      <start>4</start>
      <end>5</end>
      <status>unmodified</status>
      <modifiedWord/>
      <trackRevisions>false</trackRevisions>
    </reviewItem>
    <reviewItem>
      <errorID>a7c48d31-7a63-432d-b36e-b6194c9a101b</errorID>
      <errorWord>2026年00月00日</errorWord>
      <group>L1_Knowledge</group>
      <groupName>知识性问题</groupName>
      <ability>L2_Time</ability>
      <abilityName>日期时间</abilityName>
      <candidateList>
        <item>2026年0月0日</item>
      </candidateList>
      <explain>根据日常书写习惯，月份和日期一般会省略前导零。</explain>
      <paraID>3B5C3F8A</paraID>
      <start>12</start>
      <end>23</end>
      <status>unmodified</status>
      <modifiedWord/>
      <trackRevisions>false</trackRevisions>
    </reviewItem>
    <reviewItem>
      <errorID>2d9c6560-6c9b-413c-ae04-880dc88a844a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4E2FAF02</paraID>
      <start>8</start>
      <end>9</end>
      <status>unmodified</status>
      <modifiedWord/>
      <trackRevisions>false</trackRevisions>
    </reviewItem>
    <reviewItem>
      <errorID>df4a41e2-4c59-4b7e-963f-f76ac5244f05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79264AE2</paraID>
      <start>0</start>
      <end>2</end>
      <status>unmodified</status>
      <modifiedWord/>
      <trackRevisions>false</trackRevisions>
    </reviewItem>
    <reviewItem>
      <errorID>a8d41154-4730-4d64-990f-4398c5cfb1a8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15EE1546</paraID>
      <start>0</start>
      <end>2</end>
      <status>unmodified</status>
      <modifiedWord/>
      <trackRevisions>false</trackRevisions>
    </reviewItem>
    <reviewItem>
      <errorID>c9094a0b-f662-4df6-a034-36d4a7d435fa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4F577917</paraID>
      <start>0</start>
      <end>2</end>
      <status>unmodified</status>
      <modifiedWord/>
      <trackRevisions>false</trackRevisions>
    </reviewItem>
    <reviewItem>
      <errorID>0366ee04-1542-484f-a3d0-f439ebab93a6</errorID>
      <errorWord>:</errorWord>
      <group>L1_Format</group>
      <groupName>格式问题</groupName>
      <ability>L2_HalfPunc</ability>
      <abilityName>全半角检查</abilityName>
      <candidateList>
        <item>：</item>
      </candidateList>
      <explain>文本全半角错误。</explain>
      <paraID>7FCDB86F</paraID>
      <start>27</start>
      <end>28</end>
      <status>unmodified</status>
      <modifiedWord/>
      <trackRevisions>false</trackRevisions>
    </reviewItem>
    <reviewItem>
      <errorID>5d364e1d-ca84-4f13-b4ec-4ceeed04dd1e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2230AC20</paraID>
      <start>0</start>
      <end>2</end>
      <status>unmodified</status>
      <modifiedWord/>
      <trackRevisions>false</trackRevisions>
    </reviewItem>
    <reviewItem>
      <errorID>059d85ce-dc5b-4308-b27e-aeab9d730ed0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1F26358</paraID>
      <start>0</start>
      <end>2</end>
      <status>unmodified</status>
      <modifiedWord/>
      <trackRevisions>false</trackRevisions>
    </reviewItem>
    <reviewItem>
      <errorID>52c5512f-f9b0-44c0-8a93-5821457f49a6</errorID>
      <errorWord>提出质疑</errorWord>
      <group>L1_Grammar</group>
      <groupName>语法问题</groupName>
      <ability>L2_Grammar</ability>
      <abilityName>语法错误</abilityName>
      <candidateList>
        <item>质疑</item>
      </candidateList>
      <explain>〈动〉提出疑问：～问难。</explain>
      <paraID>433AA4BE</paraID>
      <start>36</start>
      <end>40</end>
      <status>unmodified</status>
      <modifiedWord/>
      <trackRevisions>false</trackRevisions>
    </reviewItem>
    <reviewItem>
      <errorID>c4e0c5de-c0c4-43a2-8777-5e1a112de3f0</errorID>
      <errorWord>银行帐户</errorWord>
      <group>L1_Word</group>
      <groupName>字词问题</groupName>
      <ability>L2_Alias</ability>
      <abilityName>也作/曾用词</abilityName>
      <candidateList>
        <item>银行账户</item>
      </candidateList>
      <explain>词汇[银行帐户]为不规范表述或旧称，其规范书面表述为[银行账户]。</explain>
      <paraID>4BF5B177</paraID>
      <start>39</start>
      <end>43</end>
      <status>unmodified</status>
      <modifiedWord/>
      <trackRevisions>false</trackRevisions>
    </reviewItem>
    <reviewItem>
      <errorID>795fa0c1-daae-454a-b1b6-6913caf2d5b9</errorID>
      <errorWord>文</errorWord>
      <group>L1_Word</group>
      <groupName>字词问题</groupName>
      <ability>L2_Typo</ability>
      <abilityName>字词错误</abilityName>
      <candidateList>
        <item>文件</item>
      </candidateList>
      <explain/>
      <paraID>125CAC93</paraID>
      <start>13</start>
      <end>14</end>
      <status>unmodified</status>
      <modifiedWord/>
      <trackRevisions>false</trackRevisions>
    </reviewItem>
    <reviewItem>
      <errorID>e9bfaa7b-2fe3-4150-b453-10882817821f</errorID>
      <errorWord>间</errorWord>
      <group>L1_Word</group>
      <groupName>字词问题</groupName>
      <ability>L2_Typo</ability>
      <abilityName>字词错误</abilityName>
      <candidateList>
        <item>间之</item>
      </candidateList>
      <explain/>
      <paraID>6691B2C0</paraID>
      <start>19</start>
      <end>20</end>
      <status>unmodified</status>
      <modifiedWord/>
      <trackRevisions>false</trackRevisions>
    </reviewItem>
    <reviewItem>
      <errorID>1146abc4-ac0c-4c90-a5e1-f7fa34faf946</errorID>
      <errorWord>-</errorWord>
      <group>L1_Format</group>
      <groupName>格式问题</groupName>
      <ability>L2_HalfPunc</ability>
      <abilityName>全半角检查</abilityName>
      <candidateList>
        <item>－</item>
      </candidateList>
      <explain>文本全半角错误。</explain>
      <paraID>620B309E</paraID>
      <start>16</start>
      <end>17</end>
      <status>unmodified</status>
      <modifiedWord/>
      <trackRevisions>false</trackRevisions>
    </reviewItem>
    <reviewItem>
      <errorID>d794712f-497e-4724-8024-54c29c02904b</errorID>
      <errorWord>供应商对</errorWord>
      <group>L1_Word</group>
      <groupName>字词问题</groupName>
      <ability>L2_Typo</ability>
      <abilityName>字词错误</abilityName>
      <candidateList>
        <item>供应商</item>
      </candidateList>
      <explain/>
      <paraID>61D41870</paraID>
      <start>5</start>
      <end>9</end>
      <status>unmodified</status>
      <modifiedWord/>
      <trackRevisions>false</trackRevisions>
    </reviewItem>
    <reviewItem>
      <errorID>97cf15d7-6197-40fe-9a54-66482dd47623</errorID>
      <errorWord>-</errorWord>
      <group>L1_Format</group>
      <groupName>格式问题</groupName>
      <ability>L2_HalfPunc</ability>
      <abilityName>全半角检查</abilityName>
      <candidateList>
        <item>－</item>
      </candidateList>
      <explain>文本全半角错误。</explain>
      <paraID> 8C214FD</paraID>
      <start>15</start>
      <end>16</end>
      <status>unmodified</status>
      <modifiedWord/>
      <trackRevisions>false</trackRevisions>
    </reviewItem>
    <reviewItem>
      <errorID>0add54da-67c0-4303-8496-879bd7d7a475</errorID>
      <errorWord>(</errorWord>
      <group>L1_Format</group>
      <groupName>格式问题</groupName>
      <ability>L2_HalfPunc</ability>
      <abilityName>全半角检查</abilityName>
      <candidateList>
        <item>（</item>
      </candidateList>
      <explain>文本全半角错误。</explain>
      <paraID> 69428AF</paraID>
      <start>17</start>
      <end>18</end>
      <status>unmodified</status>
      <modifiedWord/>
      <trackRevisions>false</trackRevisions>
    </reviewItem>
    <reviewItem>
      <errorID>60f5c2e6-b5ab-46b6-bf3d-640b2c0ee3f0</errorID>
      <errorWord>)</errorWord>
      <group>L1_Format</group>
      <groupName>格式问题</groupName>
      <ability>L2_HalfPunc</ability>
      <abilityName>全半角检查</abilityName>
      <candidateList>
        <item>）</item>
      </candidateList>
      <explain>文本全半角错误。</explain>
      <paraID> 69428AF</paraID>
      <start>20</start>
      <end>21</end>
      <status>unmodified</status>
      <modifiedWord/>
      <trackRevisions>false</trackRevisions>
    </reviewItem>
    <reviewItem>
      <errorID>5f92923c-5ed8-404e-90e8-0a02b802db31</errorID>
      <errorWord>(</errorWord>
      <group>L1_Format</group>
      <groupName>格式问题</groupName>
      <ability>L2_HalfPunc</ability>
      <abilityName>全半角检查</abilityName>
      <candidateList>
        <item>（</item>
      </candidateList>
      <explain>文本全半角错误。</explain>
      <paraID> 44D0BA4</paraID>
      <start>17</start>
      <end>18</end>
      <status>unmodified</status>
      <modifiedWord/>
      <trackRevisions>false</trackRevisions>
    </reviewItem>
    <reviewItem>
      <errorID>d7d05c88-2d9c-489f-a1d8-bebc95490c39</errorID>
      <errorWord>)</errorWord>
      <group>L1_Format</group>
      <groupName>格式问题</groupName>
      <ability>L2_HalfPunc</ability>
      <abilityName>全半角检查</abilityName>
      <candidateList>
        <item>）</item>
      </candidateList>
      <explain>文本全半角错误。</explain>
      <paraID> 44D0BA4</paraID>
      <start>20</start>
      <end>21</end>
      <status>unmodified</status>
      <modifiedWord/>
      <trackRevisions>false</trackRevisions>
    </reviewItem>
    <reviewItem>
      <errorID>5e50dbe3-323e-4ab5-a9c8-8e1703dd50ea</errorID>
      <errorWord>法律、法规</errorWord>
      <group>L1_Word</group>
      <groupName>字词问题</groupName>
      <ability>L2_Typo</ability>
      <abilityName>字词错误</abilityName>
      <candidateList>
        <item>法律法规</item>
      </candidateList>
      <explain/>
      <paraID>2A413659</paraID>
      <start>4</start>
      <end>9</end>
      <status>unmodified</status>
      <modifiedWord/>
      <trackRevisions>false</trackRevisions>
    </reviewItem>
    <reviewItem>
      <errorID>4223b41d-dd55-4ced-816f-da25753a542a</errorID>
      <errorWord>间</errorWord>
      <group>L1_Word</group>
      <groupName>字词问题</groupName>
      <ability>L2_Typo</ability>
      <abilityName>字词错误</abilityName>
      <candidateList>
        <item>间内</item>
      </candidateList>
      <explain/>
      <paraID>78E0D9C4</paraID>
      <start>66</start>
      <end>67</end>
      <status>unmodified</status>
      <modifiedWord/>
      <trackRevisions>false</trackRevisions>
    </reviewItem>
    <reviewItem>
      <errorID>3159521c-e5c6-488e-90af-fc64aa110ba9</errorID>
      <errorWord>做出</errorWord>
      <group>L1_Word</group>
      <groupName>字词问题</groupName>
      <ability>L2_Typo</ability>
      <abilityName>字词错误</abilityName>
      <candidateList>
        <item>作出</item>
      </candidateList>
      <explain/>
      <paraID>30C93862</paraID>
      <start>14</start>
      <end>16</end>
      <status>unmodified</status>
      <modifiedWord/>
      <trackRevisions>false</trackRevisions>
    </reviewItem>
    <reviewItem>
      <errorID>fdb6efb6-d5dc-4210-a66f-b336c866eaf1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498B6FBE</paraID>
      <start>19</start>
      <end>22</end>
      <status>unmodified</status>
      <modifiedWord/>
      <trackRevisions>false</trackRevisions>
    </reviewItem>
    <reviewItem>
      <errorID>a2343b4f-9904-4f3d-87d0-df9a6b6ae833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498B6FBE</paraID>
      <start>38</start>
      <end>41</end>
      <status>unmodified</status>
      <modifiedWord/>
      <trackRevisions>false</trackRevisions>
    </reviewItem>
    <reviewItem>
      <errorID>91924125-1d9f-4d45-a15d-7ea3243f3aa2</errorID>
      <errorWord>国家发改委</errorWord>
      <group>L1_Knowledge</group>
      <groupName>知识性问题</groupName>
      <ability>L2_Knowledge</ability>
      <abilityName>其他知识</abilityName>
      <candidateList>
        <item>国家发展改革委</item>
      </candidateList>
      <explain/>
      <paraID>4C0FC715</paraID>
      <start>122</start>
      <end>127</end>
      <status>unmodified</status>
      <modifiedWord/>
      <trackRevisions>false</trackRevisions>
    </reviewItem>
    <reviewItem>
      <errorID>5c26c945-d105-420b-9e47-1d1e131c708f</errorID>
      <errorWord>[2011]300号</errorWord>
      <group>L1_Knowledge</group>
      <groupName>知识性问题</groupName>
      <ability>L2_Knowledge</ability>
      <abilityName>其他知识</abilityName>
      <candidateList>
        <item>〔2011〕300号</item>
      </candidateList>
      <explain>发文字号格式错误。</explain>
      <paraID>4C0FC715</paraID>
      <start>153</start>
      <end>163</end>
      <status>unmodified</status>
      <modifiedWord/>
      <trackRevisions>false</trackRevisions>
    </reviewItem>
    <reviewItem>
      <errorID>400aabb4-1824-40c6-a4e8-d10c7c3cb1d3</errorID>
      <errorWord>[2017]141号</errorWord>
      <group>L1_Knowledge</group>
      <groupName>知识性问题</groupName>
      <ability>L2_Knowledge</ability>
      <abilityName>其他知识</abilityName>
      <candidateList>
        <item>〔2017〕141号</item>
      </candidateList>
      <explain>发文字号格式错误。</explain>
      <paraID>2A928FF5</paraID>
      <start>44</start>
      <end>54</end>
      <status>unmodified</status>
      <modifiedWord/>
      <trackRevisions>false</trackRevisions>
    </reviewItem>
    <reviewItem>
      <errorID>b27618b5-75f2-44de-be7d-e337d3a48073</errorID>
      <errorWord>&lt;</errorWord>
      <group>L1_Format</group>
      <groupName>格式问题</groupName>
      <ability>L2_HalfPunc</ability>
      <abilityName>全半角检查</abilityName>
      <candidateList>
        <item>〈</item>
      </candidateList>
      <explain>文本全半角错误。</explain>
      <paraID>7FB36A08</paraID>
      <start>49</start>
      <end>50</end>
      <status>unmodified</status>
      <modifiedWord/>
      <trackRevisions>false</trackRevisions>
    </reviewItem>
    <reviewItem>
      <errorID>7aac9acf-25a1-4427-a4e0-21cad1168fb0</errorID>
      <errorWord>&lt;</errorWord>
      <group>L1_Format</group>
      <groupName>格式问题</groupName>
      <ability>L2_HalfPunc</ability>
      <abilityName>全半角检查</abilityName>
      <candidateList>
        <item>〈</item>
      </candidateList>
      <explain>文本全半角错误。</explain>
      <paraID>756F6C4C</paraID>
      <start>49</start>
      <end>50</end>
      <status>unmodified</status>
      <modifiedWord/>
      <trackRevisions>false</trackRevisions>
    </reviewItem>
    <reviewItem>
      <errorID>8e3761eb-e770-4105-bbf8-6a091ee2d8e6</errorID>
      <errorWord>&lt;</errorWord>
      <group>L1_Format</group>
      <groupName>格式问题</groupName>
      <ability>L2_HalfPunc</ability>
      <abilityName>全半角检查</abilityName>
      <candidateList>
        <item>〈</item>
      </candidateList>
      <explain>文本全半角错误。</explain>
      <paraID>56EC4918</paraID>
      <start>34</start>
      <end>35</end>
      <status>unmodified</status>
      <modifiedWord/>
      <trackRevisions>false</trackRevisions>
    </reviewItem>
    <reviewItem>
      <errorID>c16133f4-c365-4482-ae75-3cbee1abab0a</errorID>
      <errorWord>(</errorWord>
      <group>L1_Format</group>
      <groupName>格式问题</groupName>
      <ability>L2_HalfPunc</ability>
      <abilityName>全半角检查</abilityName>
      <candidateList>
        <item>（</item>
      </candidateList>
      <explain>文本全半角错误。</explain>
      <paraID>7D1EB149</paraID>
      <start>0</start>
      <end>1</end>
      <status>unmodified</status>
      <modifiedWord/>
      <trackRevisions>false</trackRevisions>
    </reviewItem>
    <reviewItem>
      <errorID>286ba992-4070-45e1-b54b-aa66bc4ad132</errorID>
      <errorWord>)</errorWord>
      <group>L1_Format</group>
      <groupName>格式问题</groupName>
      <ability>L2_HalfPunc</ability>
      <abilityName>全半角检查</abilityName>
      <candidateList>
        <item>）</item>
      </candidateList>
      <explain>文本全半角错误。</explain>
      <paraID>7D1EB149</paraID>
      <start>4</start>
      <end>5</end>
      <status>unmodified</status>
      <modifiedWord/>
      <trackRevisions>false</trackRevisions>
    </reviewItem>
    <reviewItem>
      <errorID>d6dc20ef-2f40-4953-97fd-a2ba93197c26</errorID>
      <errorWord>)</errorWord>
      <group>L1_Format</group>
      <groupName>格式问题</groupName>
      <ability>L2_HalfPunc</ability>
      <abilityName>全半角检查</abilityName>
      <candidateList>
        <item>）</item>
      </candidateList>
      <explain>文本全半角错误。</explain>
      <paraID>65E61B66</paraID>
      <start>3</start>
      <end>4</end>
      <status>unmodified</status>
      <modifiedWord/>
      <trackRevisions>false</trackRevisions>
    </reviewItem>
    <reviewItem>
      <errorID>5065b4b1-6c12-4b6b-9694-2891b128f5c3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339D9C2A</paraID>
      <start>0</start>
      <end>2</end>
      <status>unmodified</status>
      <modifiedWord/>
      <trackRevisions>false</trackRevisions>
    </reviewItem>
    <reviewItem>
      <errorID>8b30c5b7-6560-4396-bd9a-5317eed2e7bd</errorID>
      <errorWord>需具备</errorWord>
      <group>L1_Word</group>
      <groupName>字词问题</groupName>
      <ability>L2_Typo</ability>
      <abilityName>字词错误</abilityName>
      <candidateList>
        <item>须具备</item>
      </candidateList>
      <explain/>
      <paraID>339D9C2A</paraID>
      <start>12</start>
      <end>15</end>
      <status>unmodified</status>
      <modifiedWord/>
      <trackRevisions>false</trackRevisions>
    </reviewItem>
    <reviewItem>
      <errorID>f7d68d59-70e9-45ea-9f52-ed2d5c3a25a5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1270BF31</paraID>
      <start>0</start>
      <end>2</end>
      <status>unmodified</status>
      <modifiedWord/>
      <trackRevisions>false</trackRevisions>
    </reviewItem>
    <reviewItem>
      <errorID>ed447edb-e55c-4138-80a4-a8b7d1db3ad3</errorID>
      <errorWord>需具备</errorWord>
      <group>L1_Word</group>
      <groupName>字词问题</groupName>
      <ability>L2_Typo</ability>
      <abilityName>字词错误</abilityName>
      <candidateList>
        <item>须具备</item>
      </candidateList>
      <explain/>
      <paraID>1270BF31</paraID>
      <start>12</start>
      <end>15</end>
      <status>unmodified</status>
      <modifiedWord/>
      <trackRevisions>false</trackRevisions>
    </reviewItem>
    <reviewItem>
      <errorID>e7c86743-c8f9-4bea-8eca-70d5119ad47b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27A48EE9</paraID>
      <start>0</start>
      <end>2</end>
      <status>unmodified</status>
      <modifiedWord/>
      <trackRevisions>false</trackRevisions>
    </reviewItem>
    <reviewItem>
      <errorID>300c1131-34b8-467d-8475-9f5613c74256</errorID>
      <errorWord>需具备</errorWord>
      <group>L1_Word</group>
      <groupName>字词问题</groupName>
      <ability>L2_Typo</ability>
      <abilityName>字词错误</abilityName>
      <candidateList>
        <item>须具备</item>
      </candidateList>
      <explain/>
      <paraID>27A48EE9</paraID>
      <start>12</start>
      <end>15</end>
      <status>unmodified</status>
      <modifiedWord/>
      <trackRevisions>false</trackRevisions>
    </reviewItem>
    <reviewItem>
      <errorID>fd16711a-5cb3-4781-a54d-e938963f02ba</errorID>
      <errorWord>需具备</errorWord>
      <group>L1_Word</group>
      <groupName>字词问题</groupName>
      <ability>L2_Typo</ability>
      <abilityName>字词错误</abilityName>
      <candidateList>
        <item>须具备</item>
      </candidateList>
      <explain/>
      <paraID>27A48EE9</paraID>
      <start>56</start>
      <end>59</end>
      <status>unmodified</status>
      <modifiedWord/>
      <trackRevisions>false</trackRevisions>
    </reviewItem>
    <reviewItem>
      <errorID>890e92cd-72e5-4f08-9f0f-63ca666390d9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3FBB0BC0</paraID>
      <start>0</start>
      <end>2</end>
      <status>unmodified</status>
      <modifiedWord/>
      <trackRevisions>false</trackRevisions>
    </reviewItem>
    <reviewItem>
      <errorID>cbf0ba3a-79fc-4c59-8112-ef913996a89b</errorID>
      <errorWord>需</errorWord>
      <group>L1_Word</group>
      <groupName>字词问题</groupName>
      <ability>L2_Typo</ability>
      <abilityName>字词错误</abilityName>
      <candidateList>
        <item>须</item>
      </candidateList>
      <explain>存在发音相同字词的误用。</explain>
      <paraID>3FBB0BC0</paraID>
      <start>5</start>
      <end>6</end>
      <status>unmodified</status>
      <modifiedWord/>
      <trackRevisions>false</trackRevisions>
    </reviewItem>
    <reviewItem>
      <errorID>ac46b19b-5263-495b-9285-5315a537f9f6</errorID>
      <errorWord>(</errorWord>
      <group>L1_Format</group>
      <groupName>格式问题</groupName>
      <ability>L2_HalfPunc</ability>
      <abilityName>全半角检查</abilityName>
      <candidateList>
        <item>（</item>
      </candidateList>
      <explain>文本全半角错误。</explain>
      <paraID>5368A8F9</paraID>
      <start>6</start>
      <end>7</end>
      <status>unmodified</status>
      <modifiedWord/>
      <trackRevisions>false</trackRevisions>
    </reviewItem>
    <reviewItem>
      <errorID>202da114-969c-4f07-a931-96924dc21c74</errorID>
      <errorWord>)</errorWord>
      <group>L1_Format</group>
      <groupName>格式问题</groupName>
      <ability>L2_HalfPunc</ability>
      <abilityName>全半角检查</abilityName>
      <candidateList>
        <item>）</item>
      </candidateList>
      <explain>文本全半角错误。</explain>
      <paraID>5368A8F9</paraID>
      <start>16</start>
      <end>17</end>
      <status>unmodified</status>
      <modifiedWord/>
      <trackRevisions>false</trackRevisions>
    </reviewItem>
    <reviewItem>
      <errorID>c358505b-786d-4f5d-ae1c-f0c6c697baf1</errorID>
      <errorWord>需具备</errorWord>
      <group>L1_Word</group>
      <groupName>字词问题</groupName>
      <ability>L2_Typo</ability>
      <abilityName>字词错误</abilityName>
      <candidateList>
        <item>须具备</item>
      </candidateList>
      <explain/>
      <paraID>4483B881</paraID>
      <start>31</start>
      <end>34</end>
      <status>unmodified</status>
      <modifiedWord/>
      <trackRevisions>false</trackRevisions>
    </reviewItem>
    <reviewItem>
      <errorID>36fba235-7469-4247-b1c2-667d39673a1d</errorID>
      <errorWord>,</errorWord>
      <group>L1_Format</group>
      <groupName>格式问题</groupName>
      <ability>L2_HalfPunc</ability>
      <abilityName>全半角检查</abilityName>
      <candidateList>
        <item>，</item>
      </candidateList>
      <explain>文本全半角错误。</explain>
      <paraID> 8263A40</paraID>
      <start>127</start>
      <end>128</end>
      <status>unmodified</status>
      <modifiedWord/>
      <trackRevisions>false</trackRevisions>
    </reviewItem>
    <reviewItem>
      <errorID>bb05b9af-8015-429a-8314-fab8ca12ad19</errorID>
      <errorWord>,</errorWord>
      <group>L1_Format</group>
      <groupName>格式问题</groupName>
      <ability>L2_HalfPunc</ability>
      <abilityName>全半角检查</abilityName>
      <candidateList>
        <item>，</item>
      </candidateList>
      <explain>文本全半角错误。</explain>
      <paraID> 8263A40</paraID>
      <start>151</start>
      <end>152</end>
      <status>unmodified</status>
      <modifiedWord/>
      <trackRevisions>false</trackRevisions>
    </reviewItem>
    <reviewItem>
      <errorID>934ff803-874e-47c2-ae9a-5486fa63c0cc</errorID>
      <errorWord>.</errorWord>
      <group>L1_Format</group>
      <groupName>格式问题</groupName>
      <ability>L2_HalfPunc</ability>
      <abilityName>全半角检查</abilityName>
      <candidateList>
        <item>。</item>
      </candidateList>
      <explain>文本全半角错误。</explain>
      <paraID>59F6B4A9</paraID>
      <start>136</start>
      <end>137</end>
      <status>unmodified</status>
      <modifiedWord/>
      <trackRevisions>false</trackRevisions>
    </reviewItem>
    <reviewItem>
      <errorID>c8b6dd25-2b86-4e86-a0c6-553942514694</errorID>
      <errorWord>依</errorWord>
      <group>L1_Word</group>
      <groupName>字词问题</groupName>
      <ability>L2_Typo</ability>
      <abilityName>字词错误</abilityName>
      <candidateList>
        <item>依据</item>
      </candidateList>
      <explain/>
      <paraID>1A86BB52</paraID>
      <start>46</start>
      <end>47</end>
      <status>unmodified</status>
      <modifiedWord/>
      <trackRevisions>false</trackRevisions>
    </reviewItem>
    <reviewItem>
      <errorID>09ed6da5-e99f-47d7-8478-ff140b04a00f</errorID>
      <errorWord>法律、法规</errorWord>
      <group>L1_Word</group>
      <groupName>字词问题</groupName>
      <ability>L2_Typo</ability>
      <abilityName>字词错误</abilityName>
      <candidateList>
        <item>法律法规</item>
      </candidateList>
      <explain/>
      <paraID>43C8762D</paraID>
      <start>3</start>
      <end>8</end>
      <status>unmodified</status>
      <modifiedWord/>
      <trackRevisions>false</trackRevisions>
    </reviewItem>
    <reviewItem>
      <errorID>6a5444b7-f83e-426d-9210-de94dfe005af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51424EC6</paraID>
      <start>22</start>
      <end>25</end>
      <status>unmodified</status>
      <modifiedWord/>
      <trackRevisions>false</trackRevisions>
    </reviewItem>
    <reviewItem>
      <errorID>30a12cbd-316c-42d4-b2c7-99b35b9394be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51424EC6</paraID>
      <start>35</start>
      <end>38</end>
      <status>unmodified</status>
      <modifiedWord/>
      <trackRevisions>false</trackRevisions>
    </reviewItem>
    <reviewItem>
      <errorID>bcbb298d-190f-4791-b4d9-de967bb7d0e8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51424EC6</paraID>
      <start>54</start>
      <end>57</end>
      <status>unmodified</status>
      <modifiedWord/>
      <trackRevisions>false</trackRevisions>
    </reviewItem>
    <reviewItem>
      <errorID>7122d784-5e02-44a2-a233-ea4989f03ebe</errorID>
      <errorWord>（</errorWord>
      <group>L1_Punc</group>
      <groupName>标点问题</groupName>
      <ability>L2_Punc</ability>
      <abilityName>标点符号检查</abilityName>
      <candidateList/>
      <explain>同一形式括号套用。</explain>
      <paraID>5E3C96C9</paraID>
      <start>38</start>
      <end>39</end>
      <status>unmodified</status>
      <modifiedWord/>
      <trackRevisions>false</trackRevisions>
    </reviewItem>
    <reviewItem>
      <errorID>9e051b3e-fa06-4538-b2c4-c97cf43d5888</errorID>
      <errorWord>）</errorWord>
      <group>L1_Punc</group>
      <groupName>标点问题</groupName>
      <ability>L2_Punc</ability>
      <abilityName>标点符号检查</abilityName>
      <candidateList/>
      <explain>同一形式括号套用。</explain>
      <paraID>5E3C96C9</paraID>
      <start>41</start>
      <end>42</end>
      <status>unmodified</status>
      <modifiedWord/>
      <trackRevisions>false</trackRevisions>
    </reviewItem>
    <reviewItem>
      <errorID>c67cb009-b69d-4d1d-b1db-25ba58c22886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4B8C227C</paraID>
      <start>0</start>
      <end>2</end>
      <status>unmodified</status>
      <modifiedWord/>
      <trackRevisions>false</trackRevisions>
    </reviewItem>
    <reviewItem>
      <errorID>6b58d213-3275-452d-b8ac-9f9b0c2e54e1</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5E809EE5</paraID>
      <start>19</start>
      <end>21</end>
      <status>unmodified</status>
      <modifiedWord/>
      <trackRevisions>false</trackRevisions>
    </reviewItem>
    <reviewItem>
      <errorID>604e8c12-340d-4356-a403-1abf6c1d809b</errorID>
      <errorWord>方方</errorWord>
      <group>L1_Word</group>
      <groupName>字词问题</groupName>
      <ability>L2_Typo</ability>
      <abilityName>字词错误</abilityName>
      <candidateList>
        <item>方</item>
      </candidateList>
      <explain/>
      <paraID> DE88DAE</paraID>
      <start>12</start>
      <end>14</end>
      <status>unmodified</status>
      <modifiedWord/>
      <trackRevisions>false</trackRevisions>
    </reviewItem>
    <reviewItem>
      <errorID>8d186d4a-bee0-42d4-8e03-ff4aaf1e7c20</errorID>
      <errorWord>第50条</errorWord>
      <group>L1_Knowledge</group>
      <groupName>知识性问题</groupName>
      <ability>L2_Knowledge</ability>
      <abilityName>其他知识</abilityName>
      <candidateList>
        <item>第五十条</item>
      </candidateList>
      <explain/>
      <paraID>538DDD02</paraID>
      <start>17</start>
      <end>21</end>
      <status>unmodified</status>
      <modifiedWord/>
      <trackRevisions>false</trackRevisions>
    </reviewItem>
    <reviewItem>
      <errorID>95a606a0-80c7-4fad-ba56-97aaf2c0fa8b</errorID>
      <errorWord>其它</errorWord>
      <group>L1_Word</group>
      <groupName>字词问题</groupName>
      <ability>L2_Alias</ability>
      <abilityName>也作/曾用词</abilityName>
      <candidateList>
        <item>其他</item>
      </candidateList>
      <explain>词汇[其它]为不规范表述或旧称，其规范书面表述为[其他]。</explain>
      <paraID> B5940A2</paraID>
      <start>30</start>
      <end>32</end>
      <status>unmodified</status>
      <modifiedWord/>
      <trackRevisions>false</trackRevisions>
    </reviewItem>
    <reviewItem>
      <errorID>e093ef2a-8218-4323-90de-f68be95849a0</errorID>
      <errorWord>其它</errorWord>
      <group>L1_Word</group>
      <groupName>字词问题</groupName>
      <ability>L2_Alias</ability>
      <abilityName>也作/曾用词</abilityName>
      <candidateList>
        <item>其他</item>
      </candidateList>
      <explain>词汇[其它]为不规范表述或旧称，其规范书面表述为[其他]。</explain>
      <paraID>18A73FCC</paraID>
      <start>2</start>
      <end>4</end>
      <status>unmodified</status>
      <modifiedWord/>
      <trackRevisions>false</trackRevisions>
    </reviewItem>
    <reviewItem>
      <errorID>eb2825ce-bb0a-45b8-8de6-2130f767a935</errorID>
      <errorWord>法律、法规</errorWord>
      <group>L1_Word</group>
      <groupName>字词问题</groupName>
      <ability>L2_Typo</ability>
      <abilityName>字词错误</abilityName>
      <candidateList>
        <item>法律法规</item>
      </candidateList>
      <explain/>
      <paraID> BF5A07D</paraID>
      <start>3</start>
      <end>8</end>
      <status>unmodified</status>
      <modifiedWord/>
      <trackRevisions>false</trackRevisions>
    </reviewItem>
    <reviewItem>
      <errorID>35e6c6ee-5754-4e87-9a9a-0ff8abfa57f5</errorID>
      <errorWord>即为</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532681FD</paraID>
      <start>21</start>
      <end>23</end>
      <status>unmodified</status>
      <modifiedWord/>
      <trackRevisions>false</trackRevisions>
    </reviewItem>
    <reviewItem>
      <errorID>ab6ea4cc-7468-4783-a4e0-fd9a4e08709a</errorID>
      <errorWord>《民法典》</errorWord>
      <group>L1_Word</group>
      <groupName>字词问题</groupName>
      <ability>L2_Typo</ability>
      <abilityName>字词错误</abilityName>
      <candidateList>
        <item>《中华人民共和国民法典》</item>
      </candidateList>
      <explain/>
      <paraID>5EB84127</paraID>
      <start>11</start>
      <end>16</end>
      <status>unmodified</status>
      <modifiedWord/>
      <trackRevisions>false</trackRevisions>
    </reviewItem>
    <reviewItem>
      <errorID>5ce4541d-dc38-47a6-8437-7030d123437a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436A4CB5</paraID>
      <start>13</start>
      <end>16</end>
      <status>unmodified</status>
      <modifiedWord/>
      <trackRevisions>false</trackRevisions>
    </reviewItem>
    <reviewItem>
      <errorID>6437929b-3077-4a45-a1ef-ee9b1116fbde</errorID>
      <errorWord>须</errorWord>
      <group>L1_Word</group>
      <groupName>字词问题</groupName>
      <ability>L2_Typo</ability>
      <abilityName>字词错误</abilityName>
      <candidateList>
        <item>需</item>
      </candidateList>
      <explain>存在发音相同字词的误用。</explain>
      <paraID>4C345B34</paraID>
      <start>17</start>
      <end>18</end>
      <status>unmodified</status>
      <modifiedWord/>
      <trackRevisions>false</trackRevisions>
    </reviewItem>
    <reviewItem>
      <errorID>dbd6c0be-e2f1-4019-9d83-a03310912316</errorID>
      <errorWord>,</errorWord>
      <group>L1_Format</group>
      <groupName>格式问题</groupName>
      <ability>L2_HalfPunc</ability>
      <abilityName>全半角检查</abilityName>
      <candidateList>
        <item>，</item>
      </candidateList>
      <explain>文本全半角错误。</explain>
      <paraID>6BE19767</paraID>
      <start>12</start>
      <end>13</end>
      <status>unmodified</status>
      <modifiedWord/>
      <trackRevisions>false</trackRevisions>
    </reviewItem>
    <reviewItem>
      <errorID>f4d0d340-8bd2-4f47-90d0-5ca92932ca1f</errorID>
      <errorWord>,</errorWord>
      <group>L1_Format</group>
      <groupName>格式问题</groupName>
      <ability>L2_HalfPunc</ability>
      <abilityName>全半角检查</abilityName>
      <candidateList>
        <item>，</item>
      </candidateList>
      <explain>文本全半角错误。</explain>
      <paraID>6BE19767</paraID>
      <start>22</start>
      <end>23</end>
      <status>unmodified</status>
      <modifiedWord/>
      <trackRevisions>false</trackRevisions>
    </reviewItem>
    <reviewItem>
      <errorID>a18f6e87-24d3-4b62-b4ce-4f710038f022</errorID>
      <errorWord>法律、法规</errorWord>
      <group>L1_Word</group>
      <groupName>字词问题</groupName>
      <ability>L2_Typo</ability>
      <abilityName>字词错误</abilityName>
      <candidateList>
        <item>法律法规</item>
      </candidateList>
      <explain/>
      <paraID>6BE19767</paraID>
      <start>54</start>
      <end>59</end>
      <status>unmodified</status>
      <modifiedWord/>
      <trackRevisions>false</trackRevisions>
    </reviewItem>
    <reviewItem>
      <errorID>619dfa65-a83d-4bf3-b0ed-bb6fc1f7fc83</errorID>
      <errorWord>包括了</errorWord>
      <group>L1_Word</group>
      <groupName>字词问题</groupName>
      <ability>L2_Typo</ability>
      <abilityName>字词错误</abilityName>
      <candidateList>
        <item>包括</item>
      </candidateList>
      <explain/>
      <paraID>7CB3A37B</paraID>
      <start>15</start>
      <end>18</end>
      <status>unmodified</status>
      <modifiedWord/>
      <trackRevisions>false</trackRevisions>
    </reviewItem>
    <reviewItem>
      <errorID>61d222cc-9c1f-4984-87c0-d532750570d6</errorID>
      <errorWord>作</errorWord>
      <group>L1_Word</group>
      <groupName>字词问题</groupName>
      <ability>L2_Typo</ability>
      <abilityName>字词错误</abilityName>
      <candidateList>
        <item>做</item>
      </candidateList>
      <explain>存在发音相同字词的误用。</explain>
      <paraID>3DD5E147</paraID>
      <start>46</start>
      <end>47</end>
      <status>unmodified</status>
      <modifiedWord/>
      <trackRevisions>false</trackRevisions>
    </reviewItem>
    <reviewItem>
      <errorID>fb15c3c7-bdc9-408e-9c81-d91357ce8417</errorID>
      <errorWord>，</errorWord>
      <group>L1_Word</group>
      <groupName>字词问题</groupName>
      <ability>L2_Typo</ability>
      <abilityName>字词错误</abilityName>
      <candidateList>
        <item>，根</item>
      </candidateList>
      <explain/>
      <paraID>56454420</paraID>
      <start>85</start>
      <end>86</end>
      <status>unmodified</status>
      <modifiedWord/>
      <trackRevisions>false</trackRevisions>
    </reviewItem>
    <reviewItem>
      <errorID>bbba0067-c9f5-4f2d-9f81-9227cbeb83bf</errorID>
      <errorWord>接受的</errorWord>
      <group>L1_Word</group>
      <groupName>字词问题</groupName>
      <ability>L2_Typo</ability>
      <abilityName>字词错误</abilityName>
      <candidateList>
        <item>接受</item>
      </candidateList>
      <explain>〈动〉❶收取（给予的东西）：～礼品｜～捐款。❷对事物容纳而不拒绝：～任务｜～考验｜～教训｜虚心～批评。</explain>
      <paraID> C6C3DA4</paraID>
      <start>9</start>
      <end>12</end>
      <status>unmodified</status>
      <modifiedWord/>
      <trackRevisions>false</trackRevisions>
    </reviewItem>
    <reviewItem>
      <errorID>348b8faa-9c06-4017-bce9-8fa950a53b3a</errorID>
      <errorWord>其它</errorWord>
      <group>L1_Word</group>
      <groupName>字词问题</groupName>
      <ability>L2_Alias</ability>
      <abilityName>也作/曾用词</abilityName>
      <candidateList>
        <item>其他</item>
      </candidateList>
      <explain>词汇[其它]为不规范表述或旧称，其规范书面表述为[其他]。</explain>
      <paraID> 6F7730D</paraID>
      <start>89</start>
      <end>91</end>
      <status>unmodified</status>
      <modifiedWord/>
      <trackRevisions>false</trackRevisions>
    </reviewItem>
    <reviewItem>
      <errorID>422c800a-e609-4baa-8c73-b133b1075fa8</errorID>
      <errorWord>其它主要</errorWord>
      <group>L1_Word</group>
      <groupName>字词问题</groupName>
      <ability>L2_Alias</ability>
      <abilityName>也作/曾用词</abilityName>
      <candidateList>
        <item>其他主要</item>
      </candidateList>
      <explain>词汇[其它主要]为不规范表述或旧称，其规范书面表述为[其他主要]。</explain>
      <paraID>745E6D1B</paraID>
      <start>17</start>
      <end>21</end>
      <status>unmodified</status>
      <modifiedWord/>
      <trackRevisions>false</trackRevisions>
    </reviewItem>
    <reviewItem>
      <errorID>ca8c8b61-17bf-4862-8109-36b11d8b95ac</errorID>
      <errorWord>做为</errorWord>
      <group>L1_Word</group>
      <groupName>字词问题</groupName>
      <ability>L2_Typo</ability>
      <abilityName>字词错误</abilityName>
      <candidateList>
        <item>作为</item>
      </candidateList>
      <explain>存在发音相同字词的误用。</explain>
      <paraID>3B78A824</paraID>
      <start>68</start>
      <end>70</end>
      <status>unmodified</status>
      <modifiedWord/>
      <trackRevisions>false</trackRevisions>
    </reviewItem>
    <reviewItem>
      <errorID>2ab059e1-e32d-4870-a2fe-80f533c18cc3</errorID>
      <errorWord>,</errorWord>
      <group>L1_Format</group>
      <groupName>格式问题</groupName>
      <ability>L2_HalfPunc</ability>
      <abilityName>全半角检查</abilityName>
      <candidateList>
        <item>，</item>
      </candidateList>
      <explain>文本全半角错误。</explain>
      <paraID>2B98C2CC</paraID>
      <start>11</start>
      <end>12</end>
      <status>unmodified</status>
      <modifiedWord/>
      <trackRevisions>false</trackRevisions>
    </reviewItem>
    <reviewItem>
      <errorID>a73091f4-2c5d-4340-acc7-56dc26c766c1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C3F4E50</paraID>
      <start>0</start>
      <end>2</end>
      <status>unmodified</status>
      <modifiedWord/>
      <trackRevisions>false</trackRevisions>
    </reviewItem>
    <reviewItem>
      <errorID>e462b70a-a5de-4e69-a45c-7979732c7881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8ED0014</paraID>
      <start>0</start>
      <end>2</end>
      <status>unmodified</status>
      <modifiedWord/>
      <trackRevisions>false</trackRevisions>
    </reviewItem>
    <reviewItem>
      <errorID>1f462398-1df1-4cd1-90c9-d0f97600a236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2FEC46A0</paraID>
      <start>0</start>
      <end>2</end>
      <status>unmodified</status>
      <modifiedWord/>
      <trackRevisions>false</trackRevisions>
    </reviewItem>
    <reviewItem>
      <errorID>ba5cdd7a-e7b4-4775-94fd-faa8c437d406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5C007631</paraID>
      <start>0</start>
      <end>2</end>
      <status>unmodified</status>
      <modifiedWord/>
      <trackRevisions>false</trackRevisions>
    </reviewItem>
    <reviewItem>
      <errorID>35bc36b9-61ab-4e79-bc23-652d8f36c478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19F2288E</paraID>
      <start>0</start>
      <end>2</end>
      <status>unmodified</status>
      <modifiedWord/>
      <trackRevisions>false</trackRevisions>
    </reviewItem>
    <reviewItem>
      <errorID>7f7b1623-5b05-4a89-8ad6-f3eccb2dc0a9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18B4CB5B</paraID>
      <start>0</start>
      <end>2</end>
      <status>unmodified</status>
      <modifiedWord/>
      <trackRevisions>false</trackRevisions>
    </reviewItem>
    <reviewItem>
      <errorID>2f0ba947-a2d0-41f1-b3ee-e3748bdb80bf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8AC6700</paraID>
      <start>0</start>
      <end>2</end>
      <status>unmodified</status>
      <modifiedWord/>
      <trackRevisions>false</trackRevisions>
    </reviewItem>
    <reviewItem>
      <errorID>28f6e8c1-364b-4f1e-a28d-42127c35c990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239683E4</paraID>
      <start>0</start>
      <end>2</end>
      <status>unmodified</status>
      <modifiedWord/>
      <trackRevisions>false</trackRevisions>
    </reviewItem>
    <reviewItem>
      <errorID>85b69c4d-7107-49be-8b2b-df4bc49f7bb2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439A9DA8</paraID>
      <start>0</start>
      <end>2</end>
      <status>unmodified</status>
      <modifiedWord/>
      <trackRevisions>false</trackRevisions>
    </reviewItem>
    <reviewItem>
      <errorID>742c9c40-2d8f-44f7-8969-97e80e76c4c4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60A1D62F</paraID>
      <start>0</start>
      <end>2</end>
      <status>unmodified</status>
      <modifiedWord/>
      <trackRevisions>false</trackRevisions>
    </reviewItem>
    <reviewItem>
      <errorID>6e2a6478-d693-4bf8-aa68-2a0b533e9c49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7244EAC7</paraID>
      <start>0</start>
      <end>2</end>
      <status>unmodified</status>
      <modifiedWord/>
      <trackRevisions>false</trackRevisions>
    </reviewItem>
    <reviewItem>
      <errorID>6dc86cc0-5325-442c-aaea-f4c4337706f0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EDD9624</paraID>
      <start>0</start>
      <end>2</end>
      <status>unmodified</status>
      <modifiedWord/>
      <trackRevisions>false</trackRevisions>
    </reviewItem>
    <reviewItem>
      <errorID>64f0df27-7c26-4b2f-a5ce-76ba4cc416b1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47397C6</paraID>
      <start>0</start>
      <end>2</end>
      <status>unmodified</status>
      <modifiedWord/>
      <trackRevisions>false</trackRevisions>
    </reviewItem>
    <reviewItem>
      <errorID>f133b353-f9a5-42bf-9759-333ac7bb5453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7B94F335</paraID>
      <start>0</start>
      <end>2</end>
      <status>unmodified</status>
      <modifiedWord/>
      <trackRevisions>false</trackRevisions>
    </reviewItem>
    <reviewItem>
      <errorID>3193d9d6-4fae-4644-abfd-1c6fe7af9d1b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E741A68</paraID>
      <start>0</start>
      <end>3</end>
      <status>unmodified</status>
      <modifiedWord/>
      <trackRevisions>false</trackRevisions>
    </reviewItem>
    <reviewItem>
      <errorID>b2ef43e8-cc18-48b4-8058-4a4c34aba47e</errorID>
      <errorWord>:</errorWord>
      <group>L1_Format</group>
      <groupName>格式问题</groupName>
      <ability>L2_HalfPunc</ability>
      <abilityName>全半角检查</abilityName>
      <candidateList>
        <item>：</item>
      </candidateList>
      <explain>文本全半角错误。</explain>
      <paraID>7B024B4F</paraID>
      <start>6</start>
      <end>7</end>
      <status>unmodified</status>
      <modifiedWord/>
      <trackRevisions>false</trackRevisions>
    </reviewItem>
    <reviewItem>
      <errorID>162ef770-dd2b-4134-bb16-c0b7145818e0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65BB0D2C</paraID>
      <start>0</start>
      <end>2</end>
      <status>unmodified</status>
      <modifiedWord/>
      <trackRevisions>false</trackRevisions>
    </reviewItem>
    <reviewItem>
      <errorID>20ba36de-5aaa-4167-81b9-413cdd9cf2f4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63011515</paraID>
      <start>0</start>
      <end>2</end>
      <status>unmodified</status>
      <modifiedWord/>
      <trackRevisions>false</trackRevisions>
    </reviewItem>
    <reviewItem>
      <errorID>7dee9730-8811-4657-9caf-8e97c75683a3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551C1F0B</paraID>
      <start>0</start>
      <end>2</end>
      <status>unmodified</status>
      <modifiedWord/>
      <trackRevisions>false</trackRevisions>
    </reviewItem>
    <reviewItem>
      <errorID>a83774cc-5fd8-40c9-b01e-f00e069070a3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3FD1D48D</paraID>
      <start>0</start>
      <end>2</end>
      <status>unmodified</status>
      <modifiedWord/>
      <trackRevisions>false</trackRevisions>
    </reviewItem>
    <reviewItem>
      <errorID>499f9065-c7ff-46d8-a899-e61014cb9400</errorID>
      <errorWord>在此作</errorWord>
      <group>L1_Word</group>
      <groupName>字词问题</groupName>
      <ability>L2_Alias</ability>
      <abilityName>也作/曾用词</abilityName>
      <candidateList>
        <item>在此做</item>
      </candidateList>
      <explain>词汇[在此作]为不规范表述或旧称，其规范书面表述为[在此做]。</explain>
      <paraID> 797FED6</paraID>
      <start>99</start>
      <end>102</end>
      <status>unmodified</status>
      <modifiedWord/>
      <trackRevisions>false</trackRevisions>
    </reviewItem>
    <reviewItem>
      <errorID>873462ca-f749-4c18-8cf4-5f69865e9763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77D7F219</paraID>
      <start>2</start>
      <end>4</end>
      <status>unmodified</status>
      <modifiedWord/>
      <trackRevisions>false</trackRevisions>
    </reviewItem>
    <reviewItem>
      <errorID>525f117c-8daa-417c-b7d3-851e780b3d8c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4FEB1A98</paraID>
      <start>2</start>
      <end>4</end>
      <status>unmodified</status>
      <modifiedWord/>
      <trackRevisions>false</trackRevisions>
    </reviewItem>
    <reviewItem>
      <errorID>bb5b6ddf-9a50-42da-be04-8ebb64303948</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4FEB1A98</paraID>
      <start>33</start>
      <end>35</end>
      <status>unmodified</status>
      <modifiedWord/>
      <trackRevisions>false</trackRevisions>
    </reviewItem>
    <reviewItem>
      <errorID>b5c3ad59-a201-4e62-88c8-911ccdd5aa4b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F5E3C32</paraID>
      <start>0</start>
      <end>2</end>
      <status>unmodified</status>
      <modifiedWord/>
      <trackRevisions>false</trackRevisions>
    </reviewItem>
    <reviewItem>
      <errorID>d7c1fdcb-57d8-41d2-9294-6486e5cc0ca8</errorID>
      <errorWord>违犯</errorWord>
      <group>L1_Word</group>
      <groupName>字词问题</groupName>
      <ability>L2_Typo</ability>
      <abilityName>字词错误</abilityName>
      <candidateList>
        <item>违反</item>
      </candidateList>
      <explain>存在发音相同字词的误用。</explain>
      <paraID> F5E3C32</paraID>
      <start>61</start>
      <end>63</end>
      <status>unmodified</status>
      <modifiedWord/>
      <trackRevisions>false</trackRevisions>
    </reviewItem>
    <reviewItem>
      <errorID>2bd60bf0-827a-46c4-aea5-db4d3ef29052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6FA14565</paraID>
      <start>0</start>
      <end>2</end>
      <status>unmodified</status>
      <modifiedWord/>
      <trackRevisions>false</trackRevisions>
    </reviewItem>
    <reviewItem>
      <errorID>ae9d4cc6-5c88-45ce-a5c4-a0915fc71856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59CB7FC3</paraID>
      <start>1</start>
      <end>3</end>
      <status>unmodified</status>
      <modifiedWord/>
      <trackRevisions>false</trackRevisions>
    </reviewItem>
    <reviewItem>
      <errorID>720393f3-37f9-4894-9695-31d86ef79135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37172CA</paraID>
      <start>1</start>
      <end>3</end>
      <status>unmodified</status>
      <modifiedWord/>
      <trackRevisions>false</trackRevisions>
    </reviewItem>
    <reviewItem>
      <errorID>c76494dd-6727-4614-9d47-22466653d3fe</errorID>
      <errorWord>法律、法规</errorWord>
      <group>L1_Word</group>
      <groupName>字词问题</groupName>
      <ability>L2_Typo</ability>
      <abilityName>字词错误</abilityName>
      <candidateList>
        <item>法律法规</item>
      </candidateList>
      <explain/>
      <paraID>73227128</paraID>
      <start>8</start>
      <end>13</end>
      <status>unmodified</status>
      <modifiedWord/>
      <trackRevisions>false</trackRevisions>
    </reviewItem>
    <reviewItem>
      <errorID>f2abc67d-d1f7-4bd8-9290-a441bc2b2d30</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766BB637</paraID>
      <start>41</start>
      <end>50</end>
      <status>unmodified</status>
      <modifiedWord/>
      <trackRevisions>false</trackRevisions>
    </reviewItem>
    <reviewItem>
      <errorID>07b50138-7081-4e85-b95c-066f0e2dec14</errorID>
      <errorWord>描</errorWord>
      <group>L1_Word</group>
      <groupName>字词问题</groupName>
      <ability>L2_Typo</ability>
      <abilityName>字词错误</abilityName>
      <candidateList>
        <item>描件</item>
      </candidateList>
      <explain/>
      <paraID>642D35B3</paraID>
      <start>57</start>
      <end>58</end>
      <status>unmodified</status>
      <modifiedWord/>
      <trackRevisions>false</trackRevisions>
    </reviewItem>
    <reviewItem>
      <errorID>3a0b91ce-0f3f-476f-930a-c9cb256a637e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4BD26D69</paraID>
      <start>0</start>
      <end>2</end>
      <status>unmodified</status>
      <modifiedWord/>
      <trackRevisions>false</trackRevisions>
    </reviewItem>
    <reviewItem>
      <errorID>2ec2248a-3c75-4b9c-ace2-238e86e8a103</errorID>
      <errorWord>、”</errorWord>
      <group>L1_Punc</group>
      <groupName>标点问题</groupName>
      <ability>L2_Punc</ability>
      <abilityName>标点符号检查</abilityName>
      <candidateList>
        <item>”</item>
      </candidateList>
      <explain/>
      <paraID>4BD26D69</paraID>
      <start>50</start>
      <end>52</end>
      <status>unmodified</status>
      <modifiedWord/>
      <trackRevisions>false</trackRevisions>
    </reviewItem>
    <reviewItem>
      <errorID>8abd2fef-455d-4096-a132-9dbf88a31019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3D3D49D2</paraID>
      <start>0</start>
      <end>2</end>
      <status>unmodified</status>
      <modifiedWord/>
      <trackRevisions>false</trackRevisions>
    </reviewItem>
    <reviewItem>
      <errorID>8b34ee2f-ae1d-4215-bc7d-28207455328b</errorID>
      <errorWord>《政府采购法》</errorWord>
      <group>L1_Word</group>
      <groupName>字词问题</groupName>
      <ability>L2_Typo</ability>
      <abilityName>字词错误</abilityName>
      <candidateList>
        <item>《中华人民共和国政府采购法》</item>
      </candidateList>
      <explain/>
      <paraID>30D9AB65</paraID>
      <start>2</start>
      <end>9</end>
      <status>unmodified</status>
      <modifiedWord/>
      <trackRevisions>false</trackRevisions>
    </reviewItem>
    <reviewItem>
      <errorID>45413f0e-429d-4829-b175-1bef8b7d7ed3</errorID>
      <errorWord>第22条</errorWord>
      <group>L1_Knowledge</group>
      <groupName>知识性问题</groupName>
      <ability>L2_Knowledge</ability>
      <abilityName>其他知识</abilityName>
      <candidateList>
        <item>第二十二条</item>
      </candidateList>
      <explain/>
      <paraID>30D9AB65</paraID>
      <start>9</start>
      <end>13</end>
      <status>unmodified</status>
      <modifiedWord/>
      <trackRevisions>false</trackRevisions>
    </reviewItem>
    <reviewItem>
      <errorID>0b4d3ca5-e4cb-4f38-ae8f-7068f7f382b1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6413C7F3</paraID>
      <start>0</start>
      <end>2</end>
      <status>unmodified</status>
      <modifiedWord/>
      <trackRevisions>false</trackRevisions>
    </reviewItem>
    <reviewItem>
      <errorID>f551407e-b752-4cd1-8635-7e355bde500f</errorID>
      <errorWord>描</errorWord>
      <group>L1_Word</group>
      <groupName>字词问题</groupName>
      <ability>L2_Typo</ability>
      <abilityName>字词错误</abilityName>
      <candidateList>
        <item>描件</item>
      </candidateList>
      <explain/>
      <paraID>6413C7F3</paraID>
      <start>76</start>
      <end>77</end>
      <status>unmodified</status>
      <modifiedWord/>
      <trackRevisions>false</trackRevisions>
    </reviewItem>
    <reviewItem>
      <errorID>b4cc61c4-13d2-428d-874f-c895243722d9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70D811DC</paraID>
      <start>0</start>
      <end>2</end>
      <status>unmodified</status>
      <modifiedWord/>
      <trackRevisions>false</trackRevisions>
    </reviewItem>
    <reviewItem>
      <errorID>bea00852-ad34-4bfa-be4b-93fbad344f8a</errorID>
      <errorWord>;</errorWord>
      <group>L1_Format</group>
      <groupName>格式问题</groupName>
      <ability>L2_HalfPunc</ability>
      <abilityName>全半角检查</abilityName>
      <candidateList>
        <item>；</item>
      </candidateList>
      <explain>文本全半角错误。</explain>
      <paraID>70D811DC</paraID>
      <start>79</start>
      <end>80</end>
      <status>unmodified</status>
      <modifiedWord/>
      <trackRevisions>false</trackRevisions>
    </reviewItem>
    <reviewItem>
      <errorID>db87a21e-068d-4cc7-82cb-c3197cba1655</errorID>
      <errorWord>:</errorWord>
      <group>L1_Format</group>
      <groupName>格式问题</groupName>
      <ability>L2_HalfPunc</ability>
      <abilityName>全半角检查</abilityName>
      <candidateList>
        <item>：</item>
      </candidateList>
      <explain>文本全半角错误。</explain>
      <paraID>175EDF4E</paraID>
      <start>6</start>
      <end>7</end>
      <status>unmodified</status>
      <modifiedWord/>
      <trackRevisions>false</trackRevisions>
    </reviewItem>
    <reviewItem>
      <errorID>8d984bbf-0dd2-40f4-a117-3f1bae9a30bf</errorID>
      <errorWord>(</errorWord>
      <group>L1_Format</group>
      <groupName>格式问题</groupName>
      <ability>L2_HalfPunc</ability>
      <abilityName>全半角检查</abilityName>
      <candidateList>
        <item>（</item>
      </candidateList>
      <explain>文本全半角错误。</explain>
      <paraID> 9FE9D70</paraID>
      <start>36</start>
      <end>37</end>
      <status>unmodified</status>
      <modifiedWord/>
      <trackRevisions>false</trackRevisions>
    </reviewItem>
    <reviewItem>
      <errorID>bdfe699c-f5f7-4611-b3f0-b117c573d444</errorID>
      <errorWord>)</errorWord>
      <group>L1_Format</group>
      <groupName>格式问题</groupName>
      <ability>L2_HalfPunc</ability>
      <abilityName>全半角检查</abilityName>
      <candidateList>
        <item>）</item>
      </candidateList>
      <explain>文本全半角错误。</explain>
      <paraID> 9FE9D70</paraID>
      <start>38</start>
      <end>39</end>
      <status>unmodified</status>
      <modifiedWord/>
      <trackRevisions>false</trackRevisions>
    </reviewItem>
    <reviewItem>
      <errorID>63a29e14-5b87-4552-8c24-6228b50d47fa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7672D182</paraID>
      <start>0</start>
      <end>2</end>
      <status>unmodified</status>
      <modifiedWord/>
      <trackRevisions>false</trackRevisions>
    </reviewItem>
    <reviewItem>
      <errorID>43ddb799-8d5e-4fa2-9f3d-fe383461bae0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55255B13</paraID>
      <start>0</start>
      <end>2</end>
      <status>unmodified</status>
      <modifiedWord/>
      <trackRevisions>false</trackRevisions>
    </reviewItem>
    <reviewItem>
      <errorID>313df63e-52f7-4610-ae41-a5883c7d39fa</errorID>
      <errorWord>:</errorWord>
      <group>L1_Format</group>
      <groupName>格式问题</groupName>
      <ability>L2_HalfPunc</ability>
      <abilityName>全半角检查</abilityName>
      <candidateList>
        <item>：</item>
      </candidateList>
      <explain>文本全半角错误。</explain>
      <paraID>7251526D</paraID>
      <start>5</start>
      <end>6</end>
      <status>unmodified</status>
      <modifiedWord/>
      <trackRevisions>false</trackRevisions>
    </reviewItem>
    <reviewItem>
      <errorID>7e536ff6-0653-49ac-a9f1-f581a642da6e</errorID>
      <errorWord>(</errorWord>
      <group>L1_Format</group>
      <groupName>格式问题</groupName>
      <ability>L2_HalfPunc</ability>
      <abilityName>全半角检查</abilityName>
      <candidateList>
        <item>（</item>
      </candidateList>
      <explain>文本全半角错误。</explain>
      <paraID>10DD813B</paraID>
      <start>37</start>
      <end>38</end>
      <status>unmodified</status>
      <modifiedWord/>
      <trackRevisions>false</trackRevisions>
    </reviewItem>
    <reviewItem>
      <errorID>2c8182e4-309b-4763-afeb-64f3236d5654</errorID>
      <errorWord>)</errorWord>
      <group>L1_Format</group>
      <groupName>格式问题</groupName>
      <ability>L2_HalfPunc</ability>
      <abilityName>全半角检查</abilityName>
      <candidateList>
        <item>）</item>
      </candidateList>
      <explain>文本全半角错误。</explain>
      <paraID>10DD813B</paraID>
      <start>47</start>
      <end>48</end>
      <status>unmodified</status>
      <modifiedWord/>
      <trackRevisions>false</trackRevisions>
    </reviewItem>
    <reviewItem>
      <errorID>c7e3e6aa-356a-4612-8d35-24431cf34f4c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60C8D1C1</paraID>
      <start>0</start>
      <end>2</end>
      <status>unmodified</status>
      <modifiedWord/>
      <trackRevisions>false</trackRevisions>
    </reviewItem>
    <reviewItem>
      <errorID>e2cbed7e-af9a-4878-b10e-d84944884bf1</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5D70A703</paraID>
      <start>128</start>
      <end>131</end>
      <status>unmodified</status>
      <modifiedWord/>
      <trackRevisions>false</trackRevisions>
    </reviewItem>
    <reviewItem>
      <errorID>c85c715d-31f0-449d-bb03-2a9f465b0591</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5D70A703</paraID>
      <start>198</start>
      <end>201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2626b9-d915-4a7c-bb81-ee93c0f41ee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84</Pages>
  <Words>1680</Words>
  <Characters>1979</Characters>
  <Lines>330</Lines>
  <Paragraphs>92</Paragraphs>
  <TotalTime>32</TotalTime>
  <ScaleCrop>false</ScaleCrop>
  <LinksUpToDate>false</LinksUpToDate>
  <CharactersWithSpaces>2077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2020-05-08T00:29:00Z</dcterms:created>
  <dc:creator>Administrator</dc:creator>
  <cp:lastModifiedBy>是草莓味儿呀</cp:lastModifiedBy>
  <cp:lastPrinted>2023-09-21T06:16:00Z</cp:lastPrinted>
  <dcterms:modified xsi:type="dcterms:W3CDTF">2026-05-14T09:19:24Z</dcterms:modified>
  <dc:title> </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78256BC6435A48739F122A0BCCF917AE_13</vt:lpwstr>
  </property>
  <property fmtid="{D5CDD505-2E9C-101B-9397-08002B2CF9AE}" pid="4" name="KSOTemplateDocerSaveRecord">
    <vt:lpwstr>eyJoZGlkIjoiOTBiNzM2N2Q5ZDBlMjYxZjM3MjViNWFhNWIyM2NiMWMiLCJ1c2VySWQiOiIyNDU3NjUyMzAifQ==</vt:lpwstr>
  </property>
</Properties>
</file>