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F66E95">
      <w:pPr>
        <w:keepNext w:val="0"/>
        <w:keepLines w:val="0"/>
        <w:pageBreakBefore w:val="0"/>
        <w:widowControl w:val="0"/>
        <w:tabs>
          <w:tab w:val="center" w:pos="4592"/>
          <w:tab w:val="left" w:pos="5921"/>
        </w:tabs>
        <w:kinsoku/>
        <w:wordWrap/>
        <w:overflowPunct/>
        <w:topLinePunct w:val="0"/>
        <w:autoSpaceDE/>
        <w:autoSpaceDN/>
        <w:bidi w:val="0"/>
        <w:adjustRightInd/>
        <w:snapToGrid/>
        <w:spacing w:line="360" w:lineRule="auto"/>
        <w:jc w:val="both"/>
        <w:textAlignment w:val="auto"/>
        <w:rPr>
          <w:rFonts w:hint="eastAsia" w:eastAsia="宋体"/>
          <w:color w:val="auto"/>
          <w:highlight w:val="none"/>
          <w:lang w:eastAsia="zh-CN"/>
        </w:rPr>
      </w:pPr>
      <w:r>
        <w:rPr>
          <w:rFonts w:ascii="宋体" w:hAnsi="宋体" w:cs="宋体"/>
          <w:b/>
          <w:color w:val="auto"/>
          <w:kern w:val="0"/>
          <w:sz w:val="24"/>
        </w:rPr>
        <w:drawing>
          <wp:anchor distT="0" distB="0" distL="114300" distR="114300" simplePos="0" relativeHeight="251662336" behindDoc="1" locked="0" layoutInCell="1" allowOverlap="1">
            <wp:simplePos x="0" y="0"/>
            <wp:positionH relativeFrom="column">
              <wp:posOffset>-271145</wp:posOffset>
            </wp:positionH>
            <wp:positionV relativeFrom="paragraph">
              <wp:posOffset>51435</wp:posOffset>
            </wp:positionV>
            <wp:extent cx="1100455" cy="781685"/>
            <wp:effectExtent l="0" t="0" r="4445" b="18415"/>
            <wp:wrapNone/>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pic:cNvPicPr>
                  </pic:nvPicPr>
                  <pic:blipFill>
                    <a:blip r:embed="rId12"/>
                    <a:stretch>
                      <a:fillRect/>
                    </a:stretch>
                  </pic:blipFill>
                  <pic:spPr>
                    <a:xfrm>
                      <a:off x="0" y="0"/>
                      <a:ext cx="1100455" cy="781685"/>
                    </a:xfrm>
                    <a:prstGeom prst="rect">
                      <a:avLst/>
                    </a:prstGeom>
                    <a:noFill/>
                    <a:ln>
                      <a:noFill/>
                    </a:ln>
                  </pic:spPr>
                </pic:pic>
              </a:graphicData>
            </a:graphic>
          </wp:anchor>
        </w:drawing>
      </w:r>
    </w:p>
    <w:p w14:paraId="3CB243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72"/>
          <w:szCs w:val="72"/>
          <w:highlight w:val="none"/>
          <w:lang w:val="en-US" w:eastAsia="zh-CN"/>
        </w:rPr>
      </w:pPr>
    </w:p>
    <w:p w14:paraId="2C70DF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cs="宋体"/>
          <w:b/>
          <w:bCs/>
          <w:color w:val="auto"/>
          <w:sz w:val="48"/>
          <w:szCs w:val="48"/>
          <w:highlight w:val="none"/>
          <w:lang w:val="en-US" w:eastAsia="zh-CN"/>
        </w:rPr>
      </w:pPr>
      <w:r>
        <w:rPr>
          <w:rFonts w:hint="eastAsia" w:ascii="宋体" w:hAnsi="宋体" w:cs="宋体"/>
          <w:b/>
          <w:bCs/>
          <w:color w:val="auto"/>
          <w:sz w:val="52"/>
          <w:szCs w:val="52"/>
          <w:highlight w:val="none"/>
          <w:lang w:val="en-US" w:eastAsia="zh-CN"/>
        </w:rPr>
        <w:t>王茅镇区域养老服务中心改扩建项目</w:t>
      </w:r>
    </w:p>
    <w:p w14:paraId="3B38ADF8">
      <w:pPr>
        <w:pStyle w:val="29"/>
        <w:rPr>
          <w:rFonts w:hint="eastAsia" w:ascii="Times New Roman" w:hAnsi="Times New Roman" w:eastAsia="宋体" w:cs="Times New Roman"/>
          <w:b/>
          <w:bCs/>
          <w:color w:val="auto"/>
          <w:sz w:val="52"/>
          <w:szCs w:val="52"/>
          <w:highlight w:val="none"/>
          <w:lang w:eastAsia="zh-CN"/>
        </w:rPr>
      </w:pPr>
    </w:p>
    <w:p w14:paraId="5F53A6C7">
      <w:pPr>
        <w:pStyle w:val="3"/>
        <w:jc w:val="both"/>
        <w:outlineLvl w:val="9"/>
        <w:rPr>
          <w:rFonts w:hint="eastAsia"/>
          <w:color w:val="auto"/>
          <w:highlight w:val="none"/>
          <w:lang w:eastAsia="zh-CN"/>
        </w:rPr>
      </w:pPr>
    </w:p>
    <w:p w14:paraId="102B26B9">
      <w:pPr>
        <w:rPr>
          <w:rFonts w:hint="eastAsia"/>
          <w:color w:val="auto"/>
          <w:highlight w:val="none"/>
          <w:lang w:eastAsia="zh-CN"/>
        </w:rPr>
      </w:pPr>
    </w:p>
    <w:p w14:paraId="5C463005">
      <w:pPr>
        <w:rPr>
          <w:rFonts w:hint="eastAsia"/>
          <w:color w:val="auto"/>
          <w:highlight w:val="none"/>
          <w:lang w:eastAsia="zh-CN"/>
        </w:rPr>
      </w:pPr>
    </w:p>
    <w:p w14:paraId="7C3E6EA7">
      <w:pPr>
        <w:rPr>
          <w:rFonts w:hint="eastAsia"/>
          <w:color w:val="auto"/>
          <w:highlight w:val="none"/>
          <w:lang w:eastAsia="zh-CN"/>
        </w:rPr>
      </w:pPr>
    </w:p>
    <w:p w14:paraId="64AB2E68">
      <w:pPr>
        <w:bidi w:val="0"/>
        <w:rPr>
          <w:rFonts w:hint="eastAsia"/>
          <w:color w:val="auto"/>
          <w:highlight w:val="none"/>
          <w:lang w:eastAsia="zh-CN"/>
        </w:rPr>
      </w:pPr>
    </w:p>
    <w:p w14:paraId="19868BDE">
      <w:pPr>
        <w:keepNext w:val="0"/>
        <w:keepLines w:val="0"/>
        <w:pageBreakBefore w:val="0"/>
        <w:widowControl w:val="0"/>
        <w:tabs>
          <w:tab w:val="center" w:pos="4592"/>
          <w:tab w:val="left" w:pos="5921"/>
        </w:tabs>
        <w:kinsoku/>
        <w:wordWrap/>
        <w:overflowPunct/>
        <w:topLinePunct w:val="0"/>
        <w:autoSpaceDE/>
        <w:autoSpaceDN/>
        <w:bidi w:val="0"/>
        <w:adjustRightInd/>
        <w:snapToGrid/>
        <w:spacing w:line="360" w:lineRule="auto"/>
        <w:jc w:val="center"/>
        <w:textAlignment w:val="auto"/>
        <w:outlineLvl w:val="0"/>
        <w:rPr>
          <w:rFonts w:hint="eastAsia" w:ascii="Times New Roman" w:hAnsi="Times New Roman" w:eastAsia="宋体" w:cs="Times New Roman"/>
          <w:b/>
          <w:bCs/>
          <w:color w:val="auto"/>
          <w:sz w:val="72"/>
          <w:szCs w:val="72"/>
          <w:highlight w:val="none"/>
          <w:lang w:eastAsia="zh-CN"/>
        </w:rPr>
      </w:pPr>
      <w:bookmarkStart w:id="0" w:name="_Toc11815"/>
      <w:bookmarkStart w:id="1" w:name="_Toc32580"/>
      <w:bookmarkStart w:id="2" w:name="_Toc16522"/>
      <w:bookmarkStart w:id="3" w:name="_Toc23945"/>
      <w:r>
        <w:rPr>
          <w:rFonts w:hint="eastAsia" w:ascii="Times New Roman" w:hAnsi="Times New Roman" w:eastAsia="宋体" w:cs="Times New Roman"/>
          <w:b/>
          <w:bCs/>
          <w:color w:val="auto"/>
          <w:sz w:val="72"/>
          <w:szCs w:val="72"/>
          <w:highlight w:val="none"/>
          <w:lang w:eastAsia="zh-CN"/>
        </w:rPr>
        <w:t>竞争性磋商文件</w:t>
      </w:r>
      <w:bookmarkEnd w:id="0"/>
      <w:bookmarkEnd w:id="1"/>
      <w:bookmarkEnd w:id="2"/>
      <w:bookmarkEnd w:id="3"/>
    </w:p>
    <w:p w14:paraId="62DC98AD">
      <w:pPr>
        <w:bidi w:val="0"/>
        <w:rPr>
          <w:rFonts w:hint="eastAsia" w:eastAsia="宋体"/>
          <w:color w:val="auto"/>
          <w:highlight w:val="none"/>
          <w:lang w:val="en-US" w:eastAsia="zh-CN"/>
        </w:rPr>
      </w:pPr>
    </w:p>
    <w:p w14:paraId="40905496">
      <w:pPr>
        <w:rPr>
          <w:rFonts w:hint="eastAsia" w:ascii="Times New Roman" w:hAnsi="Times New Roman" w:eastAsia="宋体" w:cs="Times New Roman"/>
          <w:b/>
          <w:bCs/>
          <w:color w:val="auto"/>
          <w:sz w:val="52"/>
          <w:szCs w:val="52"/>
          <w:highlight w:val="none"/>
          <w:lang w:eastAsia="zh-CN"/>
        </w:rPr>
      </w:pPr>
    </w:p>
    <w:p w14:paraId="51CC60D0">
      <w:pPr>
        <w:pStyle w:val="29"/>
        <w:ind w:left="0" w:leftChars="0" w:firstLine="0" w:firstLineChars="0"/>
        <w:rPr>
          <w:rFonts w:hint="eastAsia"/>
          <w:color w:val="auto"/>
          <w:highlight w:val="none"/>
          <w:lang w:eastAsia="zh-CN"/>
        </w:rPr>
      </w:pPr>
    </w:p>
    <w:p w14:paraId="55B6225B">
      <w:pPr>
        <w:bidi w:val="0"/>
        <w:rPr>
          <w:rFonts w:hint="eastAsia"/>
          <w:color w:val="auto"/>
          <w:highlight w:val="none"/>
          <w:lang w:eastAsia="zh-CN"/>
        </w:rPr>
      </w:pPr>
    </w:p>
    <w:p w14:paraId="6112FE7A">
      <w:pPr>
        <w:bidi w:val="0"/>
        <w:rPr>
          <w:rFonts w:hint="eastAsia"/>
          <w:color w:val="auto"/>
          <w:highlight w:val="none"/>
          <w:lang w:eastAsia="zh-CN"/>
        </w:rPr>
      </w:pPr>
    </w:p>
    <w:p w14:paraId="620AB7BF">
      <w:pPr>
        <w:bidi w:val="0"/>
        <w:rPr>
          <w:rFonts w:hint="eastAsia"/>
          <w:color w:val="auto"/>
          <w:highlight w:val="none"/>
          <w:lang w:eastAsia="zh-CN"/>
        </w:rPr>
      </w:pPr>
    </w:p>
    <w:p w14:paraId="57895278">
      <w:pPr>
        <w:bidi w:val="0"/>
        <w:rPr>
          <w:rFonts w:hint="eastAsia"/>
          <w:color w:val="auto"/>
          <w:highlight w:val="none"/>
          <w:lang w:eastAsia="zh-CN"/>
        </w:rPr>
      </w:pPr>
    </w:p>
    <w:p w14:paraId="386528BA">
      <w:pPr>
        <w:bidi w:val="0"/>
        <w:rPr>
          <w:rFonts w:hint="eastAsia"/>
          <w:color w:val="auto"/>
          <w:highlight w:val="none"/>
          <w:lang w:eastAsia="zh-CN"/>
        </w:rPr>
      </w:pPr>
    </w:p>
    <w:p w14:paraId="056688EE">
      <w:pPr>
        <w:bidi w:val="0"/>
        <w:jc w:val="center"/>
        <w:rPr>
          <w:rFonts w:hint="eastAsia" w:ascii="Times New Roman" w:hAnsi="Times New Roman" w:eastAsia="宋体" w:cs="Times New Roman"/>
          <w:b/>
          <w:bCs/>
          <w:color w:val="auto"/>
          <w:sz w:val="32"/>
          <w:szCs w:val="40"/>
          <w:highlight w:val="none"/>
          <w:lang w:val="en-US" w:eastAsia="zh-CN"/>
        </w:rPr>
      </w:pPr>
    </w:p>
    <w:p w14:paraId="108BBB68">
      <w:pPr>
        <w:bidi w:val="0"/>
        <w:ind w:firstLine="643" w:firstLineChars="200"/>
        <w:jc w:val="both"/>
        <w:outlineLvl w:val="0"/>
        <w:rPr>
          <w:rFonts w:hint="default" w:ascii="Times New Roman" w:hAnsi="Times New Roman" w:eastAsia="宋体" w:cs="Times New Roman"/>
          <w:b/>
          <w:bCs/>
          <w:color w:val="auto"/>
          <w:sz w:val="32"/>
          <w:szCs w:val="40"/>
          <w:highlight w:val="none"/>
          <w:lang w:val="en-US" w:eastAsia="zh-CN"/>
        </w:rPr>
      </w:pPr>
      <w:bookmarkStart w:id="4" w:name="_Toc10491"/>
      <w:bookmarkStart w:id="5" w:name="_Toc26106"/>
      <w:bookmarkStart w:id="6" w:name="_Toc6752"/>
      <w:r>
        <w:rPr>
          <w:rFonts w:hint="eastAsia" w:ascii="Times New Roman" w:hAnsi="Times New Roman" w:eastAsia="宋体" w:cs="Times New Roman"/>
          <w:b/>
          <w:bCs/>
          <w:color w:val="auto"/>
          <w:sz w:val="32"/>
          <w:szCs w:val="40"/>
          <w:highlight w:val="none"/>
          <w:lang w:val="en-US" w:eastAsia="zh-CN"/>
        </w:rPr>
        <w:t>采 购 人：</w:t>
      </w:r>
      <w:bookmarkEnd w:id="4"/>
      <w:bookmarkEnd w:id="5"/>
      <w:bookmarkEnd w:id="6"/>
      <w:r>
        <w:rPr>
          <w:rFonts w:hint="eastAsia" w:cs="Times New Roman"/>
          <w:b/>
          <w:bCs/>
          <w:color w:val="auto"/>
          <w:sz w:val="32"/>
          <w:szCs w:val="40"/>
          <w:highlight w:val="none"/>
          <w:lang w:val="en-US" w:eastAsia="zh-CN"/>
        </w:rPr>
        <w:t>垣曲县民政局</w:t>
      </w:r>
    </w:p>
    <w:p w14:paraId="3E0A6E4A">
      <w:pPr>
        <w:bidi w:val="0"/>
        <w:ind w:firstLine="643" w:firstLineChars="200"/>
        <w:jc w:val="both"/>
        <w:rPr>
          <w:rFonts w:hint="eastAsia"/>
          <w:b/>
          <w:bCs/>
          <w:color w:val="auto"/>
          <w:sz w:val="32"/>
          <w:szCs w:val="40"/>
          <w:highlight w:val="none"/>
          <w:lang w:val="en-US" w:eastAsia="zh-CN"/>
        </w:rPr>
      </w:pPr>
      <w:r>
        <w:rPr>
          <w:rFonts w:hint="eastAsia" w:ascii="Times New Roman" w:hAnsi="Times New Roman" w:eastAsia="宋体" w:cs="Times New Roman"/>
          <w:b/>
          <w:bCs/>
          <w:color w:val="auto"/>
          <w:sz w:val="32"/>
          <w:szCs w:val="40"/>
          <w:highlight w:val="none"/>
          <w:lang w:val="en-US" w:eastAsia="zh-CN"/>
        </w:rPr>
        <w:t>代理机构：</w:t>
      </w:r>
      <w:r>
        <w:rPr>
          <w:rFonts w:hint="eastAsia" w:cs="Times New Roman"/>
          <w:b/>
          <w:bCs/>
          <w:color w:val="auto"/>
          <w:sz w:val="32"/>
          <w:szCs w:val="40"/>
          <w:highlight w:val="none"/>
          <w:lang w:val="en-US" w:eastAsia="zh-CN"/>
        </w:rPr>
        <w:t>中鼎誉润工程咨询有限公司</w:t>
      </w:r>
    </w:p>
    <w:p w14:paraId="466F1E98">
      <w:pPr>
        <w:bidi w:val="0"/>
        <w:ind w:firstLine="643" w:firstLineChars="200"/>
        <w:jc w:val="both"/>
        <w:rPr>
          <w:color w:val="auto"/>
          <w:highlight w:val="none"/>
        </w:rPr>
      </w:pPr>
      <w:r>
        <w:rPr>
          <w:rFonts w:hint="eastAsia"/>
          <w:b/>
          <w:bCs/>
          <w:color w:val="auto"/>
          <w:sz w:val="32"/>
          <w:szCs w:val="40"/>
          <w:highlight w:val="none"/>
          <w:lang w:val="en-US" w:eastAsia="zh-CN"/>
        </w:rPr>
        <w:t>日    期：二〇二六年五月</w:t>
      </w:r>
    </w:p>
    <w:p w14:paraId="1B3CE12D">
      <w:pPr>
        <w:spacing w:before="0" w:beforeLines="0" w:after="0" w:afterLines="0" w:line="240" w:lineRule="auto"/>
        <w:ind w:left="0" w:leftChars="0" w:right="0" w:rightChars="0" w:firstLine="0" w:firstLineChars="0"/>
        <w:jc w:val="center"/>
        <w:rPr>
          <w:rFonts w:ascii="宋体" w:hAnsi="宋体" w:eastAsia="宋体"/>
          <w:color w:val="auto"/>
          <w:sz w:val="21"/>
          <w:highlight w:val="none"/>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7F384A4C">
      <w:pPr>
        <w:spacing w:before="0" w:beforeLines="0" w:after="0" w:afterLines="0" w:line="240" w:lineRule="auto"/>
        <w:ind w:left="0" w:leftChars="0" w:right="0" w:rightChars="0" w:firstLine="0" w:firstLineChars="0"/>
        <w:jc w:val="center"/>
        <w:rPr>
          <w:color w:val="auto"/>
          <w:sz w:val="24"/>
          <w:szCs w:val="24"/>
          <w:highlight w:val="none"/>
        </w:rPr>
      </w:pPr>
      <w:r>
        <w:rPr>
          <w:rFonts w:ascii="宋体" w:hAnsi="宋体" w:eastAsia="宋体"/>
          <w:color w:val="auto"/>
          <w:sz w:val="28"/>
          <w:szCs w:val="36"/>
          <w:highlight w:val="none"/>
        </w:rPr>
        <w:t>目录</w:t>
      </w:r>
      <w:r>
        <w:rPr>
          <w:rFonts w:hint="eastAsia"/>
          <w:color w:val="auto"/>
          <w:sz w:val="24"/>
          <w:szCs w:val="24"/>
          <w:highlight w:val="none"/>
        </w:rPr>
        <w:fldChar w:fldCharType="begin"/>
      </w:r>
      <w:r>
        <w:rPr>
          <w:rFonts w:hint="eastAsia"/>
          <w:color w:val="auto"/>
          <w:sz w:val="24"/>
          <w:szCs w:val="24"/>
          <w:highlight w:val="none"/>
        </w:rPr>
        <w:instrText xml:space="preserve">TOC \o "1-1" \h \u </w:instrText>
      </w:r>
      <w:r>
        <w:rPr>
          <w:rFonts w:hint="eastAsia"/>
          <w:color w:val="auto"/>
          <w:sz w:val="24"/>
          <w:szCs w:val="24"/>
          <w:highlight w:val="none"/>
        </w:rPr>
        <w:fldChar w:fldCharType="separate"/>
      </w:r>
    </w:p>
    <w:p w14:paraId="47DC6B9B">
      <w:pPr>
        <w:pStyle w:val="84"/>
        <w:tabs>
          <w:tab w:val="right" w:leader="dot" w:pos="8306"/>
        </w:tabs>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_Toc29417 </w:instrText>
      </w:r>
      <w:r>
        <w:rPr>
          <w:rFonts w:hint="eastAsia"/>
          <w:color w:val="auto"/>
          <w:sz w:val="24"/>
          <w:szCs w:val="24"/>
          <w:highlight w:val="none"/>
        </w:rPr>
        <w:fldChar w:fldCharType="separate"/>
      </w:r>
      <w:r>
        <w:rPr>
          <w:rFonts w:hint="eastAsia"/>
          <w:color w:val="auto"/>
          <w:sz w:val="24"/>
          <w:szCs w:val="24"/>
          <w:highlight w:val="none"/>
        </w:rPr>
        <w:t>第一章  竞争性磋商公告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_Toc29417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color w:val="auto"/>
          <w:sz w:val="24"/>
          <w:szCs w:val="24"/>
          <w:highlight w:val="none"/>
        </w:rPr>
        <w:fldChar w:fldCharType="end"/>
      </w:r>
    </w:p>
    <w:p w14:paraId="49758C5B">
      <w:pPr>
        <w:pStyle w:val="84"/>
        <w:tabs>
          <w:tab w:val="right" w:leader="dot" w:pos="8306"/>
        </w:tabs>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_Toc15508 </w:instrText>
      </w:r>
      <w:r>
        <w:rPr>
          <w:rFonts w:hint="eastAsia"/>
          <w:color w:val="auto"/>
          <w:sz w:val="24"/>
          <w:szCs w:val="24"/>
          <w:highlight w:val="none"/>
        </w:rPr>
        <w:fldChar w:fldCharType="separate"/>
      </w:r>
      <w:r>
        <w:rPr>
          <w:rFonts w:hint="eastAsia"/>
          <w:color w:val="auto"/>
          <w:sz w:val="24"/>
          <w:szCs w:val="24"/>
          <w:highlight w:val="none"/>
          <w:lang w:eastAsia="zh-CN"/>
        </w:rPr>
        <w:t>第二章</w:t>
      </w:r>
      <w:r>
        <w:rPr>
          <w:rFonts w:hint="eastAsia"/>
          <w:color w:val="auto"/>
          <w:sz w:val="24"/>
          <w:szCs w:val="24"/>
          <w:highlight w:val="none"/>
          <w:lang w:val="en-US" w:eastAsia="zh-CN"/>
        </w:rPr>
        <w:t xml:space="preserve">  </w:t>
      </w:r>
      <w:r>
        <w:rPr>
          <w:rFonts w:hint="eastAsia"/>
          <w:color w:val="auto"/>
          <w:sz w:val="24"/>
          <w:szCs w:val="24"/>
          <w:highlight w:val="none"/>
        </w:rPr>
        <w:t>磋商须知附表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_Toc15508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color w:val="auto"/>
          <w:sz w:val="24"/>
          <w:szCs w:val="24"/>
          <w:highlight w:val="none"/>
        </w:rPr>
        <w:fldChar w:fldCharType="end"/>
      </w:r>
    </w:p>
    <w:p w14:paraId="49354C0D">
      <w:pPr>
        <w:pStyle w:val="84"/>
        <w:tabs>
          <w:tab w:val="right" w:leader="dot" w:pos="8306"/>
        </w:tabs>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_Toc9497 </w:instrText>
      </w:r>
      <w:r>
        <w:rPr>
          <w:rFonts w:hint="eastAsia"/>
          <w:color w:val="auto"/>
          <w:sz w:val="24"/>
          <w:szCs w:val="24"/>
          <w:highlight w:val="none"/>
        </w:rPr>
        <w:fldChar w:fldCharType="separate"/>
      </w:r>
      <w:r>
        <w:rPr>
          <w:rFonts w:hint="eastAsia"/>
          <w:color w:val="auto"/>
          <w:sz w:val="24"/>
          <w:szCs w:val="24"/>
          <w:highlight w:val="none"/>
        </w:rPr>
        <w:t>磋商供应商须知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_Toc9497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color w:val="auto"/>
          <w:sz w:val="24"/>
          <w:szCs w:val="24"/>
          <w:highlight w:val="none"/>
        </w:rPr>
        <w:fldChar w:fldCharType="end"/>
      </w:r>
    </w:p>
    <w:p w14:paraId="69B1995B">
      <w:pPr>
        <w:pStyle w:val="84"/>
        <w:tabs>
          <w:tab w:val="right" w:leader="dot" w:pos="8306"/>
        </w:tabs>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_Toc5675 </w:instrText>
      </w:r>
      <w:r>
        <w:rPr>
          <w:rFonts w:hint="eastAsia"/>
          <w:color w:val="auto"/>
          <w:sz w:val="24"/>
          <w:szCs w:val="24"/>
          <w:highlight w:val="none"/>
        </w:rPr>
        <w:fldChar w:fldCharType="separate"/>
      </w:r>
      <w:r>
        <w:rPr>
          <w:rFonts w:hint="eastAsia"/>
          <w:color w:val="auto"/>
          <w:sz w:val="24"/>
          <w:szCs w:val="24"/>
          <w:highlight w:val="none"/>
          <w:lang w:val="en-US" w:eastAsia="zh-CN"/>
        </w:rPr>
        <w:t xml:space="preserve">第三章  </w:t>
      </w:r>
      <w:r>
        <w:rPr>
          <w:rFonts w:hint="eastAsia"/>
          <w:color w:val="auto"/>
          <w:sz w:val="24"/>
          <w:szCs w:val="24"/>
          <w:highlight w:val="none"/>
        </w:rPr>
        <w:t>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_Toc5675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color w:val="auto"/>
          <w:sz w:val="24"/>
          <w:szCs w:val="24"/>
          <w:highlight w:val="none"/>
        </w:rPr>
        <w:fldChar w:fldCharType="end"/>
      </w:r>
    </w:p>
    <w:p w14:paraId="700B3E9F">
      <w:pPr>
        <w:pStyle w:val="84"/>
        <w:tabs>
          <w:tab w:val="right" w:leader="dot" w:pos="8306"/>
        </w:tabs>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_Toc4484 </w:instrText>
      </w:r>
      <w:r>
        <w:rPr>
          <w:rFonts w:hint="eastAsia"/>
          <w:color w:val="auto"/>
          <w:sz w:val="24"/>
          <w:szCs w:val="24"/>
          <w:highlight w:val="none"/>
        </w:rPr>
        <w:fldChar w:fldCharType="separate"/>
      </w:r>
      <w:r>
        <w:rPr>
          <w:rFonts w:hint="eastAsia"/>
          <w:color w:val="auto"/>
          <w:sz w:val="24"/>
          <w:szCs w:val="24"/>
          <w:highlight w:val="none"/>
          <w:lang w:val="en-US" w:eastAsia="zh-CN"/>
        </w:rPr>
        <w:t>第四章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_Toc4484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color w:val="auto"/>
          <w:sz w:val="24"/>
          <w:szCs w:val="24"/>
          <w:highlight w:val="none"/>
        </w:rPr>
        <w:fldChar w:fldCharType="end"/>
      </w:r>
    </w:p>
    <w:p w14:paraId="607A18C7">
      <w:pPr>
        <w:pStyle w:val="84"/>
        <w:tabs>
          <w:tab w:val="right" w:leader="dot" w:pos="8306"/>
        </w:tabs>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_Toc2177 </w:instrText>
      </w:r>
      <w:r>
        <w:rPr>
          <w:rFonts w:hint="eastAsia"/>
          <w:color w:val="auto"/>
          <w:sz w:val="24"/>
          <w:szCs w:val="24"/>
          <w:highlight w:val="none"/>
        </w:rPr>
        <w:fldChar w:fldCharType="separate"/>
      </w:r>
      <w:r>
        <w:rPr>
          <w:rFonts w:hint="eastAsia"/>
          <w:color w:val="auto"/>
          <w:sz w:val="24"/>
          <w:szCs w:val="24"/>
          <w:highlight w:val="none"/>
          <w:lang w:val="en-US" w:eastAsia="zh-CN"/>
        </w:rPr>
        <w:t xml:space="preserve">第五章  </w:t>
      </w:r>
      <w:r>
        <w:rPr>
          <w:rFonts w:hint="eastAsia"/>
          <w:color w:val="auto"/>
          <w:sz w:val="24"/>
          <w:szCs w:val="24"/>
          <w:highlight w:val="none"/>
        </w:rPr>
        <w:t>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color w:val="auto"/>
          <w:sz w:val="24"/>
          <w:szCs w:val="24"/>
          <w:highlight w:val="none"/>
        </w:rPr>
        <w:fldChar w:fldCharType="end"/>
      </w:r>
    </w:p>
    <w:p w14:paraId="443142B2">
      <w:pPr>
        <w:pStyle w:val="84"/>
        <w:tabs>
          <w:tab w:val="right" w:leader="dot" w:pos="8306"/>
        </w:tabs>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_Toc10850 </w:instrText>
      </w:r>
      <w:r>
        <w:rPr>
          <w:rFonts w:hint="eastAsia"/>
          <w:color w:val="auto"/>
          <w:sz w:val="24"/>
          <w:szCs w:val="24"/>
          <w:highlight w:val="none"/>
        </w:rPr>
        <w:fldChar w:fldCharType="separate"/>
      </w:r>
      <w:r>
        <w:rPr>
          <w:rFonts w:hint="eastAsia"/>
          <w:color w:val="auto"/>
          <w:sz w:val="24"/>
          <w:szCs w:val="24"/>
          <w:highlight w:val="none"/>
          <w:lang w:eastAsia="zh-CN"/>
        </w:rPr>
        <w:t>第</w:t>
      </w:r>
      <w:r>
        <w:rPr>
          <w:rFonts w:hint="eastAsia"/>
          <w:color w:val="auto"/>
          <w:sz w:val="24"/>
          <w:szCs w:val="24"/>
          <w:highlight w:val="none"/>
          <w:lang w:val="en-US" w:eastAsia="zh-CN"/>
        </w:rPr>
        <w:t>六</w:t>
      </w:r>
      <w:r>
        <w:rPr>
          <w:rFonts w:hint="eastAsia"/>
          <w:color w:val="auto"/>
          <w:sz w:val="24"/>
          <w:szCs w:val="24"/>
          <w:highlight w:val="none"/>
          <w:lang w:eastAsia="zh-CN"/>
        </w:rPr>
        <w:t>章</w:t>
      </w:r>
      <w:r>
        <w:rPr>
          <w:rFonts w:hint="eastAsia"/>
          <w:color w:val="auto"/>
          <w:sz w:val="24"/>
          <w:szCs w:val="24"/>
          <w:highlight w:val="none"/>
          <w:lang w:val="en-US" w:eastAsia="zh-CN"/>
        </w:rPr>
        <w:t xml:space="preserve">  </w:t>
      </w:r>
      <w:r>
        <w:rPr>
          <w:rFonts w:hint="eastAsia"/>
          <w:color w:val="auto"/>
          <w:sz w:val="24"/>
          <w:szCs w:val="24"/>
          <w:highlight w:val="none"/>
        </w:rPr>
        <w:t>评审</w:t>
      </w:r>
      <w:r>
        <w:rPr>
          <w:rFonts w:hint="eastAsia"/>
          <w:color w:val="auto"/>
          <w:sz w:val="24"/>
          <w:szCs w:val="24"/>
          <w:highlight w:val="none"/>
          <w:lang w:eastAsia="zh-CN"/>
        </w:rPr>
        <w:t>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_Toc10850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color w:val="auto"/>
          <w:sz w:val="24"/>
          <w:szCs w:val="24"/>
          <w:highlight w:val="none"/>
        </w:rPr>
        <w:fldChar w:fldCharType="end"/>
      </w:r>
    </w:p>
    <w:p w14:paraId="06FD6807">
      <w:pPr>
        <w:pStyle w:val="84"/>
        <w:tabs>
          <w:tab w:val="right" w:leader="dot" w:pos="8306"/>
        </w:tabs>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 HYPERLINK \l _Toc10853 </w:instrText>
      </w:r>
      <w:r>
        <w:rPr>
          <w:rFonts w:hint="eastAsia"/>
          <w:color w:val="auto"/>
          <w:sz w:val="24"/>
          <w:szCs w:val="24"/>
          <w:highlight w:val="none"/>
        </w:rPr>
        <w:fldChar w:fldCharType="separate"/>
      </w:r>
      <w:r>
        <w:rPr>
          <w:rFonts w:hint="eastAsia"/>
          <w:color w:val="auto"/>
          <w:sz w:val="24"/>
          <w:szCs w:val="24"/>
          <w:highlight w:val="none"/>
        </w:rPr>
        <w:t>第</w:t>
      </w:r>
      <w:r>
        <w:rPr>
          <w:rFonts w:hint="eastAsia"/>
          <w:color w:val="auto"/>
          <w:sz w:val="24"/>
          <w:szCs w:val="24"/>
          <w:highlight w:val="none"/>
          <w:lang w:val="en-US" w:eastAsia="zh-CN"/>
        </w:rPr>
        <w:t>七</w:t>
      </w:r>
      <w:r>
        <w:rPr>
          <w:rFonts w:hint="eastAsia"/>
          <w:color w:val="auto"/>
          <w:sz w:val="24"/>
          <w:szCs w:val="24"/>
          <w:highlight w:val="none"/>
        </w:rPr>
        <w:t>章</w:t>
      </w:r>
      <w:r>
        <w:rPr>
          <w:rFonts w:hint="eastAsia"/>
          <w:color w:val="auto"/>
          <w:sz w:val="24"/>
          <w:szCs w:val="24"/>
          <w:highlight w:val="none"/>
          <w:lang w:val="en-US" w:eastAsia="zh-CN"/>
        </w:rPr>
        <w:t xml:space="preserve">  </w:t>
      </w:r>
      <w:r>
        <w:rPr>
          <w:rFonts w:hint="eastAsia"/>
          <w:color w:val="auto"/>
          <w:sz w:val="24"/>
          <w:szCs w:val="24"/>
          <w:highlight w:val="none"/>
        </w:rPr>
        <w:t>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_Toc10853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rFonts w:hint="eastAsia"/>
          <w:color w:val="auto"/>
          <w:sz w:val="24"/>
          <w:szCs w:val="24"/>
          <w:highlight w:val="none"/>
        </w:rPr>
        <w:fldChar w:fldCharType="end"/>
      </w:r>
    </w:p>
    <w:p w14:paraId="74C28079">
      <w:pPr>
        <w:pStyle w:val="84"/>
        <w:tabs>
          <w:tab w:val="right" w:leader="dot" w:pos="8306"/>
        </w:tabs>
        <w:rPr>
          <w:rFonts w:hint="eastAsia"/>
          <w:color w:val="auto"/>
          <w:highlight w:val="none"/>
        </w:rPr>
      </w:pPr>
      <w:r>
        <w:rPr>
          <w:rFonts w:hint="eastAsia"/>
          <w:color w:val="auto"/>
          <w:sz w:val="24"/>
          <w:szCs w:val="24"/>
          <w:highlight w:val="none"/>
        </w:rPr>
        <w:fldChar w:fldCharType="end"/>
      </w:r>
    </w:p>
    <w:p w14:paraId="03B50F48">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6F59CFA8">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08E74689">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2351A73B">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678A48F4">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3D0FE7E9">
      <w:pPr>
        <w:widowControl/>
        <w:tabs>
          <w:tab w:val="left" w:pos="567"/>
        </w:tabs>
        <w:snapToGrid w:val="0"/>
        <w:spacing w:line="500" w:lineRule="exact"/>
        <w:ind w:firstLine="480" w:firstLineChars="200"/>
        <w:jc w:val="left"/>
        <w:rPr>
          <w:rFonts w:hint="eastAsia" w:ascii="宋体" w:hAnsi="宋体" w:eastAsia="宋体" w:cs="宋体"/>
          <w:color w:val="auto"/>
          <w:sz w:val="24"/>
          <w:highlight w:val="none"/>
        </w:rPr>
      </w:pPr>
    </w:p>
    <w:p w14:paraId="5A48A05D">
      <w:pPr>
        <w:widowControl/>
        <w:tabs>
          <w:tab w:val="left" w:pos="567"/>
        </w:tabs>
        <w:snapToGrid w:val="0"/>
        <w:spacing w:line="500" w:lineRule="exact"/>
        <w:jc w:val="left"/>
        <w:rPr>
          <w:rFonts w:hint="eastAsia" w:ascii="宋体" w:hAnsi="宋体" w:eastAsia="宋体" w:cs="宋体"/>
          <w:color w:val="auto"/>
          <w:sz w:val="24"/>
          <w:highlight w:val="none"/>
        </w:rPr>
      </w:pPr>
    </w:p>
    <w:p w14:paraId="72A80CB8">
      <w:pPr>
        <w:pStyle w:val="29"/>
        <w:rPr>
          <w:rFonts w:hint="eastAsia"/>
          <w:color w:val="auto"/>
          <w:highlight w:val="none"/>
        </w:rPr>
      </w:pPr>
    </w:p>
    <w:p w14:paraId="25BA5076">
      <w:pPr>
        <w:widowControl/>
        <w:tabs>
          <w:tab w:val="left" w:pos="567"/>
        </w:tabs>
        <w:snapToGrid w:val="0"/>
        <w:spacing w:line="500" w:lineRule="exact"/>
        <w:jc w:val="left"/>
        <w:rPr>
          <w:rFonts w:hint="eastAsia" w:ascii="宋体" w:hAnsi="宋体" w:eastAsia="宋体" w:cs="宋体"/>
          <w:color w:val="auto"/>
          <w:sz w:val="24"/>
          <w:highlight w:val="none"/>
        </w:rPr>
      </w:pPr>
    </w:p>
    <w:p w14:paraId="024574DD">
      <w:pPr>
        <w:pStyle w:val="7"/>
        <w:rPr>
          <w:rFonts w:hint="eastAsia" w:ascii="宋体" w:hAnsi="宋体" w:eastAsia="宋体" w:cs="宋体"/>
          <w:color w:val="auto"/>
          <w:sz w:val="24"/>
          <w:highlight w:val="none"/>
        </w:rPr>
      </w:pPr>
    </w:p>
    <w:p w14:paraId="360B21F1">
      <w:pPr>
        <w:rPr>
          <w:rFonts w:hint="eastAsia" w:ascii="宋体" w:hAnsi="宋体" w:eastAsia="宋体" w:cs="宋体"/>
          <w:color w:val="auto"/>
          <w:sz w:val="24"/>
          <w:highlight w:val="none"/>
        </w:rPr>
      </w:pPr>
    </w:p>
    <w:p w14:paraId="763D3874">
      <w:pPr>
        <w:pStyle w:val="7"/>
        <w:rPr>
          <w:rFonts w:hint="eastAsia" w:ascii="宋体" w:hAnsi="宋体" w:eastAsia="宋体" w:cs="宋体"/>
          <w:color w:val="auto"/>
          <w:sz w:val="24"/>
          <w:highlight w:val="none"/>
        </w:rPr>
      </w:pPr>
    </w:p>
    <w:p w14:paraId="62FFCF7E">
      <w:pPr>
        <w:rPr>
          <w:rFonts w:hint="eastAsia"/>
          <w:color w:val="auto"/>
          <w:highlight w:val="none"/>
        </w:rPr>
      </w:pPr>
    </w:p>
    <w:p w14:paraId="68E448D5">
      <w:pPr>
        <w:widowControl/>
        <w:tabs>
          <w:tab w:val="left" w:pos="567"/>
        </w:tabs>
        <w:snapToGrid w:val="0"/>
        <w:spacing w:line="500" w:lineRule="exact"/>
        <w:ind w:left="0" w:leftChars="0" w:right="0" w:rightChars="0" w:firstLine="0" w:firstLineChars="0"/>
        <w:jc w:val="center"/>
        <w:rPr>
          <w:rFonts w:hint="eastAsia" w:ascii="宋体" w:hAnsi="宋体" w:eastAsia="宋体" w:cs="宋体"/>
          <w:b/>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E341879">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highlight w:val="none"/>
        </w:rPr>
      </w:pPr>
      <w:bookmarkStart w:id="7" w:name="_Toc17378"/>
      <w:bookmarkStart w:id="8" w:name="_Toc4310"/>
      <w:bookmarkStart w:id="9" w:name="_Toc1381"/>
      <w:bookmarkStart w:id="10" w:name="_Toc29652"/>
      <w:bookmarkStart w:id="11" w:name="_Toc6026"/>
      <w:bookmarkStart w:id="12" w:name="_Toc104"/>
      <w:bookmarkStart w:id="13" w:name="_Toc36"/>
      <w:bookmarkStart w:id="14" w:name="_Toc29417"/>
      <w:r>
        <w:rPr>
          <w:rFonts w:hint="eastAsia"/>
          <w:color w:val="auto"/>
          <w:highlight w:val="none"/>
        </w:rPr>
        <w:t>第一章  竞争性磋商公告</w:t>
      </w:r>
      <w:bookmarkEnd w:id="7"/>
      <w:bookmarkEnd w:id="8"/>
      <w:bookmarkEnd w:id="9"/>
      <w:bookmarkEnd w:id="10"/>
      <w:bookmarkEnd w:id="11"/>
      <w:bookmarkEnd w:id="12"/>
      <w:bookmarkEnd w:id="13"/>
      <w:bookmarkEnd w:id="14"/>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14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69A3C3">
            <w:pPr>
              <w:pStyle w:val="2"/>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Times New Roman" w:hAnsi="Times New Roman" w:eastAsia="宋体" w:cs="Times New Roman"/>
                <w:b w:val="0"/>
                <w:kern w:val="2"/>
                <w:sz w:val="21"/>
                <w:szCs w:val="24"/>
                <w:lang w:val="en-US" w:eastAsia="zh-CN" w:bidi="ar-SA"/>
              </w:rPr>
            </w:pPr>
            <w:r>
              <w:rPr>
                <w:rFonts w:hint="eastAsia" w:ascii="Times New Roman" w:hAnsi="Times New Roman" w:eastAsia="宋体" w:cs="Times New Roman"/>
                <w:b w:val="0"/>
                <w:kern w:val="2"/>
                <w:sz w:val="21"/>
                <w:szCs w:val="24"/>
                <w:lang w:val="en-US" w:eastAsia="zh-CN" w:bidi="ar-SA"/>
              </w:rPr>
              <w:t>项目概况                                                                </w:t>
            </w:r>
          </w:p>
          <w:p w14:paraId="63617588">
            <w:pPr>
              <w:pStyle w:val="2"/>
              <w:keepNext/>
              <w:keepLines/>
              <w:pageBreakBefore w:val="0"/>
              <w:widowControl w:val="0"/>
              <w:kinsoku/>
              <w:wordWrap/>
              <w:overflowPunct/>
              <w:topLinePunct w:val="0"/>
              <w:autoSpaceDE/>
              <w:autoSpaceDN/>
              <w:bidi w:val="0"/>
              <w:adjustRightInd/>
              <w:snapToGrid/>
              <w:spacing w:before="0" w:after="0"/>
              <w:jc w:val="left"/>
              <w:textAlignment w:val="auto"/>
              <w:rPr>
                <w:rFonts w:hint="eastAsia" w:ascii="微软雅黑" w:hAnsi="微软雅黑" w:eastAsia="微软雅黑" w:cs="微软雅黑"/>
                <w:b w:val="0"/>
                <w:bCs/>
                <w:i w:val="0"/>
                <w:iCs w:val="0"/>
                <w:caps w:val="0"/>
                <w:color w:val="auto"/>
                <w:spacing w:val="0"/>
                <w:sz w:val="24"/>
                <w:szCs w:val="24"/>
                <w:highlight w:val="none"/>
                <w:vertAlign w:val="baseline"/>
              </w:rPr>
            </w:pPr>
            <w:r>
              <w:rPr>
                <w:rFonts w:hint="eastAsia" w:ascii="Times New Roman" w:hAnsi="Times New Roman" w:eastAsia="宋体" w:cs="Times New Roman"/>
                <w:b w:val="0"/>
                <w:kern w:val="2"/>
                <w:sz w:val="21"/>
                <w:szCs w:val="24"/>
                <w:lang w:val="en-US" w:eastAsia="zh-CN" w:bidi="ar-SA"/>
              </w:rPr>
              <w:t xml:space="preserve">王茅镇区域养老服务中心改扩建项目采购项目的潜在供应商应在政采云平台线上获取获取采购文件，并于2026年05月28日 09:00（北京时间）前提交响应文件。 </w:t>
            </w:r>
          </w:p>
        </w:tc>
      </w:tr>
    </w:tbl>
    <w:p w14:paraId="01B92E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bookmarkStart w:id="15" w:name="_Toc8813"/>
      <w:bookmarkStart w:id="16" w:name="_Toc26476"/>
      <w:bookmarkStart w:id="17" w:name="_Toc15508"/>
      <w:bookmarkStart w:id="18" w:name="_Toc5412"/>
      <w:bookmarkStart w:id="19" w:name="_Toc12479"/>
      <w:bookmarkStart w:id="20" w:name="_Toc28164"/>
      <w:bookmarkStart w:id="21" w:name="_Toc32273"/>
      <w:bookmarkStart w:id="22" w:name="_Toc29239"/>
      <w:r>
        <w:rPr>
          <w:rFonts w:hint="eastAsia"/>
        </w:rPr>
        <w:t>一、项目基本情况</w:t>
      </w:r>
    </w:p>
    <w:p w14:paraId="78DA46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项目编号：1408272026BCS00028     </w:t>
      </w:r>
    </w:p>
    <w:p w14:paraId="449CAA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项目名称：王茅镇区域养老服务中心改扩建项目    </w:t>
      </w:r>
    </w:p>
    <w:p w14:paraId="662953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采购方式：竞争性磋商           </w:t>
      </w:r>
    </w:p>
    <w:p w14:paraId="24E9E5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预算金额（元）：3082445.25     </w:t>
      </w:r>
    </w:p>
    <w:p w14:paraId="17469F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最高限价（元）：3082445.25     </w:t>
      </w:r>
    </w:p>
    <w:p w14:paraId="4FC8CF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采购需求：</w:t>
      </w:r>
      <w:r>
        <w:rPr>
          <w:rFonts w:hint="eastAsia"/>
        </w:rPr>
        <w:br w:type="textWrapping"/>
      </w:r>
      <w:r>
        <w:rPr>
          <w:rFonts w:hint="eastAsia"/>
        </w:rPr>
        <w:t>   </w:t>
      </w:r>
      <w:r>
        <w:rPr>
          <w:rFonts w:hint="eastAsia"/>
          <w:lang w:val="en-US" w:eastAsia="zh-CN"/>
        </w:rPr>
        <w:t>   标项名称：王茅镇区域养老服务中心改扩建项目 </w:t>
      </w:r>
      <w:r>
        <w:rPr>
          <w:rFonts w:hint="eastAsia"/>
          <w:lang w:val="en-US" w:eastAsia="zh-CN"/>
        </w:rPr>
        <w:br w:type="textWrapping"/>
      </w:r>
      <w:r>
        <w:rPr>
          <w:rFonts w:hint="eastAsia"/>
          <w:lang w:val="en-US" w:eastAsia="zh-CN"/>
        </w:rPr>
        <w:t>     数量：</w:t>
      </w:r>
      <w:r>
        <w:rPr>
          <w:rFonts w:hint="eastAsia"/>
          <w:lang w:val="en-US" w:eastAsia="zh-CN"/>
        </w:rPr>
        <w:br w:type="textWrapping"/>
      </w:r>
      <w:r>
        <w:rPr>
          <w:rFonts w:hint="eastAsia"/>
          <w:lang w:val="en-US" w:eastAsia="zh-CN"/>
        </w:rPr>
        <w:t>     预算金额（元）：3082445.25</w:t>
      </w:r>
      <w:r>
        <w:rPr>
          <w:rFonts w:hint="eastAsia"/>
          <w:lang w:val="en-US" w:eastAsia="zh-CN"/>
        </w:rPr>
        <w:br w:type="textWrapping"/>
      </w:r>
      <w:r>
        <w:rPr>
          <w:rFonts w:hint="eastAsia"/>
          <w:lang w:val="en-US" w:eastAsia="zh-CN"/>
        </w:rPr>
        <w:t>     单位：</w:t>
      </w:r>
      <w:r>
        <w:rPr>
          <w:rFonts w:hint="eastAsia"/>
          <w:lang w:val="en-US" w:eastAsia="zh-CN"/>
        </w:rPr>
        <w:br w:type="textWrapping"/>
      </w:r>
      <w:r>
        <w:rPr>
          <w:rFonts w:hint="eastAsia"/>
          <w:lang w:val="en-US" w:eastAsia="zh-CN"/>
        </w:rPr>
        <w:t>     简要规格描述：王茅镇区域养老服务中心改扩建项目施工图纸及工程量清单范围内的全部内容。</w:t>
      </w:r>
      <w:r>
        <w:rPr>
          <w:rFonts w:hint="eastAsia"/>
          <w:lang w:val="en-US" w:eastAsia="zh-CN"/>
        </w:rPr>
        <w:br w:type="textWrapping"/>
      </w:r>
      <w:r>
        <w:rPr>
          <w:rFonts w:hint="eastAsia"/>
          <w:lang w:val="en-US" w:eastAsia="zh-CN"/>
        </w:rPr>
        <w:t>     备注：    </w:t>
      </w:r>
    </w:p>
    <w:p w14:paraId="31CDBD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合同履约期限：包 1，180日历天        </w:t>
      </w:r>
    </w:p>
    <w:p w14:paraId="3E95AE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本项目（否）接受联合体投标。        </w:t>
      </w:r>
    </w:p>
    <w:p w14:paraId="72D015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二、申请人的资格要求：    </w:t>
      </w:r>
    </w:p>
    <w:p w14:paraId="5F602F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1.满足《中华人民共和国政府采购法》第二十二条规定；        </w:t>
      </w:r>
    </w:p>
    <w:p w14:paraId="439D34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落实政府采购政策需满足的资格要求：包1：本项目专门面向中小企业，供应商须根据《工业和信息化部、国家统计局、国家发展和改革委员会、财政部关于印发中小企业划型标准规定的通知》（工信部联企业〔2011〕300号）规定的划分标准，准确划分企业类型。监狱企业、残疾人福利性单位视同小型企业；        </w:t>
      </w:r>
    </w:p>
    <w:p w14:paraId="3AA21521">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rPr>
      </w:pPr>
      <w:r>
        <w:rPr>
          <w:rFonts w:hint="eastAsia"/>
        </w:rPr>
        <w:t>3.本项目的特定资格要求：</w:t>
      </w:r>
    </w:p>
    <w:p w14:paraId="756DFB6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rPr>
      </w:pPr>
      <w:r>
        <w:rPr>
          <w:rFonts w:hint="eastAsia"/>
        </w:rPr>
        <w:t>【包1】</w:t>
      </w:r>
    </w:p>
    <w:p w14:paraId="509D7BA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200"/>
        <w:textAlignment w:val="auto"/>
        <w:rPr>
          <w:rFonts w:hint="eastAsia"/>
        </w:rPr>
      </w:pPr>
      <w:r>
        <w:rPr>
          <w:rFonts w:hint="eastAsia"/>
        </w:rPr>
        <w:t>供应商须具备建筑工程施工总承包三级及以上资质，有效的营业执照、安全生产许可证，并在人员、设备、资金等方面具有相应能力，其中，拟派项目经理须具备建筑工程专业二级及以上注册建造师资格，具备有效的安全生产考核证，且未担任其他在建项目的项目经理；</w:t>
      </w:r>
    </w:p>
    <w:p w14:paraId="6976D61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200"/>
        <w:textAlignment w:val="auto"/>
        <w:rPr>
          <w:rFonts w:hint="eastAsia"/>
        </w:rPr>
      </w:pPr>
      <w:r>
        <w:rPr>
          <w:rFonts w:hint="eastAsia"/>
        </w:rPr>
        <w:t>单位负责人为同一人或者存在直接控股、管理关系的不同供应商，不得参加同一合同项下的政府采购活动，否则相关投标均无效；        </w:t>
      </w:r>
    </w:p>
    <w:p w14:paraId="15E2DA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三、获取采购文件    </w:t>
      </w:r>
    </w:p>
    <w:p w14:paraId="7B8227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时间：2026年05月16日至2026年05月22日，每天上午00:00至12:00，下午12:00至23:59（北京时间，法定节假日除外）        </w:t>
      </w:r>
    </w:p>
    <w:p w14:paraId="2C73C3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地点：政采云平台线上获取      </w:t>
      </w:r>
    </w:p>
    <w:p w14:paraId="62F61E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方式：在线获取       </w:t>
      </w:r>
    </w:p>
    <w:p w14:paraId="178085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售价（元）：0      </w:t>
      </w:r>
    </w:p>
    <w:p w14:paraId="24F418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四、响应文件提交    </w:t>
      </w:r>
    </w:p>
    <w:p w14:paraId="59A083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截止时间：2026年05月28日 09:00（北京时间）        </w:t>
      </w:r>
    </w:p>
    <w:p w14:paraId="7A06D0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地点：请登录政采云投标客户端投标     </w:t>
      </w:r>
    </w:p>
    <w:p w14:paraId="73209B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五、响应文件开启    </w:t>
      </w:r>
    </w:p>
    <w:p w14:paraId="11CECA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开启时间：2026年05月28日 09:00（北京时间）        </w:t>
      </w:r>
    </w:p>
    <w:p w14:paraId="1902F7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地点：山西省运城市盐湖区运城市盐湖区红旗东街金水湾1号楼21层会议室开评标会议室      </w:t>
      </w:r>
    </w:p>
    <w:p w14:paraId="0DBF24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六、公告期限    </w:t>
      </w:r>
    </w:p>
    <w:p w14:paraId="740C1C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自本公告发布之日起3个工作日。    </w:t>
      </w:r>
    </w:p>
    <w:p w14:paraId="0798BD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七、其他补充事宜    </w:t>
      </w:r>
    </w:p>
    <w:p w14:paraId="7FE984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针对本项目的质疑需一次性提出，多次提出将不予受理。供应商参与山西省政府采购项目时，符合法定质疑条件的，通过政府采购平台进入“项目质疑管理”栏目向采购人、采购代理机构在线提起质疑。    </w:t>
      </w:r>
    </w:p>
    <w:p w14:paraId="053EFA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代理费支付方式： 采购人支付 </w:t>
      </w:r>
    </w:p>
    <w:p w14:paraId="358F55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代理费收费标准： 参照原国家计划委员会计价格[2002]1980号、国家发展改革委发改价格[2011]534号文件规定为基准的85%收取代理服务费，由采购人支付给采购代理机构。 </w:t>
      </w:r>
    </w:p>
    <w:p w14:paraId="38197A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bookmarkStart w:id="136" w:name="_GoBack"/>
      <w:bookmarkEnd w:id="136"/>
      <w:r>
        <w:rPr>
          <w:rFonts w:hint="eastAsia"/>
        </w:rPr>
        <w:t>代理费收费金额（元）： 20000 </w:t>
      </w:r>
    </w:p>
    <w:p w14:paraId="76C487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八、凡对本次招标提出询问，请按以下方式联系    </w:t>
      </w:r>
    </w:p>
    <w:p w14:paraId="20B1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1.采购人信息            </w:t>
      </w:r>
    </w:p>
    <w:p w14:paraId="137DB8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名 称：垣曲县民政局           </w:t>
      </w:r>
    </w:p>
    <w:p w14:paraId="67E2C6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地 址：垣曲县黄河路          </w:t>
      </w:r>
    </w:p>
    <w:p w14:paraId="35B36B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联系方式：0359-6022875           </w:t>
      </w:r>
    </w:p>
    <w:p w14:paraId="441847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2.采购代理机构信息            </w:t>
      </w:r>
    </w:p>
    <w:p w14:paraId="67BA66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名 称：中鼎誉润工程咨询有限公司         </w:t>
      </w:r>
    </w:p>
    <w:p w14:paraId="4898C9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地 址：运城市红旗东街盐湖城小区           </w:t>
      </w:r>
    </w:p>
    <w:p w14:paraId="49D0A6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联系方式：0359-8333353            </w:t>
      </w:r>
    </w:p>
    <w:p w14:paraId="2929E8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3.项目联系方式    </w:t>
      </w:r>
    </w:p>
    <w:p w14:paraId="25E5DD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项目联系人：张女士   </w:t>
      </w:r>
    </w:p>
    <w:p w14:paraId="1F49D7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rPr>
        <w:t>电 话：0359-8333353</w:t>
      </w:r>
    </w:p>
    <w:p w14:paraId="5BCC0A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 xml:space="preserve"> </w:t>
      </w:r>
    </w:p>
    <w:p w14:paraId="13AEC9D1">
      <w:pPr>
        <w:rPr>
          <w:rFonts w:hint="eastAsia"/>
          <w:color w:val="auto"/>
          <w:lang w:eastAsia="zh-CN"/>
        </w:rPr>
      </w:pPr>
    </w:p>
    <w:p w14:paraId="33A28DEA">
      <w:pPr>
        <w:rPr>
          <w:rFonts w:hint="eastAsia"/>
          <w:color w:val="auto"/>
          <w:highlight w:val="none"/>
          <w:lang w:eastAsia="zh-CN"/>
        </w:rPr>
      </w:pPr>
      <w:r>
        <w:rPr>
          <w:rFonts w:hint="eastAsia"/>
          <w:color w:val="auto"/>
          <w:highlight w:val="none"/>
          <w:lang w:eastAsia="zh-CN"/>
        </w:rPr>
        <w:br w:type="page"/>
      </w:r>
    </w:p>
    <w:p w14:paraId="229AC7AB">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highlight w:val="none"/>
          <w:lang w:eastAsia="zh-CN"/>
        </w:rPr>
      </w:pPr>
      <w:r>
        <w:rPr>
          <w:rFonts w:hint="eastAsia"/>
          <w:color w:val="auto"/>
          <w:highlight w:val="none"/>
          <w:lang w:eastAsia="zh-CN"/>
        </w:rPr>
        <w:t>第二章</w:t>
      </w:r>
      <w:r>
        <w:rPr>
          <w:rFonts w:hint="eastAsia"/>
          <w:color w:val="auto"/>
          <w:highlight w:val="none"/>
          <w:lang w:val="en-US" w:eastAsia="zh-CN"/>
        </w:rPr>
        <w:t xml:space="preserve">  </w:t>
      </w:r>
      <w:r>
        <w:rPr>
          <w:rFonts w:hint="eastAsia"/>
          <w:color w:val="auto"/>
          <w:highlight w:val="none"/>
        </w:rPr>
        <w:t>磋商须知附表</w:t>
      </w:r>
    </w:p>
    <w:bookmarkEnd w:id="15"/>
    <w:bookmarkEnd w:id="16"/>
    <w:bookmarkEnd w:id="17"/>
    <w:bookmarkEnd w:id="18"/>
    <w:bookmarkEnd w:id="19"/>
    <w:bookmarkEnd w:id="20"/>
    <w:bookmarkEnd w:id="21"/>
    <w:bookmarkEnd w:id="22"/>
    <w:tbl>
      <w:tblPr>
        <w:tblStyle w:val="30"/>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226"/>
        <w:gridCol w:w="5426"/>
      </w:tblGrid>
      <w:tr w14:paraId="25F6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826" w:type="dxa"/>
            <w:noWrap w:val="0"/>
            <w:vAlign w:val="center"/>
          </w:tcPr>
          <w:p w14:paraId="11F38F8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26" w:type="dxa"/>
            <w:noWrap w:val="0"/>
            <w:vAlign w:val="center"/>
          </w:tcPr>
          <w:p w14:paraId="317D77E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5426" w:type="dxa"/>
            <w:noWrap w:val="0"/>
            <w:vAlign w:val="center"/>
          </w:tcPr>
          <w:p w14:paraId="75B90F3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具体内容规定</w:t>
            </w:r>
          </w:p>
        </w:tc>
      </w:tr>
      <w:tr w14:paraId="4DE0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26" w:type="dxa"/>
            <w:noWrap w:val="0"/>
            <w:vAlign w:val="top"/>
          </w:tcPr>
          <w:p w14:paraId="089088B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26" w:type="dxa"/>
            <w:noWrap w:val="0"/>
            <w:vAlign w:val="top"/>
          </w:tcPr>
          <w:p w14:paraId="27E9DD6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采购项目名称</w:t>
            </w:r>
          </w:p>
        </w:tc>
        <w:tc>
          <w:tcPr>
            <w:tcW w:w="5426" w:type="dxa"/>
            <w:noWrap w:val="0"/>
            <w:vAlign w:val="top"/>
          </w:tcPr>
          <w:p w14:paraId="114EBB1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王茅镇区域养老服务中心改扩建项目</w:t>
            </w:r>
          </w:p>
        </w:tc>
      </w:tr>
      <w:tr w14:paraId="2055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6" w:type="dxa"/>
            <w:noWrap w:val="0"/>
            <w:vAlign w:val="top"/>
          </w:tcPr>
          <w:p w14:paraId="4AAA2DE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26" w:type="dxa"/>
            <w:noWrap w:val="0"/>
            <w:vAlign w:val="top"/>
          </w:tcPr>
          <w:p w14:paraId="41DD5C9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w:t>
            </w:r>
          </w:p>
        </w:tc>
        <w:tc>
          <w:tcPr>
            <w:tcW w:w="5426" w:type="dxa"/>
            <w:noWrap w:val="0"/>
            <w:vAlign w:val="top"/>
          </w:tcPr>
          <w:p w14:paraId="4CC374A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竞争性磋商</w:t>
            </w:r>
          </w:p>
        </w:tc>
      </w:tr>
      <w:tr w14:paraId="5EAC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26" w:type="dxa"/>
            <w:noWrap w:val="0"/>
            <w:vAlign w:val="center"/>
          </w:tcPr>
          <w:p w14:paraId="3DADC73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26" w:type="dxa"/>
            <w:noWrap w:val="0"/>
            <w:vAlign w:val="center"/>
          </w:tcPr>
          <w:p w14:paraId="3EC7973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5426" w:type="dxa"/>
            <w:noWrap w:val="0"/>
            <w:vAlign w:val="center"/>
          </w:tcPr>
          <w:p w14:paraId="22A593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r>
              <w:rPr>
                <w:rFonts w:hint="eastAsia" w:ascii="宋体" w:hAnsi="宋体" w:cs="宋体"/>
                <w:color w:val="auto"/>
                <w:sz w:val="21"/>
                <w:szCs w:val="21"/>
                <w:highlight w:val="none"/>
                <w:lang w:val="en-US" w:eastAsia="zh-CN"/>
              </w:rPr>
              <w:t>垣曲县民政局</w:t>
            </w:r>
          </w:p>
          <w:p w14:paraId="3BC97E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地址：垣曲县黄河路</w:t>
            </w:r>
          </w:p>
          <w:p w14:paraId="38FE64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赵先生</w:t>
            </w:r>
          </w:p>
          <w:p w14:paraId="1E80C5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w:t>
            </w:r>
            <w:r>
              <w:rPr>
                <w:rFonts w:hint="eastAsia" w:ascii="宋体" w:hAnsi="宋体" w:cs="宋体"/>
                <w:color w:val="auto"/>
                <w:sz w:val="21"/>
                <w:szCs w:val="21"/>
                <w:highlight w:val="none"/>
                <w:lang w:val="en-US" w:eastAsia="zh-CN"/>
              </w:rPr>
              <w:t>0359-6022875</w:t>
            </w:r>
          </w:p>
          <w:p w14:paraId="1E7519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电子邮件：/</w:t>
            </w:r>
          </w:p>
        </w:tc>
      </w:tr>
      <w:tr w14:paraId="2161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826" w:type="dxa"/>
            <w:noWrap w:val="0"/>
            <w:vAlign w:val="center"/>
          </w:tcPr>
          <w:p w14:paraId="73EE3C3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226" w:type="dxa"/>
            <w:noWrap w:val="0"/>
            <w:vAlign w:val="center"/>
          </w:tcPr>
          <w:p w14:paraId="1BAAA70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5426" w:type="dxa"/>
            <w:noWrap w:val="0"/>
            <w:vAlign w:val="center"/>
          </w:tcPr>
          <w:p w14:paraId="4D6A6C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名    称：</w:t>
            </w:r>
            <w:r>
              <w:rPr>
                <w:rFonts w:hint="eastAsia" w:cs="Times New Roman"/>
                <w:color w:val="auto"/>
                <w:highlight w:val="none"/>
                <w:lang w:val="en-US" w:eastAsia="zh-CN"/>
              </w:rPr>
              <w:t>中鼎誉润工程咨询有限公司</w:t>
            </w:r>
            <w:r>
              <w:rPr>
                <w:rFonts w:hint="eastAsia" w:ascii="Times New Roman" w:hAnsi="Times New Roman" w:eastAsia="宋体" w:cs="Times New Roman"/>
                <w:color w:val="auto"/>
                <w:highlight w:val="none"/>
                <w:lang w:val="en-US" w:eastAsia="zh-CN"/>
              </w:rPr>
              <w:t xml:space="preserve"> </w:t>
            </w:r>
          </w:p>
          <w:p w14:paraId="3A8931F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地   址：运城市盐湖区红旗东街</w:t>
            </w:r>
            <w:r>
              <w:rPr>
                <w:rFonts w:hint="eastAsia" w:cs="Times New Roman"/>
                <w:color w:val="auto"/>
                <w:highlight w:val="none"/>
                <w:lang w:val="en-US" w:eastAsia="zh-CN"/>
              </w:rPr>
              <w:t>盐湖城小区</w:t>
            </w:r>
          </w:p>
          <w:p w14:paraId="386284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项目联系人：张先生</w:t>
            </w:r>
          </w:p>
          <w:p w14:paraId="688DE8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highlight w:val="none"/>
                <w:lang w:val="en-US" w:eastAsia="zh-CN"/>
              </w:rPr>
            </w:pPr>
            <w:r>
              <w:rPr>
                <w:rFonts w:hint="eastAsia" w:ascii="Times New Roman" w:hAnsi="Times New Roman" w:eastAsia="宋体" w:cs="Times New Roman"/>
                <w:color w:val="auto"/>
                <w:highlight w:val="none"/>
                <w:lang w:val="en-US" w:eastAsia="zh-CN"/>
              </w:rPr>
              <w:t>项目联系方式：</w:t>
            </w:r>
            <w:r>
              <w:rPr>
                <w:rFonts w:hint="eastAsia" w:ascii="宋体" w:hAnsi="宋体" w:cs="宋体"/>
                <w:color w:val="auto"/>
                <w:highlight w:val="none"/>
                <w:lang w:val="en-US" w:eastAsia="zh-CN"/>
              </w:rPr>
              <w:t>0359-8333353</w:t>
            </w:r>
          </w:p>
          <w:p w14:paraId="4C0F7C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color w:val="auto"/>
                <w:highlight w:val="none"/>
                <w:lang w:val="en-US" w:eastAsia="zh-CN"/>
              </w:rPr>
            </w:pPr>
            <w:r>
              <w:rPr>
                <w:rFonts w:hint="eastAsia" w:ascii="宋体" w:hAnsi="宋体" w:eastAsia="宋体" w:cs="宋体"/>
                <w:color w:val="auto"/>
                <w:highlight w:val="none"/>
                <w:lang w:val="en-US" w:eastAsia="zh-CN"/>
              </w:rPr>
              <w:t>邮箱：</w:t>
            </w:r>
            <w:r>
              <w:rPr>
                <w:rFonts w:hint="eastAsia" w:ascii="宋体" w:hAnsi="宋体" w:cs="宋体"/>
                <w:color w:val="auto"/>
                <w:highlight w:val="none"/>
                <w:lang w:val="en-US" w:eastAsia="zh-CN"/>
              </w:rPr>
              <w:t>yczdyrzb@163.com</w:t>
            </w:r>
          </w:p>
        </w:tc>
      </w:tr>
      <w:tr w14:paraId="2942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6" w:type="dxa"/>
            <w:noWrap w:val="0"/>
            <w:vAlign w:val="center"/>
          </w:tcPr>
          <w:p w14:paraId="184267F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26" w:type="dxa"/>
            <w:noWrap w:val="0"/>
            <w:vAlign w:val="center"/>
          </w:tcPr>
          <w:p w14:paraId="3DA060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采购预算金额</w:t>
            </w:r>
          </w:p>
        </w:tc>
        <w:tc>
          <w:tcPr>
            <w:tcW w:w="5426" w:type="dxa"/>
            <w:noWrap w:val="0"/>
            <w:vAlign w:val="center"/>
          </w:tcPr>
          <w:p w14:paraId="3A8021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3082445.25元</w:t>
            </w:r>
          </w:p>
        </w:tc>
      </w:tr>
      <w:tr w14:paraId="7803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6" w:type="dxa"/>
            <w:noWrap w:val="0"/>
            <w:vAlign w:val="center"/>
          </w:tcPr>
          <w:p w14:paraId="453ECE7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26" w:type="dxa"/>
            <w:noWrap w:val="0"/>
            <w:vAlign w:val="center"/>
          </w:tcPr>
          <w:p w14:paraId="162849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最高限价</w:t>
            </w:r>
          </w:p>
        </w:tc>
        <w:tc>
          <w:tcPr>
            <w:tcW w:w="5426" w:type="dxa"/>
            <w:noWrap w:val="0"/>
            <w:vAlign w:val="center"/>
          </w:tcPr>
          <w:p w14:paraId="76A310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3082445.25元</w:t>
            </w:r>
          </w:p>
        </w:tc>
      </w:tr>
      <w:tr w14:paraId="5080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6" w:type="dxa"/>
            <w:noWrap w:val="0"/>
            <w:vAlign w:val="center"/>
          </w:tcPr>
          <w:p w14:paraId="7191109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26" w:type="dxa"/>
            <w:noWrap w:val="0"/>
            <w:vAlign w:val="center"/>
          </w:tcPr>
          <w:p w14:paraId="414D9ED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计划工期</w:t>
            </w:r>
          </w:p>
        </w:tc>
        <w:tc>
          <w:tcPr>
            <w:tcW w:w="5426" w:type="dxa"/>
            <w:noWrap w:val="0"/>
            <w:vAlign w:val="center"/>
          </w:tcPr>
          <w:p w14:paraId="39BFE5EB">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180日历天</w:t>
            </w:r>
          </w:p>
        </w:tc>
      </w:tr>
      <w:tr w14:paraId="109C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0"/>
            <w:vAlign w:val="center"/>
          </w:tcPr>
          <w:p w14:paraId="4DFF794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26" w:type="dxa"/>
            <w:noWrap w:val="0"/>
            <w:vAlign w:val="center"/>
          </w:tcPr>
          <w:p w14:paraId="61DEEAB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5426" w:type="dxa"/>
            <w:noWrap w:val="0"/>
            <w:vAlign w:val="center"/>
          </w:tcPr>
          <w:p w14:paraId="7A1DA0A5">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符合现行国家有关工程施工验收规范和标准的要求，合格</w:t>
            </w:r>
          </w:p>
        </w:tc>
      </w:tr>
      <w:tr w14:paraId="458D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0"/>
            <w:vAlign w:val="center"/>
          </w:tcPr>
          <w:p w14:paraId="7D74A38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226" w:type="dxa"/>
            <w:noWrap w:val="0"/>
            <w:vAlign w:val="center"/>
          </w:tcPr>
          <w:p w14:paraId="7984421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供应商资格条件</w:t>
            </w:r>
          </w:p>
        </w:tc>
        <w:tc>
          <w:tcPr>
            <w:tcW w:w="5426" w:type="dxa"/>
            <w:noWrap w:val="0"/>
            <w:vAlign w:val="center"/>
          </w:tcPr>
          <w:p w14:paraId="7D9BEB2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auto"/>
                <w:sz w:val="21"/>
                <w:szCs w:val="21"/>
                <w:highlight w:val="none"/>
              </w:rPr>
            </w:pPr>
            <w:r>
              <w:rPr>
                <w:rFonts w:hint="eastAsia" w:cs="Times New Roman"/>
                <w:color w:val="auto"/>
                <w:highlight w:val="none"/>
                <w:lang w:val="en-US" w:eastAsia="zh-CN"/>
              </w:rPr>
              <w:t>见采购公告</w:t>
            </w:r>
          </w:p>
        </w:tc>
      </w:tr>
      <w:tr w14:paraId="5C46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noWrap w:val="0"/>
            <w:vAlign w:val="center"/>
          </w:tcPr>
          <w:p w14:paraId="60A70AB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226" w:type="dxa"/>
            <w:noWrap w:val="0"/>
            <w:vAlign w:val="center"/>
          </w:tcPr>
          <w:p w14:paraId="085631F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财政部门指定的媒体</w:t>
            </w:r>
          </w:p>
        </w:tc>
        <w:tc>
          <w:tcPr>
            <w:tcW w:w="5426" w:type="dxa"/>
            <w:noWrap w:val="0"/>
            <w:vAlign w:val="center"/>
          </w:tcPr>
          <w:p w14:paraId="587D2D6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山西省政府采购网</w:t>
            </w:r>
          </w:p>
        </w:tc>
      </w:tr>
      <w:tr w14:paraId="4435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26" w:type="dxa"/>
            <w:noWrap w:val="0"/>
            <w:vAlign w:val="center"/>
          </w:tcPr>
          <w:p w14:paraId="57AAC55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226" w:type="dxa"/>
            <w:noWrap w:val="0"/>
            <w:vAlign w:val="center"/>
          </w:tcPr>
          <w:p w14:paraId="099F677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提交响应文件截止时间(开标时间)</w:t>
            </w:r>
          </w:p>
        </w:tc>
        <w:tc>
          <w:tcPr>
            <w:tcW w:w="5426" w:type="dxa"/>
            <w:noWrap w:val="0"/>
            <w:vAlign w:val="center"/>
          </w:tcPr>
          <w:p w14:paraId="3AF51F4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zh-CN"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val="zh-CN" w:eastAsia="zh-CN"/>
              </w:rPr>
              <w:t>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eastAsia="zh-CN"/>
              </w:rPr>
              <w:t>月</w:t>
            </w:r>
            <w:r>
              <w:rPr>
                <w:rFonts w:hint="eastAsia" w:ascii="宋体" w:hAnsi="宋体" w:cs="宋体"/>
                <w:color w:val="auto"/>
                <w:sz w:val="21"/>
                <w:szCs w:val="21"/>
                <w:highlight w:val="none"/>
                <w:lang w:val="en-US" w:eastAsia="zh-CN"/>
              </w:rPr>
              <w:t>28</w:t>
            </w:r>
            <w:r>
              <w:rPr>
                <w:rFonts w:hint="eastAsia" w:ascii="宋体" w:hAnsi="宋体" w:cs="宋体"/>
                <w:color w:val="auto"/>
                <w:sz w:val="21"/>
                <w:szCs w:val="21"/>
                <w:highlight w:val="none"/>
                <w:lang w:val="zh-CN" w:eastAsia="zh-CN"/>
              </w:rPr>
              <w:t>日</w:t>
            </w:r>
            <w:r>
              <w:rPr>
                <w:rFonts w:hint="eastAsia" w:ascii="宋体" w:hAnsi="宋体" w:cs="宋体"/>
                <w:color w:val="auto"/>
                <w:sz w:val="21"/>
                <w:szCs w:val="21"/>
                <w:highlight w:val="none"/>
                <w:lang w:val="en-US" w:eastAsia="zh-CN"/>
              </w:rPr>
              <w:t>09</w:t>
            </w:r>
            <w:r>
              <w:rPr>
                <w:rFonts w:hint="eastAsia" w:ascii="宋体" w:hAnsi="宋体" w:cs="宋体"/>
                <w:color w:val="auto"/>
                <w:sz w:val="21"/>
                <w:szCs w:val="21"/>
                <w:highlight w:val="none"/>
                <w:lang w:val="zh-CN" w:eastAsia="zh-CN"/>
              </w:rPr>
              <w:t>时00分</w:t>
            </w:r>
            <w:r>
              <w:rPr>
                <w:rFonts w:hint="eastAsia" w:ascii="宋体" w:hAnsi="宋体" w:eastAsia="宋体" w:cs="宋体"/>
                <w:color w:val="auto"/>
                <w:sz w:val="21"/>
                <w:szCs w:val="21"/>
                <w:highlight w:val="none"/>
                <w:lang w:eastAsia="zh-CN"/>
              </w:rPr>
              <w:t>（北京时间）</w:t>
            </w:r>
          </w:p>
        </w:tc>
      </w:tr>
      <w:tr w14:paraId="46BE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6" w:type="dxa"/>
            <w:noWrap w:val="0"/>
            <w:vAlign w:val="center"/>
          </w:tcPr>
          <w:p w14:paraId="12E4F99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226" w:type="dxa"/>
            <w:noWrap w:val="0"/>
            <w:vAlign w:val="center"/>
          </w:tcPr>
          <w:p w14:paraId="78D0786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备选方案</w:t>
            </w:r>
          </w:p>
        </w:tc>
        <w:tc>
          <w:tcPr>
            <w:tcW w:w="5426" w:type="dxa"/>
            <w:noWrap w:val="0"/>
            <w:vAlign w:val="center"/>
          </w:tcPr>
          <w:p w14:paraId="24D21EB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1CFB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26" w:type="dxa"/>
            <w:noWrap w:val="0"/>
            <w:vAlign w:val="center"/>
          </w:tcPr>
          <w:p w14:paraId="2B8FD6F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226" w:type="dxa"/>
            <w:noWrap w:val="0"/>
            <w:vAlign w:val="center"/>
          </w:tcPr>
          <w:p w14:paraId="5C373D7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426" w:type="dxa"/>
            <w:noWrap w:val="0"/>
            <w:vAlign w:val="center"/>
          </w:tcPr>
          <w:p w14:paraId="26400653">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1.交纳方式：通过本单位基本</w:t>
            </w:r>
            <w:r>
              <w:rPr>
                <w:rFonts w:hint="eastAsia" w:ascii="宋体" w:hAnsi="宋体" w:cs="宋体"/>
                <w:color w:val="auto"/>
                <w:highlight w:val="none"/>
                <w:lang w:val="en-US" w:eastAsia="zh-CN"/>
              </w:rPr>
              <w:t>银行账户</w:t>
            </w:r>
            <w:r>
              <w:rPr>
                <w:rFonts w:hint="eastAsia" w:ascii="宋体" w:hAnsi="宋体" w:eastAsia="宋体" w:cs="宋体"/>
                <w:color w:val="auto"/>
                <w:highlight w:val="none"/>
                <w:lang w:val="en-US" w:eastAsia="zh-CN"/>
              </w:rPr>
              <w:t>电汇、支票、汇票、本票或金融机构、担保机构出具的保函等非现金形式提交。</w:t>
            </w:r>
          </w:p>
          <w:p w14:paraId="33A39D7A">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2.截止时间：</w:t>
            </w:r>
            <w:r>
              <w:rPr>
                <w:rFonts w:hint="eastAsia" w:ascii="宋体" w:hAnsi="宋体" w:cs="宋体"/>
                <w:color w:val="auto"/>
                <w:sz w:val="21"/>
                <w:szCs w:val="21"/>
                <w:highlight w:val="none"/>
                <w:lang w:val="zh-CN" w:eastAsia="zh-CN"/>
              </w:rPr>
              <w:t>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val="zh-CN" w:eastAsia="zh-CN"/>
              </w:rPr>
              <w:t>年</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val="zh-CN" w:eastAsia="zh-CN"/>
              </w:rPr>
              <w:t>月</w:t>
            </w:r>
            <w:r>
              <w:rPr>
                <w:rFonts w:hint="eastAsia" w:ascii="宋体" w:hAnsi="宋体" w:cs="宋体"/>
                <w:color w:val="auto"/>
                <w:sz w:val="21"/>
                <w:szCs w:val="21"/>
                <w:highlight w:val="none"/>
                <w:lang w:val="en-US" w:eastAsia="zh-CN"/>
              </w:rPr>
              <w:t>28</w:t>
            </w:r>
            <w:r>
              <w:rPr>
                <w:rFonts w:hint="eastAsia" w:ascii="宋体" w:hAnsi="宋体" w:cs="宋体"/>
                <w:color w:val="auto"/>
                <w:sz w:val="21"/>
                <w:szCs w:val="21"/>
                <w:highlight w:val="none"/>
                <w:lang w:val="zh-CN" w:eastAsia="zh-CN"/>
              </w:rPr>
              <w:t>日</w:t>
            </w:r>
            <w:r>
              <w:rPr>
                <w:rFonts w:hint="eastAsia" w:ascii="宋体" w:hAnsi="宋体" w:cs="宋体"/>
                <w:color w:val="auto"/>
                <w:sz w:val="21"/>
                <w:szCs w:val="21"/>
                <w:highlight w:val="none"/>
                <w:lang w:val="en-US" w:eastAsia="zh-CN"/>
              </w:rPr>
              <w:t>09</w:t>
            </w:r>
            <w:r>
              <w:rPr>
                <w:rFonts w:hint="eastAsia" w:ascii="宋体" w:hAnsi="宋体" w:cs="宋体"/>
                <w:color w:val="auto"/>
                <w:sz w:val="21"/>
                <w:szCs w:val="21"/>
                <w:highlight w:val="none"/>
                <w:lang w:val="zh-CN" w:eastAsia="zh-CN"/>
              </w:rPr>
              <w:t>时00分</w:t>
            </w:r>
            <w:r>
              <w:rPr>
                <w:rFonts w:hint="eastAsia" w:ascii="宋体" w:hAnsi="宋体" w:eastAsia="宋体" w:cs="宋体"/>
                <w:color w:val="auto"/>
                <w:highlight w:val="none"/>
                <w:lang w:val="en-US" w:eastAsia="zh-CN"/>
              </w:rPr>
              <w:t>（北京时间）（以实际到账时间为准）；</w:t>
            </w:r>
          </w:p>
          <w:p w14:paraId="67CF42E7">
            <w:pPr>
              <w:numPr>
                <w:ilvl w:val="0"/>
                <w:numId w:val="0"/>
              </w:numPr>
              <w:spacing w:line="340" w:lineRule="exact"/>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3.投标保证金：人民币</w:t>
            </w:r>
            <w:r>
              <w:rPr>
                <w:rFonts w:hint="eastAsia" w:ascii="宋体" w:hAnsi="宋体" w:cs="宋体"/>
                <w:color w:val="auto"/>
                <w:highlight w:val="none"/>
                <w:lang w:val="en-US" w:eastAsia="zh-CN"/>
              </w:rPr>
              <w:t>30000</w:t>
            </w:r>
            <w:r>
              <w:rPr>
                <w:rFonts w:hint="eastAsia" w:ascii="宋体" w:hAnsi="宋体" w:eastAsia="宋体" w:cs="宋体"/>
                <w:color w:val="auto"/>
                <w:highlight w:val="none"/>
                <w:lang w:val="en-US" w:eastAsia="zh-CN"/>
              </w:rPr>
              <w:t>元整。交纳投标保证金时请在备注栏中注明项目</w:t>
            </w:r>
            <w:r>
              <w:rPr>
                <w:rFonts w:hint="eastAsia" w:ascii="宋体" w:hAnsi="宋体" w:cs="宋体"/>
                <w:color w:val="auto"/>
                <w:highlight w:val="none"/>
                <w:lang w:val="en-US" w:eastAsia="zh-CN"/>
              </w:rPr>
              <w:t>名称</w:t>
            </w:r>
          </w:p>
          <w:p w14:paraId="1435A2C6">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4.支付账户信息</w:t>
            </w:r>
          </w:p>
          <w:p w14:paraId="66FB3E53">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开户名：中鼎誉润工程咨询有限公司晋南分公司 </w:t>
            </w:r>
          </w:p>
          <w:p w14:paraId="74D81ACF">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开户银行:工行运城学苑支行</w:t>
            </w:r>
          </w:p>
          <w:p w14:paraId="382AAE8D">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账号:0511290309200061079</w:t>
            </w:r>
          </w:p>
          <w:p w14:paraId="3CBB6008">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行号:102181029038</w:t>
            </w:r>
          </w:p>
          <w:p w14:paraId="594489BF">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5.以现金或者支票形式提交的投标保证金应当从其基本账户转出。 </w:t>
            </w:r>
          </w:p>
          <w:p w14:paraId="71E1BA12">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采用银行汇款和支票，应当明确收款账号，</w:t>
            </w:r>
            <w:r>
              <w:rPr>
                <w:rFonts w:hint="eastAsia" w:ascii="宋体" w:hAnsi="宋体" w:cs="宋体"/>
                <w:color w:val="auto"/>
                <w:highlight w:val="none"/>
                <w:lang w:val="en-US" w:eastAsia="zh-CN"/>
              </w:rPr>
              <w:t>响应文件</w:t>
            </w:r>
            <w:r>
              <w:rPr>
                <w:rFonts w:hint="eastAsia" w:ascii="宋体" w:hAnsi="宋体" w:eastAsia="宋体" w:cs="宋体"/>
                <w:color w:val="auto"/>
                <w:highlight w:val="none"/>
                <w:lang w:val="en-US" w:eastAsia="zh-CN"/>
              </w:rPr>
              <w:t>中需附汇票存根或银行转账通知扫描件及其基本账户转出的证明。</w:t>
            </w:r>
          </w:p>
          <w:p w14:paraId="49C10D73">
            <w:pPr>
              <w:numPr>
                <w:ilvl w:val="0"/>
                <w:numId w:val="0"/>
              </w:num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6.采用非电汇形式缴纳的，</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须在投标截止前支票、汇票、本票或金融机构、担保机构出具的保函原件扫描件发送至</w:t>
            </w:r>
            <w:r>
              <w:rPr>
                <w:rFonts w:hint="eastAsia" w:ascii="宋体" w:hAnsi="宋体" w:cs="宋体"/>
                <w:color w:val="auto"/>
                <w:highlight w:val="none"/>
                <w:lang w:val="en-US" w:eastAsia="zh-CN"/>
              </w:rPr>
              <w:t>中鼎誉润工程咨询有限公司</w:t>
            </w:r>
            <w:r>
              <w:rPr>
                <w:rFonts w:hint="eastAsia" w:ascii="宋体" w:hAnsi="宋体" w:eastAsia="宋体" w:cs="宋体"/>
                <w:color w:val="auto"/>
                <w:highlight w:val="none"/>
                <w:lang w:val="en-US" w:eastAsia="zh-CN"/>
              </w:rPr>
              <w:t>邮箱。邮件标题格式为：项目名称+公司名称。</w:t>
            </w:r>
          </w:p>
          <w:p w14:paraId="43DE5608">
            <w:pPr>
              <w:numPr>
                <w:ilvl w:val="0"/>
                <w:numId w:val="0"/>
              </w:numPr>
              <w:spacing w:line="340" w:lineRule="exact"/>
              <w:rPr>
                <w:rFonts w:hint="eastAsia" w:ascii="宋体" w:hAnsi="宋体" w:eastAsia="宋体" w:cs="宋体"/>
                <w:color w:val="auto"/>
                <w:sz w:val="21"/>
                <w:szCs w:val="21"/>
                <w:highlight w:val="none"/>
                <w:lang w:val="zh-CN" w:eastAsia="zh-CN"/>
              </w:rPr>
            </w:pPr>
            <w:r>
              <w:rPr>
                <w:rFonts w:hint="eastAsia" w:ascii="宋体" w:hAnsi="宋体" w:eastAsia="宋体" w:cs="宋体"/>
                <w:color w:val="auto"/>
                <w:highlight w:val="none"/>
                <w:lang w:val="en-US" w:eastAsia="zh-CN"/>
              </w:rPr>
              <w:t>7.电汇形式退还方式：通过本单位基本</w:t>
            </w:r>
            <w:r>
              <w:rPr>
                <w:rFonts w:hint="eastAsia" w:ascii="宋体" w:hAnsi="宋体" w:cs="宋体"/>
                <w:color w:val="auto"/>
                <w:highlight w:val="none"/>
                <w:lang w:val="en-US" w:eastAsia="zh-CN"/>
              </w:rPr>
              <w:t>银行账户</w:t>
            </w:r>
            <w:r>
              <w:rPr>
                <w:rFonts w:hint="eastAsia" w:ascii="宋体" w:hAnsi="宋体" w:eastAsia="宋体" w:cs="宋体"/>
                <w:color w:val="auto"/>
                <w:highlight w:val="none"/>
                <w:lang w:val="en-US" w:eastAsia="zh-CN"/>
              </w:rPr>
              <w:t>退还，退还投标保证金时，银行手续费由</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自行承担。</w:t>
            </w:r>
          </w:p>
        </w:tc>
      </w:tr>
      <w:tr w14:paraId="0ACF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26" w:type="dxa"/>
            <w:noWrap w:val="0"/>
            <w:vAlign w:val="center"/>
          </w:tcPr>
          <w:p w14:paraId="4831B56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226" w:type="dxa"/>
            <w:noWrap w:val="0"/>
            <w:vAlign w:val="center"/>
          </w:tcPr>
          <w:p w14:paraId="528D1CD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响应文件份数及制作</w:t>
            </w:r>
          </w:p>
          <w:p w14:paraId="0DF5A7A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tc>
        <w:tc>
          <w:tcPr>
            <w:tcW w:w="5426" w:type="dxa"/>
            <w:noWrap w:val="0"/>
            <w:vAlign w:val="center"/>
          </w:tcPr>
          <w:p w14:paraId="17CF9832">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电子</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lang w:val="en-US" w:eastAsia="zh-CN"/>
              </w:rPr>
              <w:t>一份</w:t>
            </w:r>
            <w:r>
              <w:rPr>
                <w:rFonts w:hint="eastAsia" w:ascii="宋体" w:hAnsi="宋体" w:eastAsia="宋体" w:cs="宋体"/>
                <w:color w:val="auto"/>
                <w:szCs w:val="21"/>
                <w:highlight w:val="none"/>
              </w:rPr>
              <w:t>。</w:t>
            </w:r>
          </w:p>
          <w:p w14:paraId="6226D126">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开标现场自行准备电脑用于开标解密，本次项目开标解密时长为30分钟，超时导致解密失败，后果由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 xml:space="preserve">自行负责。                  </w:t>
            </w:r>
          </w:p>
          <w:p w14:paraId="7F4E64AD">
            <w:pPr>
              <w:snapToGrid w:val="0"/>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要按照采购文件要求进行签章和加密，并在开标时使用制作电子版</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 CA 数字证书进行解密操作。开标过程中，因</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个人原因造成</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 xml:space="preserve">未解密的，视为无效投标。 </w:t>
            </w:r>
          </w:p>
          <w:p w14:paraId="4A9716CC">
            <w:pPr>
              <w:snapToGrid w:val="0"/>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通过投标客户端编制完</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后，使用企业 CA 数字证书对</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进行加密，生成加密后的</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，在开标时再行解密。（加密、解密必须使用同一CA数字证书）。</w:t>
            </w:r>
          </w:p>
          <w:p w14:paraId="6B7E3F85">
            <w:pPr>
              <w:snapToGrid w:val="0"/>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应使用政采云系统的</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编制工具，按照操作手册编制电子</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，并使用数字证书（CA）按照</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文件规定签字、签章。同时使用数字证书（CA）对</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进行加密。</w:t>
            </w:r>
          </w:p>
          <w:p w14:paraId="4E053346">
            <w:pPr>
              <w:snapToGrid w:val="0"/>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在上传电子</w:t>
            </w:r>
            <w:r>
              <w:rPr>
                <w:rFonts w:hint="eastAsia" w:ascii="宋体" w:hAnsi="宋体" w:cs="宋体"/>
                <w:color w:val="auto"/>
                <w:szCs w:val="21"/>
                <w:highlight w:val="none"/>
                <w:lang w:val="en-US" w:eastAsia="zh-CN"/>
              </w:rPr>
              <w:t>响应文件</w:t>
            </w:r>
            <w:r>
              <w:rPr>
                <w:rFonts w:hint="eastAsia" w:ascii="宋体" w:hAnsi="宋体" w:eastAsia="宋体" w:cs="宋体"/>
                <w:color w:val="auto"/>
                <w:szCs w:val="21"/>
                <w:highlight w:val="none"/>
              </w:rPr>
              <w:t>时，需对应系统中每个模块要求，形成独立的PDF格式文件，按照指定对应模块，逐条完成上传，保存后提交。</w:t>
            </w:r>
          </w:p>
          <w:p w14:paraId="5F035B13">
            <w:pPr>
              <w:snapToGrid w:val="0"/>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如：上传营业执照和开户许可证，要把营业执照和开户许可证形成独立PDF格式文档，在模块处完成上传。</w:t>
            </w:r>
          </w:p>
          <w:p w14:paraId="3CFE0932">
            <w:pPr>
              <w:snapToGrid w:val="0"/>
              <w:spacing w:line="3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请在投标系统</w:t>
            </w:r>
            <w:r>
              <w:rPr>
                <w:rFonts w:hint="eastAsia" w:ascii="宋体" w:hAnsi="宋体" w:eastAsia="宋体" w:cs="宋体"/>
                <w:b/>
                <w:bCs/>
                <w:color w:val="auto"/>
                <w:szCs w:val="21"/>
                <w:highlight w:val="none"/>
                <w:lang w:val="en-US" w:eastAsia="zh-CN"/>
              </w:rPr>
              <w:t>“商务技术模块”上传完整</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第</w:t>
            </w:r>
            <w:r>
              <w:rPr>
                <w:rFonts w:hint="eastAsia" w:ascii="宋体" w:hAnsi="宋体" w:cs="宋体"/>
                <w:b/>
                <w:bCs/>
                <w:color w:val="auto"/>
                <w:szCs w:val="21"/>
                <w:highlight w:val="none"/>
                <w:lang w:val="en-US" w:eastAsia="zh-CN"/>
              </w:rPr>
              <w:t>六</w:t>
            </w:r>
            <w:r>
              <w:rPr>
                <w:rFonts w:hint="eastAsia" w:ascii="宋体" w:hAnsi="宋体" w:eastAsia="宋体" w:cs="宋体"/>
                <w:b/>
                <w:bCs/>
                <w:color w:val="auto"/>
                <w:szCs w:val="21"/>
                <w:highlight w:val="none"/>
                <w:lang w:val="en-US" w:eastAsia="zh-CN"/>
              </w:rPr>
              <w:t xml:space="preserve">章 </w:t>
            </w:r>
            <w:r>
              <w:rPr>
                <w:rFonts w:hint="eastAsia" w:ascii="宋体" w:hAnsi="宋体" w:cs="宋体"/>
                <w:b/>
                <w:bCs/>
                <w:color w:val="auto"/>
                <w:szCs w:val="21"/>
                <w:highlight w:val="none"/>
                <w:lang w:val="en-US" w:eastAsia="zh-CN"/>
              </w:rPr>
              <w:t>响应文件组成”</w:t>
            </w:r>
            <w:r>
              <w:rPr>
                <w:rFonts w:hint="eastAsia" w:ascii="宋体" w:hAnsi="宋体" w:eastAsia="宋体" w:cs="宋体"/>
                <w:b/>
                <w:bCs/>
                <w:color w:val="auto"/>
                <w:szCs w:val="21"/>
                <w:highlight w:val="none"/>
                <w:lang w:val="en-US" w:eastAsia="zh-CN"/>
              </w:rPr>
              <w:t>要求的所有内容</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如果</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没有按规定</w:t>
            </w:r>
            <w:r>
              <w:rPr>
                <w:rFonts w:hint="eastAsia" w:ascii="宋体" w:hAnsi="宋体" w:eastAsia="宋体" w:cs="宋体"/>
                <w:color w:val="auto"/>
                <w:szCs w:val="21"/>
                <w:highlight w:val="none"/>
                <w:lang w:val="en-US" w:eastAsia="zh-CN"/>
              </w:rPr>
              <w:t>上传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将可能导致投标被否决。</w:t>
            </w:r>
          </w:p>
          <w:p w14:paraId="42ECD113">
            <w:pPr>
              <w:snapToGrid w:val="0"/>
              <w:spacing w:line="34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电子</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所附各类证件、证书、证明，均随</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统一编排页码进行上传。</w:t>
            </w:r>
          </w:p>
          <w:p w14:paraId="1EA0CD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val="zh-CN" w:eastAsia="zh-CN"/>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如果</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没有按规定网上递交电子</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，视为投标无效。</w:t>
            </w:r>
          </w:p>
        </w:tc>
      </w:tr>
      <w:tr w14:paraId="3D73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6" w:type="dxa"/>
            <w:noWrap w:val="0"/>
            <w:vAlign w:val="center"/>
          </w:tcPr>
          <w:p w14:paraId="3F79C88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226" w:type="dxa"/>
            <w:noWrap w:val="0"/>
            <w:vAlign w:val="center"/>
          </w:tcPr>
          <w:p w14:paraId="5E8076C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响应文件的递交地点</w:t>
            </w:r>
          </w:p>
        </w:tc>
        <w:tc>
          <w:tcPr>
            <w:tcW w:w="5426" w:type="dxa"/>
            <w:noWrap w:val="0"/>
            <w:vAlign w:val="center"/>
          </w:tcPr>
          <w:p w14:paraId="2962CB2A">
            <w:pPr>
              <w:keepNext w:val="0"/>
              <w:keepLines w:val="0"/>
              <w:pageBreakBefore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zh-CN" w:eastAsia="zh-CN"/>
              </w:rPr>
              <w:t>请登录</w:t>
            </w:r>
            <w:r>
              <w:rPr>
                <w:rFonts w:hint="eastAsia" w:ascii="宋体" w:hAnsi="宋体" w:eastAsia="宋体" w:cs="宋体"/>
                <w:color w:val="auto"/>
                <w:sz w:val="21"/>
                <w:szCs w:val="21"/>
                <w:highlight w:val="none"/>
                <w:lang w:val="zh-CN" w:eastAsia="zh-CN"/>
              </w:rPr>
              <w:t>山西省政府采购网</w:t>
            </w:r>
            <w:r>
              <w:rPr>
                <w:rFonts w:hint="eastAsia" w:ascii="宋体" w:hAnsi="宋体" w:cs="宋体"/>
                <w:color w:val="auto"/>
                <w:sz w:val="21"/>
                <w:szCs w:val="21"/>
                <w:highlight w:val="none"/>
                <w:lang w:val="en-US" w:eastAsia="zh-CN"/>
              </w:rPr>
              <w:t>递交电子响应文件</w:t>
            </w:r>
          </w:p>
        </w:tc>
      </w:tr>
      <w:tr w14:paraId="24F8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6" w:type="dxa"/>
            <w:noWrap w:val="0"/>
            <w:vAlign w:val="center"/>
          </w:tcPr>
          <w:p w14:paraId="06C7715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226" w:type="dxa"/>
            <w:noWrap w:val="0"/>
            <w:vAlign w:val="center"/>
          </w:tcPr>
          <w:p w14:paraId="07DD67E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5426" w:type="dxa"/>
            <w:noWrap w:val="0"/>
            <w:vAlign w:val="center"/>
          </w:tcPr>
          <w:p w14:paraId="0AC1CAE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提交响应文件截止时间起</w:t>
            </w:r>
            <w:r>
              <w:rPr>
                <w:rFonts w:hint="eastAsia" w:ascii="宋体" w:hAnsi="宋体" w:cs="宋体"/>
                <w:color w:val="auto"/>
                <w:sz w:val="21"/>
                <w:szCs w:val="21"/>
                <w:highlight w:val="none"/>
                <w:lang w:val="en-US" w:eastAsia="zh-CN"/>
              </w:rPr>
              <w:t>60日历天</w:t>
            </w:r>
          </w:p>
        </w:tc>
      </w:tr>
      <w:tr w14:paraId="517B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26" w:type="dxa"/>
            <w:noWrap w:val="0"/>
            <w:vAlign w:val="center"/>
          </w:tcPr>
          <w:p w14:paraId="21C2564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226" w:type="dxa"/>
            <w:noWrap w:val="0"/>
            <w:vAlign w:val="center"/>
          </w:tcPr>
          <w:p w14:paraId="0A92A48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资格审核资料及要求</w:t>
            </w:r>
          </w:p>
        </w:tc>
        <w:tc>
          <w:tcPr>
            <w:tcW w:w="5426" w:type="dxa"/>
            <w:noWrap w:val="0"/>
            <w:vAlign w:val="center"/>
          </w:tcPr>
          <w:p w14:paraId="392CD107">
            <w:pPr>
              <w:spacing w:line="340" w:lineRule="exact"/>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见评审办法资格审查表。</w:t>
            </w:r>
          </w:p>
          <w:p w14:paraId="7EA09B36">
            <w:pPr>
              <w:spacing w:line="3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val="en-US" w:eastAsia="zh-CN"/>
              </w:rPr>
              <w:t>注：以上材料扫描件均要求清晰可见，因投标人原因导致电子投标文件不清晰致使评审专家无法确定是否符合招标文件要求的，后果由投标人自行承担。注：以上材料扫描件均要求清晰可见，因供应商原因导致电子响应文件不清晰致使评审专家无法确定是否符合招标文件要求的，后果由供应商自行承担。</w:t>
            </w:r>
          </w:p>
        </w:tc>
      </w:tr>
      <w:tr w14:paraId="3404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26" w:type="dxa"/>
            <w:noWrap w:val="0"/>
            <w:vAlign w:val="center"/>
          </w:tcPr>
          <w:p w14:paraId="4D66EFA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226" w:type="dxa"/>
            <w:noWrap w:val="0"/>
            <w:vAlign w:val="center"/>
          </w:tcPr>
          <w:p w14:paraId="0FF4A77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招标代理费</w:t>
            </w:r>
          </w:p>
        </w:tc>
        <w:tc>
          <w:tcPr>
            <w:tcW w:w="5426" w:type="dxa"/>
            <w:noWrap w:val="0"/>
            <w:vAlign w:val="center"/>
          </w:tcPr>
          <w:p w14:paraId="3B98B156">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参照原国家计划委员会计价格[2002]1980号、国家发展改革委发改价格[2011]534号文件规定为基准的85%收取代理服务费，约定招标代理费服务费为人民币</w:t>
            </w:r>
            <w:r>
              <w:rPr>
                <w:rFonts w:hint="eastAsia" w:ascii="宋体" w:hAnsi="宋体" w:cs="宋体"/>
                <w:color w:val="auto"/>
                <w:sz w:val="21"/>
                <w:szCs w:val="21"/>
                <w:highlight w:val="none"/>
                <w:lang w:val="en-US" w:eastAsia="zh-CN"/>
              </w:rPr>
              <w:t>20000</w:t>
            </w:r>
            <w:r>
              <w:rPr>
                <w:rFonts w:hint="eastAsia" w:ascii="宋体" w:hAnsi="宋体" w:eastAsia="宋体" w:cs="宋体"/>
                <w:color w:val="auto"/>
                <w:sz w:val="21"/>
                <w:szCs w:val="21"/>
                <w:highlight w:val="none"/>
                <w:lang w:val="en-US" w:eastAsia="zh-CN"/>
              </w:rPr>
              <w:t>元，由采购人支付给采购代理机构。</w:t>
            </w:r>
          </w:p>
        </w:tc>
      </w:tr>
      <w:tr w14:paraId="4A65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6" w:type="dxa"/>
            <w:noWrap w:val="0"/>
            <w:vAlign w:val="center"/>
          </w:tcPr>
          <w:p w14:paraId="5B9249CA">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226" w:type="dxa"/>
            <w:noWrap w:val="0"/>
            <w:vAlign w:val="center"/>
          </w:tcPr>
          <w:p w14:paraId="440A55EC">
            <w:pPr>
              <w:spacing w:line="3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本项目需要落实的政府采购政策</w:t>
            </w:r>
          </w:p>
        </w:tc>
        <w:tc>
          <w:tcPr>
            <w:tcW w:w="5426" w:type="dxa"/>
            <w:noWrap w:val="0"/>
            <w:vAlign w:val="center"/>
          </w:tcPr>
          <w:p w14:paraId="54FCB416">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1、按照财政部《政府采购进口产品管理办法》（财库</w:t>
            </w:r>
            <w:r>
              <w:rPr>
                <w:rFonts w:hint="eastAsia" w:ascii="宋体" w:hAnsi="宋体" w:cs="宋体"/>
                <w:color w:val="auto"/>
                <w:highlight w:val="none"/>
                <w:lang w:val="en-US" w:eastAsia="zh-CN"/>
              </w:rPr>
              <w:t>〔2007〕119号</w:t>
            </w:r>
            <w:r>
              <w:rPr>
                <w:rFonts w:hint="eastAsia" w:ascii="宋体" w:hAnsi="宋体" w:eastAsia="宋体" w:cs="宋体"/>
                <w:color w:val="auto"/>
                <w:highlight w:val="none"/>
                <w:lang w:val="en-US" w:eastAsia="zh-CN"/>
              </w:rPr>
              <w:t>）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6179A113">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政府采购促进中小企业发展管理办法</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（财库﹝2020﹞46 号）；</w:t>
            </w:r>
          </w:p>
          <w:p w14:paraId="561EEBE4">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3、《财政部、司法部关于政府采购支持监狱企业发展有关问题的通知》（财库</w:t>
            </w:r>
            <w:r>
              <w:rPr>
                <w:rFonts w:hint="eastAsia" w:ascii="宋体" w:hAnsi="宋体" w:cs="宋体"/>
                <w:color w:val="auto"/>
                <w:highlight w:val="none"/>
                <w:lang w:val="en-US" w:eastAsia="zh-CN"/>
              </w:rPr>
              <w:t>〔2014〕68号</w:t>
            </w:r>
            <w:r>
              <w:rPr>
                <w:rFonts w:hint="eastAsia" w:ascii="宋体" w:hAnsi="宋体" w:eastAsia="宋体" w:cs="宋体"/>
                <w:color w:val="auto"/>
                <w:highlight w:val="none"/>
                <w:lang w:val="en-US" w:eastAsia="zh-CN"/>
              </w:rPr>
              <w:t>）；</w:t>
            </w:r>
          </w:p>
          <w:p w14:paraId="3BD520BE">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4、《财政部 民政部 中国残疾人联合会关于促进残疾人就业政府采购政策的通知》（财库〔2017〕141号）。</w:t>
            </w:r>
          </w:p>
          <w:p w14:paraId="3396777A">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 \l "_Toc19413 "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关于印发《节能产品政府采购</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 \l "_Toc22393 "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实施意见》的通知（财库〔2004〕185号）</w:t>
            </w:r>
            <w:r>
              <w:rPr>
                <w:rFonts w:hint="eastAsia" w:ascii="宋体" w:hAnsi="宋体" w:eastAsia="宋体" w:cs="宋体"/>
                <w:color w:val="auto"/>
                <w:highlight w:val="none"/>
                <w:lang w:val="en-US" w:eastAsia="zh-CN"/>
              </w:rPr>
              <w:fldChar w:fldCharType="end"/>
            </w:r>
          </w:p>
          <w:p w14:paraId="645CA3BF">
            <w:pPr>
              <w:spacing w:line="34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 \l "_Toc23604 "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关于环境标志产品政府采购实施的意见（财库〔2006〕90号）</w:t>
            </w:r>
            <w:r>
              <w:rPr>
                <w:rFonts w:hint="eastAsia" w:ascii="宋体" w:hAnsi="宋体" w:eastAsia="宋体" w:cs="宋体"/>
                <w:color w:val="auto"/>
                <w:highlight w:val="none"/>
                <w:lang w:val="en-US" w:eastAsia="zh-CN"/>
              </w:rPr>
              <w:fldChar w:fldCharType="end"/>
            </w:r>
          </w:p>
          <w:p w14:paraId="68FC2312">
            <w:pPr>
              <w:pStyle w:val="11"/>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7、山西省财政厅关于进一步加大政府采购支持中小企业力度助力扎实稳住经济的通知（晋财购〔2022〕6号）</w:t>
            </w:r>
          </w:p>
        </w:tc>
      </w:tr>
      <w:tr w14:paraId="38DE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26" w:type="dxa"/>
            <w:noWrap w:val="0"/>
            <w:vAlign w:val="center"/>
          </w:tcPr>
          <w:p w14:paraId="4CEE7843">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226" w:type="dxa"/>
            <w:noWrap w:val="0"/>
            <w:vAlign w:val="center"/>
          </w:tcPr>
          <w:p w14:paraId="324DEA7F">
            <w:pPr>
              <w:spacing w:line="3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落实政府采购政策采取的措施</w:t>
            </w:r>
          </w:p>
        </w:tc>
        <w:tc>
          <w:tcPr>
            <w:tcW w:w="5426" w:type="dxa"/>
            <w:noWrap w:val="0"/>
            <w:vAlign w:val="center"/>
          </w:tcPr>
          <w:p w14:paraId="038FD463">
            <w:pPr>
              <w:spacing w:line="340" w:lineRule="exac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1、涉及中小企业参加投标的要求：</w:t>
            </w:r>
          </w:p>
          <w:p w14:paraId="7E925007">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（1）中小企业是指在中华人民共和国境内依法设立，依据《中小企业划型标准规定》确定的中型、小型企业、微型企业，但与大型企业的负责人为同一人，或者与大型企业存在直接控股、管理关系的除外。</w:t>
            </w:r>
          </w:p>
          <w:p w14:paraId="0670DE51">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（2）在政府采购活动中，供应商提供的货物、工程或者服务符合下列情形的，享受中小企业扶持政策：</w:t>
            </w:r>
          </w:p>
          <w:p w14:paraId="3AB93C16">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①在货物采购项目中，货物由中小企业制造，即货物由中小企业生产且使用该中小企业商号或者注册商标；</w:t>
            </w:r>
          </w:p>
          <w:p w14:paraId="5BA6F418">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②在工程采购项目中，工程由中小企业承建，即工程施工单位为中小企业；</w:t>
            </w:r>
          </w:p>
          <w:p w14:paraId="1DC04561">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③在服务采购项目中，服务由中小企业承接，即提供服务的人员为中小企业依照《中华人民共和国劳动合同法》订立劳动合同的从业人员。</w:t>
            </w:r>
          </w:p>
          <w:p w14:paraId="1B865FF5">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（3）在货物采购项目中，供应商提供的货物既有中小企业制造货物，也有大型企业制造货物的，不享受中小企业扶持政策。</w:t>
            </w:r>
          </w:p>
          <w:p w14:paraId="6BE2738E">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（4）以联合体形式参加政府采购活动，联合体各方均为中小企业的，联合体视同中小企业。其中，联合体各方均为小微企业的，联合体视同小微企业。</w:t>
            </w:r>
          </w:p>
          <w:p w14:paraId="6434B447">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属于中小企业的，须如实填写《中小企业声明函》（格式见附件）。</w:t>
            </w:r>
          </w:p>
          <w:p w14:paraId="770FEE8C">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注：专门面向中小企业采购的项目，不重复执行支持中小企业发展、促进残疾人就业、支持监狱企业发展的价格优惠政策。</w:t>
            </w:r>
          </w:p>
          <w:p w14:paraId="73AF42B5">
            <w:pPr>
              <w:spacing w:line="340" w:lineRule="exac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2、涉及残疾人福利性单位参加投标的要求：</w:t>
            </w:r>
          </w:p>
          <w:p w14:paraId="74416974">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（1）须根据财库〔2017〕141号《关于促进残疾人就业政府采购政策的通知》的要求，如实填写《残疾人福利性单位声明函》（格式见附件）。</w:t>
            </w:r>
          </w:p>
          <w:p w14:paraId="5E876DC3">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2）残疾人福利性单位提供本企业制造的货物或者服务，或者提供其他残疾人福利性单位制造的货物或服务，享受投标货物或服务的价格折扣。若有的话，如实填写《小、微企业/残疾人福利性单位提供货物/服务明细表》（格式见附件）。</w:t>
            </w:r>
          </w:p>
          <w:p w14:paraId="7CD833CC">
            <w:pPr>
              <w:spacing w:line="340" w:lineRule="exac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3、涉及监狱企业参加投标的要求：</w:t>
            </w:r>
          </w:p>
          <w:p w14:paraId="39E768C6">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（1）监狱企业参加投标视同小、微企业，需提供由省级以上监狱管理局或戒毒管理局出具的属于监狱企业的证明文件。</w:t>
            </w:r>
          </w:p>
          <w:p w14:paraId="5D25B52F">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（2）监狱企业只有提供本企业制造的货物或服务，或者提供其他小、微企业制造的货物，享受投标货物的价格折扣。若有的话，如实填写《小、微企业/残疾人福利性单位提供货物/服务明细表》（格式见附件）。</w:t>
            </w:r>
          </w:p>
          <w:p w14:paraId="084B37B5">
            <w:pPr>
              <w:spacing w:line="34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（3）监狱企业与中型企业组成联合体参加投标的，或者向监狱企业分包，且联合体协议或分包意向协议约定监狱企业的协议金额占到合同金额30%以上的，享受投标标的价格折扣，用扣除后的价格参与评审。</w:t>
            </w:r>
          </w:p>
          <w:p w14:paraId="52BFEE83">
            <w:pPr>
              <w:spacing w:line="340" w:lineRule="exact"/>
              <w:rPr>
                <w:rFonts w:hint="eastAsia" w:ascii="宋体" w:hAnsi="宋体" w:cs="宋体"/>
                <w:b/>
                <w:bCs/>
                <w:color w:val="auto"/>
                <w:sz w:val="22"/>
                <w:szCs w:val="22"/>
                <w:highlight w:val="none"/>
                <w:u w:val="none"/>
                <w:lang w:val="en-US" w:eastAsia="zh-CN"/>
              </w:rPr>
            </w:pPr>
            <w:r>
              <w:rPr>
                <w:rFonts w:hint="eastAsia" w:ascii="宋体" w:hAnsi="宋体" w:cs="宋体"/>
                <w:b/>
                <w:bCs/>
                <w:color w:val="auto"/>
                <w:sz w:val="22"/>
                <w:szCs w:val="22"/>
                <w:highlight w:val="none"/>
                <w:u w:val="none"/>
                <w:lang w:val="en-US" w:eastAsia="zh-CN"/>
              </w:rPr>
              <w:t>注：本项目专门面向中小企业，不再执行落实政府采购政策需进行的价格扣除。</w:t>
            </w:r>
          </w:p>
          <w:p w14:paraId="5B1E254B">
            <w:pPr>
              <w:pStyle w:val="24"/>
              <w:rPr>
                <w:rFonts w:hint="default"/>
                <w:color w:val="auto"/>
                <w:highlight w:val="none"/>
                <w:lang w:val="en-US" w:eastAsia="zh-CN"/>
              </w:rPr>
            </w:pPr>
            <w:r>
              <w:rPr>
                <w:rFonts w:hint="eastAsia" w:ascii="宋体" w:hAnsi="宋体" w:cs="宋体"/>
                <w:b/>
                <w:bCs/>
                <w:color w:val="auto"/>
                <w:sz w:val="22"/>
                <w:szCs w:val="22"/>
                <w:highlight w:val="none"/>
                <w:u w:val="none"/>
                <w:lang w:val="en-US" w:eastAsia="zh-CN"/>
              </w:rPr>
              <w:t>本项目</w:t>
            </w:r>
            <w:r>
              <w:rPr>
                <w:rFonts w:hint="default" w:ascii="宋体" w:hAnsi="宋体" w:cs="宋体"/>
                <w:b/>
                <w:bCs/>
                <w:color w:val="auto"/>
                <w:sz w:val="22"/>
                <w:szCs w:val="22"/>
                <w:highlight w:val="none"/>
                <w:u w:val="none"/>
                <w:lang w:val="en-US" w:eastAsia="zh-CN"/>
              </w:rPr>
              <w:t>所属行业</w:t>
            </w:r>
            <w:r>
              <w:rPr>
                <w:rFonts w:hint="eastAsia" w:ascii="宋体" w:hAnsi="宋体" w:cs="宋体"/>
                <w:b/>
                <w:bCs/>
                <w:color w:val="auto"/>
                <w:sz w:val="22"/>
                <w:szCs w:val="22"/>
                <w:highlight w:val="none"/>
                <w:u w:val="none"/>
                <w:lang w:val="en-US" w:eastAsia="zh-CN"/>
              </w:rPr>
              <w:t>为：建筑业。</w:t>
            </w:r>
          </w:p>
        </w:tc>
      </w:tr>
      <w:tr w14:paraId="709A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26" w:type="dxa"/>
            <w:noWrap w:val="0"/>
            <w:vAlign w:val="center"/>
          </w:tcPr>
          <w:p w14:paraId="684DD4CF">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226" w:type="dxa"/>
            <w:noWrap w:val="0"/>
            <w:vAlign w:val="center"/>
          </w:tcPr>
          <w:p w14:paraId="344B7032">
            <w:pPr>
              <w:spacing w:line="3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5426" w:type="dxa"/>
            <w:noWrap w:val="0"/>
            <w:vAlign w:val="center"/>
          </w:tcPr>
          <w:p w14:paraId="3B2916EE">
            <w:pPr>
              <w:spacing w:line="3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1、电子响应文件的解密：本项目为全流程电子标，</w:t>
            </w:r>
            <w:r>
              <w:rPr>
                <w:rFonts w:hint="eastAsia" w:ascii="宋体" w:hAnsi="宋体" w:cs="宋体"/>
                <w:color w:val="auto"/>
                <w:szCs w:val="21"/>
                <w:highlight w:val="none"/>
                <w:lang w:val="en-US" w:eastAsia="zh-CN"/>
              </w:rPr>
              <w:t>无需</w:t>
            </w:r>
            <w:r>
              <w:rPr>
                <w:rFonts w:hint="eastAsia" w:ascii="宋体" w:hAnsi="宋体" w:eastAsia="宋体" w:cs="宋体"/>
                <w:color w:val="auto"/>
                <w:szCs w:val="21"/>
                <w:highlight w:val="none"/>
                <w:lang w:val="en-US" w:eastAsia="zh-CN"/>
              </w:rPr>
              <w:t>到现场开标，供应商需在规定的投标截止时间(开标时间)后30分钟内通过山西省政府采购平台（http://www.ccgp-shanxi.gov.cn/home.html）供应商账户对所提交的加密的电子响应文件进行解密操作，超过规定的解密时间将无法解密、将失去投标资格。</w:t>
            </w:r>
          </w:p>
          <w:p w14:paraId="2FDAADC3">
            <w:pPr>
              <w:spacing w:line="3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2、本项目</w:t>
            </w:r>
            <w:r>
              <w:rPr>
                <w:rFonts w:hint="eastAsia" w:ascii="宋体" w:hAnsi="宋体" w:cs="宋体"/>
                <w:color w:val="auto"/>
                <w:szCs w:val="21"/>
                <w:highlight w:val="none"/>
                <w:lang w:val="en-US" w:eastAsia="zh-CN"/>
              </w:rPr>
              <w:t>的磋商函及</w:t>
            </w:r>
            <w:r>
              <w:rPr>
                <w:rFonts w:hint="eastAsia" w:ascii="宋体" w:hAnsi="宋体" w:eastAsia="宋体" w:cs="宋体"/>
                <w:color w:val="auto"/>
                <w:szCs w:val="21"/>
                <w:highlight w:val="none"/>
                <w:lang w:val="en-US" w:eastAsia="zh-CN"/>
              </w:rPr>
              <w:t>最终报价要求将通过政采云系统在线发出。</w:t>
            </w:r>
          </w:p>
        </w:tc>
      </w:tr>
    </w:tbl>
    <w:p w14:paraId="1AA8D948">
      <w:pPr>
        <w:spacing w:line="500" w:lineRule="exact"/>
        <w:rPr>
          <w:rFonts w:hint="eastAsia" w:ascii="宋体" w:hAnsi="宋体" w:eastAsia="宋体" w:cs="宋体"/>
          <w:color w:val="auto"/>
          <w:sz w:val="28"/>
          <w:szCs w:val="28"/>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4D97288">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highlight w:val="none"/>
        </w:rPr>
      </w:pPr>
      <w:bookmarkStart w:id="23" w:name="_Toc10002"/>
      <w:bookmarkStart w:id="24" w:name="_Toc3958"/>
      <w:bookmarkStart w:id="25" w:name="_Toc11212"/>
      <w:r>
        <w:rPr>
          <w:rFonts w:hint="eastAsia"/>
          <w:color w:val="auto"/>
          <w:highlight w:val="none"/>
        </w:rPr>
        <w:t xml:space="preserve"> </w:t>
      </w:r>
      <w:bookmarkStart w:id="26" w:name="_Toc22783"/>
      <w:bookmarkStart w:id="27" w:name="_Toc8121"/>
      <w:bookmarkStart w:id="28" w:name="_Toc9497"/>
      <w:bookmarkStart w:id="29" w:name="_Toc13624"/>
      <w:bookmarkStart w:id="30" w:name="_Toc9126"/>
      <w:r>
        <w:rPr>
          <w:rFonts w:hint="eastAsia"/>
          <w:color w:val="auto"/>
          <w:highlight w:val="none"/>
        </w:rPr>
        <w:t>磋商供应商须知</w:t>
      </w:r>
      <w:bookmarkEnd w:id="23"/>
      <w:bookmarkEnd w:id="24"/>
      <w:bookmarkEnd w:id="25"/>
      <w:bookmarkEnd w:id="26"/>
      <w:bookmarkEnd w:id="27"/>
      <w:bookmarkEnd w:id="28"/>
      <w:bookmarkEnd w:id="29"/>
      <w:bookmarkEnd w:id="30"/>
    </w:p>
    <w:p w14:paraId="4C1C439A">
      <w:pPr>
        <w:pStyle w:val="3"/>
        <w:keepNext/>
        <w:keepLines/>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color w:val="auto"/>
          <w:sz w:val="28"/>
          <w:szCs w:val="28"/>
          <w:highlight w:val="none"/>
        </w:rPr>
      </w:pPr>
      <w:bookmarkStart w:id="31" w:name="_Toc11838"/>
      <w:r>
        <w:rPr>
          <w:rFonts w:hint="eastAsia" w:ascii="宋体" w:hAnsi="宋体" w:eastAsia="宋体" w:cs="宋体"/>
          <w:color w:val="auto"/>
          <w:sz w:val="28"/>
          <w:szCs w:val="28"/>
          <w:highlight w:val="none"/>
        </w:rPr>
        <w:t>一、总则</w:t>
      </w:r>
      <w:bookmarkEnd w:id="31"/>
    </w:p>
    <w:p w14:paraId="49D62269">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14:paraId="1677A39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1.1本竞争性磋商文件仅适用于</w:t>
      </w:r>
      <w:r>
        <w:rPr>
          <w:rFonts w:hint="eastAsia" w:ascii="宋体" w:hAnsi="宋体" w:eastAsia="宋体" w:cs="宋体"/>
          <w:color w:val="auto"/>
          <w:sz w:val="24"/>
          <w:szCs w:val="24"/>
          <w:highlight w:val="none"/>
          <w:lang w:val="en-US" w:eastAsia="zh-CN"/>
        </w:rPr>
        <w:t>本文件中</w:t>
      </w:r>
      <w:r>
        <w:rPr>
          <w:rFonts w:hint="eastAsia" w:ascii="宋体" w:hAnsi="宋体" w:eastAsia="宋体" w:cs="宋体"/>
          <w:color w:val="auto"/>
          <w:sz w:val="24"/>
          <w:szCs w:val="24"/>
          <w:highlight w:val="none"/>
        </w:rPr>
        <w:t>所述</w:t>
      </w:r>
      <w:r>
        <w:rPr>
          <w:rFonts w:hint="eastAsia" w:ascii="宋体" w:hAnsi="宋体" w:eastAsia="宋体" w:cs="宋体"/>
          <w:color w:val="auto"/>
          <w:sz w:val="24"/>
          <w:szCs w:val="24"/>
          <w:highlight w:val="none"/>
          <w:lang w:val="en-US" w:eastAsia="zh-CN"/>
        </w:rPr>
        <w:t>工程项目</w:t>
      </w:r>
      <w:r>
        <w:rPr>
          <w:rFonts w:hint="eastAsia" w:ascii="宋体" w:hAnsi="宋体" w:eastAsia="宋体" w:cs="宋体"/>
          <w:color w:val="auto"/>
          <w:sz w:val="24"/>
          <w:szCs w:val="24"/>
          <w:highlight w:val="none"/>
        </w:rPr>
        <w:t>的采购。</w:t>
      </w:r>
    </w:p>
    <w:p w14:paraId="010DA2D9">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2.定义</w:t>
      </w:r>
    </w:p>
    <w:p w14:paraId="194DAE1E">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2.1 “采购人”系指本次磋商活动的采购单位。“</w:t>
      </w:r>
      <w:r>
        <w:rPr>
          <w:rFonts w:hint="eastAsia" w:ascii="宋体" w:hAnsi="宋体" w:eastAsia="宋体" w:cs="宋体"/>
          <w:color w:val="auto"/>
          <w:spacing w:val="10"/>
          <w:kern w:val="0"/>
          <w:sz w:val="24"/>
          <w:szCs w:val="24"/>
          <w:highlight w:val="none"/>
          <w:lang w:eastAsia="zh-CN"/>
        </w:rPr>
        <w:t>采购代理机构</w:t>
      </w:r>
      <w:r>
        <w:rPr>
          <w:rFonts w:hint="eastAsia" w:ascii="宋体" w:hAnsi="宋体" w:eastAsia="宋体" w:cs="宋体"/>
          <w:color w:val="auto"/>
          <w:spacing w:val="10"/>
          <w:kern w:val="0"/>
          <w:sz w:val="24"/>
          <w:szCs w:val="24"/>
          <w:highlight w:val="none"/>
        </w:rPr>
        <w:t>”系指组织本次磋商活动的机构。“采购代理机构”系指接受采购人委托，代理采购项目的经财政部门认定资格的采购代理机构。采购人及采购代理机构统称招标采购单位。</w:t>
      </w:r>
    </w:p>
    <w:p w14:paraId="4CBA6AE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2.2 “磋商供应商”系指通过报名并向采购单位提交响应文件。</w:t>
      </w:r>
    </w:p>
    <w:p w14:paraId="3F7C1278">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2.3“竞争性磋商文件”系指采购单位或采购代理机构向供应商发出的采购文件。</w:t>
      </w:r>
    </w:p>
    <w:p w14:paraId="7907847A">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2.4“响应文件”系指磋商供应商向采购人提交的响应文件。</w:t>
      </w:r>
    </w:p>
    <w:p w14:paraId="3083F4A1">
      <w:pPr>
        <w:keepNext w:val="0"/>
        <w:keepLines w:val="0"/>
        <w:pageBreakBefore w:val="0"/>
        <w:widowControl/>
        <w:kinsoku/>
        <w:wordWrap/>
        <w:overflowPunct/>
        <w:topLinePunct w:val="0"/>
        <w:autoSpaceDE/>
        <w:autoSpaceDN/>
        <w:bidi w:val="0"/>
        <w:adjustRightInd/>
        <w:snapToGrid w:val="0"/>
        <w:spacing w:line="440" w:lineRule="exact"/>
        <w:ind w:left="0" w:leftChars="0" w:right="0" w:rightChars="0" w:firstLine="520" w:firstLineChars="200"/>
        <w:jc w:val="left"/>
        <w:textAlignment w:val="auto"/>
        <w:outlineLvl w:val="9"/>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rPr>
        <w:t>2</w:t>
      </w:r>
      <w:r>
        <w:rPr>
          <w:rFonts w:hint="eastAsia" w:ascii="宋体" w:hAnsi="宋体" w:eastAsia="宋体" w:cs="宋体"/>
          <w:color w:val="auto"/>
          <w:spacing w:val="10"/>
          <w:kern w:val="0"/>
          <w:sz w:val="24"/>
          <w:szCs w:val="24"/>
          <w:highlight w:val="none"/>
          <w:lang w:val="en-US" w:eastAsia="zh-CN"/>
        </w:rPr>
        <w:t>.5</w:t>
      </w:r>
      <w:r>
        <w:rPr>
          <w:rFonts w:hint="eastAsia" w:ascii="宋体" w:hAnsi="宋体" w:eastAsia="宋体" w:cs="宋体"/>
          <w:color w:val="auto"/>
          <w:spacing w:val="10"/>
          <w:kern w:val="0"/>
          <w:sz w:val="24"/>
          <w:szCs w:val="24"/>
          <w:highlight w:val="none"/>
        </w:rPr>
        <w:t xml:space="preserve"> “</w:t>
      </w:r>
      <w:r>
        <w:rPr>
          <w:rFonts w:hint="eastAsia" w:ascii="宋体" w:hAnsi="宋体" w:eastAsia="宋体" w:cs="宋体"/>
          <w:color w:val="auto"/>
          <w:spacing w:val="10"/>
          <w:kern w:val="0"/>
          <w:sz w:val="24"/>
          <w:szCs w:val="24"/>
          <w:highlight w:val="none"/>
          <w:lang w:eastAsia="zh-CN"/>
        </w:rPr>
        <w:t>工程</w:t>
      </w:r>
      <w:r>
        <w:rPr>
          <w:rFonts w:hint="eastAsia" w:ascii="宋体" w:hAnsi="宋体" w:eastAsia="宋体" w:cs="宋体"/>
          <w:color w:val="auto"/>
          <w:spacing w:val="10"/>
          <w:kern w:val="0"/>
          <w:sz w:val="24"/>
          <w:szCs w:val="24"/>
          <w:highlight w:val="none"/>
        </w:rPr>
        <w:t>”系指竞争性磋商文件规定供应商须承担的</w:t>
      </w:r>
      <w:r>
        <w:rPr>
          <w:rFonts w:hint="eastAsia" w:ascii="宋体" w:hAnsi="宋体" w:eastAsia="宋体" w:cs="宋体"/>
          <w:color w:val="auto"/>
          <w:spacing w:val="10"/>
          <w:kern w:val="0"/>
          <w:sz w:val="24"/>
          <w:szCs w:val="24"/>
          <w:highlight w:val="none"/>
          <w:lang w:eastAsia="zh-CN"/>
        </w:rPr>
        <w:t>工程</w:t>
      </w:r>
      <w:r>
        <w:rPr>
          <w:rFonts w:hint="eastAsia" w:ascii="宋体" w:hAnsi="宋体" w:cs="宋体"/>
          <w:color w:val="auto"/>
          <w:spacing w:val="10"/>
          <w:kern w:val="0"/>
          <w:sz w:val="24"/>
          <w:szCs w:val="24"/>
          <w:highlight w:val="none"/>
          <w:lang w:val="en-US" w:eastAsia="zh-CN"/>
        </w:rPr>
        <w:t>及</w:t>
      </w:r>
      <w:r>
        <w:rPr>
          <w:rFonts w:hint="eastAsia" w:ascii="宋体" w:hAnsi="宋体" w:cs="宋体"/>
          <w:color w:val="auto"/>
          <w:spacing w:val="10"/>
          <w:kern w:val="0"/>
          <w:sz w:val="24"/>
          <w:szCs w:val="24"/>
          <w:highlight w:val="none"/>
          <w:lang w:eastAsia="zh-CN"/>
        </w:rPr>
        <w:t>其他</w:t>
      </w:r>
      <w:r>
        <w:rPr>
          <w:rFonts w:hint="eastAsia" w:ascii="宋体" w:hAnsi="宋体" w:cs="宋体"/>
          <w:color w:val="auto"/>
          <w:spacing w:val="10"/>
          <w:kern w:val="0"/>
          <w:sz w:val="24"/>
          <w:szCs w:val="24"/>
          <w:highlight w:val="none"/>
          <w:lang w:val="en-US" w:eastAsia="zh-CN"/>
        </w:rPr>
        <w:t>相关</w:t>
      </w:r>
      <w:r>
        <w:rPr>
          <w:rFonts w:hint="eastAsia" w:ascii="宋体" w:hAnsi="宋体" w:cs="宋体"/>
          <w:color w:val="auto"/>
          <w:spacing w:val="10"/>
          <w:kern w:val="0"/>
          <w:sz w:val="24"/>
          <w:szCs w:val="24"/>
          <w:highlight w:val="none"/>
          <w:lang w:eastAsia="zh-CN"/>
        </w:rPr>
        <w:t>的</w:t>
      </w:r>
      <w:r>
        <w:rPr>
          <w:rFonts w:hint="eastAsia" w:ascii="宋体" w:hAnsi="宋体" w:eastAsia="宋体" w:cs="宋体"/>
          <w:color w:val="auto"/>
          <w:spacing w:val="10"/>
          <w:kern w:val="0"/>
          <w:sz w:val="24"/>
          <w:szCs w:val="24"/>
          <w:highlight w:val="none"/>
        </w:rPr>
        <w:t>义务。</w:t>
      </w:r>
    </w:p>
    <w:p w14:paraId="2EDE6A21">
      <w:pPr>
        <w:keepNext w:val="0"/>
        <w:keepLines w:val="0"/>
        <w:pageBreakBefore w:val="0"/>
        <w:numPr>
          <w:ilvl w:val="0"/>
          <w:numId w:val="0"/>
        </w:numPr>
        <w:kinsoku/>
        <w:wordWrap/>
        <w:overflowPunct/>
        <w:topLinePunct w:val="0"/>
        <w:autoSpaceDE/>
        <w:autoSpaceDN/>
        <w:bidi w:val="0"/>
        <w:adjustRightInd/>
        <w:spacing w:line="440" w:lineRule="exact"/>
        <w:ind w:left="-482" w:leftChars="0" w:right="0" w:rightChars="0" w:firstLine="482" w:firstLine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3.</w:t>
      </w:r>
      <w:r>
        <w:rPr>
          <w:rFonts w:hint="eastAsia" w:ascii="宋体" w:hAnsi="宋体" w:eastAsia="宋体" w:cs="宋体"/>
          <w:b/>
          <w:bCs/>
          <w:color w:val="auto"/>
          <w:sz w:val="24"/>
          <w:szCs w:val="24"/>
          <w:highlight w:val="none"/>
        </w:rPr>
        <w:t>合格的供应商</w:t>
      </w:r>
    </w:p>
    <w:p w14:paraId="4E2E9C5E">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3.1符合《中华人民共和国政府采购法》第二十二条供应商参加政府采购活动应当具备的条件及其他有关法律、法规关于供应商的有关规定，有能力提供采购</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服务的供应商。</w:t>
      </w:r>
    </w:p>
    <w:p w14:paraId="5D4690C7">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3.2符合竞争性磋商文件第一章关于供应商资格要求的规定。</w:t>
      </w:r>
    </w:p>
    <w:p w14:paraId="088A76AB">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3.3供应商遵守《</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w:t>
      </w:r>
      <w:r>
        <w:rPr>
          <w:rFonts w:hint="eastAsia" w:ascii="宋体" w:hAnsi="宋体" w:eastAsia="宋体" w:cs="宋体"/>
          <w:color w:val="auto"/>
          <w:sz w:val="24"/>
          <w:szCs w:val="24"/>
          <w:highlight w:val="none"/>
          <w:lang w:val="en-US" w:eastAsia="zh-CN"/>
        </w:rPr>
        <w:t>中华人民共和国民法典</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反不正当竞争法》等有关法律、法规。如有违反，将视为不合格供应商，其响应文件无效。</w:t>
      </w:r>
    </w:p>
    <w:p w14:paraId="75BBC3ED">
      <w:pPr>
        <w:keepNext w:val="0"/>
        <w:keepLines w:val="0"/>
        <w:pageBreakBefore w:val="0"/>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4.竞争性磋商费用</w:t>
      </w:r>
      <w:r>
        <w:rPr>
          <w:rFonts w:hint="eastAsia" w:ascii="宋体" w:hAnsi="宋体" w:eastAsia="宋体" w:cs="宋体"/>
          <w:color w:val="auto"/>
          <w:sz w:val="24"/>
          <w:szCs w:val="24"/>
          <w:highlight w:val="none"/>
        </w:rPr>
        <w:t>：无论竞争性磋商过程中的做法和结果如何，磋商供应商自行承担所有与参加竞争性磋商有关的全部费用。</w:t>
      </w:r>
    </w:p>
    <w:p w14:paraId="60544A67">
      <w:pPr>
        <w:keepNext w:val="0"/>
        <w:keepLines w:val="0"/>
        <w:pageBreakBefore w:val="0"/>
        <w:numPr>
          <w:ilvl w:val="0"/>
          <w:numId w:val="0"/>
        </w:numPr>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法律适用</w:t>
      </w:r>
      <w:r>
        <w:rPr>
          <w:rFonts w:hint="eastAsia" w:ascii="宋体" w:hAnsi="宋体" w:eastAsia="宋体" w:cs="宋体"/>
          <w:color w:val="auto"/>
          <w:sz w:val="24"/>
          <w:szCs w:val="24"/>
          <w:highlight w:val="none"/>
        </w:rPr>
        <w:t>：本次竞争性磋商活动及由本次竞争性磋商产生的合同受中华人民共和国法律制约和保护。</w:t>
      </w:r>
    </w:p>
    <w:p w14:paraId="51EBE7BE">
      <w:pPr>
        <w:keepNext w:val="0"/>
        <w:keepLines w:val="0"/>
        <w:pageBreakBefore w:val="0"/>
        <w:numPr>
          <w:ilvl w:val="0"/>
          <w:numId w:val="0"/>
        </w:numPr>
        <w:kinsoku/>
        <w:wordWrap/>
        <w:overflowPunct/>
        <w:topLinePunct w:val="0"/>
        <w:autoSpaceDE/>
        <w:autoSpaceDN/>
        <w:bidi w:val="0"/>
        <w:adjustRightInd/>
        <w:spacing w:line="44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磋商文件的约束力</w:t>
      </w:r>
    </w:p>
    <w:p w14:paraId="6CEB0826">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6.1磋商供应商一旦向采购人、采购代理机构提交了响应文件，即被认为接受了本磋商文件所有条款规定，且对本磋商文件内容无异议。</w:t>
      </w:r>
    </w:p>
    <w:p w14:paraId="70A00973">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6.2本次竞争性磋商文件的最终解释权归为采购单位，当对一个问题有多种解释时以采购单位解释为准。</w:t>
      </w:r>
    </w:p>
    <w:p w14:paraId="73C0733A">
      <w:pPr>
        <w:keepNext w:val="0"/>
        <w:keepLines w:val="0"/>
        <w:pageBreakBefore w:val="0"/>
        <w:kinsoku/>
        <w:wordWrap/>
        <w:overflowPunct/>
        <w:topLinePunct w:val="0"/>
        <w:autoSpaceDE/>
        <w:autoSpaceDN/>
        <w:bidi w:val="0"/>
        <w:adjustRightInd/>
        <w:spacing w:line="44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6.3本文件未作须知明示，而又有相关法律、法规规定的，招标采购单位将依据有关法律、法规的规定对此解释。</w:t>
      </w:r>
    </w:p>
    <w:p w14:paraId="1915935F">
      <w:pPr>
        <w:pStyle w:val="3"/>
        <w:keepNext/>
        <w:keepLines/>
        <w:pageBreakBefore w:val="0"/>
        <w:widowControl w:val="0"/>
        <w:numPr>
          <w:ilvl w:val="0"/>
          <w:numId w:val="2"/>
        </w:numPr>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color w:val="auto"/>
          <w:sz w:val="28"/>
          <w:szCs w:val="28"/>
          <w:highlight w:val="none"/>
        </w:rPr>
      </w:pPr>
      <w:bookmarkStart w:id="32" w:name="_Toc13290"/>
      <w:r>
        <w:rPr>
          <w:rFonts w:hint="eastAsia" w:ascii="宋体" w:hAnsi="宋体" w:eastAsia="宋体" w:cs="宋体"/>
          <w:color w:val="auto"/>
          <w:sz w:val="28"/>
          <w:szCs w:val="28"/>
          <w:highlight w:val="none"/>
        </w:rPr>
        <w:t>磋商文件</w:t>
      </w:r>
      <w:bookmarkEnd w:id="32"/>
    </w:p>
    <w:p w14:paraId="1CAC98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lang w:val="en-US" w:eastAsia="zh-CN" w:bidi="ar-SA"/>
        </w:rPr>
        <w:t>7.</w:t>
      </w:r>
      <w:r>
        <w:rPr>
          <w:rFonts w:hint="eastAsia" w:ascii="宋体" w:hAnsi="宋体" w:eastAsia="宋体" w:cs="宋体"/>
          <w:b/>
          <w:bCs/>
          <w:color w:val="auto"/>
          <w:sz w:val="24"/>
          <w:highlight w:val="none"/>
        </w:rPr>
        <w:t>竞争性磋商文件用以阐明所需</w:t>
      </w:r>
      <w:r>
        <w:rPr>
          <w:rFonts w:hint="eastAsia" w:ascii="宋体" w:hAnsi="宋体" w:eastAsia="宋体" w:cs="宋体"/>
          <w:b/>
          <w:bCs/>
          <w:color w:val="auto"/>
          <w:sz w:val="24"/>
          <w:highlight w:val="none"/>
          <w:lang w:val="en-US" w:eastAsia="zh-CN"/>
        </w:rPr>
        <w:t>技术</w:t>
      </w:r>
      <w:r>
        <w:rPr>
          <w:rFonts w:hint="eastAsia" w:ascii="宋体" w:hAnsi="宋体" w:eastAsia="宋体" w:cs="宋体"/>
          <w:b/>
          <w:bCs/>
          <w:color w:val="auto"/>
          <w:sz w:val="24"/>
          <w:highlight w:val="none"/>
        </w:rPr>
        <w:t>服务、竞争性磋商程序和合同条款等。</w:t>
      </w:r>
    </w:p>
    <w:p w14:paraId="5BEF27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7.1磋商文件组成包括：</w:t>
      </w:r>
    </w:p>
    <w:p w14:paraId="6754417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第一章</w:t>
      </w:r>
      <w:r>
        <w:rPr>
          <w:rFonts w:hint="eastAsia" w:ascii="宋体" w:hAnsi="宋体" w:eastAsia="宋体" w:cs="宋体"/>
          <w:color w:val="auto"/>
          <w:sz w:val="24"/>
          <w:highlight w:val="none"/>
        </w:rPr>
        <w:t xml:space="preserve">   竞争性磋商公告</w:t>
      </w:r>
    </w:p>
    <w:p w14:paraId="312E637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第二章</w:t>
      </w:r>
      <w:r>
        <w:rPr>
          <w:rFonts w:hint="eastAsia" w:ascii="宋体" w:hAnsi="宋体" w:eastAsia="宋体" w:cs="宋体"/>
          <w:color w:val="auto"/>
          <w:sz w:val="24"/>
          <w:highlight w:val="none"/>
        </w:rPr>
        <w:t xml:space="preserve">   </w:t>
      </w:r>
      <w:r>
        <w:rPr>
          <w:rFonts w:hint="eastAsia"/>
          <w:color w:val="auto"/>
          <w:sz w:val="24"/>
          <w:szCs w:val="24"/>
          <w:highlight w:val="none"/>
        </w:rPr>
        <w:t>磋商须知附表</w:t>
      </w:r>
      <w:r>
        <w:rPr>
          <w:rFonts w:hint="eastAsia"/>
          <w:color w:val="auto"/>
          <w:sz w:val="24"/>
          <w:szCs w:val="24"/>
          <w:highlight w:val="none"/>
          <w:lang w:eastAsia="zh-CN"/>
        </w:rPr>
        <w:t>、</w:t>
      </w:r>
      <w:r>
        <w:rPr>
          <w:rFonts w:hint="eastAsia"/>
          <w:color w:val="auto"/>
          <w:sz w:val="24"/>
          <w:szCs w:val="24"/>
          <w:highlight w:val="none"/>
        </w:rPr>
        <w:t>磋商供应商须知</w:t>
      </w:r>
    </w:p>
    <w:p w14:paraId="06C6C61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第三章   </w:t>
      </w:r>
      <w:r>
        <w:rPr>
          <w:rFonts w:hint="eastAsia"/>
          <w:color w:val="auto"/>
          <w:sz w:val="24"/>
          <w:szCs w:val="24"/>
          <w:highlight w:val="none"/>
        </w:rPr>
        <w:t>合同条款</w:t>
      </w:r>
    </w:p>
    <w:p w14:paraId="56F8E7F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rPr>
        <w:t xml:space="preserve">   </w:t>
      </w:r>
      <w:r>
        <w:rPr>
          <w:rFonts w:hint="eastAsia"/>
          <w:color w:val="auto"/>
          <w:sz w:val="24"/>
          <w:szCs w:val="24"/>
          <w:highlight w:val="none"/>
          <w:lang w:val="en-US" w:eastAsia="zh-CN"/>
        </w:rPr>
        <w:t>采购需求</w:t>
      </w:r>
    </w:p>
    <w:p w14:paraId="0A8770E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lang w:val="en-US" w:eastAsia="zh-CN"/>
        </w:rPr>
        <w:t xml:space="preserve">   </w:t>
      </w:r>
      <w:r>
        <w:rPr>
          <w:rFonts w:hint="eastAsia"/>
          <w:color w:val="auto"/>
          <w:sz w:val="24"/>
          <w:szCs w:val="24"/>
          <w:highlight w:val="none"/>
          <w:lang w:val="en-US" w:eastAsia="zh-CN"/>
        </w:rPr>
        <w:t>工程量清单</w:t>
      </w:r>
    </w:p>
    <w:p w14:paraId="4382621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rPr>
        <w:t xml:space="preserve">   评审</w:t>
      </w:r>
      <w:r>
        <w:rPr>
          <w:rFonts w:hint="eastAsia" w:ascii="宋体" w:hAnsi="宋体" w:eastAsia="宋体" w:cs="宋体"/>
          <w:color w:val="auto"/>
          <w:sz w:val="24"/>
          <w:highlight w:val="none"/>
          <w:lang w:eastAsia="zh-CN"/>
        </w:rPr>
        <w:t>办法</w:t>
      </w:r>
    </w:p>
    <w:p w14:paraId="539A359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rPr>
        <w:t xml:space="preserve">   响应文件格式</w:t>
      </w:r>
      <w:r>
        <w:rPr>
          <w:rFonts w:hint="eastAsia" w:ascii="宋体" w:hAnsi="宋体" w:eastAsia="宋体" w:cs="宋体"/>
          <w:color w:val="auto"/>
          <w:sz w:val="24"/>
          <w:highlight w:val="none"/>
          <w:lang w:val="en-US" w:eastAsia="zh-CN"/>
        </w:rPr>
        <w:t xml:space="preserve"> </w:t>
      </w:r>
    </w:p>
    <w:p w14:paraId="29A4941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7.2磋商供应商被视为（或有义务）充分熟悉本竞争性磋商项目所在地的与履行合同有关的各种情况，包括自然环境、气候条件、劳动力及公共设施等，本磋商文件不再对上述情况进行描述。</w:t>
      </w:r>
    </w:p>
    <w:p w14:paraId="64208F5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7.3磋商供应商必须详阅磋商文件的所有条款、规定及表达格式。磋商供应商若未按磋商文件的要求和规范编制、提交响应文件，将有可能导致响应文件被拒绝接受。</w:t>
      </w:r>
    </w:p>
    <w:p w14:paraId="57F69F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8.磋商文件的澄清或修改</w:t>
      </w:r>
    </w:p>
    <w:p w14:paraId="5D9A593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8.1若磋商供应商对磋商文件有疑点或异议，可用书面形式在提交首次响应文件截止时间2个工作日前通知采购人（采购代理机构），视情况确定采用适合方式予以澄清或以书面形式予以答复。</w:t>
      </w:r>
    </w:p>
    <w:p w14:paraId="6FC7A67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8.2在首次提交响应文件截止时间前，采购人（采购代理机构）可以对磋商文件进行澄清或者修改的内容作为磋商文件的组成部分。澄清或者修改的内容可能影响响应文件编制的，在提交首次响应文件截止时间至少5日前，以公告的形式发布更正或补充文件，磋商供应商应及时查看，不足5日的，将顺延提交首次响应文件截止时间。</w:t>
      </w:r>
    </w:p>
    <w:p w14:paraId="596C339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8.3更正或补充文件将作为磋商文件的组成部分，对所有磋商供应商有约束力。当磋商文件与更正或补充文件相互矛盾的，以采购人最后发出的更正或补充文件为准。</w:t>
      </w:r>
    </w:p>
    <w:p w14:paraId="60AB2FD5">
      <w:pPr>
        <w:pStyle w:val="3"/>
        <w:keepNext/>
        <w:keepLines/>
        <w:pageBreakBefore w:val="0"/>
        <w:widowControl w:val="0"/>
        <w:numPr>
          <w:ilvl w:val="0"/>
          <w:numId w:val="3"/>
        </w:numPr>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b w:val="0"/>
          <w:bCs w:val="0"/>
          <w:color w:val="auto"/>
          <w:sz w:val="28"/>
          <w:szCs w:val="28"/>
          <w:highlight w:val="none"/>
        </w:rPr>
      </w:pPr>
      <w:bookmarkStart w:id="33" w:name="_Toc21624"/>
      <w:r>
        <w:rPr>
          <w:rFonts w:hint="eastAsia" w:ascii="宋体" w:hAnsi="宋体" w:eastAsia="宋体" w:cs="宋体"/>
          <w:color w:val="auto"/>
          <w:sz w:val="28"/>
          <w:szCs w:val="28"/>
          <w:highlight w:val="none"/>
        </w:rPr>
        <w:t>响应文件的编写</w:t>
      </w:r>
      <w:bookmarkEnd w:id="33"/>
    </w:p>
    <w:p w14:paraId="46E0EF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供应商应仔细阅读竞争性磋商文件的所有内容，按竞争性磋商文件的要求提供响应文件，并保证所提供的全部资料的真实性，以使其对竞争性磋商文件</w:t>
      </w:r>
      <w:r>
        <w:rPr>
          <w:rFonts w:hint="eastAsia" w:ascii="宋体" w:hAnsi="宋体" w:cs="宋体"/>
          <w:color w:val="auto"/>
          <w:sz w:val="24"/>
          <w:highlight w:val="none"/>
          <w:lang w:eastAsia="zh-CN"/>
        </w:rPr>
        <w:t>作出</w:t>
      </w:r>
      <w:r>
        <w:rPr>
          <w:rFonts w:hint="eastAsia" w:ascii="宋体" w:hAnsi="宋体" w:eastAsia="宋体" w:cs="宋体"/>
          <w:color w:val="auto"/>
          <w:sz w:val="24"/>
          <w:highlight w:val="none"/>
        </w:rPr>
        <w:t>实质性响应，否则，响应文件可能被拒绝。</w:t>
      </w:r>
    </w:p>
    <w:p w14:paraId="58C6BE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响应文件的语言及度量衡</w:t>
      </w:r>
    </w:p>
    <w:p w14:paraId="56D527C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10.1响应文件以及磋商供应商与采购人（采购代理机构）之间的所有书面往来都应用简体中文书写。</w:t>
      </w:r>
    </w:p>
    <w:p w14:paraId="5D8C81A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10.2磋商供应商</w:t>
      </w:r>
      <w:r>
        <w:rPr>
          <w:rFonts w:hint="eastAsia" w:ascii="宋体" w:hAnsi="宋体" w:cs="宋体"/>
          <w:color w:val="auto"/>
          <w:sz w:val="24"/>
          <w:highlight w:val="none"/>
          <w:lang w:eastAsia="zh-CN"/>
        </w:rPr>
        <w:t>已</w:t>
      </w:r>
      <w:r>
        <w:rPr>
          <w:rFonts w:hint="eastAsia" w:ascii="宋体" w:hAnsi="宋体" w:eastAsia="宋体" w:cs="宋体"/>
          <w:color w:val="auto"/>
          <w:sz w:val="24"/>
          <w:highlight w:val="none"/>
        </w:rPr>
        <w:t>印刷好的资料如产品样本、说明书等可以用其他语言，但应附有中文译文。在解释响应文件时，以中文译文为准。外文资料必须提供中文译文，并保证与原文内容一致，否则供应商将承担相应法律责任。未按上述规定提供中文文本的，磋商小组有权拒绝其响应文件。</w:t>
      </w:r>
    </w:p>
    <w:p w14:paraId="14474F5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10.3除在磋商文件中另有规定外，度量衡单位应使用国际单位制。</w:t>
      </w:r>
    </w:p>
    <w:p w14:paraId="4841DA5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10.4本磋商文件所表达的时间均为北京时间。</w:t>
      </w:r>
    </w:p>
    <w:p w14:paraId="6BEACA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11.</w:t>
      </w:r>
      <w:r>
        <w:rPr>
          <w:rFonts w:hint="eastAsia" w:ascii="宋体" w:hAnsi="宋体" w:eastAsia="宋体" w:cs="宋体"/>
          <w:b/>
          <w:bCs/>
          <w:color w:val="auto"/>
          <w:sz w:val="24"/>
          <w:highlight w:val="none"/>
        </w:rPr>
        <w:t>响应文件的组成</w:t>
      </w:r>
    </w:p>
    <w:p w14:paraId="307EB6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11.1响应文件应包括</w:t>
      </w:r>
      <w:r>
        <w:rPr>
          <w:rFonts w:hint="eastAsia" w:ascii="宋体" w:hAnsi="宋体" w:eastAsia="宋体" w:cs="宋体"/>
          <w:color w:val="auto"/>
          <w:sz w:val="24"/>
          <w:highlight w:val="none"/>
          <w:lang w:val="en-US" w:eastAsia="zh-CN"/>
        </w:rPr>
        <w:t>资格部分、</w:t>
      </w:r>
      <w:r>
        <w:rPr>
          <w:rFonts w:hint="eastAsia" w:ascii="宋体" w:hAnsi="宋体" w:eastAsia="宋体" w:cs="宋体"/>
          <w:color w:val="auto"/>
          <w:sz w:val="24"/>
          <w:highlight w:val="none"/>
        </w:rPr>
        <w:t>商务</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价格部分</w:t>
      </w:r>
      <w:r>
        <w:rPr>
          <w:rFonts w:hint="eastAsia" w:ascii="宋体" w:hAnsi="宋体" w:eastAsia="宋体" w:cs="宋体"/>
          <w:color w:val="auto"/>
          <w:sz w:val="24"/>
          <w:highlight w:val="none"/>
          <w:lang w:eastAsia="zh-CN"/>
        </w:rPr>
        <w:t>。</w:t>
      </w:r>
    </w:p>
    <w:p w14:paraId="617E0F5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11.2若磋商供应商未按磋商文件的要求提供资料、或未对磋商文件作出实质性响应，将作为无效响应文件。</w:t>
      </w:r>
    </w:p>
    <w:p w14:paraId="4710B8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磋商报价</w:t>
      </w:r>
    </w:p>
    <w:p w14:paraId="324C977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报价包括采购范围内的所有费用，包括采购项目未考虑的但项目实施过程中必要的费用，及采购项目履行过程中所需的而磋商文件中未列出的相关辅助材料和费用。一旦成交，合同签订后价格将不得变动。</w:t>
      </w:r>
    </w:p>
    <w:p w14:paraId="74F2847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12.2供应商</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rPr>
        <w:t>投标时只报总价。（暂估价、安全生产费和第三者责任险等非竞争性报价不进行调整）。</w:t>
      </w:r>
    </w:p>
    <w:p w14:paraId="17C819F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12.3第一次报价仅供磋商小组在评审时参考比较，成交价以最终报价为准。</w:t>
      </w:r>
    </w:p>
    <w:p w14:paraId="7E99C3C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磋商的货币</w:t>
      </w:r>
      <w:r>
        <w:rPr>
          <w:rFonts w:hint="eastAsia" w:ascii="宋体" w:hAnsi="宋体" w:eastAsia="宋体" w:cs="宋体"/>
          <w:color w:val="auto"/>
          <w:sz w:val="24"/>
          <w:highlight w:val="none"/>
        </w:rPr>
        <w:t>：本次磋商采购</w:t>
      </w:r>
      <w:r>
        <w:rPr>
          <w:rFonts w:hint="eastAsia" w:ascii="宋体" w:hAnsi="宋体" w:eastAsia="宋体" w:cs="宋体"/>
          <w:color w:val="auto"/>
          <w:sz w:val="24"/>
          <w:highlight w:val="none"/>
          <w:lang w:eastAsia="zh-CN"/>
        </w:rPr>
        <w:t>按人民币元进行报价</w:t>
      </w:r>
      <w:r>
        <w:rPr>
          <w:rFonts w:hint="eastAsia" w:ascii="宋体" w:hAnsi="宋体" w:eastAsia="宋体" w:cs="宋体"/>
          <w:color w:val="auto"/>
          <w:sz w:val="24"/>
          <w:highlight w:val="none"/>
        </w:rPr>
        <w:t>。磋商文件另有规定的从其规定。</w:t>
      </w:r>
    </w:p>
    <w:p w14:paraId="304103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14.</w:t>
      </w:r>
      <w:r>
        <w:rPr>
          <w:rFonts w:hint="eastAsia" w:ascii="宋体" w:hAnsi="宋体" w:eastAsia="宋体" w:cs="宋体"/>
          <w:b/>
          <w:bCs/>
          <w:color w:val="auto"/>
          <w:sz w:val="24"/>
          <w:highlight w:val="none"/>
        </w:rPr>
        <w:t>磋商保证金</w:t>
      </w:r>
    </w:p>
    <w:p w14:paraId="63051DD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14.1供应商应按须知前附表规定的金额、递交形式、截止时间等要求提交投标保证金。</w:t>
      </w:r>
    </w:p>
    <w:p w14:paraId="1526437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14.2未成交供应商的磋商保证金应当在成交通知书发出后5个工作日内退还，成交供应商的磋商保证金应当在采购合同签订后5个工作日内退还。</w:t>
      </w:r>
    </w:p>
    <w:p w14:paraId="3634401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14.3有下列情形之一的，磋商保证金不予退还：</w:t>
      </w:r>
    </w:p>
    <w:p w14:paraId="25B4ABA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（一）供应商在提交响应文件截止时间后撤回响应文件的；</w:t>
      </w:r>
    </w:p>
    <w:p w14:paraId="37372F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（二）供应商在响应文件中提供虚假材料的；</w:t>
      </w:r>
    </w:p>
    <w:p w14:paraId="0B4C6ED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（三）除因不可抗力或磋商文件认可的情形以外，成交供应商不与采购人签订合同的；</w:t>
      </w:r>
    </w:p>
    <w:p w14:paraId="36F83E0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（四）供应商与采购人、其他供应商或者采购代理机构恶意串通的；</w:t>
      </w:r>
    </w:p>
    <w:p w14:paraId="2B5E53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（五）磋商文件规定的其他情形。</w:t>
      </w:r>
    </w:p>
    <w:p w14:paraId="4A9175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竞争性磋商有效期</w:t>
      </w:r>
    </w:p>
    <w:p w14:paraId="595EAA9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15.1竞争性磋商有效期以第一章中规定的具体时间为准，</w:t>
      </w:r>
      <w:r>
        <w:rPr>
          <w:rFonts w:hint="eastAsia" w:ascii="宋体" w:hAnsi="宋体" w:eastAsia="宋体" w:cs="宋体"/>
          <w:color w:val="auto"/>
          <w:sz w:val="24"/>
          <w:highlight w:val="none"/>
          <w:lang w:val="en-US" w:eastAsia="zh-CN"/>
        </w:rPr>
        <w:t>有效</w:t>
      </w:r>
      <w:r>
        <w:rPr>
          <w:rFonts w:hint="eastAsia" w:ascii="宋体" w:hAnsi="宋体" w:eastAsia="宋体" w:cs="宋体"/>
          <w:color w:val="auto"/>
          <w:sz w:val="24"/>
          <w:highlight w:val="none"/>
        </w:rPr>
        <w:t>期短于此规定的响应文件将被视为无效文件。</w:t>
      </w:r>
    </w:p>
    <w:p w14:paraId="68A731A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15.2在特殊情况下，采购人可于竞争性磋商有效期满之前征得磋商供应商同意延长竞争性磋商有效期，要求与答复均应以书面形式进行。磋商供应商可以拒绝接受这一要求而放弃竞争性磋商，同意这一要求的磋商供应商，无需也不允许修改其响应文件，竞争性磋商有限期制约的所有权利和义务均应延长至新的有效期。</w:t>
      </w:r>
    </w:p>
    <w:p w14:paraId="3D3A6927">
      <w:pPr>
        <w:numPr>
          <w:ilvl w:val="0"/>
          <w:numId w:val="0"/>
        </w:numPr>
        <w:spacing w:line="440" w:lineRule="exact"/>
        <w:ind w:firstLine="482" w:firstLineChars="200"/>
        <w:rPr>
          <w:rFonts w:hint="eastAsia" w:ascii="宋体" w:hAnsi="宋体" w:cs="宋体"/>
          <w:b/>
          <w:bCs/>
          <w:color w:val="auto"/>
          <w:sz w:val="24"/>
          <w:highlight w:val="none"/>
        </w:rPr>
      </w:pPr>
      <w:bookmarkStart w:id="34" w:name="_Toc5066"/>
      <w:r>
        <w:rPr>
          <w:rFonts w:hint="eastAsia" w:ascii="宋体" w:hAnsi="宋体" w:cs="宋体"/>
          <w:b/>
          <w:bCs/>
          <w:color w:val="auto"/>
          <w:sz w:val="24"/>
          <w:highlight w:val="none"/>
          <w:lang w:val="en-US" w:eastAsia="zh-CN"/>
        </w:rPr>
        <w:t>16.</w:t>
      </w:r>
      <w:r>
        <w:rPr>
          <w:rFonts w:hint="eastAsia" w:ascii="宋体" w:hAnsi="宋体" w:cs="宋体"/>
          <w:b/>
          <w:bCs/>
          <w:color w:val="auto"/>
          <w:sz w:val="24"/>
          <w:highlight w:val="none"/>
        </w:rPr>
        <w:t>响应文件的签署及形式</w:t>
      </w:r>
    </w:p>
    <w:p w14:paraId="5B12B71E">
      <w:pPr>
        <w:pStyle w:val="17"/>
        <w:adjustRightInd w:val="0"/>
        <w:snapToGrid w:val="0"/>
        <w:spacing w:line="480" w:lineRule="exact"/>
        <w:ind w:firstLine="482" w:firstLineChars="200"/>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rPr>
        <w:t>16.1</w:t>
      </w:r>
      <w:r>
        <w:rPr>
          <w:rFonts w:hint="eastAsia" w:ascii="宋体" w:hAnsi="宋体" w:eastAsia="宋体" w:cs="宋体"/>
          <w:b/>
          <w:bCs/>
          <w:color w:val="auto"/>
          <w:sz w:val="24"/>
          <w:highlight w:val="none"/>
          <w:lang w:val="en-US" w:eastAsia="zh-CN"/>
        </w:rPr>
        <w:t>电子响应</w:t>
      </w:r>
      <w:r>
        <w:rPr>
          <w:rFonts w:hint="eastAsia" w:ascii="宋体" w:hAnsi="宋体" w:eastAsia="宋体" w:cs="宋体"/>
          <w:b/>
          <w:bCs/>
          <w:color w:val="auto"/>
          <w:sz w:val="24"/>
          <w:highlight w:val="none"/>
        </w:rPr>
        <w:t>文件应按本磋商文件有关要求编制，</w:t>
      </w:r>
      <w:r>
        <w:rPr>
          <w:rFonts w:hint="eastAsia" w:ascii="宋体" w:hAnsi="宋体" w:eastAsia="宋体" w:cs="宋体"/>
          <w:b/>
          <w:bCs/>
          <w:color w:val="auto"/>
          <w:sz w:val="24"/>
          <w:highlight w:val="none"/>
          <w:lang w:val="en-US" w:eastAsia="zh-CN"/>
        </w:rPr>
        <w:t>按照采购文件要求进行签章和加密，并在开标时使用制作电子</w:t>
      </w:r>
      <w:r>
        <w:rPr>
          <w:rFonts w:hint="eastAsia" w:hAnsi="宋体" w:cs="宋体"/>
          <w:b/>
          <w:bCs/>
          <w:color w:val="auto"/>
          <w:sz w:val="24"/>
          <w:highlight w:val="none"/>
          <w:lang w:val="en-US" w:eastAsia="zh-CN"/>
        </w:rPr>
        <w:t>响应文件</w:t>
      </w:r>
      <w:r>
        <w:rPr>
          <w:rFonts w:hint="eastAsia" w:ascii="宋体" w:hAnsi="宋体" w:eastAsia="宋体" w:cs="宋体"/>
          <w:b/>
          <w:bCs/>
          <w:color w:val="auto"/>
          <w:sz w:val="24"/>
          <w:highlight w:val="none"/>
          <w:lang w:val="en-US" w:eastAsia="zh-CN"/>
        </w:rPr>
        <w:t>的CA数字证书进行解密操作。无法解密所产生的后果由</w:t>
      </w:r>
      <w:r>
        <w:rPr>
          <w:rFonts w:hint="eastAsia" w:hAnsi="宋体" w:cs="宋体"/>
          <w:b/>
          <w:bCs/>
          <w:color w:val="auto"/>
          <w:sz w:val="24"/>
          <w:highlight w:val="none"/>
          <w:lang w:val="en-US" w:eastAsia="zh-CN"/>
        </w:rPr>
        <w:t>供应商</w:t>
      </w:r>
      <w:r>
        <w:rPr>
          <w:rFonts w:hint="eastAsia" w:ascii="宋体" w:hAnsi="宋体" w:eastAsia="宋体" w:cs="宋体"/>
          <w:b/>
          <w:bCs/>
          <w:color w:val="auto"/>
          <w:sz w:val="24"/>
          <w:highlight w:val="none"/>
          <w:lang w:val="en-US" w:eastAsia="zh-CN"/>
        </w:rPr>
        <w:t>（供应商）自行承担。</w:t>
      </w:r>
    </w:p>
    <w:p w14:paraId="161FE3CE">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16.2每一份</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eastAsia="zh-CN"/>
        </w:rPr>
        <w:t>均按照磋商</w:t>
      </w:r>
      <w:r>
        <w:rPr>
          <w:rFonts w:hint="eastAsia" w:ascii="宋体" w:hAnsi="宋体" w:eastAsia="宋体" w:cs="宋体"/>
          <w:color w:val="auto"/>
          <w:sz w:val="24"/>
          <w:highlight w:val="none"/>
        </w:rPr>
        <w:t>文件要求的位置填写</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全称盖章处盖单位章</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或其授权委托人签字</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rPr>
        <w:t>。</w:t>
      </w:r>
    </w:p>
    <w:p w14:paraId="150710E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16.3响应文件如有错误必须修改时，修改处须由</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或其授权委托人签字</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加盖公章。</w:t>
      </w:r>
    </w:p>
    <w:p w14:paraId="36F3FC8C">
      <w:pPr>
        <w:spacing w:line="440" w:lineRule="exact"/>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16.4</w:t>
      </w:r>
      <w:r>
        <w:rPr>
          <w:rFonts w:hint="eastAsia" w:ascii="宋体" w:hAnsi="宋体" w:eastAsia="宋体" w:cs="宋体"/>
          <w:color w:val="auto"/>
          <w:sz w:val="24"/>
          <w:highlight w:val="none"/>
          <w:lang w:val="en-US" w:eastAsia="zh-CN"/>
        </w:rPr>
        <w:t>电子响应</w:t>
      </w:r>
      <w:r>
        <w:rPr>
          <w:rFonts w:hint="eastAsia" w:ascii="宋体" w:hAnsi="宋体" w:eastAsia="宋体" w:cs="宋体"/>
          <w:color w:val="auto"/>
          <w:sz w:val="24"/>
          <w:highlight w:val="none"/>
        </w:rPr>
        <w:t>文件</w:t>
      </w:r>
      <w:r>
        <w:rPr>
          <w:rFonts w:hint="eastAsia" w:ascii="宋体" w:hAnsi="宋体" w:eastAsia="宋体" w:cs="宋体"/>
          <w:b w:val="0"/>
          <w:bCs w:val="0"/>
          <w:color w:val="auto"/>
          <w:sz w:val="24"/>
          <w:szCs w:val="24"/>
          <w:highlight w:val="none"/>
          <w:lang w:val="en-US" w:eastAsia="zh-CN"/>
        </w:rPr>
        <w:t>请通过山西省政府采购网下载电子投标客户端进行制作</w:t>
      </w:r>
      <w:r>
        <w:rPr>
          <w:rFonts w:hint="eastAsia" w:ascii="宋体" w:hAnsi="宋体" w:cs="宋体"/>
          <w:color w:val="auto"/>
          <w:sz w:val="24"/>
          <w:highlight w:val="none"/>
        </w:rPr>
        <w:t>。</w:t>
      </w:r>
    </w:p>
    <w:p w14:paraId="744BE557">
      <w:pPr>
        <w:pStyle w:val="3"/>
        <w:keepNext/>
        <w:keepLines/>
        <w:pageBreakBefore w:val="0"/>
        <w:widowControl w:val="0"/>
        <w:numPr>
          <w:ilvl w:val="0"/>
          <w:numId w:val="4"/>
        </w:numPr>
        <w:kinsoku/>
        <w:wordWrap/>
        <w:overflowPunct/>
        <w:topLinePunct w:val="0"/>
        <w:autoSpaceDE/>
        <w:autoSpaceDN/>
        <w:bidi w:val="0"/>
        <w:adjustRightInd w:val="0"/>
        <w:snapToGrid w:val="0"/>
        <w:spacing w:before="0" w:beforeLines="0" w:after="0" w:afterLines="0" w:line="440" w:lineRule="exact"/>
        <w:ind w:left="0" w:leftChars="0" w:right="0" w:rightChars="0" w:firstLine="562" w:firstLineChars="200"/>
        <w:jc w:val="left"/>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响应文件的递交</w:t>
      </w:r>
      <w:bookmarkEnd w:id="34"/>
    </w:p>
    <w:p w14:paraId="5C29D9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rPr>
        <w:t>提交首次响应文件截止时间</w:t>
      </w:r>
    </w:p>
    <w:p w14:paraId="18E7E37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1响应文件递交的截止时间（同开标时间）详见须知表。</w:t>
      </w:r>
    </w:p>
    <w:p w14:paraId="2B93BF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cs="宋体"/>
          <w:color w:val="auto"/>
          <w:sz w:val="24"/>
          <w:highlight w:val="none"/>
        </w:rPr>
      </w:pPr>
      <w:r>
        <w:rPr>
          <w:rFonts w:hint="eastAsia" w:ascii="宋体" w:hAnsi="宋体" w:eastAsia="宋体" w:cs="宋体"/>
          <w:color w:val="auto"/>
          <w:sz w:val="24"/>
          <w:szCs w:val="24"/>
          <w:highlight w:val="none"/>
          <w:lang w:val="en-US" w:eastAsia="zh-CN"/>
        </w:rPr>
        <w:t>17.2响应文件递交地点（同开标地点）详见须知表</w:t>
      </w:r>
      <w:r>
        <w:rPr>
          <w:rFonts w:hint="eastAsia" w:ascii="宋体" w:hAnsi="宋体" w:cs="宋体"/>
          <w:color w:val="auto"/>
          <w:sz w:val="24"/>
          <w:highlight w:val="none"/>
        </w:rPr>
        <w:t>。</w:t>
      </w:r>
    </w:p>
    <w:p w14:paraId="571842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迟交的响应文件</w:t>
      </w:r>
    </w:p>
    <w:p w14:paraId="4B62F0C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在提交首次响应文件截止时间后递交的响应文件，采购人及采购代理机构将拒绝接受。</w:t>
      </w:r>
    </w:p>
    <w:p w14:paraId="468ED4F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响应文件的修改和撤回</w:t>
      </w:r>
    </w:p>
    <w:p w14:paraId="3F11CD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.1磋商供应商在提交首次响应文件截止时间前可对其进行撤回，但必须向采购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及采购代理机构提交撤回的书面通知，该书面文件须由法定代表人或授权委托人签署。</w:t>
      </w:r>
    </w:p>
    <w:p w14:paraId="6DDB45A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.2无论成交结果如何（因提交响应文件的供应商不足3家而采购失败的情况除外），收到的响应文件，均不退还。</w:t>
      </w:r>
    </w:p>
    <w:p w14:paraId="13537921">
      <w:pPr>
        <w:pStyle w:val="3"/>
        <w:pageBreakBefore w:val="0"/>
        <w:kinsoku/>
        <w:wordWrap/>
        <w:overflowPunct/>
        <w:topLinePunct w:val="0"/>
        <w:autoSpaceDE/>
        <w:autoSpaceDN/>
        <w:bidi w:val="0"/>
        <w:spacing w:before="0" w:beforeLines="0" w:after="0" w:afterLines="0" w:line="440" w:lineRule="exact"/>
        <w:ind w:left="0" w:leftChars="0" w:right="0" w:rightChars="0" w:firstLine="562" w:firstLineChars="200"/>
        <w:jc w:val="left"/>
        <w:textAlignment w:val="auto"/>
        <w:rPr>
          <w:rFonts w:hint="eastAsia" w:ascii="宋体" w:hAnsi="宋体" w:eastAsia="宋体" w:cs="宋体"/>
          <w:color w:val="auto"/>
          <w:sz w:val="28"/>
          <w:szCs w:val="28"/>
          <w:highlight w:val="none"/>
        </w:rPr>
      </w:pPr>
      <w:bookmarkStart w:id="35" w:name="_Toc4563"/>
      <w:r>
        <w:rPr>
          <w:rFonts w:hint="eastAsia" w:ascii="宋体" w:hAnsi="宋体" w:eastAsia="宋体" w:cs="宋体"/>
          <w:color w:val="auto"/>
          <w:sz w:val="28"/>
          <w:szCs w:val="28"/>
          <w:highlight w:val="none"/>
        </w:rPr>
        <w:t>五</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竞争性磋商及报价</w:t>
      </w:r>
      <w:bookmarkEnd w:id="35"/>
    </w:p>
    <w:p w14:paraId="649E67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竞争性磋商</w:t>
      </w:r>
    </w:p>
    <w:p w14:paraId="7B7D998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.1采购人及采购代理机构按磋商文件第一章规定的时间和地点组织竞争性磋商及报价。监督部门将视情况决定是否派代表到现场进行监督。</w:t>
      </w:r>
    </w:p>
    <w:p w14:paraId="4507FF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21.</w:t>
      </w:r>
      <w:r>
        <w:rPr>
          <w:rFonts w:hint="eastAsia" w:ascii="宋体" w:hAnsi="宋体" w:eastAsia="宋体" w:cs="宋体"/>
          <w:b/>
          <w:bCs/>
          <w:color w:val="auto"/>
          <w:sz w:val="24"/>
          <w:highlight w:val="none"/>
        </w:rPr>
        <w:t>磋商小组</w:t>
      </w:r>
    </w:p>
    <w:p w14:paraId="0ACA946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.1采购人从经相关部门批准的专家库中随机抽取有关专家</w:t>
      </w:r>
      <w:r>
        <w:rPr>
          <w:rFonts w:hint="eastAsia" w:ascii="宋体" w:hAnsi="宋体" w:eastAsia="宋体" w:cs="宋体"/>
          <w:color w:val="auto"/>
          <w:sz w:val="24"/>
          <w:highlight w:val="none"/>
          <w:lang w:eastAsia="zh-CN"/>
        </w:rPr>
        <w:t>和采购人代表</w:t>
      </w:r>
      <w:r>
        <w:rPr>
          <w:rFonts w:hint="eastAsia" w:ascii="宋体" w:hAnsi="宋体" w:eastAsia="宋体" w:cs="宋体"/>
          <w:color w:val="auto"/>
          <w:sz w:val="24"/>
          <w:highlight w:val="none"/>
        </w:rPr>
        <w:t>组成竞争性磋商小组（3人以上单数）。该磋商小组独立工作，负责评审所有响应文件并</w:t>
      </w:r>
      <w:r>
        <w:rPr>
          <w:rFonts w:hint="eastAsia" w:ascii="宋体" w:hAnsi="宋体" w:eastAsia="宋体" w:cs="宋体"/>
          <w:color w:val="auto"/>
          <w:sz w:val="24"/>
          <w:highlight w:val="none"/>
          <w:lang w:eastAsia="zh-CN"/>
        </w:rPr>
        <w:t>推荐</w:t>
      </w:r>
      <w:r>
        <w:rPr>
          <w:rFonts w:hint="eastAsia" w:ascii="宋体" w:hAnsi="宋体" w:eastAsia="宋体" w:cs="宋体"/>
          <w:color w:val="auto"/>
          <w:sz w:val="24"/>
          <w:highlight w:val="none"/>
          <w:lang w:val="en-US" w:eastAsia="zh-CN"/>
        </w:rPr>
        <w:t>排名前三的供应商为成交候选人</w:t>
      </w:r>
      <w:r>
        <w:rPr>
          <w:rFonts w:hint="eastAsia" w:ascii="宋体" w:hAnsi="宋体" w:eastAsia="宋体" w:cs="宋体"/>
          <w:color w:val="auto"/>
          <w:sz w:val="24"/>
          <w:highlight w:val="none"/>
        </w:rPr>
        <w:t>。</w:t>
      </w:r>
    </w:p>
    <w:p w14:paraId="7DC6A7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21.2</w:t>
      </w:r>
      <w:r>
        <w:rPr>
          <w:rFonts w:hint="eastAsia" w:ascii="宋体" w:hAnsi="宋体" w:eastAsia="宋体" w:cs="宋体"/>
          <w:color w:val="auto"/>
          <w:sz w:val="24"/>
          <w:highlight w:val="none"/>
        </w:rPr>
        <w:t>磋商小组成员要依法独立评审，并对评审意见承担个人责任。磋商小组</w:t>
      </w:r>
    </w:p>
    <w:p w14:paraId="798CED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成员对需要共同认定的事项存在争议的，按照少数服从多数的原则</w:t>
      </w:r>
      <w:r>
        <w:rPr>
          <w:rFonts w:hint="eastAsia" w:ascii="宋体" w:hAnsi="宋体" w:cs="宋体"/>
          <w:color w:val="auto"/>
          <w:sz w:val="24"/>
          <w:highlight w:val="none"/>
          <w:lang w:eastAsia="zh-CN"/>
        </w:rPr>
        <w:t>作出</w:t>
      </w:r>
      <w:r>
        <w:rPr>
          <w:rFonts w:hint="eastAsia" w:ascii="宋体" w:hAnsi="宋体" w:eastAsia="宋体" w:cs="宋体"/>
          <w:color w:val="auto"/>
          <w:sz w:val="24"/>
          <w:highlight w:val="none"/>
        </w:rPr>
        <w:t>结论。持不同意见的磋商小组成员应当在评审报告上签署不同意见并说明理由，否则视为同意。</w:t>
      </w:r>
    </w:p>
    <w:p w14:paraId="024D123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21.3</w:t>
      </w:r>
      <w:r>
        <w:rPr>
          <w:rFonts w:hint="eastAsia" w:ascii="宋体" w:hAnsi="宋体" w:eastAsia="宋体" w:cs="宋体"/>
          <w:color w:val="auto"/>
          <w:sz w:val="24"/>
          <w:highlight w:val="none"/>
        </w:rPr>
        <w:t>磋商小组成员和评审工作有关人员不得干预或影响正常评审工作，不得明示或暗示其倾向性、引导性意见，不得修改采购文件确定评审程序、评审方法，不得征询采购人代表的倾向意见，不得记录、复制或带走任何评审资料。成交候选人确定后，磋商小组不得修改评审结果或者要求重新评审，但因</w:t>
      </w:r>
      <w:r>
        <w:rPr>
          <w:rFonts w:hint="eastAsia" w:ascii="宋体" w:hAnsi="宋体" w:cs="宋体"/>
          <w:color w:val="auto"/>
          <w:sz w:val="24"/>
          <w:highlight w:val="none"/>
          <w:lang w:eastAsia="zh-CN"/>
        </w:rPr>
        <w:t>资格</w:t>
      </w:r>
      <w:r>
        <w:rPr>
          <w:rFonts w:hint="eastAsia" w:ascii="宋体" w:hAnsi="宋体" w:eastAsia="宋体" w:cs="宋体"/>
          <w:color w:val="auto"/>
          <w:sz w:val="24"/>
          <w:highlight w:val="none"/>
        </w:rPr>
        <w:t>审查认定错误或价格计算错误依法重新评审的除外。应在评审报告中明确记载。</w:t>
      </w:r>
    </w:p>
    <w:p w14:paraId="0658975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22.</w:t>
      </w:r>
      <w:r>
        <w:rPr>
          <w:rFonts w:hint="eastAsia" w:ascii="宋体" w:hAnsi="宋体" w:eastAsia="宋体" w:cs="宋体"/>
          <w:b/>
          <w:bCs/>
          <w:color w:val="auto"/>
          <w:sz w:val="24"/>
          <w:highlight w:val="none"/>
        </w:rPr>
        <w:t>响应文件的澄清</w:t>
      </w:r>
    </w:p>
    <w:p w14:paraId="0EC3A38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在磋商期间，磋商小组有权要求磋商供应商对其响应文件含义不明确、同类问题表述不一致或者有明显文字和计算错误的内容进行澄清。磋商供应商应派授权委托人和技术人员按磋商小组的通知的时间和地点接受质询。并非每个磋商供应商都将被质询。</w:t>
      </w:r>
    </w:p>
    <w:p w14:paraId="5B8B38E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.2磋商小组认为有必要，要求磋商供应商对其某些问题做出必要的澄清、说明和纠正</w:t>
      </w:r>
      <w:r>
        <w:rPr>
          <w:rFonts w:hint="eastAsia" w:ascii="宋体" w:hAnsi="宋体" w:eastAsia="宋体" w:cs="宋体"/>
          <w:color w:val="auto"/>
          <w:sz w:val="24"/>
          <w:highlight w:val="none"/>
          <w:lang w:eastAsia="zh-CN"/>
        </w:rPr>
        <w:t>，将通过政采云平台发出</w:t>
      </w:r>
      <w:r>
        <w:rPr>
          <w:rFonts w:hint="eastAsia" w:ascii="宋体" w:hAnsi="宋体" w:eastAsia="宋体" w:cs="宋体"/>
          <w:color w:val="auto"/>
          <w:sz w:val="24"/>
          <w:highlight w:val="none"/>
        </w:rPr>
        <w:t>。磋商供应商的澄清、说明或者补正应当</w:t>
      </w:r>
      <w:r>
        <w:rPr>
          <w:rFonts w:hint="eastAsia" w:ascii="宋体" w:hAnsi="宋体" w:eastAsia="宋体" w:cs="宋体"/>
          <w:color w:val="auto"/>
          <w:sz w:val="24"/>
          <w:highlight w:val="none"/>
          <w:lang w:eastAsia="zh-CN"/>
        </w:rPr>
        <w:t>通过政采云平台发出</w:t>
      </w:r>
      <w:r>
        <w:rPr>
          <w:rFonts w:hint="eastAsia" w:ascii="宋体" w:hAnsi="宋体" w:eastAsia="宋体" w:cs="宋体"/>
          <w:color w:val="auto"/>
          <w:sz w:val="24"/>
          <w:highlight w:val="none"/>
        </w:rPr>
        <w:t>，由其授权</w:t>
      </w:r>
      <w:r>
        <w:rPr>
          <w:rFonts w:hint="eastAsia" w:ascii="宋体" w:hAnsi="宋体" w:eastAsia="宋体" w:cs="宋体"/>
          <w:color w:val="auto"/>
          <w:sz w:val="24"/>
          <w:highlight w:val="none"/>
          <w:lang w:eastAsia="zh-CN"/>
        </w:rPr>
        <w:t>委托</w:t>
      </w:r>
      <w:r>
        <w:rPr>
          <w:rFonts w:hint="eastAsia" w:ascii="宋体" w:hAnsi="宋体" w:eastAsia="宋体" w:cs="宋体"/>
          <w:color w:val="auto"/>
          <w:sz w:val="24"/>
          <w:highlight w:val="none"/>
        </w:rPr>
        <w:t>代表</w:t>
      </w:r>
      <w:r>
        <w:rPr>
          <w:rFonts w:hint="eastAsia" w:ascii="宋体" w:hAnsi="宋体" w:eastAsia="宋体" w:cs="宋体"/>
          <w:color w:val="auto"/>
          <w:sz w:val="24"/>
          <w:highlight w:val="none"/>
          <w:lang w:eastAsia="zh-CN"/>
        </w:rPr>
        <w:t>签章</w:t>
      </w:r>
      <w:r>
        <w:rPr>
          <w:rFonts w:hint="eastAsia" w:ascii="宋体" w:hAnsi="宋体" w:eastAsia="宋体" w:cs="宋体"/>
          <w:color w:val="auto"/>
          <w:sz w:val="24"/>
          <w:highlight w:val="none"/>
        </w:rPr>
        <w:t>。磋商供应商的澄清材料作为响应文件的补充。</w:t>
      </w:r>
    </w:p>
    <w:p w14:paraId="56F1B8E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.3磋商供应商不按磋商小组规定的时间和地点作书面澄清，将视为放弃该权利。</w:t>
      </w:r>
    </w:p>
    <w:p w14:paraId="5D08B26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在磋商过程中，磋商小组可以根据磋商文件和磋商情况实质性变动采购需求中的技术要求，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委托人代表签字</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加盖公章。由授权代表签字的，应当附法定代表人授权书。供应商为自然人的，应当由本人签字并附身份证明。</w:t>
      </w:r>
    </w:p>
    <w:p w14:paraId="5313BF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23.</w:t>
      </w:r>
      <w:r>
        <w:rPr>
          <w:rFonts w:hint="eastAsia" w:ascii="宋体" w:hAnsi="宋体" w:eastAsia="宋体" w:cs="宋体"/>
          <w:b/>
          <w:bCs/>
          <w:color w:val="auto"/>
          <w:sz w:val="24"/>
          <w:highlight w:val="none"/>
        </w:rPr>
        <w:t>特别注意事项</w:t>
      </w:r>
    </w:p>
    <w:p w14:paraId="6E80B0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.1磋商供应商出现下列情形之一的，磋商小组可取消其磋商资格</w:t>
      </w:r>
    </w:p>
    <w:p w14:paraId="119E9D52">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未按磋商文件或磋商小组规定时间派授权委托人参加磋商的；</w:t>
      </w:r>
    </w:p>
    <w:p w14:paraId="6ACA4C7C">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未按磋商文件要求和规定提交有关材料的；</w:t>
      </w:r>
    </w:p>
    <w:p w14:paraId="4D10965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相互串通</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的（有下列情形之一的，视为磋商供应商相互串通</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w:t>
      </w:r>
    </w:p>
    <w:p w14:paraId="6737940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A、不同磋商供应商的响应文件由同一单位或者个人编制</w:t>
      </w:r>
      <w:r>
        <w:rPr>
          <w:rFonts w:hint="eastAsia" w:ascii="宋体" w:hAnsi="宋体" w:eastAsia="宋体" w:cs="宋体"/>
          <w:color w:val="auto"/>
          <w:sz w:val="24"/>
          <w:highlight w:val="none"/>
          <w:lang w:eastAsia="zh-CN"/>
        </w:rPr>
        <w:t>；</w:t>
      </w:r>
    </w:p>
    <w:p w14:paraId="7E55E29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B、不同磋商供应商委托同一单位或者个人办理</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事宜</w:t>
      </w:r>
      <w:r>
        <w:rPr>
          <w:rFonts w:hint="eastAsia" w:ascii="宋体" w:hAnsi="宋体" w:eastAsia="宋体" w:cs="宋体"/>
          <w:color w:val="auto"/>
          <w:sz w:val="24"/>
          <w:highlight w:val="none"/>
          <w:lang w:eastAsia="zh-CN"/>
        </w:rPr>
        <w:t>；</w:t>
      </w:r>
    </w:p>
    <w:p w14:paraId="53DA32A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C、不同磋商供应商的响应文件载明的项目管理员为同一人</w:t>
      </w:r>
      <w:r>
        <w:rPr>
          <w:rFonts w:hint="eastAsia" w:ascii="宋体" w:hAnsi="宋体" w:eastAsia="宋体" w:cs="宋体"/>
          <w:color w:val="auto"/>
          <w:sz w:val="24"/>
          <w:highlight w:val="none"/>
          <w:lang w:eastAsia="zh-CN"/>
        </w:rPr>
        <w:t>；</w:t>
      </w:r>
    </w:p>
    <w:p w14:paraId="5910264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D、不同磋商供应商的响应文件异常一致或者</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报价呈规律性差异</w:t>
      </w:r>
      <w:r>
        <w:rPr>
          <w:rFonts w:hint="eastAsia" w:ascii="宋体" w:hAnsi="宋体" w:eastAsia="宋体" w:cs="宋体"/>
          <w:color w:val="auto"/>
          <w:sz w:val="24"/>
          <w:highlight w:val="none"/>
          <w:lang w:eastAsia="zh-CN"/>
        </w:rPr>
        <w:t>；</w:t>
      </w:r>
    </w:p>
    <w:p w14:paraId="7AB9DBE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E、不同磋商供应商的响应文件相互混装</w:t>
      </w:r>
      <w:r>
        <w:rPr>
          <w:rFonts w:hint="eastAsia" w:ascii="宋体" w:hAnsi="宋体" w:eastAsia="宋体" w:cs="宋体"/>
          <w:color w:val="auto"/>
          <w:sz w:val="24"/>
          <w:highlight w:val="none"/>
          <w:lang w:eastAsia="zh-CN"/>
        </w:rPr>
        <w:t>；</w:t>
      </w:r>
    </w:p>
    <w:p w14:paraId="158E8DC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F、不同磋商供应商的磋商保证金从同一单位的账户转出</w:t>
      </w:r>
      <w:r>
        <w:rPr>
          <w:rFonts w:hint="eastAsia" w:ascii="宋体" w:hAnsi="宋体" w:eastAsia="宋体" w:cs="宋体"/>
          <w:color w:val="auto"/>
          <w:sz w:val="24"/>
          <w:highlight w:val="none"/>
          <w:lang w:eastAsia="zh-CN"/>
        </w:rPr>
        <w:t>；</w:t>
      </w:r>
    </w:p>
    <w:p w14:paraId="5967826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G</w:t>
      </w:r>
      <w:r>
        <w:rPr>
          <w:rFonts w:hint="eastAsia" w:ascii="宋体" w:hAnsi="宋体" w:eastAsia="宋体" w:cs="宋体"/>
          <w:color w:val="auto"/>
          <w:sz w:val="24"/>
          <w:highlight w:val="none"/>
        </w:rPr>
        <w:t>.不同磋商供应商的响应文件由同一电子设备编制、打印加密或者上传；</w:t>
      </w:r>
    </w:p>
    <w:p w14:paraId="5D0F55B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H</w:t>
      </w:r>
      <w:r>
        <w:rPr>
          <w:rFonts w:hint="eastAsia" w:ascii="宋体" w:hAnsi="宋体" w:eastAsia="宋体" w:cs="宋体"/>
          <w:color w:val="auto"/>
          <w:sz w:val="24"/>
          <w:highlight w:val="none"/>
        </w:rPr>
        <w:t>.不同磋商供应商的响应文件的实质性内容存在两处以上细节错误一致；</w:t>
      </w:r>
    </w:p>
    <w:p w14:paraId="673A589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I</w:t>
      </w:r>
      <w:r>
        <w:rPr>
          <w:rFonts w:hint="eastAsia" w:ascii="宋体" w:hAnsi="宋体" w:eastAsia="宋体" w:cs="宋体"/>
          <w:color w:val="auto"/>
          <w:sz w:val="24"/>
          <w:highlight w:val="none"/>
        </w:rPr>
        <w:t>.磋商供应商记录的MAC地址、硬盘序列号等硬件信息出现任一相同情况，包含不同磋商供应商在不同批次投标活动中信息相同情况；</w:t>
      </w:r>
    </w:p>
    <w:p w14:paraId="464B97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G</w:t>
      </w:r>
      <w:r>
        <w:rPr>
          <w:rFonts w:hint="eastAsia" w:ascii="宋体" w:hAnsi="宋体" w:eastAsia="宋体" w:cs="宋体"/>
          <w:color w:val="auto"/>
          <w:sz w:val="24"/>
          <w:highlight w:val="none"/>
        </w:rPr>
        <w:t>.响应文件的制作、记录上传IP地址磋商供应商购买</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文件IP地址等信息出现任一相同情况。</w:t>
      </w:r>
    </w:p>
    <w:p w14:paraId="55F4E706">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有违反政府采购法律、法规行为的。</w:t>
      </w:r>
    </w:p>
    <w:p w14:paraId="392B2B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.2磋商供应商出现下列情形之一的，将被视为非实质性响应磋商文件要求；</w:t>
      </w:r>
    </w:p>
    <w:p w14:paraId="600A2B0C">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不明确或不符合磋商文件要求的；</w:t>
      </w:r>
    </w:p>
    <w:p w14:paraId="56F0BF4B">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w:t>
      </w:r>
      <w:r>
        <w:rPr>
          <w:rFonts w:hint="eastAsia" w:ascii="宋体" w:hAnsi="宋体" w:cs="宋体"/>
          <w:color w:val="auto"/>
          <w:sz w:val="24"/>
          <w:highlight w:val="none"/>
          <w:lang w:eastAsia="zh-CN"/>
        </w:rPr>
        <w:t>有选择性地</w:t>
      </w:r>
      <w:r>
        <w:rPr>
          <w:rFonts w:hint="eastAsia" w:ascii="宋体" w:hAnsi="宋体" w:eastAsia="宋体" w:cs="宋体"/>
          <w:color w:val="auto"/>
          <w:sz w:val="24"/>
          <w:highlight w:val="none"/>
        </w:rPr>
        <w:t>；</w:t>
      </w:r>
    </w:p>
    <w:p w14:paraId="5E875761">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磋商供应商最后报价表中提供的</w:t>
      </w:r>
      <w:r>
        <w:rPr>
          <w:rFonts w:hint="eastAsia" w:ascii="宋体" w:hAnsi="宋体" w:eastAsia="宋体" w:cs="宋体"/>
          <w:color w:val="auto"/>
          <w:sz w:val="24"/>
          <w:highlight w:val="none"/>
          <w:lang w:eastAsia="zh-CN"/>
        </w:rPr>
        <w:t>技术</w:t>
      </w:r>
      <w:r>
        <w:rPr>
          <w:rFonts w:hint="eastAsia" w:ascii="宋体" w:hAnsi="宋体" w:eastAsia="宋体" w:cs="宋体"/>
          <w:color w:val="auto"/>
          <w:sz w:val="24"/>
          <w:highlight w:val="none"/>
        </w:rPr>
        <w:t>服务中存在缺（漏）项的；</w:t>
      </w:r>
    </w:p>
    <w:p w14:paraId="4DB1D5ED">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最后报价超过采购预算金额的；</w:t>
      </w:r>
    </w:p>
    <w:p w14:paraId="7EF58774">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被磋商小组认定存在重大负偏离的；</w:t>
      </w:r>
    </w:p>
    <w:p w14:paraId="2FE5CA6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所谓重大负偏离是指磋商供应商的响应范围</w:t>
      </w:r>
      <w:r>
        <w:rPr>
          <w:rFonts w:hint="eastAsia" w:ascii="宋体" w:hAnsi="宋体" w:eastAsia="宋体" w:cs="宋体"/>
          <w:color w:val="auto"/>
          <w:sz w:val="24"/>
          <w:highlight w:val="none"/>
          <w:lang w:eastAsia="zh-CN"/>
        </w:rPr>
        <w:t>、服务期</w:t>
      </w:r>
      <w:r>
        <w:rPr>
          <w:rFonts w:hint="eastAsia" w:ascii="宋体" w:hAnsi="宋体" w:eastAsia="宋体" w:cs="宋体"/>
          <w:color w:val="auto"/>
          <w:sz w:val="24"/>
          <w:highlight w:val="none"/>
        </w:rPr>
        <w:t>、技术要求等方面明显不能满足采购需求的。重大负偏离的认定须经磋商小组三分之二以上同意。</w:t>
      </w:r>
    </w:p>
    <w:p w14:paraId="0256DB9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推荐</w:t>
      </w:r>
      <w:r>
        <w:rPr>
          <w:rFonts w:hint="eastAsia" w:ascii="宋体" w:hAnsi="宋体" w:eastAsia="宋体" w:cs="宋体"/>
          <w:b/>
          <w:bCs/>
          <w:color w:val="auto"/>
          <w:sz w:val="24"/>
          <w:highlight w:val="none"/>
        </w:rPr>
        <w:t>成交候选供应商</w:t>
      </w:r>
    </w:p>
    <w:p w14:paraId="13C2640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 坚持公平、公正地对待所有的磋商供应商。</w:t>
      </w:r>
    </w:p>
    <w:p w14:paraId="4161AA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按照同一评审程序及方法、标准评审磋商供应商的响应文件，详细评审办法见本磋商文件第</w:t>
      </w: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章。</w:t>
      </w:r>
    </w:p>
    <w:p w14:paraId="2D19DA3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 磋商小组按磋商文件第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章中公布的评审程序、方法及标准进行评审，</w:t>
      </w:r>
      <w:r>
        <w:rPr>
          <w:rFonts w:hint="eastAsia" w:ascii="宋体" w:hAnsi="宋体" w:eastAsia="宋体" w:cs="宋体"/>
          <w:color w:val="auto"/>
          <w:sz w:val="24"/>
          <w:highlight w:val="none"/>
          <w:lang w:eastAsia="zh-CN"/>
        </w:rPr>
        <w:t>推荐</w:t>
      </w:r>
      <w:r>
        <w:rPr>
          <w:rFonts w:hint="eastAsia" w:ascii="宋体" w:hAnsi="宋体" w:eastAsia="宋体" w:cs="宋体"/>
          <w:color w:val="auto"/>
          <w:sz w:val="24"/>
          <w:highlight w:val="none"/>
        </w:rPr>
        <w:t>成交</w:t>
      </w:r>
      <w:r>
        <w:rPr>
          <w:rFonts w:hint="eastAsia" w:ascii="宋体" w:hAnsi="宋体" w:cs="宋体"/>
          <w:color w:val="auto"/>
          <w:sz w:val="24"/>
          <w:highlight w:val="none"/>
          <w:lang w:eastAsia="zh-CN"/>
        </w:rPr>
        <w:t>备选供应商</w:t>
      </w:r>
      <w:r>
        <w:rPr>
          <w:rFonts w:hint="eastAsia" w:ascii="宋体" w:hAnsi="宋体" w:eastAsia="宋体" w:cs="宋体"/>
          <w:color w:val="auto"/>
          <w:sz w:val="24"/>
          <w:highlight w:val="none"/>
        </w:rPr>
        <w:t>。</w:t>
      </w:r>
    </w:p>
    <w:p w14:paraId="1DBA350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25.</w:t>
      </w:r>
      <w:r>
        <w:rPr>
          <w:rFonts w:hint="eastAsia" w:ascii="宋体" w:hAnsi="宋体" w:eastAsia="宋体" w:cs="宋体"/>
          <w:b/>
          <w:bCs/>
          <w:color w:val="auto"/>
          <w:sz w:val="24"/>
          <w:highlight w:val="none"/>
        </w:rPr>
        <w:t>磋商过程保密</w:t>
      </w:r>
    </w:p>
    <w:p w14:paraId="05939D5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磋商是竞争性磋商的重要环节，磋商工作在磋商小组内独立进行。磋商小组将遵照评标原则，公平、公正地对待所有供应商。</w:t>
      </w:r>
    </w:p>
    <w:p w14:paraId="2855B60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在宣布成交结果之前，凡属于审查、澄清、评价、比较响应文件等有关信息，相关当事人均不得泄露给任何磋商供应商或磋商工作无关的人员。</w:t>
      </w:r>
    </w:p>
    <w:p w14:paraId="63B2824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磋商供应商不得向磋商小组成员询问磋商情况，不得以任何形式影响磋商过程，否则其响应文件将被</w:t>
      </w:r>
      <w:r>
        <w:rPr>
          <w:rFonts w:hint="eastAsia" w:ascii="宋体" w:hAnsi="宋体" w:cs="宋体"/>
          <w:color w:val="auto"/>
          <w:sz w:val="24"/>
          <w:highlight w:val="none"/>
          <w:lang w:eastAsia="zh-CN"/>
        </w:rPr>
        <w:t>视为</w:t>
      </w:r>
      <w:r>
        <w:rPr>
          <w:rFonts w:hint="eastAsia" w:ascii="宋体" w:hAnsi="宋体" w:eastAsia="宋体" w:cs="宋体"/>
          <w:color w:val="auto"/>
          <w:sz w:val="24"/>
          <w:highlight w:val="none"/>
        </w:rPr>
        <w:t>无效响应文件。</w:t>
      </w:r>
    </w:p>
    <w:p w14:paraId="4EED156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.磋商小组不向未成交的磋商供应商解释未成交原因，也不对磋商过程中的细节问题进行公布。</w:t>
      </w:r>
    </w:p>
    <w:p w14:paraId="29E4C90A">
      <w:pPr>
        <w:pStyle w:val="3"/>
        <w:pageBreakBefore w:val="0"/>
        <w:kinsoku/>
        <w:wordWrap/>
        <w:overflowPunct/>
        <w:topLinePunct w:val="0"/>
        <w:autoSpaceDE/>
        <w:autoSpaceDN/>
        <w:bidi w:val="0"/>
        <w:spacing w:before="0" w:beforeLines="0" w:after="0" w:afterLines="0" w:line="440" w:lineRule="exact"/>
        <w:ind w:left="0" w:leftChars="0" w:right="0" w:rightChars="0" w:firstLine="562" w:firstLineChars="200"/>
        <w:jc w:val="left"/>
        <w:textAlignment w:val="auto"/>
        <w:rPr>
          <w:rFonts w:hint="eastAsia" w:ascii="宋体" w:hAnsi="宋体" w:eastAsia="宋体" w:cs="宋体"/>
          <w:color w:val="auto"/>
          <w:sz w:val="28"/>
          <w:szCs w:val="28"/>
          <w:highlight w:val="none"/>
        </w:rPr>
      </w:pPr>
      <w:bookmarkStart w:id="36" w:name="_Toc18155"/>
      <w:r>
        <w:rPr>
          <w:rFonts w:hint="eastAsia" w:ascii="宋体" w:hAnsi="宋体" w:eastAsia="宋体" w:cs="宋体"/>
          <w:color w:val="auto"/>
          <w:sz w:val="28"/>
          <w:szCs w:val="28"/>
          <w:highlight w:val="none"/>
        </w:rPr>
        <w:t>六、 确定成交供应商及签约</w:t>
      </w:r>
      <w:bookmarkEnd w:id="36"/>
    </w:p>
    <w:p w14:paraId="671BDFC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.确定成交供应商的原则</w:t>
      </w:r>
    </w:p>
    <w:p w14:paraId="6DCF4C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 磋商小组将严格按照磋商文件的要求和条件进行比较，根据磋商文件中公布的评定成交标准推荐出成交候选供应商。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ascii="宋体" w:hAnsi="宋体" w:eastAsia="宋体" w:cs="宋体"/>
          <w:color w:val="auto"/>
          <w:sz w:val="24"/>
          <w:highlight w:val="none"/>
          <w:lang w:eastAsia="zh-CN"/>
        </w:rPr>
        <w:t>代理</w:t>
      </w:r>
      <w:r>
        <w:rPr>
          <w:rFonts w:hint="eastAsia" w:ascii="宋体" w:hAnsi="宋体" w:eastAsia="宋体" w:cs="宋体"/>
          <w:color w:val="auto"/>
          <w:sz w:val="24"/>
          <w:highlight w:val="none"/>
        </w:rPr>
        <w:t>机构在成交供应商确定后2个工作日内，在省级以上财政部门指定的政府采购信息发布媒体上公告成交结果。</w:t>
      </w:r>
    </w:p>
    <w:p w14:paraId="761ECC8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28</w:t>
      </w:r>
      <w:r>
        <w:rPr>
          <w:rFonts w:hint="eastAsia" w:ascii="宋体" w:hAnsi="宋体" w:eastAsia="宋体" w:cs="宋体"/>
          <w:b/>
          <w:bCs/>
          <w:color w:val="auto"/>
          <w:sz w:val="24"/>
          <w:highlight w:val="none"/>
        </w:rPr>
        <w:t>.成交通知</w:t>
      </w:r>
    </w:p>
    <w:p w14:paraId="15EDBD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 确定成交供应商后，由采购人及采购代理机构向成交供应商签发《成交通知书》。</w:t>
      </w:r>
    </w:p>
    <w:p w14:paraId="715ABF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.2 成交通知书对采购人和成交供应商具有法律效力。成交通知书发出后，采购人改变成交结果的，或者成交供应商拒绝签订合同，放弃成交项目的，应当依法承担法律责任。</w:t>
      </w:r>
    </w:p>
    <w:p w14:paraId="0894227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29.</w:t>
      </w:r>
      <w:r>
        <w:rPr>
          <w:rFonts w:hint="eastAsia" w:ascii="宋体" w:hAnsi="宋体" w:eastAsia="宋体" w:cs="宋体"/>
          <w:b/>
          <w:bCs/>
          <w:color w:val="auto"/>
          <w:sz w:val="24"/>
          <w:highlight w:val="none"/>
        </w:rPr>
        <w:t>履约保证金</w:t>
      </w:r>
      <w:r>
        <w:rPr>
          <w:rFonts w:hint="eastAsia" w:ascii="宋体" w:hAnsi="宋体" w:eastAsia="宋体" w:cs="宋体"/>
          <w:b/>
          <w:bCs/>
          <w:color w:val="auto"/>
          <w:sz w:val="24"/>
          <w:highlight w:val="none"/>
          <w:lang w:eastAsia="zh-CN"/>
        </w:rPr>
        <w:t>：无</w:t>
      </w:r>
    </w:p>
    <w:p w14:paraId="52DE02D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30</w:t>
      </w:r>
      <w:r>
        <w:rPr>
          <w:rFonts w:hint="eastAsia" w:ascii="宋体" w:hAnsi="宋体" w:eastAsia="宋体" w:cs="宋体"/>
          <w:b/>
          <w:bCs/>
          <w:color w:val="auto"/>
          <w:sz w:val="24"/>
          <w:highlight w:val="none"/>
        </w:rPr>
        <w:t>.签订合同</w:t>
      </w:r>
    </w:p>
    <w:p w14:paraId="7B3D29F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 成交供应商应按成交通知书规定的时间、地点与采购人签订采购合同。采购人应在合同签订后</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个工作日内将合同备案，备案后将合同报</w:t>
      </w:r>
      <w:r>
        <w:rPr>
          <w:rFonts w:hint="eastAsia" w:ascii="宋体" w:hAnsi="宋体" w:eastAsia="宋体" w:cs="宋体"/>
          <w:color w:val="auto"/>
          <w:sz w:val="24"/>
          <w:highlight w:val="none"/>
          <w:lang w:eastAsia="zh-CN"/>
        </w:rPr>
        <w:t>在财政部门指定媒体上公示</w:t>
      </w:r>
      <w:r>
        <w:rPr>
          <w:rFonts w:hint="eastAsia" w:ascii="宋体" w:hAnsi="宋体" w:eastAsia="宋体" w:cs="宋体"/>
          <w:color w:val="auto"/>
          <w:sz w:val="24"/>
          <w:highlight w:val="none"/>
        </w:rPr>
        <w:t>。</w:t>
      </w:r>
    </w:p>
    <w:p w14:paraId="53C413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.2 成交通知书、磋商文件、成交供应商的响应文件及磋商过程中有关澄清文件均应是合同的组成部分。</w:t>
      </w:r>
    </w:p>
    <w:p w14:paraId="7A7C861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.3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31E847C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.4 政府采购合同适用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中华人民共和国民法典</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。采购人和供应商</w:t>
      </w:r>
      <w:r>
        <w:rPr>
          <w:rFonts w:hint="eastAsia" w:ascii="宋体" w:hAnsi="宋体" w:cs="宋体"/>
          <w:color w:val="auto"/>
          <w:sz w:val="24"/>
          <w:highlight w:val="none"/>
          <w:lang w:eastAsia="zh-CN"/>
        </w:rPr>
        <w:t>之间</w:t>
      </w:r>
      <w:r>
        <w:rPr>
          <w:rFonts w:hint="eastAsia" w:ascii="宋体" w:hAnsi="宋体" w:eastAsia="宋体" w:cs="宋体"/>
          <w:color w:val="auto"/>
          <w:sz w:val="24"/>
          <w:highlight w:val="none"/>
        </w:rPr>
        <w:t>在合同中约定的权利和义务，双方均应诚实守信全面履行，否则违约方将承担违约责任并赔偿对方损失。</w:t>
      </w:r>
    </w:p>
    <w:p w14:paraId="62CF1FF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31.</w:t>
      </w:r>
      <w:r>
        <w:rPr>
          <w:rFonts w:hint="eastAsia" w:ascii="宋体" w:hAnsi="宋体" w:eastAsia="宋体" w:cs="宋体"/>
          <w:b/>
          <w:bCs/>
          <w:color w:val="auto"/>
          <w:sz w:val="24"/>
          <w:highlight w:val="none"/>
        </w:rPr>
        <w:t>询问</w:t>
      </w:r>
    </w:p>
    <w:p w14:paraId="7D0D6D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供应商对采购事项有疑问，可以按照《</w:t>
      </w:r>
      <w:r>
        <w:rPr>
          <w:rFonts w:hint="eastAsia" w:ascii="宋体" w:hAnsi="宋体" w:cs="宋体"/>
          <w:color w:val="auto"/>
          <w:sz w:val="24"/>
          <w:highlight w:val="none"/>
          <w:lang w:eastAsia="zh-CN"/>
        </w:rPr>
        <w:t>中华人民共和国政府采购法</w:t>
      </w:r>
      <w:r>
        <w:rPr>
          <w:rFonts w:hint="eastAsia" w:ascii="宋体" w:hAnsi="宋体" w:eastAsia="宋体" w:cs="宋体"/>
          <w:color w:val="auto"/>
          <w:sz w:val="24"/>
          <w:highlight w:val="none"/>
        </w:rPr>
        <w:t>》的相关规定向采购人或</w:t>
      </w:r>
      <w:r>
        <w:rPr>
          <w:rFonts w:hint="eastAsia" w:ascii="宋体" w:hAnsi="宋体" w:eastAsia="宋体" w:cs="宋体"/>
          <w:color w:val="auto"/>
          <w:sz w:val="24"/>
          <w:highlight w:val="none"/>
          <w:lang w:val="en-US" w:eastAsia="zh-CN"/>
        </w:rPr>
        <w:t>采购代理机构</w:t>
      </w:r>
      <w:r>
        <w:rPr>
          <w:rFonts w:hint="eastAsia" w:ascii="宋体" w:hAnsi="宋体" w:eastAsia="宋体" w:cs="宋体"/>
          <w:color w:val="auto"/>
          <w:sz w:val="24"/>
          <w:highlight w:val="none"/>
        </w:rPr>
        <w:t>提出询问。</w:t>
      </w:r>
    </w:p>
    <w:p w14:paraId="31AFA8C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.质疑程序及处理</w:t>
      </w:r>
    </w:p>
    <w:p w14:paraId="203D7E5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若磋商供应商认为其未获公平评审或磋商文件、采购过程和成交结果使自己的合法权益受到损害，可以在知道或者应知其权益受到损害之日起7个工作日之内，将质疑书</w:t>
      </w:r>
      <w:r>
        <w:rPr>
          <w:rFonts w:hint="eastAsia" w:ascii="宋体" w:hAnsi="宋体" w:eastAsia="宋体" w:cs="宋体"/>
          <w:color w:val="auto"/>
          <w:sz w:val="24"/>
          <w:highlight w:val="none"/>
          <w:lang w:val="en-US" w:eastAsia="zh-CN"/>
        </w:rPr>
        <w:t>通过政采云平台</w:t>
      </w:r>
      <w:r>
        <w:rPr>
          <w:rFonts w:hint="eastAsia" w:ascii="宋体" w:hAnsi="宋体" w:eastAsia="宋体" w:cs="宋体"/>
          <w:color w:val="auto"/>
          <w:sz w:val="24"/>
          <w:highlight w:val="none"/>
        </w:rPr>
        <w:t>送达采购人或采购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机构。提出期限的计算，依照下列规定办理：</w:t>
      </w:r>
    </w:p>
    <w:p w14:paraId="423E2B6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（一）对磋商文件提出质疑的，自收到采购文件之日起计算。</w:t>
      </w:r>
    </w:p>
    <w:p w14:paraId="50453EE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（二）对采购过程提出质疑的，应当在评审工作结束之日起计算。</w:t>
      </w:r>
    </w:p>
    <w:p w14:paraId="6661B0E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（三）对成交结果提出质疑的，自成交结果公告之日起计算。</w:t>
      </w:r>
    </w:p>
    <w:p w14:paraId="25122BD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 质疑书应当包括下列主要内容，附上相关证明材料。否则，采购人及采购代理机构不予受理；</w:t>
      </w:r>
    </w:p>
    <w:p w14:paraId="1C7A88F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（一）质疑供应商全称、地址、法定代表人、联系人及联系电话、邮政编码等；</w:t>
      </w:r>
    </w:p>
    <w:p w14:paraId="584678F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（二）被质疑采购项目的名称、编号；</w:t>
      </w:r>
    </w:p>
    <w:p w14:paraId="75AFAF7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（三）质疑的具体事项、明确的请求和主张；</w:t>
      </w:r>
    </w:p>
    <w:p w14:paraId="14CF36C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（四）质疑所依据的法律依据（具体条款）、具体事实和具体理由。质疑书依据、理由部分只有主观陈述、推理、猜测等，而没有提供客观事实依据、法律依据的；</w:t>
      </w:r>
    </w:p>
    <w:p w14:paraId="7F2B314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（五）质疑事项按照有关法律、法规和规章规定及招标文件要求属于保密或者处于保密阶段的事项，供应商必须提供正常的信息来源或有效证据，供应商不能提供或者拒绝提供合法的信息来源或有效证据的；</w:t>
      </w:r>
    </w:p>
    <w:p w14:paraId="63694D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（六）充足有效的相关证明材料；如果</w:t>
      </w:r>
      <w:r>
        <w:rPr>
          <w:rFonts w:hint="eastAsia" w:ascii="宋体" w:hAnsi="宋体" w:cs="宋体"/>
          <w:color w:val="auto"/>
          <w:sz w:val="24"/>
          <w:highlight w:val="none"/>
          <w:lang w:eastAsia="zh-CN"/>
        </w:rPr>
        <w:t>涉及</w:t>
      </w:r>
      <w:r>
        <w:rPr>
          <w:rFonts w:hint="eastAsia" w:ascii="宋体" w:hAnsi="宋体" w:eastAsia="宋体" w:cs="宋体"/>
          <w:color w:val="auto"/>
          <w:sz w:val="24"/>
          <w:highlight w:val="none"/>
        </w:rPr>
        <w:t>产品功能或技术指标的，应出具相关制造商的证明文件；</w:t>
      </w:r>
    </w:p>
    <w:p w14:paraId="2EE1FEA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（七）质疑材料中有外文文件的，应一并附上中文译本，并以中文译本为准。</w:t>
      </w:r>
    </w:p>
    <w:p w14:paraId="56E2CE7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（八）提起质疑的日期。</w:t>
      </w:r>
    </w:p>
    <w:p w14:paraId="0D2489E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26167C7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 供应商委托代理人办理质疑事宜，应当提交授权委托书，并载明委托代理的具体权限和事项。授权委托书应当由委托人签字并加盖单位公章。</w:t>
      </w:r>
    </w:p>
    <w:p w14:paraId="544C092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 提交质疑书时，供应商应同时提交本人身份证，委托他人代理质疑事宜的，还应提交被委托人的身份证。</w:t>
      </w:r>
    </w:p>
    <w:p w14:paraId="6279579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供应商是法人的，应一并提交法人营业执照和法定代表人身份证；供应商是其他组织的，应一并提交其他组织营业执照和主要负责人身份证。</w:t>
      </w:r>
    </w:p>
    <w:p w14:paraId="032459F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.6 质疑书提交方式。供应商或者其委托代理人应当</w:t>
      </w:r>
      <w:r>
        <w:rPr>
          <w:rFonts w:hint="eastAsia" w:ascii="宋体" w:hAnsi="宋体" w:eastAsia="宋体" w:cs="宋体"/>
          <w:color w:val="auto"/>
          <w:sz w:val="24"/>
          <w:highlight w:val="none"/>
          <w:lang w:val="en-US" w:eastAsia="zh-CN"/>
        </w:rPr>
        <w:t>通过政采云平台</w:t>
      </w:r>
      <w:r>
        <w:rPr>
          <w:rFonts w:hint="eastAsia" w:ascii="宋体" w:hAnsi="宋体" w:eastAsia="宋体" w:cs="宋体"/>
          <w:color w:val="auto"/>
          <w:sz w:val="24"/>
          <w:highlight w:val="none"/>
        </w:rPr>
        <w:t>提交质疑书及相关证明材料。供应商以电子邮件、传真等其他方式提交质疑书及相关证明材料的，或者不是供应商或者其委托代理人提交质疑书及相关证明材料的，采购人或采购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机构可以拒收。</w:t>
      </w:r>
    </w:p>
    <w:p w14:paraId="29AD3E1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.7 供应商不得虚假质疑和恶意质疑，并对质疑内容的真实性承担责任。供应商或者其他利害关系人通过捏造事实、伪造证明材料等方式提出异议或投诉，阻碍招</w:t>
      </w:r>
      <w:r>
        <w:rPr>
          <w:rFonts w:hint="eastAsia" w:ascii="宋体" w:hAnsi="宋体" w:eastAsia="宋体" w:cs="宋体"/>
          <w:color w:val="auto"/>
          <w:sz w:val="24"/>
          <w:highlight w:val="none"/>
          <w:lang w:eastAsia="zh-CN"/>
        </w:rPr>
        <w:t>磋商供应商</w:t>
      </w:r>
      <w:r>
        <w:rPr>
          <w:rFonts w:hint="eastAsia" w:ascii="宋体" w:hAnsi="宋体" w:eastAsia="宋体" w:cs="宋体"/>
          <w:color w:val="auto"/>
          <w:sz w:val="24"/>
          <w:highlight w:val="none"/>
        </w:rPr>
        <w:t>活动正常进行的，属于严重不良行为，</w:t>
      </w:r>
      <w:r>
        <w:rPr>
          <w:rFonts w:hint="eastAsia" w:ascii="宋体" w:hAnsi="宋体" w:eastAsia="宋体" w:cs="宋体"/>
          <w:color w:val="auto"/>
          <w:sz w:val="24"/>
          <w:highlight w:val="none"/>
          <w:lang w:val="en-US" w:eastAsia="zh-CN"/>
        </w:rPr>
        <w:t>采购人</w:t>
      </w:r>
      <w:r>
        <w:rPr>
          <w:rFonts w:hint="eastAsia" w:ascii="宋体" w:hAnsi="宋体" w:eastAsia="宋体" w:cs="宋体"/>
          <w:color w:val="auto"/>
          <w:sz w:val="24"/>
          <w:highlight w:val="none"/>
        </w:rPr>
        <w:t>将提请财政部门将其列入不良行为记录名单，并依法予以处罚。</w:t>
      </w:r>
    </w:p>
    <w:p w14:paraId="630764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.8 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机构将在收到符合上述符合条件的书面质疑后7个工作日内审查质疑事项，作出答复或相关处理决定，并</w:t>
      </w:r>
      <w:r>
        <w:rPr>
          <w:rFonts w:hint="eastAsia" w:ascii="宋体" w:hAnsi="宋体" w:eastAsia="宋体" w:cs="宋体"/>
          <w:color w:val="auto"/>
          <w:sz w:val="24"/>
          <w:highlight w:val="none"/>
          <w:lang w:val="en-US" w:eastAsia="zh-CN"/>
        </w:rPr>
        <w:t>通过政采云平台</w:t>
      </w:r>
      <w:r>
        <w:rPr>
          <w:rFonts w:hint="eastAsia" w:ascii="宋体" w:hAnsi="宋体" w:eastAsia="宋体" w:cs="宋体"/>
          <w:color w:val="auto"/>
          <w:sz w:val="24"/>
          <w:highlight w:val="none"/>
        </w:rPr>
        <w:t>通知质疑供应商和其他有关供应商，但答复的内容不涉及商业秘密。若质疑涉及招标制度或程序，将被转交政府采购的管理部门审查。</w:t>
      </w:r>
    </w:p>
    <w:p w14:paraId="11D93D1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.9 质疑供应商对采购人或采购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机构的答复不满意以及采购人或采购</w:t>
      </w:r>
      <w:r>
        <w:rPr>
          <w:rFonts w:hint="eastAsia" w:ascii="宋体" w:hAnsi="宋体" w:eastAsia="宋体" w:cs="宋体"/>
          <w:color w:val="auto"/>
          <w:sz w:val="24"/>
          <w:highlight w:val="none"/>
          <w:lang w:val="en-US" w:eastAsia="zh-CN"/>
        </w:rPr>
        <w:t>代理</w:t>
      </w:r>
      <w:r>
        <w:rPr>
          <w:rFonts w:hint="eastAsia" w:ascii="宋体" w:hAnsi="宋体" w:eastAsia="宋体" w:cs="宋体"/>
          <w:color w:val="auto"/>
          <w:sz w:val="24"/>
          <w:highlight w:val="none"/>
        </w:rPr>
        <w:t>机构未在规定时间内</w:t>
      </w:r>
      <w:r>
        <w:rPr>
          <w:rFonts w:hint="eastAsia" w:ascii="宋体" w:hAnsi="宋体" w:cs="宋体"/>
          <w:color w:val="auto"/>
          <w:sz w:val="24"/>
          <w:highlight w:val="none"/>
          <w:lang w:eastAsia="zh-CN"/>
        </w:rPr>
        <w:t>作出</w:t>
      </w:r>
      <w:r>
        <w:rPr>
          <w:rFonts w:hint="eastAsia" w:ascii="宋体" w:hAnsi="宋体" w:eastAsia="宋体" w:cs="宋体"/>
          <w:color w:val="auto"/>
          <w:sz w:val="24"/>
          <w:highlight w:val="none"/>
        </w:rPr>
        <w:t>答复的，可以在答复期满后1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个工作日内向财政部门投诉。</w:t>
      </w:r>
    </w:p>
    <w:p w14:paraId="7AAA04A8">
      <w:pPr>
        <w:rPr>
          <w:rFonts w:hint="eastAsia"/>
          <w:color w:val="auto"/>
          <w:highlight w:val="none"/>
          <w:lang w:val="en-US" w:eastAsia="zh-CN"/>
        </w:rPr>
      </w:pPr>
      <w:bookmarkStart w:id="37" w:name="_Toc16202"/>
      <w:bookmarkStart w:id="38" w:name="_Toc32120"/>
      <w:bookmarkStart w:id="39" w:name="_Toc26566"/>
      <w:bookmarkStart w:id="40" w:name="_Toc32003"/>
      <w:bookmarkStart w:id="41" w:name="_Toc22178"/>
      <w:bookmarkStart w:id="42" w:name="_Toc5675"/>
      <w:bookmarkStart w:id="43" w:name="_Toc6454"/>
      <w:bookmarkStart w:id="44" w:name="_Toc2506"/>
      <w:r>
        <w:rPr>
          <w:rFonts w:hint="eastAsia"/>
          <w:color w:val="auto"/>
          <w:highlight w:val="none"/>
          <w:lang w:val="en-US" w:eastAsia="zh-CN"/>
        </w:rPr>
        <w:br w:type="page"/>
      </w:r>
    </w:p>
    <w:p w14:paraId="50D8B1E3">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highlight w:val="none"/>
        </w:rPr>
      </w:pPr>
      <w:r>
        <w:rPr>
          <w:rFonts w:hint="eastAsia"/>
          <w:color w:val="auto"/>
          <w:highlight w:val="none"/>
          <w:lang w:val="en-US" w:eastAsia="zh-CN"/>
        </w:rPr>
        <w:t xml:space="preserve">第三章  </w:t>
      </w:r>
      <w:r>
        <w:rPr>
          <w:rFonts w:hint="eastAsia"/>
          <w:color w:val="auto"/>
          <w:highlight w:val="none"/>
        </w:rPr>
        <w:t>合同条款</w:t>
      </w:r>
      <w:bookmarkEnd w:id="37"/>
      <w:bookmarkEnd w:id="38"/>
      <w:bookmarkEnd w:id="39"/>
      <w:bookmarkEnd w:id="40"/>
      <w:bookmarkEnd w:id="41"/>
      <w:bookmarkEnd w:id="42"/>
      <w:bookmarkEnd w:id="43"/>
      <w:bookmarkEnd w:id="44"/>
    </w:p>
    <w:p w14:paraId="0AFA25D3">
      <w:pPr>
        <w:pStyle w:val="3"/>
        <w:jc w:val="center"/>
        <w:rPr>
          <w:rFonts w:hint="default" w:eastAsia="宋体"/>
          <w:color w:val="auto"/>
          <w:highlight w:val="none"/>
          <w:lang w:val="en-US" w:eastAsia="zh-CN"/>
        </w:rPr>
      </w:pPr>
      <w:r>
        <w:rPr>
          <w:rFonts w:hint="eastAsia" w:eastAsia="宋体" w:cs="宋体"/>
          <w:b/>
          <w:bCs/>
          <w:color w:val="auto"/>
          <w:kern w:val="44"/>
          <w:sz w:val="24"/>
          <w:szCs w:val="24"/>
          <w:highlight w:val="none"/>
          <w:lang w:val="en-US" w:eastAsia="zh-CN"/>
        </w:rPr>
        <w:t>一、合同协议书</w:t>
      </w:r>
    </w:p>
    <w:p w14:paraId="355C82EA">
      <w:pPr>
        <w:pageBreakBefore w:val="0"/>
        <w:widowControl w:val="0"/>
        <w:kinsoku/>
        <w:wordWrap/>
        <w:overflowPunct/>
        <w:topLinePunct w:val="0"/>
        <w:autoSpaceDE/>
        <w:autoSpaceDN/>
        <w:bidi w:val="0"/>
        <w:adjustRightInd/>
        <w:snapToGrid/>
        <w:spacing w:line="410" w:lineRule="exact"/>
        <w:ind w:right="0" w:rightChars="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pacing w:val="30"/>
          <w:sz w:val="24"/>
          <w:szCs w:val="24"/>
          <w:highlight w:val="none"/>
        </w:rPr>
        <w:t>发包人（全称）：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single"/>
        </w:rPr>
        <w:t xml:space="preserve">   </w:t>
      </w:r>
    </w:p>
    <w:p w14:paraId="57E2B362">
      <w:pPr>
        <w:pageBreakBefore w:val="0"/>
        <w:widowControl w:val="0"/>
        <w:kinsoku/>
        <w:wordWrap/>
        <w:overflowPunct/>
        <w:topLinePunct w:val="0"/>
        <w:autoSpaceDE/>
        <w:autoSpaceDN/>
        <w:bidi w:val="0"/>
        <w:adjustRightInd/>
        <w:snapToGrid/>
        <w:spacing w:line="410" w:lineRule="exact"/>
        <w:ind w:right="0" w:rightChars="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pacing w:val="30"/>
          <w:sz w:val="24"/>
          <w:szCs w:val="24"/>
          <w:highlight w:val="none"/>
        </w:rPr>
        <w:t>承包人（全称）：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539C5FE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根据《中华人民共和国</w:t>
      </w:r>
      <w:r>
        <w:rPr>
          <w:rFonts w:hint="eastAsia" w:ascii="宋体" w:hAnsi="宋体" w:eastAsia="宋体" w:cs="宋体"/>
          <w:b w:val="0"/>
          <w:bCs w:val="0"/>
          <w:color w:val="auto"/>
          <w:sz w:val="24"/>
          <w:szCs w:val="24"/>
          <w:highlight w:val="none"/>
          <w:lang w:val="en-US" w:eastAsia="zh-CN"/>
        </w:rPr>
        <w:t>民法典</w:t>
      </w:r>
      <w:r>
        <w:rPr>
          <w:rFonts w:hint="eastAsia" w:ascii="宋体" w:hAnsi="宋体" w:eastAsia="宋体" w:cs="宋体"/>
          <w:b w:val="0"/>
          <w:bCs w:val="0"/>
          <w:color w:val="auto"/>
          <w:sz w:val="24"/>
          <w:szCs w:val="24"/>
          <w:highlight w:val="none"/>
        </w:rPr>
        <w:t>》、《中华人民共和国建筑法》及有关法律规定，遵循平等、自愿、公平和诚实信用的原则，双方就</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施工及有关事项协商一致，共同达成如下协议：</w:t>
      </w:r>
    </w:p>
    <w:p w14:paraId="3E28A077">
      <w:pPr>
        <w:pageBreakBefore w:val="0"/>
        <w:widowControl w:val="0"/>
        <w:kinsoku/>
        <w:wordWrap/>
        <w:overflowPunct/>
        <w:topLinePunct w:val="0"/>
        <w:autoSpaceDE/>
        <w:autoSpaceDN/>
        <w:bidi w:val="0"/>
        <w:adjustRightInd/>
        <w:snapToGrid/>
        <w:spacing w:line="410" w:lineRule="exact"/>
        <w:ind w:right="0" w:rightChars="0" w:firstLine="357" w:firstLineChars="149"/>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一、工程概况</w:t>
      </w:r>
    </w:p>
    <w:p w14:paraId="7D0B5C8B">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1.工程名称：</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single"/>
        </w:rPr>
        <w:t xml:space="preserve">  </w:t>
      </w:r>
    </w:p>
    <w:p w14:paraId="7CDC4E7D">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2.工程地点：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14FF39D5">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3.工程立项批准文号：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p w14:paraId="69443EB0">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4.资金来源：</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single"/>
        </w:rPr>
        <w:t xml:space="preserve">  </w:t>
      </w:r>
    </w:p>
    <w:p w14:paraId="54A9834F">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5.工程内容：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u w:val="single"/>
        </w:rPr>
        <w:t xml:space="preserve"> </w:t>
      </w:r>
    </w:p>
    <w:p w14:paraId="10F93054">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群体工程应附《承包人承揽工程项目一览表》（附件1）。</w:t>
      </w:r>
    </w:p>
    <w:p w14:paraId="7390430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6.工程承包范围：</w:t>
      </w:r>
      <w:r>
        <w:rPr>
          <w:rFonts w:hint="eastAsia" w:ascii="宋体" w:hAnsi="宋体" w:eastAsia="宋体" w:cs="宋体"/>
          <w:b w:val="0"/>
          <w:bCs w:val="0"/>
          <w:color w:val="auto"/>
          <w:sz w:val="24"/>
          <w:szCs w:val="24"/>
          <w:highlight w:val="none"/>
          <w:u w:val="single"/>
          <w:lang w:val="en-US" w:eastAsia="zh-CN"/>
        </w:rPr>
        <w:t xml:space="preserve">                        </w:t>
      </w:r>
    </w:p>
    <w:p w14:paraId="3333F4FF">
      <w:pPr>
        <w:pageBreakBefore w:val="0"/>
        <w:widowControl w:val="0"/>
        <w:kinsoku/>
        <w:wordWrap/>
        <w:overflowPunct/>
        <w:topLinePunct w:val="0"/>
        <w:autoSpaceDE/>
        <w:autoSpaceDN/>
        <w:bidi w:val="0"/>
        <w:adjustRightInd/>
        <w:snapToGrid/>
        <w:spacing w:line="410" w:lineRule="exact"/>
        <w:ind w:right="0" w:rightChars="0" w:firstLine="357" w:firstLineChars="149"/>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二、合同工期</w:t>
      </w:r>
    </w:p>
    <w:p w14:paraId="355A154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计划开工日期：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7ADC09D5">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计划竣工日期：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0175176A">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工期总日历天数：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天。工期总日历天数与根据前述计划开竣工日期计算的工期天数不一致的，以工期总日历天数为准。</w:t>
      </w:r>
    </w:p>
    <w:p w14:paraId="76A1E899">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三、质量标准</w:t>
      </w:r>
    </w:p>
    <w:p w14:paraId="3B4B6FB8">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工程质量符合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标准。</w:t>
      </w:r>
    </w:p>
    <w:p w14:paraId="3809E709">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四、签约合同价与合同价格形式</w:t>
      </w:r>
      <w:r>
        <w:rPr>
          <w:rFonts w:hint="eastAsia" w:ascii="宋体" w:hAnsi="宋体" w:eastAsia="宋体" w:cs="宋体"/>
          <w:b w:val="0"/>
          <w:bCs w:val="0"/>
          <w:color w:val="auto"/>
          <w:sz w:val="24"/>
          <w:szCs w:val="24"/>
          <w:highlight w:val="none"/>
        </w:rPr>
        <w:tab/>
      </w:r>
    </w:p>
    <w:p w14:paraId="21E64ED2">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1.签约合同价为：</w:t>
      </w:r>
    </w:p>
    <w:p w14:paraId="2B6BF259">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p>
    <w:p w14:paraId="71D9FE0A">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其中：</w:t>
      </w:r>
    </w:p>
    <w:p w14:paraId="65E873B8">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（1）安全文明施工费：</w:t>
      </w:r>
    </w:p>
    <w:p w14:paraId="328F58A0">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p>
    <w:p w14:paraId="01193529">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（2）材料和工程设备暂估价金额：</w:t>
      </w:r>
    </w:p>
    <w:p w14:paraId="65D2C414">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p>
    <w:p w14:paraId="041F651C">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（3）专业工程暂估价金额：</w:t>
      </w:r>
    </w:p>
    <w:p w14:paraId="758AE2B4">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p>
    <w:p w14:paraId="4683FC84">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（4）暂列金额：</w:t>
      </w:r>
    </w:p>
    <w:p w14:paraId="037A6946">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p>
    <w:p w14:paraId="7E4CCFC6">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2.合同价格形式：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14:paraId="09AF9E9B">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五、项目经理</w:t>
      </w:r>
    </w:p>
    <w:p w14:paraId="7CE94790">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承包人项目经理：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14:paraId="4C71AC01">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六、合同文件构成</w:t>
      </w:r>
    </w:p>
    <w:p w14:paraId="34DA8F38">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本协议书与下列文件一起构成合同文件：</w:t>
      </w:r>
    </w:p>
    <w:p w14:paraId="0A0854B3">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（1）中标通知书（如果有）；</w:t>
      </w:r>
    </w:p>
    <w:p w14:paraId="118F1B58">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（2）投标函及其附录（如果有）； </w:t>
      </w:r>
    </w:p>
    <w:p w14:paraId="0AA300E5">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（3）专用合同条款及其附件；</w:t>
      </w:r>
    </w:p>
    <w:p w14:paraId="117D4AF2">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（4）通用合同条款；</w:t>
      </w:r>
    </w:p>
    <w:p w14:paraId="30A7FDC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（5）技术标准和要求；</w:t>
      </w:r>
    </w:p>
    <w:p w14:paraId="16FEC8A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（6）图纸；</w:t>
      </w:r>
    </w:p>
    <w:p w14:paraId="4D4F7837">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（7）已标价工程量清单或预算书；</w:t>
      </w:r>
    </w:p>
    <w:p w14:paraId="51B308C9">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（8）其他合同文件。</w:t>
      </w:r>
    </w:p>
    <w:p w14:paraId="4DBEE1A3">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在合同订立及履行过程中形成的与合同有关的文件均构成合同文件组成部分。</w:t>
      </w:r>
    </w:p>
    <w:p w14:paraId="0FBD7A14">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BCA3C3F">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七、承诺</w:t>
      </w:r>
    </w:p>
    <w:p w14:paraId="11371685">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1.发包人承诺按照法律规定履行项目审批手续、筹集工程建设资金并按照合同约定的期限和方式支付合同价款。</w:t>
      </w:r>
    </w:p>
    <w:p w14:paraId="5CA953F0">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2E35772C">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3.发包人和承包人通过招投标形式签订合同的，双方理解并承诺不再就同一工程另行签订与合同实质性内容相背离的协议。</w:t>
      </w:r>
    </w:p>
    <w:p w14:paraId="7DD7A39B">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八、词语含义</w:t>
      </w:r>
    </w:p>
    <w:p w14:paraId="02B5910A">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本协议书中词语含义与第二部分通用合同条款中赋予的含义相同。</w:t>
      </w:r>
    </w:p>
    <w:p w14:paraId="1AD2C4DC">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九、签订时间</w:t>
      </w:r>
    </w:p>
    <w:p w14:paraId="78B59F9E">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日签订。</w:t>
      </w:r>
    </w:p>
    <w:p w14:paraId="4026D062">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十、签订地点</w:t>
      </w:r>
    </w:p>
    <w:p w14:paraId="59250BC0">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本合同在</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签订。</w:t>
      </w:r>
    </w:p>
    <w:p w14:paraId="12A7154E">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十一、补充协议</w:t>
      </w:r>
    </w:p>
    <w:p w14:paraId="5D3F7719">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合同未尽事宜，合同当事人另行签订补充协议，补充协议是合同的组成部分。</w:t>
      </w:r>
    </w:p>
    <w:p w14:paraId="7DF26D16">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十二、合同生效</w:t>
      </w:r>
    </w:p>
    <w:p w14:paraId="11A449CA">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本合同自</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生效。</w:t>
      </w:r>
    </w:p>
    <w:p w14:paraId="58FBB846">
      <w:pPr>
        <w:pageBreakBefore w:val="0"/>
        <w:widowControl w:val="0"/>
        <w:kinsoku/>
        <w:wordWrap/>
        <w:overflowPunct/>
        <w:topLinePunct w:val="0"/>
        <w:autoSpaceDE/>
        <w:autoSpaceDN/>
        <w:bidi w:val="0"/>
        <w:adjustRightInd/>
        <w:snapToGrid/>
        <w:spacing w:line="410" w:lineRule="exact"/>
        <w:ind w:left="420"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十三、合同份数</w:t>
      </w:r>
    </w:p>
    <w:p w14:paraId="4F0B5DF2">
      <w:pPr>
        <w:pageBreakBefore w:val="0"/>
        <w:widowControl w:val="0"/>
        <w:kinsoku/>
        <w:wordWrap/>
        <w:overflowPunct/>
        <w:topLinePunct w:val="0"/>
        <w:autoSpaceDE/>
        <w:autoSpaceDN/>
        <w:bidi w:val="0"/>
        <w:adjustRightInd/>
        <w:snapToGrid/>
        <w:spacing w:line="410" w:lineRule="exact"/>
        <w:ind w:right="0" w:righ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本合同一式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份，均具有同等法律效力，发包人执</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份，承包人执</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份。</w:t>
      </w:r>
    </w:p>
    <w:p w14:paraId="0ABFD4B1">
      <w:pPr>
        <w:pStyle w:val="11"/>
        <w:rPr>
          <w:rFonts w:hint="eastAsia" w:ascii="宋体" w:hAnsi="宋体" w:eastAsia="宋体" w:cs="宋体"/>
          <w:color w:val="auto"/>
          <w:sz w:val="24"/>
          <w:szCs w:val="16"/>
          <w:highlight w:val="none"/>
        </w:rPr>
      </w:pPr>
    </w:p>
    <w:p w14:paraId="33F4D30D">
      <w:pPr>
        <w:spacing w:line="360" w:lineRule="exact"/>
        <w:rPr>
          <w:rFonts w:hint="eastAsia" w:ascii="宋体" w:hAnsi="宋体" w:eastAsia="宋体" w:cs="宋体"/>
          <w:b w:val="0"/>
          <w:bCs w:val="0"/>
          <w:color w:val="auto"/>
          <w:sz w:val="24"/>
          <w:szCs w:val="24"/>
          <w:highlight w:val="none"/>
        </w:rPr>
      </w:pPr>
    </w:p>
    <w:p w14:paraId="47D7694E">
      <w:pPr>
        <w:spacing w:line="3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发包人： （公章）          承包人： （公章）</w:t>
      </w:r>
    </w:p>
    <w:p w14:paraId="365150E2">
      <w:pPr>
        <w:spacing w:line="360" w:lineRule="exact"/>
        <w:rPr>
          <w:rFonts w:hint="eastAsia" w:ascii="宋体" w:hAnsi="宋体" w:eastAsia="宋体" w:cs="宋体"/>
          <w:b w:val="0"/>
          <w:bCs w:val="0"/>
          <w:color w:val="auto"/>
          <w:sz w:val="24"/>
          <w:szCs w:val="24"/>
          <w:highlight w:val="none"/>
        </w:rPr>
      </w:pPr>
    </w:p>
    <w:p w14:paraId="4DA5CF9B">
      <w:pPr>
        <w:spacing w:line="360" w:lineRule="exact"/>
        <w:ind w:firstLine="480" w:firstLineChars="200"/>
        <w:rPr>
          <w:rFonts w:hint="eastAsia" w:ascii="宋体" w:hAnsi="宋体" w:eastAsia="宋体" w:cs="宋体"/>
          <w:b w:val="0"/>
          <w:bCs w:val="0"/>
          <w:color w:val="auto"/>
          <w:sz w:val="24"/>
          <w:szCs w:val="24"/>
          <w:highlight w:val="none"/>
        </w:rPr>
      </w:pPr>
    </w:p>
    <w:p w14:paraId="6E17CE24">
      <w:pPr>
        <w:spacing w:line="3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法定代表人或其委托代理人：     法定代表人或其委托代理人：</w:t>
      </w:r>
    </w:p>
    <w:p w14:paraId="7C1CDF30">
      <w:pPr>
        <w:spacing w:line="360" w:lineRule="exact"/>
        <w:ind w:firstLine="480" w:firstLineChars="200"/>
        <w:rPr>
          <w:rFonts w:hint="eastAsia" w:ascii="宋体" w:hAnsi="宋体" w:eastAsia="宋体" w:cs="宋体"/>
          <w:b w:val="0"/>
          <w:bCs w:val="0"/>
          <w:color w:val="auto"/>
          <w:sz w:val="24"/>
          <w:szCs w:val="24"/>
          <w:highlight w:val="none"/>
        </w:rPr>
      </w:pPr>
    </w:p>
    <w:p w14:paraId="3DC38B5C">
      <w:pPr>
        <w:spacing w:line="360" w:lineRule="exact"/>
        <w:ind w:firstLine="410" w:firstLineChars="171"/>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（签字）                       （签字）</w:t>
      </w:r>
    </w:p>
    <w:p w14:paraId="3146388B">
      <w:pPr>
        <w:spacing w:line="360" w:lineRule="exact"/>
        <w:rPr>
          <w:rFonts w:hint="eastAsia" w:ascii="宋体" w:hAnsi="宋体" w:eastAsia="宋体" w:cs="宋体"/>
          <w:b w:val="0"/>
          <w:bCs w:val="0"/>
          <w:color w:val="auto"/>
          <w:sz w:val="24"/>
          <w:szCs w:val="24"/>
          <w:highlight w:val="none"/>
          <w:u w:val="single"/>
        </w:rPr>
      </w:pPr>
    </w:p>
    <w:p w14:paraId="7E3B6F82">
      <w:pPr>
        <w:spacing w:line="360" w:lineRule="exact"/>
        <w:rPr>
          <w:rFonts w:hint="eastAsia" w:ascii="宋体" w:hAnsi="宋体" w:eastAsia="宋体" w:cs="宋体"/>
          <w:b w:val="0"/>
          <w:bCs w:val="0"/>
          <w:color w:val="auto"/>
          <w:sz w:val="24"/>
          <w:szCs w:val="24"/>
          <w:highlight w:val="none"/>
          <w:u w:val="single"/>
        </w:rPr>
      </w:pPr>
    </w:p>
    <w:p w14:paraId="22C35E00">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组织机构代码：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组织机构代码：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4AE43750">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地    址：</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地    址：</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6D0CC335">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邮政编码：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邮政编码：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  </w:t>
      </w:r>
    </w:p>
    <w:p w14:paraId="31C9D39C">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p w14:paraId="1447D309">
      <w:pPr>
        <w:spacing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委托代理人：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委托代理人：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1020DE4B">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    话：</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电    话：</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p w14:paraId="12034C98">
      <w:pPr>
        <w:spacing w:line="500" w:lineRule="exact"/>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传    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传    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2D3776CC">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电子信箱：</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电子信箱：</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5513A02C">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开户银行：</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rPr>
        <w:t xml:space="preserve">           </w:t>
      </w:r>
    </w:p>
    <w:p w14:paraId="7DA390BC">
      <w:pPr>
        <w:spacing w:line="5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账    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p>
    <w:p w14:paraId="0D4FBE94">
      <w:pPr>
        <w:snapToGrid w:val="0"/>
        <w:spacing w:line="500" w:lineRule="exact"/>
        <w:rPr>
          <w:rFonts w:hint="eastAsia" w:ascii="宋体" w:hAnsi="宋体" w:eastAsia="宋体" w:cs="宋体"/>
          <w:b/>
          <w:bCs/>
          <w:color w:val="auto"/>
          <w:kern w:val="44"/>
          <w:sz w:val="24"/>
          <w:szCs w:val="24"/>
          <w:highlight w:val="none"/>
        </w:rPr>
      </w:pPr>
    </w:p>
    <w:p w14:paraId="471260B0">
      <w:pPr>
        <w:pStyle w:val="3"/>
        <w:jc w:val="center"/>
        <w:rPr>
          <w:rFonts w:hint="eastAsia" w:ascii="宋体" w:hAnsi="宋体" w:eastAsia="宋体" w:cs="宋体"/>
          <w:b/>
          <w:bCs/>
          <w:color w:val="auto"/>
          <w:kern w:val="44"/>
          <w:sz w:val="24"/>
          <w:szCs w:val="24"/>
          <w:highlight w:val="none"/>
          <w:lang w:val="en-US" w:eastAsia="zh-CN"/>
        </w:rPr>
      </w:pPr>
      <w:bookmarkStart w:id="45" w:name="_Toc26341"/>
      <w:r>
        <w:rPr>
          <w:rFonts w:hint="eastAsia" w:ascii="宋体" w:hAnsi="宋体" w:eastAsia="宋体" w:cs="宋体"/>
          <w:b/>
          <w:bCs/>
          <w:color w:val="auto"/>
          <w:kern w:val="44"/>
          <w:sz w:val="24"/>
          <w:szCs w:val="24"/>
          <w:highlight w:val="none"/>
          <w:lang w:val="en-US" w:eastAsia="zh-CN"/>
        </w:rPr>
        <w:t>二、通用合同条款</w:t>
      </w:r>
      <w:bookmarkEnd w:id="45"/>
    </w:p>
    <w:p w14:paraId="6B94C4AD">
      <w:pPr>
        <w:snapToGrid w:val="0"/>
        <w:spacing w:line="500" w:lineRule="exact"/>
        <w:rPr>
          <w:rFonts w:hint="default" w:ascii="宋体" w:hAnsi="宋体" w:eastAsia="宋体" w:cs="宋体"/>
          <w:b/>
          <w:bCs/>
          <w:color w:val="auto"/>
          <w:kern w:val="44"/>
          <w:sz w:val="24"/>
          <w:szCs w:val="24"/>
          <w:highlight w:val="none"/>
          <w:lang w:val="en-US" w:eastAsia="zh-CN"/>
        </w:rPr>
      </w:pPr>
      <w:bookmarkStart w:id="46" w:name="_Toc27682"/>
      <w:bookmarkStart w:id="47" w:name="_Toc32249"/>
      <w:r>
        <w:rPr>
          <w:rFonts w:hint="eastAsia" w:ascii="宋体" w:hAnsi="宋体" w:eastAsia="宋体" w:cs="宋体"/>
          <w:b/>
          <w:bCs/>
          <w:color w:val="auto"/>
          <w:kern w:val="44"/>
          <w:sz w:val="24"/>
          <w:szCs w:val="24"/>
          <w:highlight w:val="none"/>
          <w:lang w:val="en-US" w:eastAsia="zh-CN"/>
        </w:rPr>
        <w:t>略，参考</w:t>
      </w:r>
      <w:r>
        <w:rPr>
          <w:rFonts w:hint="eastAsia" w:ascii="宋体" w:hAnsi="宋体" w:eastAsia="宋体" w:cs="宋体"/>
          <w:b/>
          <w:bCs/>
          <w:color w:val="auto"/>
          <w:kern w:val="44"/>
          <w:sz w:val="24"/>
          <w:szCs w:val="24"/>
          <w:highlight w:val="none"/>
        </w:rPr>
        <w:t>《建设工程施工合同（示范文本）》（GF-2017-0201）</w:t>
      </w:r>
    </w:p>
    <w:p w14:paraId="2A8B6405">
      <w:pPr>
        <w:pStyle w:val="3"/>
        <w:jc w:val="center"/>
        <w:rPr>
          <w:rFonts w:hint="eastAsia" w:ascii="宋体" w:hAnsi="宋体" w:eastAsia="宋体" w:cs="宋体"/>
          <w:b/>
          <w:bCs/>
          <w:color w:val="auto"/>
          <w:kern w:val="44"/>
          <w:sz w:val="24"/>
          <w:szCs w:val="24"/>
          <w:highlight w:val="none"/>
          <w:lang w:val="en-US" w:eastAsia="zh-CN"/>
        </w:rPr>
      </w:pPr>
      <w:r>
        <w:rPr>
          <w:rFonts w:hint="eastAsia" w:ascii="宋体" w:hAnsi="宋体" w:eastAsia="宋体" w:cs="宋体"/>
          <w:b/>
          <w:bCs/>
          <w:color w:val="auto"/>
          <w:kern w:val="44"/>
          <w:sz w:val="24"/>
          <w:szCs w:val="24"/>
          <w:highlight w:val="none"/>
          <w:lang w:val="en-US" w:eastAsia="zh-CN"/>
        </w:rPr>
        <w:t>三、专用合同条款</w:t>
      </w:r>
      <w:bookmarkEnd w:id="46"/>
      <w:bookmarkEnd w:id="47"/>
    </w:p>
    <w:p w14:paraId="0CA3ACD1">
      <w:pPr>
        <w:snapToGrid w:val="0"/>
        <w:spacing w:line="500" w:lineRule="exact"/>
        <w:rPr>
          <w:rFonts w:hint="default" w:ascii="宋体" w:hAnsi="宋体" w:eastAsia="宋体" w:cs="宋体"/>
          <w:b/>
          <w:bCs/>
          <w:color w:val="auto"/>
          <w:kern w:val="44"/>
          <w:sz w:val="24"/>
          <w:szCs w:val="24"/>
          <w:highlight w:val="none"/>
          <w:lang w:val="en-US" w:eastAsia="zh-CN"/>
        </w:rPr>
      </w:pPr>
      <w:r>
        <w:rPr>
          <w:rFonts w:hint="eastAsia" w:ascii="宋体" w:hAnsi="宋体" w:eastAsia="宋体" w:cs="宋体"/>
          <w:b/>
          <w:bCs/>
          <w:color w:val="auto"/>
          <w:kern w:val="44"/>
          <w:sz w:val="24"/>
          <w:szCs w:val="24"/>
          <w:highlight w:val="none"/>
          <w:lang w:val="en-US" w:eastAsia="zh-CN"/>
        </w:rPr>
        <w:t>略，</w:t>
      </w:r>
      <w:bookmarkStart w:id="48" w:name="_Toc10702"/>
      <w:r>
        <w:rPr>
          <w:rFonts w:hint="eastAsia" w:ascii="宋体" w:hAnsi="宋体" w:eastAsia="宋体" w:cs="宋体"/>
          <w:b/>
          <w:bCs/>
          <w:color w:val="auto"/>
          <w:kern w:val="44"/>
          <w:sz w:val="24"/>
          <w:szCs w:val="24"/>
          <w:highlight w:val="none"/>
          <w:lang w:val="en-US" w:eastAsia="zh-CN"/>
        </w:rPr>
        <w:t>参考</w:t>
      </w:r>
      <w:r>
        <w:rPr>
          <w:rFonts w:hint="eastAsia" w:ascii="宋体" w:hAnsi="宋体" w:eastAsia="宋体" w:cs="宋体"/>
          <w:b/>
          <w:bCs/>
          <w:color w:val="auto"/>
          <w:kern w:val="44"/>
          <w:sz w:val="24"/>
          <w:szCs w:val="24"/>
          <w:highlight w:val="none"/>
        </w:rPr>
        <w:t>《建设工程施工合同（示范文本）》（GF-2017-0201）</w:t>
      </w:r>
      <w:bookmarkEnd w:id="48"/>
    </w:p>
    <w:p w14:paraId="4FBF36B4">
      <w:pPr>
        <w:snapToGrid w:val="0"/>
        <w:spacing w:line="500" w:lineRule="exact"/>
        <w:rPr>
          <w:rFonts w:hint="eastAsia" w:ascii="宋体" w:hAnsi="宋体" w:eastAsia="宋体" w:cs="宋体"/>
          <w:b/>
          <w:bCs/>
          <w:color w:val="auto"/>
          <w:kern w:val="44"/>
          <w:sz w:val="24"/>
          <w:szCs w:val="24"/>
          <w:highlight w:val="none"/>
        </w:rPr>
      </w:pPr>
    </w:p>
    <w:p w14:paraId="37894930">
      <w:pPr>
        <w:snapToGrid w:val="0"/>
        <w:spacing w:line="500" w:lineRule="exact"/>
        <w:rPr>
          <w:rFonts w:hint="eastAsia" w:ascii="宋体" w:hAnsi="宋体" w:eastAsia="宋体" w:cs="宋体"/>
          <w:b/>
          <w:color w:val="auto"/>
          <w:sz w:val="24"/>
          <w:szCs w:val="24"/>
          <w:highlight w:val="none"/>
        </w:rPr>
      </w:pPr>
      <w:r>
        <w:rPr>
          <w:rFonts w:hint="eastAsia" w:ascii="宋体" w:hAnsi="宋体" w:eastAsia="宋体" w:cs="宋体"/>
          <w:b/>
          <w:bCs/>
          <w:color w:val="auto"/>
          <w:kern w:val="44"/>
          <w:sz w:val="24"/>
          <w:szCs w:val="24"/>
          <w:highlight w:val="none"/>
        </w:rPr>
        <w:t>注：经双方协商，在不改变合同实质性内容的基础上，可采用其他合同格式。</w:t>
      </w:r>
    </w:p>
    <w:p w14:paraId="6CB01AB1">
      <w:pPr>
        <w:numPr>
          <w:ilvl w:val="0"/>
          <w:numId w:val="0"/>
        </w:numPr>
        <w:spacing w:line="500" w:lineRule="exact"/>
        <w:jc w:val="center"/>
        <w:rPr>
          <w:rFonts w:hint="eastAsia" w:ascii="宋体" w:hAnsi="宋体" w:eastAsia="宋体" w:cs="宋体"/>
          <w:color w:val="auto"/>
          <w:sz w:val="24"/>
          <w:highlight w:val="none"/>
          <w:lang w:val="en-US" w:eastAsia="zh-CN"/>
        </w:rPr>
      </w:pPr>
    </w:p>
    <w:p w14:paraId="18052B7E">
      <w:pPr>
        <w:pStyle w:val="2"/>
        <w:bidi w:val="0"/>
        <w:outlineLvl w:val="9"/>
        <w:rPr>
          <w:rFonts w:hint="eastAsia"/>
          <w:color w:val="auto"/>
          <w:highlight w:val="none"/>
          <w:lang w:val="en-US" w:eastAsia="zh-CN"/>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49" w:name="_Toc30334"/>
      <w:bookmarkStart w:id="50" w:name="_Toc506"/>
      <w:bookmarkStart w:id="51" w:name="_Toc9203"/>
    </w:p>
    <w:bookmarkEnd w:id="49"/>
    <w:bookmarkEnd w:id="50"/>
    <w:bookmarkEnd w:id="51"/>
    <w:p w14:paraId="66C6FB5E">
      <w:pPr>
        <w:pStyle w:val="2"/>
        <w:keepNext/>
        <w:keepLines/>
        <w:pageBreakBefore w:val="0"/>
        <w:widowControl w:val="0"/>
        <w:kinsoku/>
        <w:wordWrap/>
        <w:overflowPunct/>
        <w:topLinePunct w:val="0"/>
        <w:autoSpaceDE/>
        <w:autoSpaceDN/>
        <w:bidi w:val="0"/>
        <w:adjustRightInd/>
        <w:snapToGrid/>
        <w:spacing w:before="0" w:after="0"/>
        <w:textAlignment w:val="auto"/>
        <w:rPr>
          <w:rFonts w:hint="default"/>
          <w:color w:val="auto"/>
          <w:highlight w:val="none"/>
          <w:lang w:val="en-US" w:eastAsia="zh-CN"/>
        </w:rPr>
      </w:pPr>
      <w:bookmarkStart w:id="52" w:name="_Toc18642"/>
      <w:bookmarkStart w:id="53" w:name="_Toc10473"/>
      <w:bookmarkStart w:id="54" w:name="_Toc1888"/>
      <w:bookmarkStart w:id="55" w:name="_Toc17930"/>
      <w:bookmarkStart w:id="56" w:name="_Toc22111"/>
      <w:bookmarkStart w:id="57" w:name="_Toc17103"/>
      <w:bookmarkStart w:id="58" w:name="_Toc4484"/>
      <w:bookmarkStart w:id="59" w:name="_Toc10383"/>
      <w:r>
        <w:rPr>
          <w:rFonts w:hint="eastAsia"/>
          <w:color w:val="auto"/>
          <w:highlight w:val="none"/>
          <w:lang w:val="en-US" w:eastAsia="zh-CN"/>
        </w:rPr>
        <w:t>第四章</w:t>
      </w:r>
      <w:bookmarkEnd w:id="52"/>
      <w:bookmarkEnd w:id="53"/>
      <w:r>
        <w:rPr>
          <w:rFonts w:hint="eastAsia"/>
          <w:color w:val="auto"/>
          <w:highlight w:val="none"/>
          <w:lang w:val="en-US" w:eastAsia="zh-CN"/>
        </w:rPr>
        <w:t xml:space="preserve">  </w:t>
      </w:r>
      <w:bookmarkEnd w:id="54"/>
      <w:bookmarkEnd w:id="55"/>
      <w:bookmarkEnd w:id="56"/>
      <w:bookmarkEnd w:id="57"/>
      <w:r>
        <w:rPr>
          <w:rFonts w:hint="eastAsia"/>
          <w:color w:val="auto"/>
          <w:highlight w:val="none"/>
          <w:lang w:val="en-US" w:eastAsia="zh-CN"/>
        </w:rPr>
        <w:t>采购需求</w:t>
      </w:r>
      <w:bookmarkEnd w:id="58"/>
    </w:p>
    <w:p w14:paraId="448485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bookmarkStart w:id="60" w:name="_Toc29887"/>
      <w:bookmarkStart w:id="61" w:name="_Toc4742"/>
      <w:r>
        <w:rPr>
          <w:rFonts w:hint="eastAsia" w:ascii="宋体" w:hAnsi="宋体"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w:t>
      </w:r>
      <w:r>
        <w:rPr>
          <w:rFonts w:hint="eastAsia" w:ascii="宋体" w:hAnsi="宋体" w:cs="宋体"/>
          <w:b/>
          <w:bCs/>
          <w:color w:val="auto"/>
          <w:kern w:val="0"/>
          <w:sz w:val="24"/>
          <w:szCs w:val="24"/>
          <w:highlight w:val="none"/>
          <w:lang w:val="en-US" w:eastAsia="zh-CN" w:bidi="ar"/>
        </w:rPr>
        <w:t>项目概况</w:t>
      </w:r>
      <w:r>
        <w:rPr>
          <w:rFonts w:hint="eastAsia" w:ascii="宋体" w:hAnsi="宋体" w:eastAsia="宋体" w:cs="宋体"/>
          <w:b/>
          <w:bCs/>
          <w:color w:val="auto"/>
          <w:kern w:val="0"/>
          <w:sz w:val="24"/>
          <w:szCs w:val="24"/>
          <w:highlight w:val="none"/>
          <w:lang w:val="en-US" w:eastAsia="zh-CN" w:bidi="ar"/>
        </w:rPr>
        <w:t xml:space="preserve"> </w:t>
      </w:r>
    </w:p>
    <w:p w14:paraId="20512C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lang w:val="en-US" w:eastAsia="zh-CN" w:bidi="ar"/>
        </w:rPr>
        <w:t>1.项目名称：</w:t>
      </w:r>
      <w:r>
        <w:rPr>
          <w:rFonts w:hint="eastAsia" w:ascii="宋体" w:hAnsi="宋体" w:cs="宋体"/>
          <w:color w:val="auto"/>
          <w:kern w:val="0"/>
          <w:sz w:val="24"/>
          <w:highlight w:val="none"/>
          <w:u w:val="none"/>
          <w:lang w:eastAsia="zh-CN" w:bidi="ar"/>
        </w:rPr>
        <w:t>王茅镇区域养老服务中心改扩建项目</w:t>
      </w:r>
    </w:p>
    <w:p w14:paraId="6EFFDAB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预算金额</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最高限价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lang w:val="en-US" w:eastAsia="zh-CN"/>
        </w:rPr>
        <w:t>3082445.25元</w:t>
      </w:r>
    </w:p>
    <w:p w14:paraId="14CCA0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kern w:val="0"/>
          <w:sz w:val="24"/>
          <w:szCs w:val="24"/>
          <w:highlight w:val="none"/>
          <w:u w:val="none"/>
          <w:lang w:val="en-US" w:eastAsia="zh-CN" w:bidi="ar"/>
        </w:rPr>
        <w:t>3.</w:t>
      </w:r>
      <w:r>
        <w:rPr>
          <w:rFonts w:hint="eastAsia" w:ascii="宋体" w:hAnsi="宋体" w:cs="宋体"/>
          <w:color w:val="auto"/>
          <w:kern w:val="0"/>
          <w:sz w:val="24"/>
          <w:szCs w:val="24"/>
          <w:highlight w:val="none"/>
          <w:u w:val="none"/>
          <w:lang w:val="en-US" w:eastAsia="zh-CN" w:bidi="ar"/>
        </w:rPr>
        <w:t>计划</w:t>
      </w:r>
      <w:r>
        <w:rPr>
          <w:rFonts w:hint="eastAsia" w:ascii="宋体" w:hAnsi="宋体" w:eastAsia="宋体" w:cs="宋体"/>
          <w:color w:val="auto"/>
          <w:kern w:val="0"/>
          <w:sz w:val="24"/>
          <w:szCs w:val="24"/>
          <w:highlight w:val="none"/>
          <w:u w:val="none"/>
          <w:lang w:val="en-US" w:eastAsia="zh-CN" w:bidi="ar"/>
        </w:rPr>
        <w:t>工期：</w:t>
      </w:r>
      <w:r>
        <w:rPr>
          <w:rFonts w:hint="eastAsia" w:ascii="宋体" w:hAnsi="宋体" w:cs="宋体"/>
          <w:color w:val="auto"/>
          <w:kern w:val="0"/>
          <w:sz w:val="24"/>
          <w:szCs w:val="24"/>
          <w:highlight w:val="none"/>
          <w:u w:val="none"/>
          <w:lang w:val="en-US" w:eastAsia="zh-CN" w:bidi="ar"/>
        </w:rPr>
        <w:t>180日历天</w:t>
      </w:r>
      <w:r>
        <w:rPr>
          <w:rFonts w:hint="eastAsia" w:ascii="宋体" w:hAnsi="宋体" w:eastAsia="宋体" w:cs="宋体"/>
          <w:color w:val="auto"/>
          <w:kern w:val="0"/>
          <w:sz w:val="24"/>
          <w:szCs w:val="24"/>
          <w:highlight w:val="none"/>
          <w:u w:val="none"/>
          <w:lang w:val="en-US" w:eastAsia="zh-CN" w:bidi="ar"/>
        </w:rPr>
        <w:t>；</w:t>
      </w:r>
    </w:p>
    <w:p w14:paraId="315F49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4"/>
          <w:szCs w:val="24"/>
          <w:highlight w:val="none"/>
          <w:u w:val="none"/>
          <w:lang w:val="en-US" w:eastAsia="zh-CN" w:bidi="ar"/>
        </w:rPr>
      </w:pPr>
      <w:r>
        <w:rPr>
          <w:rFonts w:hint="eastAsia" w:ascii="宋体" w:hAnsi="宋体" w:cs="宋体"/>
          <w:color w:val="auto"/>
          <w:kern w:val="0"/>
          <w:sz w:val="24"/>
          <w:szCs w:val="24"/>
          <w:highlight w:val="none"/>
          <w:u w:val="none"/>
          <w:lang w:val="en-US" w:eastAsia="zh-CN" w:bidi="ar"/>
        </w:rPr>
        <w:t>4.项目地点：</w:t>
      </w:r>
      <w:r>
        <w:rPr>
          <w:rFonts w:hint="eastAsia" w:ascii="宋体" w:hAnsi="宋体" w:cs="宋体"/>
          <w:color w:val="auto"/>
          <w:kern w:val="0"/>
          <w:sz w:val="24"/>
          <w:highlight w:val="none"/>
          <w:u w:val="none"/>
          <w:lang w:eastAsia="zh-CN" w:bidi="ar"/>
        </w:rPr>
        <w:t>垣曲县王茅镇区域养老服务中心</w:t>
      </w:r>
      <w:r>
        <w:rPr>
          <w:rFonts w:hint="eastAsia" w:ascii="宋体" w:hAnsi="宋体" w:cs="宋体"/>
          <w:color w:val="auto"/>
          <w:spacing w:val="-6"/>
          <w:sz w:val="24"/>
          <w:szCs w:val="21"/>
          <w:highlight w:val="none"/>
          <w:lang w:val="en-US" w:eastAsia="zh-CN"/>
        </w:rPr>
        <w:t>；</w:t>
      </w:r>
    </w:p>
    <w:p w14:paraId="255B80C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bidi="ar"/>
        </w:rPr>
        <w:t>4.质量标准：</w:t>
      </w:r>
      <w:r>
        <w:rPr>
          <w:rFonts w:hint="eastAsia" w:ascii="宋体" w:hAnsi="宋体" w:eastAsia="宋体" w:cs="宋体"/>
          <w:color w:val="auto"/>
          <w:sz w:val="24"/>
          <w:highlight w:val="none"/>
          <w:u w:val="none"/>
        </w:rPr>
        <w:t>符合现行国家有关工程施工验收规范和标准的要求</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合格</w:t>
      </w:r>
      <w:r>
        <w:rPr>
          <w:rFonts w:hint="eastAsia" w:ascii="宋体" w:hAnsi="宋体" w:cs="宋体"/>
          <w:color w:val="auto"/>
          <w:sz w:val="24"/>
          <w:highlight w:val="none"/>
          <w:u w:val="none"/>
          <w:lang w:val="en-US" w:eastAsia="zh-CN"/>
        </w:rPr>
        <w:t>；</w:t>
      </w:r>
    </w:p>
    <w:p w14:paraId="6A74E5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sz w:val="24"/>
          <w:szCs w:val="24"/>
          <w:highlight w:val="none"/>
          <w:lang w:val="zh-CN"/>
        </w:rPr>
        <w:t>采购</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王茅镇区域养老服务中心改扩建项目施工图纸及工程量清单范围内的全部内容；</w:t>
      </w:r>
    </w:p>
    <w:p w14:paraId="3CEF5D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6.付款方式：双方在签订合同时协商；</w:t>
      </w:r>
    </w:p>
    <w:p w14:paraId="438E57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7.缺陷责任期：双方在签订合同时协商</w:t>
      </w:r>
      <w:r>
        <w:rPr>
          <w:rFonts w:hint="eastAsia" w:ascii="宋体" w:hAnsi="宋体" w:cs="宋体"/>
          <w:color w:val="auto"/>
          <w:kern w:val="0"/>
          <w:sz w:val="24"/>
          <w:szCs w:val="24"/>
          <w:highlight w:val="none"/>
          <w:lang w:val="en-US" w:eastAsia="zh-CN" w:bidi="ar"/>
        </w:rPr>
        <w:t>。</w:t>
      </w:r>
    </w:p>
    <w:p w14:paraId="3F99D53A">
      <w:pPr>
        <w:spacing w:line="500" w:lineRule="exact"/>
        <w:jc w:val="both"/>
        <w:rPr>
          <w:rFonts w:hint="eastAsia" w:ascii="宋体" w:hAnsi="宋体" w:cs="宋体"/>
          <w:b/>
          <w:bCs/>
          <w:color w:val="auto"/>
          <w:sz w:val="30"/>
          <w:szCs w:val="30"/>
          <w:highlight w:val="none"/>
        </w:rPr>
      </w:pPr>
      <w:r>
        <w:rPr>
          <w:rFonts w:hint="eastAsia" w:ascii="宋体" w:hAnsi="宋体"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、工程主要内容及要求</w:t>
      </w:r>
      <w:r>
        <w:rPr>
          <w:rFonts w:hint="eastAsia" w:ascii="宋体" w:hAnsi="宋体" w:eastAsia="宋体" w:cs="宋体"/>
          <w:color w:val="auto"/>
          <w:kern w:val="0"/>
          <w:sz w:val="24"/>
          <w:szCs w:val="24"/>
          <w:highlight w:val="none"/>
          <w:lang w:val="en-US" w:eastAsia="zh-CN" w:bidi="ar"/>
        </w:rPr>
        <w:t>：见工程量清单</w:t>
      </w:r>
    </w:p>
    <w:p w14:paraId="2CF0D51F">
      <w:pPr>
        <w:spacing w:line="500" w:lineRule="exact"/>
        <w:jc w:val="center"/>
        <w:rPr>
          <w:rFonts w:hint="eastAsia" w:ascii="宋体" w:hAnsi="宋体" w:cs="宋体"/>
          <w:b/>
          <w:bCs/>
          <w:color w:val="auto"/>
          <w:sz w:val="30"/>
          <w:szCs w:val="30"/>
          <w:highlight w:val="none"/>
        </w:rPr>
      </w:pPr>
    </w:p>
    <w:p w14:paraId="132C225A">
      <w:pPr>
        <w:spacing w:line="500" w:lineRule="exact"/>
        <w:jc w:val="center"/>
        <w:rPr>
          <w:rFonts w:hint="eastAsia" w:ascii="宋体" w:hAnsi="宋体" w:cs="宋体"/>
          <w:b/>
          <w:bCs/>
          <w:color w:val="auto"/>
          <w:sz w:val="30"/>
          <w:szCs w:val="30"/>
          <w:highlight w:val="none"/>
        </w:rPr>
      </w:pPr>
    </w:p>
    <w:p w14:paraId="07A85B15">
      <w:pPr>
        <w:spacing w:line="500" w:lineRule="exact"/>
        <w:jc w:val="center"/>
        <w:rPr>
          <w:rFonts w:hint="eastAsia" w:ascii="宋体" w:hAnsi="宋体" w:cs="宋体"/>
          <w:b/>
          <w:bCs/>
          <w:color w:val="auto"/>
          <w:sz w:val="30"/>
          <w:szCs w:val="30"/>
          <w:highlight w:val="none"/>
        </w:rPr>
      </w:pPr>
    </w:p>
    <w:p w14:paraId="56AAE281">
      <w:pPr>
        <w:spacing w:line="500" w:lineRule="exact"/>
        <w:jc w:val="center"/>
        <w:rPr>
          <w:rFonts w:hint="eastAsia" w:ascii="宋体" w:hAnsi="宋体" w:cs="宋体"/>
          <w:b/>
          <w:bCs/>
          <w:color w:val="auto"/>
          <w:sz w:val="30"/>
          <w:szCs w:val="30"/>
          <w:highlight w:val="none"/>
        </w:rPr>
      </w:pPr>
    </w:p>
    <w:p w14:paraId="14BC29F6">
      <w:pPr>
        <w:spacing w:line="500" w:lineRule="exact"/>
        <w:jc w:val="center"/>
        <w:rPr>
          <w:rFonts w:hint="eastAsia" w:ascii="宋体" w:hAnsi="宋体" w:cs="宋体"/>
          <w:b/>
          <w:bCs/>
          <w:color w:val="auto"/>
          <w:sz w:val="30"/>
          <w:szCs w:val="30"/>
          <w:highlight w:val="none"/>
        </w:rPr>
      </w:pPr>
    </w:p>
    <w:p w14:paraId="7197E821">
      <w:pPr>
        <w:spacing w:line="500" w:lineRule="exact"/>
        <w:jc w:val="center"/>
        <w:rPr>
          <w:rFonts w:hint="eastAsia" w:ascii="宋体" w:hAnsi="宋体" w:cs="宋体"/>
          <w:b/>
          <w:bCs/>
          <w:color w:val="auto"/>
          <w:sz w:val="30"/>
          <w:szCs w:val="30"/>
          <w:highlight w:val="none"/>
        </w:rPr>
      </w:pPr>
    </w:p>
    <w:p w14:paraId="2F0EC475">
      <w:pPr>
        <w:pStyle w:val="2"/>
        <w:keepNext/>
        <w:keepLines/>
        <w:pageBreakBefore w:val="0"/>
        <w:widowControl w:val="0"/>
        <w:numPr>
          <w:ilvl w:val="0"/>
          <w:numId w:val="0"/>
        </w:numPr>
        <w:kinsoku/>
        <w:wordWrap/>
        <w:overflowPunct/>
        <w:topLinePunct w:val="0"/>
        <w:autoSpaceDE/>
        <w:autoSpaceDN/>
        <w:bidi w:val="0"/>
        <w:adjustRightInd/>
        <w:snapToGrid/>
        <w:spacing w:before="0" w:after="0"/>
        <w:textAlignment w:val="auto"/>
        <w:outlineLvl w:val="9"/>
        <w:rPr>
          <w:rFonts w:hint="eastAsia"/>
          <w:color w:val="auto"/>
          <w:highlight w:val="none"/>
          <w:lang w:val="en-US" w:eastAsia="zh-CN"/>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62" w:name="_Toc25681"/>
      <w:bookmarkStart w:id="63" w:name="_Toc10345"/>
    </w:p>
    <w:p w14:paraId="3C6E06DE">
      <w:pPr>
        <w:pStyle w:val="2"/>
        <w:keepNext/>
        <w:keepLines/>
        <w:pageBreakBefore w:val="0"/>
        <w:widowControl w:val="0"/>
        <w:numPr>
          <w:ilvl w:val="0"/>
          <w:numId w:val="0"/>
        </w:numPr>
        <w:kinsoku/>
        <w:wordWrap/>
        <w:overflowPunct/>
        <w:topLinePunct w:val="0"/>
        <w:autoSpaceDE/>
        <w:autoSpaceDN/>
        <w:bidi w:val="0"/>
        <w:adjustRightInd/>
        <w:snapToGrid/>
        <w:spacing w:before="0" w:after="0"/>
        <w:textAlignment w:val="auto"/>
        <w:rPr>
          <w:rFonts w:hint="eastAsia"/>
          <w:color w:val="auto"/>
          <w:highlight w:val="none"/>
          <w:lang w:eastAsia="zh-CN"/>
        </w:rPr>
      </w:pPr>
      <w:bookmarkStart w:id="64" w:name="_Toc2177"/>
      <w:bookmarkStart w:id="65" w:name="_Toc24261"/>
      <w:bookmarkStart w:id="66" w:name="_Toc212"/>
      <w:r>
        <w:rPr>
          <w:rFonts w:hint="eastAsia"/>
          <w:color w:val="auto"/>
          <w:highlight w:val="none"/>
          <w:lang w:val="en-US" w:eastAsia="zh-CN"/>
        </w:rPr>
        <w:t xml:space="preserve">第五章  </w:t>
      </w:r>
      <w:r>
        <w:rPr>
          <w:rFonts w:hint="eastAsia"/>
          <w:color w:val="auto"/>
          <w:highlight w:val="none"/>
        </w:rPr>
        <w:t>工程量清单</w:t>
      </w:r>
      <w:bookmarkEnd w:id="62"/>
      <w:bookmarkEnd w:id="63"/>
      <w:bookmarkEnd w:id="64"/>
      <w:bookmarkEnd w:id="65"/>
      <w:bookmarkEnd w:id="66"/>
      <w:bookmarkStart w:id="67" w:name="_Toc20594"/>
    </w:p>
    <w:p w14:paraId="434FD3F7">
      <w:pPr>
        <w:bidi w:val="0"/>
        <w:rPr>
          <w:rFonts w:hint="eastAsia"/>
          <w:lang w:eastAsia="zh-CN"/>
        </w:rPr>
      </w:pPr>
      <w:bookmarkStart w:id="68" w:name="_Toc9144"/>
      <w:bookmarkStart w:id="69" w:name="_Toc1111"/>
      <w:bookmarkStart w:id="70" w:name="_Toc10850"/>
      <w:bookmarkStart w:id="71" w:name="_Toc5027"/>
      <w:r>
        <w:rPr>
          <w:rFonts w:hint="eastAsia"/>
          <w:lang w:eastAsia="zh-CN"/>
        </w:rPr>
        <w:br w:type="textWrapping"/>
      </w:r>
    </w:p>
    <w:p w14:paraId="44BE238C">
      <w:pPr>
        <w:jc w:val="center"/>
        <w:rPr>
          <w:rFonts w:hint="eastAsia" w:eastAsia="宋体"/>
          <w:color w:val="auto"/>
          <w:sz w:val="28"/>
          <w:szCs w:val="36"/>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olor w:val="auto"/>
          <w:sz w:val="28"/>
          <w:szCs w:val="36"/>
          <w:highlight w:val="none"/>
          <w:lang w:eastAsia="zh-CN"/>
        </w:rPr>
        <w:t>另附</w:t>
      </w:r>
    </w:p>
    <w:p w14:paraId="381CD875">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color w:val="auto"/>
          <w:highlight w:val="none"/>
        </w:rPr>
      </w:pPr>
      <w:r>
        <w:rPr>
          <w:rFonts w:hint="eastAsia"/>
          <w:color w:val="auto"/>
          <w:highlight w:val="none"/>
          <w:lang w:eastAsia="zh-CN"/>
        </w:rPr>
        <w:t>第</w:t>
      </w:r>
      <w:r>
        <w:rPr>
          <w:rFonts w:hint="eastAsia"/>
          <w:color w:val="auto"/>
          <w:highlight w:val="none"/>
          <w:lang w:val="en-US" w:eastAsia="zh-CN"/>
        </w:rPr>
        <w:t>六</w:t>
      </w:r>
      <w:r>
        <w:rPr>
          <w:rFonts w:hint="eastAsia"/>
          <w:color w:val="auto"/>
          <w:highlight w:val="none"/>
          <w:lang w:eastAsia="zh-CN"/>
        </w:rPr>
        <w:t>章</w:t>
      </w:r>
      <w:r>
        <w:rPr>
          <w:rFonts w:hint="eastAsia"/>
          <w:color w:val="auto"/>
          <w:highlight w:val="none"/>
          <w:lang w:val="en-US" w:eastAsia="zh-CN"/>
        </w:rPr>
        <w:t xml:space="preserve">  </w:t>
      </w:r>
      <w:r>
        <w:rPr>
          <w:rFonts w:hint="eastAsia"/>
          <w:color w:val="auto"/>
          <w:highlight w:val="none"/>
        </w:rPr>
        <w:t>评审</w:t>
      </w:r>
      <w:r>
        <w:rPr>
          <w:rFonts w:hint="eastAsia"/>
          <w:color w:val="auto"/>
          <w:highlight w:val="none"/>
          <w:lang w:eastAsia="zh-CN"/>
        </w:rPr>
        <w:t>办法</w:t>
      </w:r>
      <w:bookmarkEnd w:id="59"/>
      <w:bookmarkEnd w:id="60"/>
      <w:bookmarkEnd w:id="61"/>
      <w:bookmarkEnd w:id="67"/>
      <w:bookmarkEnd w:id="68"/>
      <w:bookmarkEnd w:id="69"/>
      <w:bookmarkEnd w:id="70"/>
      <w:bookmarkEnd w:id="71"/>
    </w:p>
    <w:p w14:paraId="784F4512">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评审程序：</w:t>
      </w:r>
    </w:p>
    <w:p w14:paraId="44AB49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磋商小组对磋商文件进行确认。</w:t>
      </w:r>
    </w:p>
    <w:p w14:paraId="3BB122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磋商小组推选组长，讨论、通过磋商工作流程和磋商要点。</w:t>
      </w:r>
    </w:p>
    <w:p w14:paraId="53945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资格性审查。依据磋商文件规定，对</w:t>
      </w:r>
      <w:r>
        <w:rPr>
          <w:rFonts w:hint="eastAsia" w:ascii="宋体" w:hAnsi="宋体" w:eastAsia="宋体" w:cs="宋体"/>
          <w:color w:val="auto"/>
          <w:sz w:val="24"/>
          <w:highlight w:val="none"/>
          <w:lang w:val="en-US" w:eastAsia="zh-CN"/>
        </w:rPr>
        <w:t>各供应商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信用情况、</w:t>
      </w:r>
      <w:r>
        <w:rPr>
          <w:rFonts w:hint="eastAsia" w:ascii="宋体" w:hAnsi="宋体" w:eastAsia="宋体" w:cs="宋体"/>
          <w:color w:val="auto"/>
          <w:sz w:val="24"/>
          <w:highlight w:val="none"/>
        </w:rPr>
        <w:t>资格证明、磋商保证金（若竞争性文件要求提交磋商保证金的）是否已提供等进行审查，以确定磋商供应商是否具备参与磋商的资格。</w:t>
      </w:r>
    </w:p>
    <w:tbl>
      <w:tblPr>
        <w:tblStyle w:val="31"/>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834"/>
        <w:gridCol w:w="3134"/>
      </w:tblGrid>
      <w:tr w14:paraId="5BFA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top"/>
          </w:tcPr>
          <w:p w14:paraId="37186C4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eastAsia="宋体" w:cs="宋体"/>
                <w:color w:val="auto"/>
                <w:sz w:val="24"/>
                <w:szCs w:val="24"/>
                <w:highlight w:val="none"/>
              </w:rPr>
              <w:t>序号</w:t>
            </w:r>
          </w:p>
        </w:tc>
        <w:tc>
          <w:tcPr>
            <w:tcW w:w="4834" w:type="dxa"/>
            <w:noWrap w:val="0"/>
            <w:vAlign w:val="top"/>
          </w:tcPr>
          <w:p w14:paraId="23FD210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eastAsia="宋体" w:cs="宋体"/>
                <w:color w:val="auto"/>
                <w:sz w:val="24"/>
                <w:szCs w:val="24"/>
                <w:highlight w:val="none"/>
              </w:rPr>
              <w:t>评审因素</w:t>
            </w:r>
          </w:p>
        </w:tc>
        <w:tc>
          <w:tcPr>
            <w:tcW w:w="3134" w:type="dxa"/>
            <w:noWrap w:val="0"/>
            <w:vAlign w:val="center"/>
          </w:tcPr>
          <w:p w14:paraId="2C97D44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olor w:val="auto"/>
                <w:highlight w:val="none"/>
                <w:vertAlign w:val="baseline"/>
              </w:rPr>
            </w:pPr>
            <w:r>
              <w:rPr>
                <w:rFonts w:hint="eastAsia" w:ascii="宋体" w:hAnsi="宋体" w:eastAsia="宋体" w:cs="宋体"/>
                <w:color w:val="auto"/>
                <w:sz w:val="24"/>
                <w:szCs w:val="24"/>
                <w:highlight w:val="none"/>
              </w:rPr>
              <w:t>评审标准</w:t>
            </w:r>
          </w:p>
        </w:tc>
      </w:tr>
      <w:tr w14:paraId="2A89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30" w:type="dxa"/>
            <w:noWrap w:val="0"/>
            <w:vAlign w:val="center"/>
          </w:tcPr>
          <w:p w14:paraId="4CF32D3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834" w:type="dxa"/>
            <w:noWrap w:val="0"/>
            <w:vAlign w:val="center"/>
          </w:tcPr>
          <w:p w14:paraId="653CDE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竞争性磋商声明函</w:t>
            </w:r>
          </w:p>
        </w:tc>
        <w:tc>
          <w:tcPr>
            <w:tcW w:w="3134" w:type="dxa"/>
            <w:noWrap w:val="0"/>
            <w:vAlign w:val="center"/>
          </w:tcPr>
          <w:p w14:paraId="07D66D7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符合磋商文件要求</w:t>
            </w:r>
          </w:p>
        </w:tc>
      </w:tr>
      <w:tr w14:paraId="6FD6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3B320BD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834" w:type="dxa"/>
            <w:noWrap w:val="0"/>
            <w:vAlign w:val="center"/>
          </w:tcPr>
          <w:p w14:paraId="40DF3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若为法人须提交法定代表人身份证明书；若为授权委托代理人需提供法定代表人身份证明书、法定代表人授权委托书；</w:t>
            </w:r>
          </w:p>
        </w:tc>
        <w:tc>
          <w:tcPr>
            <w:tcW w:w="3134" w:type="dxa"/>
            <w:noWrap w:val="0"/>
            <w:vAlign w:val="center"/>
          </w:tcPr>
          <w:p w14:paraId="5F0B18A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符合磋商文件要求</w:t>
            </w:r>
          </w:p>
        </w:tc>
      </w:tr>
      <w:tr w14:paraId="3AFB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1718F9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834" w:type="dxa"/>
            <w:noWrap w:val="0"/>
            <w:vAlign w:val="center"/>
          </w:tcPr>
          <w:p w14:paraId="13C5BD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3134" w:type="dxa"/>
            <w:noWrap w:val="0"/>
            <w:vAlign w:val="center"/>
          </w:tcPr>
          <w:p w14:paraId="155042F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433F2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090491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834" w:type="dxa"/>
            <w:noWrap w:val="0"/>
            <w:vAlign w:val="center"/>
          </w:tcPr>
          <w:p w14:paraId="2E62A4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具有履行合同所必需的设备和专业技术能力</w:t>
            </w:r>
          </w:p>
        </w:tc>
        <w:tc>
          <w:tcPr>
            <w:tcW w:w="3134" w:type="dxa"/>
            <w:noWrap w:val="0"/>
            <w:vAlign w:val="center"/>
          </w:tcPr>
          <w:p w14:paraId="0601F77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4D11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592511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834" w:type="dxa"/>
            <w:noWrap w:val="0"/>
            <w:vAlign w:val="center"/>
          </w:tcPr>
          <w:p w14:paraId="6578C7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具有良好的商业信誉和健全的财务会计制度</w:t>
            </w:r>
          </w:p>
        </w:tc>
        <w:tc>
          <w:tcPr>
            <w:tcW w:w="3134" w:type="dxa"/>
            <w:noWrap w:val="0"/>
            <w:vAlign w:val="center"/>
          </w:tcPr>
          <w:p w14:paraId="6DCC6DF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4811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74C895B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834" w:type="dxa"/>
            <w:noWrap w:val="0"/>
            <w:vAlign w:val="center"/>
          </w:tcPr>
          <w:p w14:paraId="4A8EC7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3134" w:type="dxa"/>
            <w:noWrap w:val="0"/>
            <w:vAlign w:val="center"/>
          </w:tcPr>
          <w:p w14:paraId="0932592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42FF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BEE855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834" w:type="dxa"/>
            <w:noWrap w:val="0"/>
            <w:vAlign w:val="center"/>
          </w:tcPr>
          <w:p w14:paraId="6F2AF8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3134" w:type="dxa"/>
            <w:noWrap w:val="0"/>
            <w:vAlign w:val="center"/>
          </w:tcPr>
          <w:p w14:paraId="2831146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提供供应商信用承诺书</w:t>
            </w:r>
          </w:p>
        </w:tc>
      </w:tr>
      <w:tr w14:paraId="36EA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30" w:type="dxa"/>
            <w:noWrap w:val="0"/>
            <w:vAlign w:val="center"/>
          </w:tcPr>
          <w:p w14:paraId="74F1D45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834" w:type="dxa"/>
            <w:noWrap w:val="0"/>
            <w:vAlign w:val="center"/>
          </w:tcPr>
          <w:p w14:paraId="206C2A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有效的营业执照或事业单位法人证书或自然人身份证明或其他非企业组织证明独立承担民事责任能力的文件</w:t>
            </w:r>
          </w:p>
        </w:tc>
        <w:tc>
          <w:tcPr>
            <w:tcW w:w="3134" w:type="dxa"/>
            <w:noWrap w:val="0"/>
            <w:vAlign w:val="center"/>
          </w:tcPr>
          <w:p w14:paraId="4DD7AEC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提供有效的营业执照或事业单位法人证书或自然人身份证明或其他非企业组织证明独立承担民事责任能力的文件</w:t>
            </w:r>
          </w:p>
        </w:tc>
      </w:tr>
      <w:tr w14:paraId="4218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30" w:type="dxa"/>
            <w:noWrap w:val="0"/>
            <w:vAlign w:val="center"/>
          </w:tcPr>
          <w:p w14:paraId="3C777EE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834" w:type="dxa"/>
            <w:noWrap w:val="0"/>
            <w:vAlign w:val="center"/>
          </w:tcPr>
          <w:p w14:paraId="4FDF48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银行基本账户开户许可证或基本账户存款信息</w:t>
            </w:r>
          </w:p>
        </w:tc>
        <w:tc>
          <w:tcPr>
            <w:tcW w:w="3134" w:type="dxa"/>
            <w:noWrap w:val="0"/>
            <w:vAlign w:val="center"/>
          </w:tcPr>
          <w:p w14:paraId="07EDEFB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提供有效的</w:t>
            </w:r>
            <w:r>
              <w:rPr>
                <w:rFonts w:hint="eastAsia" w:ascii="宋体" w:hAnsi="宋体" w:eastAsia="宋体" w:cs="宋体"/>
                <w:color w:val="auto"/>
                <w:sz w:val="24"/>
                <w:szCs w:val="24"/>
                <w:highlight w:val="none"/>
                <w:lang w:eastAsia="zh-CN"/>
              </w:rPr>
              <w:t>银行基本账户开户许可证或基本账户存款信息</w:t>
            </w:r>
            <w:r>
              <w:rPr>
                <w:rFonts w:hint="eastAsia" w:ascii="宋体" w:hAnsi="宋体" w:cs="宋体"/>
                <w:color w:val="auto"/>
                <w:sz w:val="24"/>
                <w:szCs w:val="24"/>
                <w:highlight w:val="none"/>
                <w:lang w:eastAsia="zh-CN"/>
              </w:rPr>
              <w:t>扫描件</w:t>
            </w:r>
          </w:p>
        </w:tc>
      </w:tr>
      <w:tr w14:paraId="4104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30" w:type="dxa"/>
            <w:noWrap w:val="0"/>
            <w:vAlign w:val="center"/>
          </w:tcPr>
          <w:p w14:paraId="350EFE3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834" w:type="dxa"/>
            <w:noWrap w:val="0"/>
            <w:vAlign w:val="center"/>
          </w:tcPr>
          <w:p w14:paraId="096BBA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color w:val="auto"/>
                <w:sz w:val="24"/>
                <w:szCs w:val="24"/>
                <w:highlight w:val="none"/>
                <w:lang w:val="en-US" w:eastAsia="zh-CN"/>
              </w:rPr>
              <w:t>投标保证金缴纳凭证</w:t>
            </w:r>
          </w:p>
        </w:tc>
        <w:tc>
          <w:tcPr>
            <w:tcW w:w="3134" w:type="dxa"/>
            <w:noWrap w:val="0"/>
            <w:vAlign w:val="center"/>
          </w:tcPr>
          <w:p w14:paraId="66B564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符合磋商文件要求</w:t>
            </w:r>
          </w:p>
        </w:tc>
      </w:tr>
      <w:tr w14:paraId="27EF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30" w:type="dxa"/>
            <w:noWrap w:val="0"/>
            <w:vAlign w:val="center"/>
          </w:tcPr>
          <w:p w14:paraId="6FC856A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4834" w:type="dxa"/>
            <w:noWrap w:val="0"/>
            <w:vAlign w:val="center"/>
          </w:tcPr>
          <w:p w14:paraId="56CAE2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诚信投标承诺书</w:t>
            </w:r>
          </w:p>
        </w:tc>
        <w:tc>
          <w:tcPr>
            <w:tcW w:w="3134" w:type="dxa"/>
            <w:noWrap w:val="0"/>
            <w:vAlign w:val="center"/>
          </w:tcPr>
          <w:p w14:paraId="4072A0B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符合磋商文件要求</w:t>
            </w:r>
          </w:p>
        </w:tc>
      </w:tr>
      <w:tr w14:paraId="0114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30" w:type="dxa"/>
            <w:noWrap w:val="0"/>
            <w:vAlign w:val="center"/>
          </w:tcPr>
          <w:p w14:paraId="3F7F0CC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4834" w:type="dxa"/>
            <w:noWrap w:val="0"/>
            <w:vAlign w:val="center"/>
          </w:tcPr>
          <w:p w14:paraId="14ECD5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供应商为中小企业</w:t>
            </w:r>
          </w:p>
        </w:tc>
        <w:tc>
          <w:tcPr>
            <w:tcW w:w="3134" w:type="dxa"/>
            <w:noWrap w:val="0"/>
            <w:vAlign w:val="center"/>
          </w:tcPr>
          <w:p w14:paraId="7663400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请根据要求单独上传《中小企业声明函》，格式以采购文件要求为准</w:t>
            </w:r>
          </w:p>
        </w:tc>
      </w:tr>
      <w:tr w14:paraId="041A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0" w:type="dxa"/>
            <w:noWrap w:val="0"/>
            <w:vAlign w:val="center"/>
          </w:tcPr>
          <w:p w14:paraId="36DEA18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eastAsia="宋体"/>
                <w:color w:val="auto"/>
                <w:highlight w:val="none"/>
                <w:vertAlign w:val="baseline"/>
                <w:lang w:val="en-US" w:eastAsia="zh-CN"/>
              </w:rPr>
            </w:pPr>
            <w:r>
              <w:rPr>
                <w:rFonts w:hint="eastAsia" w:ascii="宋体" w:hAnsi="宋体" w:cs="宋体"/>
                <w:color w:val="auto"/>
                <w:sz w:val="24"/>
                <w:szCs w:val="24"/>
                <w:highlight w:val="none"/>
                <w:lang w:val="en-US" w:eastAsia="zh-CN"/>
              </w:rPr>
              <w:t>13</w:t>
            </w:r>
          </w:p>
        </w:tc>
        <w:tc>
          <w:tcPr>
            <w:tcW w:w="4834" w:type="dxa"/>
            <w:noWrap w:val="0"/>
            <w:vAlign w:val="center"/>
          </w:tcPr>
          <w:p w14:paraId="2DBD09DD">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供应商须具备</w:t>
            </w:r>
            <w:r>
              <w:rPr>
                <w:rFonts w:hint="eastAsia" w:ascii="宋体" w:hAnsi="宋体" w:cs="宋体"/>
                <w:color w:val="auto"/>
                <w:sz w:val="24"/>
                <w:szCs w:val="24"/>
                <w:highlight w:val="none"/>
                <w:lang w:val="en-US" w:eastAsia="zh-CN"/>
              </w:rPr>
              <w:t>建筑工程施工总承包三级及以上资质</w:t>
            </w:r>
            <w:r>
              <w:rPr>
                <w:rFonts w:hint="eastAsia" w:ascii="宋体" w:hAnsi="宋体" w:eastAsia="宋体" w:cs="宋体"/>
                <w:color w:val="auto"/>
                <w:sz w:val="24"/>
                <w:szCs w:val="24"/>
                <w:highlight w:val="none"/>
                <w:lang w:val="en-US" w:eastAsia="zh-CN"/>
              </w:rPr>
              <w:t>，有效的营业执照、安全生产许可证，并在人员、设备、资金等方面具有相应能力，其中，拟派项目经理须具备</w:t>
            </w:r>
            <w:r>
              <w:rPr>
                <w:rFonts w:hint="eastAsia" w:ascii="宋体" w:hAnsi="宋体" w:cs="宋体"/>
                <w:color w:val="auto"/>
                <w:sz w:val="24"/>
                <w:szCs w:val="24"/>
                <w:highlight w:val="none"/>
                <w:lang w:val="en-US" w:eastAsia="zh-CN"/>
              </w:rPr>
              <w:t>建筑工程专业二级及以上注册建造师资格</w:t>
            </w:r>
            <w:r>
              <w:rPr>
                <w:rFonts w:hint="eastAsia" w:ascii="宋体" w:hAnsi="宋体" w:eastAsia="宋体" w:cs="宋体"/>
                <w:color w:val="auto"/>
                <w:sz w:val="24"/>
                <w:szCs w:val="24"/>
                <w:highlight w:val="none"/>
                <w:lang w:val="en-US" w:eastAsia="zh-CN"/>
              </w:rPr>
              <w:t>，具备有效的安全生产考核证，且未担任其他在建项目的项目经理；</w:t>
            </w:r>
          </w:p>
          <w:p w14:paraId="061ED13F">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单位负责人为同一人或者存在直接控股、管理关系的不同供应商，不得参加同一合同项下的政府采购活动，否则相关投标均无效；</w:t>
            </w:r>
          </w:p>
        </w:tc>
        <w:tc>
          <w:tcPr>
            <w:tcW w:w="3134" w:type="dxa"/>
            <w:noWrap w:val="0"/>
            <w:vAlign w:val="center"/>
          </w:tcPr>
          <w:p w14:paraId="703192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color w:val="auto"/>
                <w:highlight w:val="none"/>
                <w:vertAlign w:val="baseline"/>
                <w:lang w:val="en-US"/>
              </w:rPr>
            </w:pPr>
            <w:r>
              <w:rPr>
                <w:rFonts w:hint="eastAsia" w:ascii="宋体" w:hAnsi="宋体" w:eastAsia="宋体" w:cs="宋体"/>
                <w:color w:val="auto"/>
                <w:sz w:val="24"/>
                <w:szCs w:val="24"/>
                <w:highlight w:val="none"/>
                <w:lang w:val="en-US" w:eastAsia="zh-CN"/>
              </w:rPr>
              <w:t>提供有效的证明资料且符合磋商文件要求</w:t>
            </w:r>
          </w:p>
        </w:tc>
      </w:tr>
    </w:tbl>
    <w:p w14:paraId="415F75AA">
      <w:pPr>
        <w:adjustRightInd w:val="0"/>
        <w:snapToGrid w:val="0"/>
        <w:spacing w:line="400" w:lineRule="exact"/>
        <w:jc w:val="left"/>
        <w:rPr>
          <w:rFonts w:hint="eastAsia" w:ascii="宋体" w:hAnsi="宋体" w:eastAsia="宋体" w:cs="宋体"/>
          <w:color w:val="auto"/>
          <w:sz w:val="24"/>
          <w:highlight w:val="none"/>
        </w:rPr>
      </w:pPr>
      <w:r>
        <w:rPr>
          <w:rFonts w:hint="eastAsia" w:ascii="宋体" w:hAnsi="宋体" w:cs="宋体"/>
          <w:b/>
          <w:bCs/>
          <w:color w:val="auto"/>
          <w:sz w:val="24"/>
          <w:szCs w:val="24"/>
          <w:highlight w:val="none"/>
          <w:lang w:val="en-US" w:eastAsia="zh-CN"/>
        </w:rPr>
        <w:t>注：在使用电子投标客户端编制投标文件时，以上第3项-第7项内容均应按本采购文件“第七章 响应文件格式”中的“供应商信用承诺书格式”编写上传，未按规定提供视为未实质性响应采购文件要求，按无效投标（响应）处理。</w:t>
      </w:r>
      <w:r>
        <w:rPr>
          <w:rFonts w:hint="eastAsia" w:ascii="宋体" w:hAnsi="宋体" w:eastAsia="宋体" w:cs="宋体"/>
          <w:color w:val="auto"/>
          <w:sz w:val="24"/>
          <w:highlight w:val="none"/>
        </w:rPr>
        <w:br w:type="textWrapping"/>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符合性审查。磋商小组依据磋商文件规定，对响应文件的内容是否完整，文件签署是否正确、响应文件</w:t>
      </w:r>
      <w:r>
        <w:rPr>
          <w:rFonts w:hint="eastAsia" w:ascii="宋体" w:hAnsi="宋体" w:eastAsia="宋体" w:cs="宋体"/>
          <w:color w:val="auto"/>
          <w:sz w:val="24"/>
          <w:highlight w:val="none"/>
          <w:lang w:eastAsia="zh-CN"/>
        </w:rPr>
        <w:t>、已标价工程量清单</w:t>
      </w:r>
      <w:r>
        <w:rPr>
          <w:rFonts w:hint="eastAsia" w:ascii="宋体" w:hAnsi="宋体" w:eastAsia="宋体" w:cs="宋体"/>
          <w:color w:val="auto"/>
          <w:sz w:val="24"/>
          <w:highlight w:val="none"/>
        </w:rPr>
        <w:t>是否符合磋商文件的要求进行审查，以确定是否对磋商文件的实质性要求作出响应。</w:t>
      </w:r>
    </w:p>
    <w:tbl>
      <w:tblPr>
        <w:tblStyle w:val="3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287"/>
        <w:gridCol w:w="5683"/>
      </w:tblGrid>
      <w:tr w14:paraId="287C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8" w:type="dxa"/>
            <w:noWrap w:val="0"/>
            <w:vAlign w:val="center"/>
          </w:tcPr>
          <w:p w14:paraId="21E32A30">
            <w:pPr>
              <w:tabs>
                <w:tab w:val="left" w:pos="0"/>
              </w:tabs>
              <w:adjustRightInd w:val="0"/>
              <w:snapToGrid w:val="0"/>
              <w:spacing w:line="46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287" w:type="dxa"/>
            <w:noWrap w:val="0"/>
            <w:vAlign w:val="center"/>
          </w:tcPr>
          <w:p w14:paraId="5E9A8B9D">
            <w:pPr>
              <w:tabs>
                <w:tab w:val="left" w:pos="0"/>
              </w:tabs>
              <w:adjustRightInd w:val="0"/>
              <w:snapToGrid w:val="0"/>
              <w:spacing w:line="460" w:lineRule="exact"/>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评审因素</w:t>
            </w:r>
          </w:p>
        </w:tc>
        <w:tc>
          <w:tcPr>
            <w:tcW w:w="5683" w:type="dxa"/>
            <w:noWrap w:val="0"/>
            <w:vAlign w:val="center"/>
          </w:tcPr>
          <w:p w14:paraId="5A6EEF63">
            <w:pPr>
              <w:tabs>
                <w:tab w:val="left" w:pos="0"/>
              </w:tabs>
              <w:adjustRightInd w:val="0"/>
              <w:snapToGrid w:val="0"/>
              <w:spacing w:line="460" w:lineRule="exact"/>
              <w:jc w:val="center"/>
              <w:rPr>
                <w:rFonts w:hint="eastAsia" w:ascii="宋体" w:hAnsi="宋体" w:cs="宋体"/>
                <w:color w:val="auto"/>
                <w:sz w:val="24"/>
                <w:szCs w:val="24"/>
                <w:highlight w:val="none"/>
                <w:lang w:eastAsia="zh-CN"/>
              </w:rPr>
            </w:pPr>
            <w:r>
              <w:rPr>
                <w:rFonts w:hint="eastAsia" w:ascii="宋体" w:hAnsi="宋体" w:cs="宋体"/>
                <w:color w:val="auto"/>
                <w:kern w:val="0"/>
                <w:sz w:val="24"/>
                <w:szCs w:val="24"/>
                <w:highlight w:val="none"/>
              </w:rPr>
              <w:t>评审标准</w:t>
            </w:r>
          </w:p>
        </w:tc>
      </w:tr>
      <w:tr w14:paraId="4770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68" w:type="dxa"/>
            <w:noWrap w:val="0"/>
            <w:vAlign w:val="center"/>
          </w:tcPr>
          <w:p w14:paraId="5B01503B">
            <w:pPr>
              <w:tabs>
                <w:tab w:val="left" w:pos="0"/>
              </w:tabs>
              <w:adjustRightInd w:val="0"/>
              <w:snapToGrid w:val="0"/>
              <w:spacing w:line="46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287" w:type="dxa"/>
            <w:noWrap w:val="0"/>
            <w:vAlign w:val="center"/>
          </w:tcPr>
          <w:p w14:paraId="5CECC973">
            <w:pPr>
              <w:spacing w:line="46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名称</w:t>
            </w:r>
          </w:p>
        </w:tc>
        <w:tc>
          <w:tcPr>
            <w:tcW w:w="5683" w:type="dxa"/>
            <w:noWrap w:val="0"/>
            <w:vAlign w:val="center"/>
          </w:tcPr>
          <w:p w14:paraId="0C591959">
            <w:pPr>
              <w:tabs>
                <w:tab w:val="left" w:pos="0"/>
              </w:tabs>
              <w:adjustRightInd w:val="0"/>
              <w:snapToGrid w:val="0"/>
              <w:spacing w:line="460" w:lineRule="exact"/>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与营业执照、企业资质证书、安全生产许可证名称一致</w:t>
            </w:r>
          </w:p>
        </w:tc>
      </w:tr>
      <w:tr w14:paraId="1B29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68" w:type="dxa"/>
            <w:noWrap w:val="0"/>
            <w:vAlign w:val="center"/>
          </w:tcPr>
          <w:p w14:paraId="5C6220B8">
            <w:pPr>
              <w:tabs>
                <w:tab w:val="left" w:pos="0"/>
              </w:tabs>
              <w:adjustRightInd w:val="0"/>
              <w:snapToGrid w:val="0"/>
              <w:spacing w:line="46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287" w:type="dxa"/>
            <w:noWrap w:val="0"/>
            <w:vAlign w:val="center"/>
          </w:tcPr>
          <w:p w14:paraId="33B53138">
            <w:pPr>
              <w:spacing w:line="46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响应文件</w:t>
            </w:r>
            <w:r>
              <w:rPr>
                <w:rFonts w:hint="eastAsia" w:ascii="宋体" w:hAnsi="宋体" w:cs="宋体"/>
                <w:color w:val="auto"/>
                <w:sz w:val="24"/>
                <w:szCs w:val="24"/>
                <w:highlight w:val="none"/>
              </w:rPr>
              <w:t>签字盖章</w:t>
            </w:r>
          </w:p>
        </w:tc>
        <w:tc>
          <w:tcPr>
            <w:tcW w:w="5683" w:type="dxa"/>
            <w:noWrap w:val="0"/>
            <w:vAlign w:val="center"/>
          </w:tcPr>
          <w:p w14:paraId="6E04EF16">
            <w:pPr>
              <w:tabs>
                <w:tab w:val="left" w:pos="0"/>
              </w:tabs>
              <w:adjustRightInd w:val="0"/>
              <w:snapToGrid w:val="0"/>
              <w:spacing w:line="4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符合磋商文件要求</w:t>
            </w:r>
          </w:p>
        </w:tc>
      </w:tr>
      <w:tr w14:paraId="5F99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68" w:type="dxa"/>
            <w:noWrap w:val="0"/>
            <w:vAlign w:val="center"/>
          </w:tcPr>
          <w:p w14:paraId="7EAA958E">
            <w:pPr>
              <w:tabs>
                <w:tab w:val="left" w:pos="0"/>
              </w:tabs>
              <w:adjustRightInd w:val="0"/>
              <w:snapToGrid w:val="0"/>
              <w:spacing w:line="46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287" w:type="dxa"/>
            <w:noWrap w:val="0"/>
            <w:vAlign w:val="center"/>
          </w:tcPr>
          <w:p w14:paraId="66B408F1">
            <w:pPr>
              <w:spacing w:line="46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响应文件有效期</w:t>
            </w:r>
          </w:p>
        </w:tc>
        <w:tc>
          <w:tcPr>
            <w:tcW w:w="5683" w:type="dxa"/>
            <w:noWrap w:val="0"/>
            <w:vAlign w:val="center"/>
          </w:tcPr>
          <w:p w14:paraId="0AB019BF">
            <w:pPr>
              <w:tabs>
                <w:tab w:val="left" w:pos="0"/>
              </w:tabs>
              <w:adjustRightInd w:val="0"/>
              <w:snapToGrid w:val="0"/>
              <w:spacing w:line="4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符合磋商文件规定的有效期</w:t>
            </w:r>
          </w:p>
        </w:tc>
      </w:tr>
      <w:tr w14:paraId="65D0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8" w:type="dxa"/>
            <w:noWrap w:val="0"/>
            <w:vAlign w:val="center"/>
          </w:tcPr>
          <w:p w14:paraId="1C2D3BE5">
            <w:pPr>
              <w:tabs>
                <w:tab w:val="left" w:pos="0"/>
              </w:tabs>
              <w:adjustRightInd w:val="0"/>
              <w:snapToGrid w:val="0"/>
              <w:spacing w:line="46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287" w:type="dxa"/>
            <w:noWrap w:val="0"/>
            <w:vAlign w:val="center"/>
          </w:tcPr>
          <w:p w14:paraId="0E321C25">
            <w:pPr>
              <w:spacing w:line="46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工期</w:t>
            </w:r>
          </w:p>
        </w:tc>
        <w:tc>
          <w:tcPr>
            <w:tcW w:w="5683" w:type="dxa"/>
            <w:noWrap w:val="0"/>
            <w:vAlign w:val="center"/>
          </w:tcPr>
          <w:p w14:paraId="2849E0DC">
            <w:pPr>
              <w:tabs>
                <w:tab w:val="left" w:pos="0"/>
              </w:tabs>
              <w:adjustRightInd w:val="0"/>
              <w:snapToGrid w:val="0"/>
              <w:spacing w:line="4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符合</w:t>
            </w:r>
            <w:r>
              <w:rPr>
                <w:rFonts w:hint="eastAsia" w:ascii="宋体" w:hAnsi="宋体" w:cs="宋体"/>
                <w:color w:val="auto"/>
                <w:sz w:val="24"/>
                <w:szCs w:val="24"/>
                <w:highlight w:val="none"/>
                <w:lang w:eastAsia="zh-CN"/>
              </w:rPr>
              <w:t>或优于</w:t>
            </w:r>
            <w:r>
              <w:rPr>
                <w:rFonts w:hint="eastAsia" w:ascii="宋体" w:hAnsi="宋体" w:cs="宋体"/>
                <w:color w:val="auto"/>
                <w:sz w:val="24"/>
                <w:szCs w:val="24"/>
                <w:highlight w:val="none"/>
              </w:rPr>
              <w:t>磋商文件规定的工期</w:t>
            </w:r>
          </w:p>
        </w:tc>
      </w:tr>
      <w:tr w14:paraId="637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8" w:type="dxa"/>
            <w:noWrap w:val="0"/>
            <w:vAlign w:val="center"/>
          </w:tcPr>
          <w:p w14:paraId="7A85861F">
            <w:pPr>
              <w:tabs>
                <w:tab w:val="left" w:pos="0"/>
              </w:tabs>
              <w:adjustRightInd w:val="0"/>
              <w:snapToGrid w:val="0"/>
              <w:spacing w:line="4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5</w:t>
            </w:r>
          </w:p>
        </w:tc>
        <w:tc>
          <w:tcPr>
            <w:tcW w:w="2287" w:type="dxa"/>
            <w:noWrap w:val="0"/>
            <w:vAlign w:val="center"/>
          </w:tcPr>
          <w:p w14:paraId="268FACBC">
            <w:pPr>
              <w:spacing w:line="46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响应文件报价</w:t>
            </w:r>
          </w:p>
        </w:tc>
        <w:tc>
          <w:tcPr>
            <w:tcW w:w="5683" w:type="dxa"/>
            <w:noWrap w:val="0"/>
            <w:vAlign w:val="center"/>
          </w:tcPr>
          <w:p w14:paraId="2652E7F9">
            <w:pPr>
              <w:tabs>
                <w:tab w:val="left" w:pos="0"/>
              </w:tabs>
              <w:adjustRightInd w:val="0"/>
              <w:snapToGrid w:val="0"/>
              <w:spacing w:line="460" w:lineRule="exact"/>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投标报价唯一且低于（含等于）</w:t>
            </w:r>
            <w:r>
              <w:rPr>
                <w:rFonts w:hint="eastAsia" w:ascii="宋体" w:hAnsi="宋体" w:cs="宋体"/>
                <w:color w:val="auto"/>
                <w:sz w:val="24"/>
                <w:szCs w:val="24"/>
                <w:highlight w:val="none"/>
                <w:lang w:val="en-US" w:eastAsia="zh-CN"/>
              </w:rPr>
              <w:t>最高限价</w:t>
            </w:r>
          </w:p>
        </w:tc>
      </w:tr>
      <w:tr w14:paraId="3E8A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68" w:type="dxa"/>
            <w:noWrap w:val="0"/>
            <w:vAlign w:val="center"/>
          </w:tcPr>
          <w:p w14:paraId="5836867C">
            <w:pPr>
              <w:tabs>
                <w:tab w:val="left" w:pos="0"/>
              </w:tabs>
              <w:adjustRightInd w:val="0"/>
              <w:snapToGrid w:val="0"/>
              <w:spacing w:line="460" w:lineRule="exact"/>
              <w:jc w:val="center"/>
              <w:rPr>
                <w:rFonts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6</w:t>
            </w:r>
          </w:p>
        </w:tc>
        <w:tc>
          <w:tcPr>
            <w:tcW w:w="2287" w:type="dxa"/>
            <w:noWrap w:val="0"/>
            <w:vAlign w:val="center"/>
          </w:tcPr>
          <w:p w14:paraId="3CC6BC74">
            <w:pPr>
              <w:spacing w:line="46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报价内容</w:t>
            </w:r>
          </w:p>
        </w:tc>
        <w:tc>
          <w:tcPr>
            <w:tcW w:w="5683" w:type="dxa"/>
            <w:noWrap w:val="0"/>
            <w:vAlign w:val="center"/>
          </w:tcPr>
          <w:p w14:paraId="33378DDE">
            <w:pPr>
              <w:tabs>
                <w:tab w:val="left" w:pos="0"/>
              </w:tabs>
              <w:adjustRightInd w:val="0"/>
              <w:snapToGrid w:val="0"/>
              <w:spacing w:line="460" w:lineRule="exact"/>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符合磋商文件</w:t>
            </w:r>
            <w:r>
              <w:rPr>
                <w:rFonts w:hint="eastAsia" w:ascii="宋体" w:hAnsi="宋体" w:cs="宋体"/>
                <w:color w:val="auto"/>
                <w:kern w:val="0"/>
                <w:sz w:val="24"/>
                <w:szCs w:val="24"/>
                <w:highlight w:val="none"/>
              </w:rPr>
              <w:t>要求</w:t>
            </w:r>
          </w:p>
        </w:tc>
      </w:tr>
    </w:tbl>
    <w:p w14:paraId="78CD1E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在资格性、符合性审查中如出现下列情况之一的响应文件，按无效响应招标文件处理，不再进行磋商，磋商小组当场告知供应商：</w:t>
      </w:r>
    </w:p>
    <w:p w14:paraId="1F0953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（1）磋商文件要求提供磋商保证金的，磋商供应商未提供磋商保证金或磋商保证金金额不足的</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val="en-US" w:eastAsia="zh-CN"/>
        </w:rPr>
        <w:t>保证金形式不符合磋商文件要求的</w:t>
      </w:r>
      <w:r>
        <w:rPr>
          <w:rFonts w:hint="eastAsia" w:ascii="宋体" w:hAnsi="宋体" w:eastAsia="宋体" w:cs="宋体"/>
          <w:color w:val="auto"/>
          <w:sz w:val="24"/>
          <w:highlight w:val="none"/>
        </w:rPr>
        <w:t>；</w:t>
      </w:r>
    </w:p>
    <w:p w14:paraId="510F7A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（2）响应文件中资格证明文件不全或未实质性响应竞争性磋商文件要求的；</w:t>
      </w:r>
    </w:p>
    <w:p w14:paraId="368168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（3）响应文件无法定代表人或其有效委托的授权人的签字，或未按磋商文件的要求加盖公章的，或授权期限不符合要求的；</w:t>
      </w:r>
    </w:p>
    <w:p w14:paraId="47944E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（4）响应文件有效期短于竞争性磋商文件要求的；</w:t>
      </w:r>
    </w:p>
    <w:p w14:paraId="4845EA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（5）响应文件中提供虚假或失实资料的；</w:t>
      </w:r>
    </w:p>
    <w:p w14:paraId="6F9156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（6）不满足磋商文件其他实质性要求的；</w:t>
      </w:r>
    </w:p>
    <w:p w14:paraId="08869FDF">
      <w:pPr>
        <w:adjustRightInd w:val="0"/>
        <w:snapToGrid w:val="0"/>
        <w:spacing w:line="44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szCs w:val="24"/>
          <w:highlight w:val="none"/>
        </w:rPr>
        <w:t>异常低价审查</w:t>
      </w:r>
    </w:p>
    <w:p w14:paraId="215837FF">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lang w:val="en-US" w:eastAsia="zh-CN"/>
        </w:rPr>
        <w:t>政府采购评审中出现下列情形之一的，评审委员会应当启动异常低价投标（响应）审查程序：</w:t>
      </w:r>
    </w:p>
    <w:p w14:paraId="1AC7749A">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20622D8D">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47FB8BC">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06B92716">
      <w:pPr>
        <w:adjustRightInd w:val="0"/>
        <w:snapToGrid w:val="0"/>
        <w:spacing w:line="440" w:lineRule="exact"/>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2C011D36">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4AEF6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9C41C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磋商小组对通过资格性和符合审查的响应文件进行评估，确定与各供应商磋商的具体内容。</w:t>
      </w:r>
    </w:p>
    <w:p w14:paraId="0E9147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围绕磋商要点，磋商小组全体成员集中与单一供应商分别进行磋商。逐家磋商一次为一个轮次，磋商轮次由磋商小组视情况决定。</w:t>
      </w:r>
    </w:p>
    <w:p w14:paraId="32C1AA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磋商过程中，磋商小组可根据磋商情况实质性变动采购需求中的技术要求以及合同草案条款，但不得变动磋商文件中的其他内容。实质性变动的内容需经采购人代表确认。并以书面形式通知所有参加磋商的供应商，该变动是磋商文件的有效组成部分。供应商应当按照磋商文件的变动情况和磋商小组的要求重新提交响应文件并由其法定代表人或授权代表签字或者加盖公章。由授权代表签字的应当附法定代表人授权书。供应商为自然人的应当由本人签字并附身份证。供应商应根据磋商小组的要求，以书面形式在规定时间内作出响应，未作出响应的响应文件将被视为无效投标。</w:t>
      </w:r>
    </w:p>
    <w:p w14:paraId="26C81B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磋商结束后，磋商小组将要求实质性响应磋商文件的供应商在规定时间内提交最后报价，磋商小组将</w:t>
      </w:r>
      <w:r>
        <w:rPr>
          <w:rFonts w:hint="eastAsia" w:ascii="宋体" w:hAnsi="宋体" w:cs="宋体"/>
          <w:color w:val="auto"/>
          <w:sz w:val="24"/>
          <w:highlight w:val="none"/>
          <w:lang w:eastAsia="zh-CN"/>
        </w:rPr>
        <w:t>在线评审</w:t>
      </w:r>
      <w:r>
        <w:rPr>
          <w:rFonts w:hint="eastAsia" w:ascii="宋体" w:hAnsi="宋体" w:eastAsia="宋体" w:cs="宋体"/>
          <w:color w:val="auto"/>
          <w:sz w:val="24"/>
          <w:highlight w:val="none"/>
        </w:rPr>
        <w:t>。在规定时间内没有提交最后报价的磋商供应商，视同退出磋商。未通过实质性</w:t>
      </w:r>
      <w:r>
        <w:rPr>
          <w:rFonts w:hint="eastAsia" w:ascii="宋体" w:hAnsi="宋体" w:cs="宋体"/>
          <w:color w:val="auto"/>
          <w:sz w:val="24"/>
          <w:highlight w:val="none"/>
          <w:lang w:eastAsia="zh-CN"/>
        </w:rPr>
        <w:t>响</w:t>
      </w:r>
      <w:r>
        <w:rPr>
          <w:rFonts w:hint="eastAsia" w:ascii="宋体" w:hAnsi="宋体" w:eastAsia="宋体" w:cs="宋体"/>
          <w:color w:val="auto"/>
          <w:sz w:val="24"/>
          <w:highlight w:val="none"/>
        </w:rPr>
        <w:t>应的供应商将不再进行最后报价。经磋商确定最终采购需求和提交最后报价的供应商后，由磋商小组采用综合评分法对提交最后报价的供应商的响应文件和最后报价进行评分。</w:t>
      </w:r>
    </w:p>
    <w:p w14:paraId="6BC285B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评审方法及标准：</w:t>
      </w:r>
    </w:p>
    <w:p w14:paraId="1904C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color w:val="auto"/>
          <w:sz w:val="24"/>
          <w:highlight w:val="none"/>
          <w:lang w:val="en-US" w:eastAsia="zh-CN"/>
        </w:rPr>
      </w:pPr>
      <w:bookmarkStart w:id="72" w:name="OLE_LINK1"/>
      <w:r>
        <w:rPr>
          <w:rFonts w:hint="eastAsia" w:ascii="宋体" w:hAnsi="宋体" w:cs="宋体"/>
          <w:color w:val="auto"/>
          <w:sz w:val="24"/>
          <w:highlight w:val="none"/>
          <w:lang w:val="en-US" w:eastAsia="zh-CN"/>
        </w:rPr>
        <w:t>1.</w:t>
      </w:r>
      <w:r>
        <w:rPr>
          <w:rFonts w:hint="eastAsia" w:ascii="宋体" w:hAnsi="宋体" w:cs="宋体"/>
          <w:color w:val="auto"/>
          <w:sz w:val="24"/>
          <w:highlight w:val="none"/>
        </w:rPr>
        <w:t>评审方法：本项目采用综合评分法，总分为100分。综合评分法，是指响应文件满足磋商文件全部实质性要求且按评审因素的量化指标评审得分最高的供应商为</w:t>
      </w:r>
      <w:r>
        <w:rPr>
          <w:rFonts w:hint="eastAsia" w:ascii="宋体" w:hAnsi="宋体" w:cs="宋体"/>
          <w:color w:val="auto"/>
          <w:sz w:val="24"/>
          <w:highlight w:val="none"/>
          <w:lang w:eastAsia="zh-CN"/>
        </w:rPr>
        <w:t>中标</w:t>
      </w:r>
      <w:r>
        <w:rPr>
          <w:rFonts w:hint="eastAsia" w:ascii="宋体" w:hAnsi="宋体" w:cs="宋体"/>
          <w:color w:val="auto"/>
          <w:sz w:val="24"/>
          <w:highlight w:val="none"/>
        </w:rPr>
        <w:t>供应商的评审方法。磋商小组按照磋商文件的要求和条件，根据各供应商的商务、技术、价格、对磋商文件的响应程度等进行综合评价、评分，将评审总得分按由高到低的顺序进行排列，</w:t>
      </w:r>
      <w:r>
        <w:rPr>
          <w:rFonts w:hint="eastAsia" w:ascii="宋体" w:hAnsi="宋体" w:cs="宋体"/>
          <w:color w:val="auto"/>
          <w:sz w:val="24"/>
          <w:highlight w:val="none"/>
          <w:lang w:eastAsia="zh-CN"/>
        </w:rPr>
        <w:t>推荐</w:t>
      </w:r>
      <w:r>
        <w:rPr>
          <w:rFonts w:hint="eastAsia" w:ascii="宋体" w:hAnsi="宋体" w:cs="宋体"/>
          <w:color w:val="auto"/>
          <w:sz w:val="24"/>
          <w:highlight w:val="none"/>
          <w:lang w:val="en-US" w:eastAsia="zh-CN"/>
        </w:rPr>
        <w:t>排名前三的为</w:t>
      </w:r>
      <w:r>
        <w:rPr>
          <w:rFonts w:hint="eastAsia" w:ascii="宋体" w:hAnsi="宋体" w:cs="宋体"/>
          <w:color w:val="auto"/>
          <w:sz w:val="24"/>
          <w:highlight w:val="none"/>
          <w:lang w:eastAsia="zh-CN"/>
        </w:rPr>
        <w:t>成交候选</w:t>
      </w:r>
      <w:r>
        <w:rPr>
          <w:rFonts w:hint="eastAsia" w:ascii="宋体" w:hAnsi="宋体" w:cs="宋体"/>
          <w:color w:val="auto"/>
          <w:sz w:val="24"/>
          <w:highlight w:val="none"/>
        </w:rPr>
        <w:t>供应商；评审总得分相同的按最后报价由低到高顺序排列，评审总得分且最终报价相同的，按技术部分得分顺序排列。</w:t>
      </w:r>
    </w:p>
    <w:p w14:paraId="101C43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评审标准：</w:t>
      </w:r>
      <w:bookmarkEnd w:id="72"/>
    </w:p>
    <w:tbl>
      <w:tblPr>
        <w:tblStyle w:val="30"/>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8"/>
        <w:gridCol w:w="772"/>
      </w:tblGrid>
      <w:tr w14:paraId="7E9A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top"/>
          </w:tcPr>
          <w:p w14:paraId="63086F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 定 内 容 及 标 准</w:t>
            </w:r>
          </w:p>
        </w:tc>
        <w:tc>
          <w:tcPr>
            <w:tcW w:w="772" w:type="dxa"/>
            <w:noWrap w:val="0"/>
            <w:vAlign w:val="top"/>
          </w:tcPr>
          <w:p w14:paraId="6295DD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满分</w:t>
            </w:r>
          </w:p>
        </w:tc>
      </w:tr>
      <w:tr w14:paraId="1FBE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top"/>
          </w:tcPr>
          <w:p w14:paraId="7364B5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一、商务部分（</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772" w:type="dxa"/>
            <w:noWrap w:val="0"/>
            <w:vAlign w:val="center"/>
          </w:tcPr>
          <w:p w14:paraId="03B172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14:paraId="7FD0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348" w:type="dxa"/>
            <w:noWrap w:val="0"/>
            <w:vAlign w:val="center"/>
          </w:tcPr>
          <w:p w14:paraId="6902B6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w:t>
            </w:r>
            <w:r>
              <w:rPr>
                <w:rFonts w:hint="eastAsia" w:ascii="宋体" w:hAnsi="宋体" w:eastAsia="宋体" w:cs="宋体"/>
                <w:sz w:val="24"/>
                <w:szCs w:val="24"/>
              </w:rPr>
              <w:t>近五年承担过的同类型工程</w:t>
            </w:r>
            <w:r>
              <w:rPr>
                <w:rFonts w:hint="eastAsia" w:ascii="宋体" w:hAnsi="宋体" w:eastAsia="宋体" w:cs="宋体"/>
                <w:sz w:val="24"/>
                <w:szCs w:val="24"/>
                <w:lang w:val="en-US" w:eastAsia="zh-CN"/>
              </w:rPr>
              <w:t>业绩</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分）（每承揽过一项计</w:t>
            </w:r>
            <w:r>
              <w:rPr>
                <w:rFonts w:hint="eastAsia" w:ascii="宋体" w:hAnsi="宋体" w:eastAsia="宋体" w:cs="宋体"/>
                <w:sz w:val="24"/>
                <w:szCs w:val="24"/>
                <w:lang w:val="en-US" w:eastAsia="zh-CN"/>
              </w:rPr>
              <w:t>4</w:t>
            </w:r>
            <w:r>
              <w:rPr>
                <w:rFonts w:hint="eastAsia" w:ascii="宋体" w:hAnsi="宋体" w:eastAsia="宋体" w:cs="宋体"/>
                <w:sz w:val="24"/>
                <w:szCs w:val="24"/>
              </w:rPr>
              <w:t>分，最高</w:t>
            </w:r>
            <w:r>
              <w:rPr>
                <w:rFonts w:hint="eastAsia" w:ascii="宋体" w:hAnsi="宋体" w:eastAsia="宋体" w:cs="宋体"/>
                <w:sz w:val="24"/>
                <w:szCs w:val="24"/>
                <w:lang w:val="en-US" w:eastAsia="zh-CN"/>
              </w:rPr>
              <w:t>8</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772" w:type="dxa"/>
            <w:noWrap w:val="0"/>
            <w:vAlign w:val="center"/>
          </w:tcPr>
          <w:p w14:paraId="17B4E2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r>
      <w:tr w14:paraId="295F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348" w:type="dxa"/>
            <w:noWrap w:val="0"/>
            <w:vAlign w:val="center"/>
          </w:tcPr>
          <w:p w14:paraId="4289F8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项目经理</w:t>
            </w:r>
            <w:r>
              <w:rPr>
                <w:rFonts w:hint="eastAsia" w:ascii="宋体" w:hAnsi="宋体" w:eastAsia="宋体" w:cs="宋体"/>
                <w:sz w:val="24"/>
                <w:szCs w:val="24"/>
              </w:rPr>
              <w:t>近五年组织承担的同类型工程</w:t>
            </w:r>
            <w:r>
              <w:rPr>
                <w:rFonts w:hint="eastAsia" w:ascii="宋体" w:hAnsi="宋体" w:eastAsia="宋体" w:cs="宋体"/>
                <w:sz w:val="24"/>
                <w:szCs w:val="24"/>
                <w:lang w:val="en-US" w:eastAsia="zh-CN"/>
              </w:rPr>
              <w:t>业绩</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分）（每承揽过一项计</w:t>
            </w:r>
            <w:r>
              <w:rPr>
                <w:rFonts w:hint="eastAsia" w:ascii="宋体" w:hAnsi="宋体" w:eastAsia="宋体" w:cs="宋体"/>
                <w:sz w:val="24"/>
                <w:szCs w:val="24"/>
                <w:lang w:val="en-US" w:eastAsia="zh-CN"/>
              </w:rPr>
              <w:t>2</w:t>
            </w:r>
            <w:r>
              <w:rPr>
                <w:rFonts w:hint="eastAsia" w:ascii="宋体" w:hAnsi="宋体" w:eastAsia="宋体" w:cs="宋体"/>
                <w:sz w:val="24"/>
                <w:szCs w:val="24"/>
              </w:rPr>
              <w:t>分，最高</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772" w:type="dxa"/>
            <w:noWrap w:val="0"/>
            <w:vAlign w:val="center"/>
          </w:tcPr>
          <w:p w14:paraId="06F2BB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w:t>
            </w:r>
          </w:p>
        </w:tc>
      </w:tr>
      <w:tr w14:paraId="5C66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3B1B44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技术部分（</w:t>
            </w:r>
            <w:r>
              <w:rPr>
                <w:rFonts w:hint="eastAsia" w:ascii="宋体" w:hAnsi="宋体" w:eastAsia="宋体" w:cs="宋体"/>
                <w:sz w:val="24"/>
                <w:szCs w:val="24"/>
                <w:lang w:val="en-US" w:eastAsia="zh-CN"/>
              </w:rPr>
              <w:t>60</w:t>
            </w:r>
            <w:r>
              <w:rPr>
                <w:rFonts w:hint="eastAsia" w:ascii="宋体" w:hAnsi="宋体" w:eastAsia="宋体" w:cs="宋体"/>
                <w:sz w:val="24"/>
                <w:szCs w:val="24"/>
              </w:rPr>
              <w:t xml:space="preserve">分）     </w:t>
            </w:r>
          </w:p>
        </w:tc>
        <w:tc>
          <w:tcPr>
            <w:tcW w:w="772" w:type="dxa"/>
            <w:noWrap w:val="0"/>
            <w:vAlign w:val="center"/>
          </w:tcPr>
          <w:p w14:paraId="54BC5F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60</w:t>
            </w:r>
            <w:r>
              <w:rPr>
                <w:rFonts w:hint="eastAsia" w:ascii="宋体" w:hAnsi="宋体" w:eastAsia="宋体" w:cs="宋体"/>
                <w:sz w:val="24"/>
                <w:szCs w:val="24"/>
              </w:rPr>
              <w:t>分</w:t>
            </w:r>
          </w:p>
        </w:tc>
      </w:tr>
      <w:tr w14:paraId="5D3F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8348" w:type="dxa"/>
            <w:noWrap w:val="0"/>
            <w:vAlign w:val="center"/>
          </w:tcPr>
          <w:p w14:paraId="2F0990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1.施工组织方案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16分</w:t>
            </w:r>
            <w:r>
              <w:rPr>
                <w:rFonts w:hint="eastAsia" w:ascii="宋体" w:hAnsi="宋体" w:eastAsia="宋体" w:cs="宋体"/>
                <w:sz w:val="24"/>
                <w:szCs w:val="24"/>
                <w:lang w:eastAsia="zh-CN"/>
              </w:rPr>
              <w:t>）</w:t>
            </w:r>
          </w:p>
          <w:p w14:paraId="1C6269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施工方案中</w:t>
            </w:r>
            <w:r>
              <w:rPr>
                <w:rFonts w:hint="eastAsia" w:ascii="宋体" w:hAnsi="宋体" w:eastAsia="宋体" w:cs="宋体"/>
                <w:sz w:val="24"/>
                <w:szCs w:val="24"/>
              </w:rPr>
              <w:t>①编制依据</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施工准备</w:t>
            </w:r>
            <w:r>
              <w:rPr>
                <w:rFonts w:hint="eastAsia" w:ascii="宋体" w:hAnsi="宋体" w:eastAsia="宋体" w:cs="宋体"/>
                <w:sz w:val="24"/>
                <w:szCs w:val="24"/>
                <w:lang w:eastAsia="zh-CN"/>
              </w:rPr>
              <w:t>、③</w:t>
            </w:r>
            <w:r>
              <w:rPr>
                <w:rFonts w:hint="eastAsia" w:ascii="宋体" w:hAnsi="宋体" w:eastAsia="宋体" w:cs="宋体"/>
                <w:sz w:val="24"/>
                <w:szCs w:val="24"/>
                <w:lang w:val="en-US" w:eastAsia="zh-CN"/>
              </w:rPr>
              <w:t>施工计划</w:t>
            </w:r>
            <w:r>
              <w:rPr>
                <w:rFonts w:hint="eastAsia" w:ascii="宋体" w:hAnsi="宋体" w:eastAsia="宋体" w:cs="宋体"/>
                <w:sz w:val="24"/>
                <w:szCs w:val="24"/>
                <w:lang w:eastAsia="zh-CN"/>
              </w:rPr>
              <w:t>、④</w:t>
            </w:r>
            <w:r>
              <w:rPr>
                <w:rFonts w:hint="eastAsia" w:ascii="宋体" w:hAnsi="宋体" w:eastAsia="宋体" w:cs="宋体"/>
                <w:sz w:val="24"/>
                <w:szCs w:val="24"/>
                <w:lang w:val="en-US" w:eastAsia="zh-CN"/>
              </w:rPr>
              <w:t>施工工艺</w:t>
            </w:r>
            <w:r>
              <w:rPr>
                <w:rFonts w:hint="eastAsia" w:ascii="宋体" w:hAnsi="宋体" w:eastAsia="宋体" w:cs="宋体"/>
                <w:sz w:val="24"/>
                <w:szCs w:val="24"/>
                <w:lang w:eastAsia="zh-CN"/>
              </w:rPr>
              <w:t>等</w:t>
            </w:r>
            <w:r>
              <w:rPr>
                <w:rFonts w:hint="eastAsia" w:ascii="宋体" w:hAnsi="宋体" w:eastAsia="宋体" w:cs="宋体"/>
                <w:sz w:val="24"/>
                <w:szCs w:val="24"/>
                <w:lang w:val="en-US" w:eastAsia="zh-CN"/>
              </w:rPr>
              <w:t>内容</w:t>
            </w:r>
            <w:r>
              <w:rPr>
                <w:rFonts w:hint="eastAsia" w:ascii="宋体" w:hAnsi="宋体" w:eastAsia="宋体" w:cs="宋体"/>
                <w:sz w:val="24"/>
                <w:szCs w:val="24"/>
                <w:lang w:eastAsia="zh-CN"/>
              </w:rPr>
              <w:t>。</w:t>
            </w:r>
          </w:p>
          <w:p w14:paraId="563EAA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4</w:t>
            </w:r>
            <w:r>
              <w:rPr>
                <w:rFonts w:hint="eastAsia" w:ascii="宋体" w:hAnsi="宋体" w:eastAsia="宋体" w:cs="宋体"/>
                <w:sz w:val="24"/>
                <w:szCs w:val="24"/>
              </w:rPr>
              <w:t>分（其中“项”指上述①②</w:t>
            </w:r>
            <w:r>
              <w:rPr>
                <w:rFonts w:hint="eastAsia" w:ascii="宋体" w:hAnsi="宋体" w:eastAsia="宋体" w:cs="宋体"/>
                <w:sz w:val="24"/>
                <w:szCs w:val="24"/>
                <w:lang w:eastAsia="zh-CN"/>
              </w:rPr>
              <w:t>③④</w:t>
            </w:r>
            <w:r>
              <w:rPr>
                <w:rFonts w:hint="eastAsia" w:ascii="宋体" w:hAnsi="宋体" w:eastAsia="宋体" w:cs="宋体"/>
                <w:sz w:val="24"/>
                <w:szCs w:val="24"/>
              </w:rPr>
              <w:t>条内容）。有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w:t>
            </w:r>
          </w:p>
          <w:p w14:paraId="2FDDB0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注：内容存在缺陷是指内容生搬硬造，与实际情况明显不符，存在偏差；或存在与项目需求明显无关的文字内容；或内容明显不适用项目实际情况；或对采购需求理解混乱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57A480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分</w:t>
            </w:r>
          </w:p>
        </w:tc>
      </w:tr>
      <w:tr w14:paraId="2997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047A40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2.工程进度计划与保障措施（6分）</w:t>
            </w:r>
          </w:p>
          <w:p w14:paraId="247625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工程进度计划与保障措施（至少包含</w:t>
            </w:r>
            <w:r>
              <w:rPr>
                <w:rFonts w:hint="eastAsia" w:ascii="宋体" w:hAnsi="宋体" w:eastAsia="宋体" w:cs="宋体"/>
                <w:sz w:val="24"/>
                <w:szCs w:val="24"/>
              </w:rPr>
              <w:t>①</w:t>
            </w:r>
            <w:r>
              <w:rPr>
                <w:rFonts w:hint="eastAsia" w:ascii="宋体" w:hAnsi="宋体" w:eastAsia="宋体" w:cs="宋体"/>
                <w:sz w:val="24"/>
                <w:szCs w:val="24"/>
                <w:lang w:eastAsia="zh-CN"/>
              </w:rPr>
              <w:t>工期安排、②恶劣天气应对措施）等。</w:t>
            </w:r>
          </w:p>
          <w:p w14:paraId="2E6F4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3</w:t>
            </w:r>
            <w:r>
              <w:rPr>
                <w:rFonts w:hint="eastAsia" w:ascii="宋体" w:hAnsi="宋体" w:eastAsia="宋体" w:cs="宋体"/>
                <w:sz w:val="24"/>
                <w:szCs w:val="24"/>
              </w:rPr>
              <w:t>分（其中“项”指上述①②内容）。有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w:t>
            </w:r>
          </w:p>
          <w:p w14:paraId="280EA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61D33A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0FB9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36D431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3.质量保证体系与措施（6分）</w:t>
            </w:r>
          </w:p>
          <w:p w14:paraId="65808E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质量保证体系与措施（至少包含</w:t>
            </w:r>
            <w:r>
              <w:rPr>
                <w:rFonts w:hint="eastAsia" w:ascii="宋体" w:hAnsi="宋体" w:eastAsia="宋体" w:cs="宋体"/>
                <w:sz w:val="24"/>
                <w:szCs w:val="24"/>
                <w:lang w:eastAsia="zh-CN"/>
              </w:rPr>
              <w:t>①</w:t>
            </w:r>
            <w:r>
              <w:rPr>
                <w:rFonts w:hint="eastAsia" w:ascii="宋体" w:hAnsi="宋体" w:eastAsia="宋体" w:cs="宋体"/>
                <w:sz w:val="24"/>
                <w:szCs w:val="24"/>
                <w:lang w:val="en-US" w:eastAsia="zh-CN"/>
              </w:rPr>
              <w:t>施工前期、</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中期、</w:t>
            </w:r>
            <w:r>
              <w:rPr>
                <w:rFonts w:hint="eastAsia" w:ascii="宋体" w:hAnsi="宋体" w:eastAsia="宋体" w:cs="宋体"/>
                <w:sz w:val="24"/>
                <w:szCs w:val="24"/>
                <w:lang w:eastAsia="zh-CN"/>
              </w:rPr>
              <w:t>③</w:t>
            </w:r>
            <w:r>
              <w:rPr>
                <w:rFonts w:hint="eastAsia" w:ascii="宋体" w:hAnsi="宋体" w:eastAsia="宋体" w:cs="宋体"/>
                <w:sz w:val="24"/>
                <w:szCs w:val="24"/>
                <w:lang w:val="en-US" w:eastAsia="zh-CN"/>
              </w:rPr>
              <w:t>后期保证措施）等</w:t>
            </w:r>
            <w:r>
              <w:rPr>
                <w:rFonts w:hint="eastAsia" w:ascii="宋体" w:hAnsi="宋体" w:eastAsia="宋体" w:cs="宋体"/>
                <w:sz w:val="24"/>
                <w:szCs w:val="24"/>
                <w:lang w:eastAsia="zh-CN"/>
              </w:rPr>
              <w:t>。</w:t>
            </w:r>
          </w:p>
          <w:p w14:paraId="6E3EC2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以上内容缺少1项内容扣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分（其中“项”指上述①②③内容）。有</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项内容存在缺陷不完善扣</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分，扣完为止。</w:t>
            </w:r>
          </w:p>
          <w:p w14:paraId="4B1687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注：内容存在缺陷是指内容生搬硬造，与实际情况明显不符，存在偏差；或存在与项目需求明显无关的文字内容；或内容明显不适用项目实际情况；或对采购需求理解混乱。</w:t>
            </w:r>
          </w:p>
        </w:tc>
        <w:tc>
          <w:tcPr>
            <w:tcW w:w="772" w:type="dxa"/>
            <w:noWrap w:val="0"/>
            <w:vAlign w:val="center"/>
          </w:tcPr>
          <w:p w14:paraId="74B7F2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r>
      <w:tr w14:paraId="2762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59E506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4.安全保证体系与措施（4分）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安全保证体系与措施（至少包含</w:t>
            </w:r>
            <w:r>
              <w:rPr>
                <w:rFonts w:hint="eastAsia" w:ascii="宋体" w:hAnsi="宋体" w:eastAsia="宋体" w:cs="宋体"/>
                <w:sz w:val="24"/>
                <w:szCs w:val="24"/>
              </w:rPr>
              <w:t>①</w:t>
            </w:r>
            <w:r>
              <w:rPr>
                <w:rFonts w:hint="eastAsia" w:ascii="宋体" w:hAnsi="宋体" w:eastAsia="宋体" w:cs="宋体"/>
                <w:sz w:val="24"/>
                <w:szCs w:val="24"/>
                <w:lang w:val="en-US" w:eastAsia="zh-CN"/>
              </w:rPr>
              <w:t>安全管理人员安排及人员安全培训教育、</w:t>
            </w:r>
            <w:r>
              <w:rPr>
                <w:rFonts w:hint="eastAsia" w:ascii="宋体" w:hAnsi="宋体" w:eastAsia="宋体" w:cs="宋体"/>
                <w:sz w:val="24"/>
                <w:szCs w:val="24"/>
              </w:rPr>
              <w:t>②</w:t>
            </w:r>
            <w:r>
              <w:rPr>
                <w:rFonts w:hint="eastAsia" w:ascii="宋体" w:hAnsi="宋体" w:eastAsia="宋体" w:cs="宋体"/>
                <w:sz w:val="24"/>
                <w:szCs w:val="24"/>
                <w:lang w:val="en-US" w:eastAsia="zh-CN"/>
              </w:rPr>
              <w:t>突发事故应对措施）等</w:t>
            </w:r>
            <w:r>
              <w:rPr>
                <w:rFonts w:hint="eastAsia" w:ascii="宋体" w:hAnsi="宋体" w:eastAsia="宋体" w:cs="宋体"/>
                <w:sz w:val="24"/>
                <w:szCs w:val="24"/>
                <w:lang w:eastAsia="zh-CN"/>
              </w:rPr>
              <w:t>。</w:t>
            </w:r>
          </w:p>
          <w:p w14:paraId="3E4CEE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rPr>
              <w:t>分（其中“项”指上述①②内容）。有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p w14:paraId="303B31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注：内容存在缺陷是指进度计划方案内容生搬硬造，与实际情况明显不符，存在偏差；或存在与项目需求明显无关的文字内容；或内容明显不适用项目实际情况；或对采购需求理解混乱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633E7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4分</w:t>
            </w:r>
          </w:p>
        </w:tc>
      </w:tr>
      <w:tr w14:paraId="34E8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08863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5.关键部位施工（4分） </w:t>
            </w:r>
          </w:p>
          <w:p w14:paraId="54E078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关键部位施工方法（至少包含</w:t>
            </w:r>
            <w:r>
              <w:rPr>
                <w:rFonts w:hint="eastAsia" w:ascii="宋体" w:hAnsi="宋体" w:eastAsia="宋体" w:cs="宋体"/>
                <w:sz w:val="24"/>
                <w:szCs w:val="24"/>
                <w:lang w:eastAsia="zh-CN"/>
              </w:rPr>
              <w:t>①</w:t>
            </w:r>
            <w:r>
              <w:rPr>
                <w:rFonts w:hint="eastAsia" w:ascii="宋体" w:hAnsi="宋体" w:eastAsia="宋体" w:cs="宋体"/>
                <w:sz w:val="24"/>
                <w:szCs w:val="24"/>
                <w:lang w:val="en-US" w:eastAsia="zh-CN"/>
              </w:rPr>
              <w:t>施工准备工作及施工方法、</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施工工艺）等。</w:t>
            </w:r>
          </w:p>
          <w:p w14:paraId="305AA4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以上内容缺少1项内容扣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分（其中“项”指上述①②内容）。有</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项内容存在缺陷不完善扣</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分，扣完为止。</w:t>
            </w:r>
          </w:p>
          <w:p w14:paraId="598E53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注：内容存在缺陷是指进度计划方案内容生搬硬造，与实际情况明显不符，存在偏差；或存在与项目需求明显无关的文字内容；或内容明显不适用项目实际情况；或对采购需求理解混乱。</w:t>
            </w:r>
          </w:p>
        </w:tc>
        <w:tc>
          <w:tcPr>
            <w:tcW w:w="772" w:type="dxa"/>
            <w:noWrap w:val="0"/>
            <w:vAlign w:val="center"/>
          </w:tcPr>
          <w:p w14:paraId="4DBBEF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4分</w:t>
            </w:r>
          </w:p>
        </w:tc>
      </w:tr>
      <w:tr w14:paraId="0A55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6A2DA0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6.劳动力计划情况（8分） </w:t>
            </w:r>
          </w:p>
          <w:p w14:paraId="4BE99E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项目班子配备（至少包含</w:t>
            </w:r>
            <w:r>
              <w:rPr>
                <w:rFonts w:hint="eastAsia" w:ascii="宋体" w:hAnsi="宋体" w:eastAsia="宋体" w:cs="宋体"/>
                <w:sz w:val="24"/>
                <w:szCs w:val="24"/>
              </w:rPr>
              <w:t>①</w:t>
            </w:r>
            <w:r>
              <w:rPr>
                <w:rFonts w:hint="eastAsia" w:ascii="宋体" w:hAnsi="宋体" w:eastAsia="宋体" w:cs="宋体"/>
                <w:sz w:val="24"/>
                <w:szCs w:val="24"/>
                <w:lang w:val="en-US" w:eastAsia="zh-CN"/>
              </w:rPr>
              <w:t>组织机构人员配备、</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职能介绍）、劳动力计划（至少包含</w:t>
            </w:r>
            <w:r>
              <w:rPr>
                <w:rFonts w:hint="eastAsia" w:ascii="宋体" w:hAnsi="宋体" w:eastAsia="宋体" w:cs="宋体"/>
                <w:sz w:val="24"/>
                <w:szCs w:val="24"/>
                <w:lang w:eastAsia="zh-CN"/>
              </w:rPr>
              <w:t>③</w:t>
            </w:r>
            <w:r>
              <w:rPr>
                <w:rFonts w:hint="eastAsia" w:ascii="宋体" w:hAnsi="宋体" w:eastAsia="宋体" w:cs="宋体"/>
                <w:sz w:val="24"/>
                <w:szCs w:val="24"/>
                <w:lang w:val="en-US" w:eastAsia="zh-CN"/>
              </w:rPr>
              <w:t>劳动力组织、</w:t>
            </w:r>
            <w:r>
              <w:rPr>
                <w:rFonts w:hint="eastAsia" w:ascii="宋体" w:hAnsi="宋体" w:eastAsia="宋体" w:cs="宋体"/>
                <w:sz w:val="24"/>
                <w:szCs w:val="24"/>
                <w:lang w:eastAsia="zh-CN"/>
              </w:rPr>
              <w:t>④</w:t>
            </w:r>
            <w:r>
              <w:rPr>
                <w:rFonts w:hint="eastAsia" w:ascii="宋体" w:hAnsi="宋体" w:eastAsia="宋体" w:cs="宋体"/>
                <w:sz w:val="24"/>
                <w:szCs w:val="24"/>
                <w:lang w:val="en-US" w:eastAsia="zh-CN"/>
              </w:rPr>
              <w:t>劳动力进场配置说明）等</w:t>
            </w:r>
          </w:p>
          <w:p w14:paraId="1510C6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rPr>
              <w:t>分（其中“项”指上述①②</w:t>
            </w:r>
            <w:r>
              <w:rPr>
                <w:rFonts w:hint="eastAsia" w:ascii="宋体" w:hAnsi="宋体" w:eastAsia="宋体" w:cs="宋体"/>
                <w:sz w:val="24"/>
                <w:szCs w:val="24"/>
                <w:lang w:eastAsia="zh-CN"/>
              </w:rPr>
              <w:t>③④</w:t>
            </w:r>
            <w:r>
              <w:rPr>
                <w:rFonts w:hint="eastAsia" w:ascii="宋体" w:hAnsi="宋体" w:eastAsia="宋体" w:cs="宋体"/>
                <w:sz w:val="24"/>
                <w:szCs w:val="24"/>
              </w:rPr>
              <w:t>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p w14:paraId="447299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注：内容存在缺陷是指进度计划方案内容生搬硬造，与实际情况明显不符，存在偏差；或存在与项目需求明显无关的文字内容；或内容明显不适用项目实际情况；或对采购需求理解混乱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1D0C5D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r>
      <w:tr w14:paraId="121C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6D0CD3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7.材料供应情况（4分） </w:t>
            </w:r>
          </w:p>
          <w:p w14:paraId="25F95D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材料供应安排（至少包含</w:t>
            </w:r>
            <w:r>
              <w:rPr>
                <w:rFonts w:hint="eastAsia" w:ascii="宋体" w:hAnsi="宋体" w:eastAsia="宋体" w:cs="宋体"/>
                <w:sz w:val="24"/>
                <w:szCs w:val="24"/>
              </w:rPr>
              <w:t>①</w:t>
            </w:r>
            <w:r>
              <w:rPr>
                <w:rFonts w:hint="eastAsia" w:ascii="宋体" w:hAnsi="宋体" w:eastAsia="宋体" w:cs="宋体"/>
                <w:sz w:val="24"/>
                <w:szCs w:val="24"/>
                <w:lang w:val="en-US" w:eastAsia="zh-CN"/>
              </w:rPr>
              <w:t>材料运输、</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材料进场安排及材料保存）等内容。</w:t>
            </w:r>
          </w:p>
          <w:p w14:paraId="210E9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rPr>
              <w:t>分（其中“项”指上述①②内容）。有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w:t>
            </w:r>
          </w:p>
          <w:p w14:paraId="66C88F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7811B7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4分</w:t>
            </w:r>
          </w:p>
        </w:tc>
      </w:tr>
      <w:tr w14:paraId="07AA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1B2D57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8.施工设备配置情况（4分） </w:t>
            </w:r>
          </w:p>
          <w:p w14:paraId="4A6515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施工设备配置（至少包含</w:t>
            </w:r>
            <w:r>
              <w:rPr>
                <w:rFonts w:hint="eastAsia" w:ascii="宋体" w:hAnsi="宋体" w:eastAsia="宋体" w:cs="宋体"/>
                <w:sz w:val="24"/>
                <w:szCs w:val="24"/>
              </w:rPr>
              <w:t>①</w:t>
            </w:r>
            <w:r>
              <w:rPr>
                <w:rFonts w:hint="eastAsia" w:ascii="宋体" w:hAnsi="宋体" w:eastAsia="宋体" w:cs="宋体"/>
                <w:sz w:val="24"/>
                <w:szCs w:val="24"/>
                <w:lang w:val="en-US" w:eastAsia="zh-CN"/>
              </w:rPr>
              <w:t>机械进场安排、</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机械配置）等内容。</w:t>
            </w:r>
          </w:p>
          <w:p w14:paraId="6AEB59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rPr>
              <w:t>分（其中“项”指上述①②内容）。有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2</w:t>
            </w:r>
            <w:r>
              <w:rPr>
                <w:rFonts w:hint="eastAsia" w:ascii="宋体" w:hAnsi="宋体" w:eastAsia="宋体" w:cs="宋体"/>
                <w:sz w:val="24"/>
                <w:szCs w:val="24"/>
              </w:rPr>
              <w:t>分，扣完为止。</w:t>
            </w:r>
          </w:p>
          <w:p w14:paraId="4BF243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0BEACB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4分</w:t>
            </w:r>
          </w:p>
        </w:tc>
      </w:tr>
      <w:tr w14:paraId="1328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296D3A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9.环保、消防、降噪声、文明措施（8分） </w:t>
            </w:r>
          </w:p>
          <w:p w14:paraId="2C0E45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施工现场</w:t>
            </w:r>
            <w:r>
              <w:rPr>
                <w:rFonts w:hint="eastAsia" w:ascii="宋体" w:hAnsi="宋体" w:eastAsia="宋体" w:cs="宋体"/>
                <w:sz w:val="24"/>
                <w:szCs w:val="24"/>
              </w:rPr>
              <w:t>①</w:t>
            </w:r>
            <w:r>
              <w:rPr>
                <w:rFonts w:hint="eastAsia" w:ascii="宋体" w:hAnsi="宋体" w:eastAsia="宋体" w:cs="宋体"/>
                <w:sz w:val="24"/>
                <w:szCs w:val="24"/>
                <w:lang w:val="en-US" w:eastAsia="zh-CN"/>
              </w:rPr>
              <w:t>环保、</w:t>
            </w:r>
            <w:r>
              <w:rPr>
                <w:rFonts w:hint="eastAsia" w:ascii="宋体" w:hAnsi="宋体" w:eastAsia="宋体" w:cs="宋体"/>
                <w:sz w:val="24"/>
                <w:szCs w:val="24"/>
                <w:lang w:eastAsia="zh-CN"/>
              </w:rPr>
              <w:t>②</w:t>
            </w:r>
            <w:r>
              <w:rPr>
                <w:rFonts w:hint="eastAsia" w:ascii="宋体" w:hAnsi="宋体" w:eastAsia="宋体" w:cs="宋体"/>
                <w:sz w:val="24"/>
                <w:szCs w:val="24"/>
                <w:lang w:val="en-US" w:eastAsia="zh-CN"/>
              </w:rPr>
              <w:t>消防、</w:t>
            </w:r>
            <w:r>
              <w:rPr>
                <w:rFonts w:hint="eastAsia" w:ascii="宋体" w:hAnsi="宋体" w:eastAsia="宋体" w:cs="宋体"/>
                <w:sz w:val="24"/>
                <w:szCs w:val="24"/>
                <w:lang w:eastAsia="zh-CN"/>
              </w:rPr>
              <w:t>③</w:t>
            </w:r>
            <w:r>
              <w:rPr>
                <w:rFonts w:hint="eastAsia" w:ascii="宋体" w:hAnsi="宋体" w:eastAsia="宋体" w:cs="宋体"/>
                <w:sz w:val="24"/>
                <w:szCs w:val="24"/>
                <w:lang w:val="en-US" w:eastAsia="zh-CN"/>
              </w:rPr>
              <w:t>降噪声、</w:t>
            </w:r>
            <w:r>
              <w:rPr>
                <w:rFonts w:hint="eastAsia" w:ascii="宋体" w:hAnsi="宋体" w:eastAsia="宋体" w:cs="宋体"/>
                <w:sz w:val="24"/>
                <w:szCs w:val="24"/>
                <w:lang w:eastAsia="zh-CN"/>
              </w:rPr>
              <w:t>④</w:t>
            </w:r>
            <w:r>
              <w:rPr>
                <w:rFonts w:hint="eastAsia" w:ascii="宋体" w:hAnsi="宋体" w:eastAsia="宋体" w:cs="宋体"/>
                <w:sz w:val="24"/>
                <w:szCs w:val="24"/>
                <w:lang w:val="en-US" w:eastAsia="zh-CN"/>
              </w:rPr>
              <w:t>文明等施工技术措施。</w:t>
            </w:r>
          </w:p>
          <w:p w14:paraId="134714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以上内容</w:t>
            </w:r>
            <w:r>
              <w:rPr>
                <w:rFonts w:hint="eastAsia" w:ascii="宋体" w:hAnsi="宋体" w:eastAsia="宋体" w:cs="宋体"/>
                <w:sz w:val="24"/>
                <w:szCs w:val="24"/>
              </w:rPr>
              <w:t>缺少1项内容扣</w:t>
            </w:r>
            <w:r>
              <w:rPr>
                <w:rFonts w:hint="eastAsia" w:ascii="宋体" w:hAnsi="宋体" w:eastAsia="宋体" w:cs="宋体"/>
                <w:sz w:val="24"/>
                <w:szCs w:val="24"/>
                <w:lang w:val="en-US" w:eastAsia="zh-CN"/>
              </w:rPr>
              <w:t>2</w:t>
            </w:r>
            <w:r>
              <w:rPr>
                <w:rFonts w:hint="eastAsia" w:ascii="宋体" w:hAnsi="宋体" w:eastAsia="宋体" w:cs="宋体"/>
                <w:sz w:val="24"/>
                <w:szCs w:val="24"/>
              </w:rPr>
              <w:t>分（其中“项”指上述①②</w:t>
            </w:r>
            <w:r>
              <w:rPr>
                <w:rFonts w:hint="eastAsia" w:ascii="宋体" w:hAnsi="宋体" w:eastAsia="宋体" w:cs="宋体"/>
                <w:sz w:val="24"/>
                <w:szCs w:val="24"/>
                <w:lang w:eastAsia="zh-CN"/>
              </w:rPr>
              <w:t>③④</w:t>
            </w:r>
            <w:r>
              <w:rPr>
                <w:rFonts w:hint="eastAsia" w:ascii="宋体" w:hAnsi="宋体" w:eastAsia="宋体" w:cs="宋体"/>
                <w:sz w:val="24"/>
                <w:szCs w:val="24"/>
              </w:rPr>
              <w:t>内容）。有</w:t>
            </w:r>
            <w:r>
              <w:rPr>
                <w:rFonts w:hint="eastAsia" w:ascii="宋体" w:hAnsi="宋体" w:eastAsia="宋体" w:cs="宋体"/>
                <w:sz w:val="24"/>
                <w:szCs w:val="24"/>
                <w:lang w:val="en-US" w:eastAsia="zh-CN"/>
              </w:rPr>
              <w:t>1</w:t>
            </w:r>
            <w:r>
              <w:rPr>
                <w:rFonts w:hint="eastAsia" w:ascii="宋体" w:hAnsi="宋体" w:eastAsia="宋体" w:cs="宋体"/>
                <w:sz w:val="24"/>
                <w:szCs w:val="24"/>
              </w:rPr>
              <w:t>项内容存在缺陷不完善扣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w:t>
            </w:r>
          </w:p>
          <w:p w14:paraId="670A9D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注：内容存在缺陷是指进度计划方案内容生搬硬造，与实际情况明显不符，存在偏差；或存在与项目需求明显无关的文字内容；或内容明显不适用项目实际情况；或对采购需求理解混乱</w:t>
            </w:r>
            <w:r>
              <w:rPr>
                <w:rFonts w:hint="eastAsia" w:ascii="宋体" w:hAnsi="宋体" w:eastAsia="宋体" w:cs="宋体"/>
                <w:sz w:val="24"/>
                <w:szCs w:val="24"/>
                <w:lang w:eastAsia="zh-CN"/>
              </w:rPr>
              <w:t>。</w:t>
            </w:r>
          </w:p>
        </w:tc>
        <w:tc>
          <w:tcPr>
            <w:tcW w:w="772" w:type="dxa"/>
            <w:noWrap w:val="0"/>
            <w:vAlign w:val="center"/>
          </w:tcPr>
          <w:p w14:paraId="1A5A55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8分</w:t>
            </w:r>
          </w:p>
        </w:tc>
      </w:tr>
      <w:tr w14:paraId="3727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8" w:type="dxa"/>
            <w:noWrap w:val="0"/>
            <w:vAlign w:val="center"/>
          </w:tcPr>
          <w:p w14:paraId="769731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、价格部分（30分）</w:t>
            </w:r>
          </w:p>
        </w:tc>
        <w:tc>
          <w:tcPr>
            <w:tcW w:w="772" w:type="dxa"/>
            <w:noWrap w:val="0"/>
            <w:vAlign w:val="center"/>
          </w:tcPr>
          <w:p w14:paraId="027E63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30分</w:t>
            </w:r>
          </w:p>
        </w:tc>
      </w:tr>
      <w:tr w14:paraId="53CC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348" w:type="dxa"/>
            <w:noWrap w:val="0"/>
            <w:vAlign w:val="center"/>
          </w:tcPr>
          <w:p w14:paraId="692298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（1）综合评分法中的价格分统一采用低价优先法计算，即满足磋商文件要求且最后报价最低的供应商的价格为磋商基准价，其价格分为满分30分。</w:t>
            </w:r>
          </w:p>
          <w:p w14:paraId="4C9B50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（2）其他价格供应商的价格分统一按照下列公式计算：</w:t>
            </w:r>
          </w:p>
          <w:p w14:paraId="7D73DF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磋商报价得分=(磋商基准价/最后磋商报价)×30×100％，计算至小数点后2位，四舍五入。</w:t>
            </w:r>
          </w:p>
          <w:p w14:paraId="06240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投标报价不得超过最高限价，超过最高限价按无效投标处理。</w:t>
            </w:r>
          </w:p>
        </w:tc>
        <w:tc>
          <w:tcPr>
            <w:tcW w:w="772" w:type="dxa"/>
            <w:noWrap w:val="0"/>
            <w:vAlign w:val="center"/>
          </w:tcPr>
          <w:p w14:paraId="58A82A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30分</w:t>
            </w:r>
          </w:p>
        </w:tc>
      </w:tr>
    </w:tbl>
    <w:p w14:paraId="46BAC5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highlight w:val="none"/>
        </w:rPr>
        <w:t>备注：</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和项目经理同类工程</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highlight w:val="none"/>
          <w:lang w:eastAsia="zh-CN"/>
        </w:rPr>
        <w:t>以同一工程的合同协议书为准</w:t>
      </w:r>
      <w:r>
        <w:rPr>
          <w:rFonts w:hint="eastAsia" w:ascii="宋体" w:hAnsi="宋体" w:eastAsia="宋体" w:cs="宋体"/>
          <w:b/>
          <w:bCs/>
          <w:color w:val="auto"/>
          <w:sz w:val="24"/>
          <w:szCs w:val="24"/>
          <w:highlight w:val="none"/>
        </w:rPr>
        <w:t>，其他现场</w:t>
      </w:r>
      <w:r>
        <w:rPr>
          <w:rFonts w:hint="eastAsia" w:ascii="宋体" w:hAnsi="宋体" w:cs="宋体"/>
          <w:b/>
          <w:bCs/>
          <w:color w:val="auto"/>
          <w:sz w:val="24"/>
          <w:szCs w:val="24"/>
          <w:highlight w:val="none"/>
          <w:lang w:eastAsia="zh-CN"/>
        </w:rPr>
        <w:t>出具</w:t>
      </w:r>
      <w:r>
        <w:rPr>
          <w:rFonts w:hint="eastAsia" w:ascii="宋体" w:hAnsi="宋体" w:eastAsia="宋体" w:cs="宋体"/>
          <w:b/>
          <w:bCs/>
          <w:color w:val="auto"/>
          <w:sz w:val="24"/>
          <w:szCs w:val="24"/>
          <w:highlight w:val="none"/>
        </w:rPr>
        <w:t>的证明无效。</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和项目经理同类工程</w:t>
      </w:r>
      <w:r>
        <w:rPr>
          <w:rFonts w:hint="eastAsia" w:ascii="宋体" w:hAnsi="宋体" w:eastAsia="宋体" w:cs="宋体"/>
          <w:b/>
          <w:bCs/>
          <w:color w:val="auto"/>
          <w:sz w:val="24"/>
          <w:szCs w:val="24"/>
          <w:highlight w:val="none"/>
          <w:lang w:val="en-US" w:eastAsia="zh-CN"/>
        </w:rPr>
        <w:t>重复不予计分。</w:t>
      </w:r>
    </w:p>
    <w:p w14:paraId="47BEB90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同类型工程</w:t>
      </w:r>
      <w:r>
        <w:rPr>
          <w:rFonts w:hint="eastAsia" w:ascii="宋体" w:hAnsi="宋体" w:eastAsia="宋体" w:cs="宋体"/>
          <w:b/>
          <w:bCs/>
          <w:color w:val="auto"/>
          <w:sz w:val="24"/>
          <w:szCs w:val="24"/>
          <w:highlight w:val="none"/>
        </w:rPr>
        <w:t>是指</w:t>
      </w:r>
      <w:r>
        <w:rPr>
          <w:rFonts w:hint="eastAsia" w:ascii="宋体" w:hAnsi="宋体" w:eastAsia="宋体" w:cs="宋体"/>
          <w:b/>
          <w:bCs/>
          <w:color w:val="auto"/>
          <w:sz w:val="24"/>
          <w:szCs w:val="24"/>
          <w:highlight w:val="none"/>
          <w:lang w:val="en-US" w:eastAsia="zh-CN"/>
        </w:rPr>
        <w:t>与招标项目类似的工程</w:t>
      </w:r>
      <w:r>
        <w:rPr>
          <w:rFonts w:hint="eastAsia" w:ascii="宋体" w:hAnsi="宋体" w:eastAsia="宋体" w:cs="宋体"/>
          <w:b/>
          <w:bCs/>
          <w:color w:val="auto"/>
          <w:sz w:val="24"/>
          <w:szCs w:val="24"/>
          <w:highlight w:val="none"/>
        </w:rPr>
        <w:t>。</w:t>
      </w:r>
    </w:p>
    <w:p w14:paraId="3E2E5D4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评审内容需要的证书、证件的复印件应清晰</w:t>
      </w:r>
      <w:r>
        <w:rPr>
          <w:rFonts w:hint="eastAsia" w:ascii="宋体" w:hAnsi="宋体" w:cs="宋体"/>
          <w:b/>
          <w:bCs/>
          <w:color w:val="auto"/>
          <w:sz w:val="24"/>
          <w:szCs w:val="24"/>
          <w:highlight w:val="none"/>
          <w:lang w:eastAsia="zh-CN"/>
        </w:rPr>
        <w:t>地</w:t>
      </w:r>
      <w:r>
        <w:rPr>
          <w:rFonts w:hint="eastAsia" w:ascii="宋体" w:hAnsi="宋体" w:eastAsia="宋体" w:cs="宋体"/>
          <w:b/>
          <w:bCs/>
          <w:color w:val="auto"/>
          <w:sz w:val="24"/>
          <w:szCs w:val="24"/>
          <w:highlight w:val="none"/>
        </w:rPr>
        <w:t>编入</w:t>
      </w:r>
      <w:r>
        <w:rPr>
          <w:rFonts w:hint="eastAsia" w:ascii="宋体" w:hAnsi="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w:t>
      </w:r>
    </w:p>
    <w:p w14:paraId="20FFA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82"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4.近五年是指投标截止日前五年。</w:t>
      </w:r>
    </w:p>
    <w:p w14:paraId="6F70AC8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5.计算每个磋商供应商商务部分、价格部分得分以</w:t>
      </w:r>
      <w:r>
        <w:rPr>
          <w:rFonts w:hint="eastAsia" w:ascii="宋体" w:hAnsi="宋体" w:eastAsia="宋体" w:cs="宋体"/>
          <w:b/>
          <w:bCs/>
          <w:color w:val="auto"/>
          <w:sz w:val="24"/>
          <w:szCs w:val="24"/>
          <w:highlight w:val="none"/>
          <w:lang w:eastAsia="zh-CN"/>
        </w:rPr>
        <w:t>磋商小组共同认定的得分为其最终得分。</w:t>
      </w:r>
    </w:p>
    <w:p w14:paraId="3C6A86F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计算每个</w:t>
      </w:r>
      <w:r>
        <w:rPr>
          <w:rFonts w:hint="eastAsia" w:ascii="宋体" w:hAnsi="宋体" w:eastAsia="宋体" w:cs="宋体"/>
          <w:b/>
          <w:bCs/>
          <w:color w:val="auto"/>
          <w:sz w:val="24"/>
          <w:szCs w:val="24"/>
          <w:highlight w:val="none"/>
          <w:lang w:eastAsia="zh-CN"/>
        </w:rPr>
        <w:t>磋商供应商</w:t>
      </w:r>
      <w:r>
        <w:rPr>
          <w:rFonts w:hint="eastAsia" w:ascii="宋体" w:hAnsi="宋体" w:eastAsia="宋体" w:cs="宋体"/>
          <w:b/>
          <w:bCs/>
          <w:color w:val="auto"/>
          <w:sz w:val="24"/>
          <w:szCs w:val="24"/>
          <w:highlight w:val="none"/>
        </w:rPr>
        <w:t>技术部分得分时</w:t>
      </w:r>
      <w:r>
        <w:rPr>
          <w:rFonts w:hint="eastAsia" w:ascii="宋体" w:hAnsi="宋体" w:eastAsia="宋体" w:cs="宋体"/>
          <w:b/>
          <w:bCs/>
          <w:color w:val="auto"/>
          <w:sz w:val="24"/>
          <w:szCs w:val="24"/>
          <w:highlight w:val="none"/>
          <w:lang w:eastAsia="zh-CN"/>
        </w:rPr>
        <w:t>以磋商小组各成员的</w:t>
      </w:r>
      <w:r>
        <w:rPr>
          <w:rFonts w:hint="eastAsia" w:ascii="宋体" w:hAnsi="宋体" w:eastAsia="宋体" w:cs="宋体"/>
          <w:b/>
          <w:bCs/>
          <w:color w:val="auto"/>
          <w:sz w:val="24"/>
          <w:szCs w:val="24"/>
          <w:highlight w:val="none"/>
        </w:rPr>
        <w:t>算术平均为其得分</w:t>
      </w:r>
      <w:r>
        <w:rPr>
          <w:rFonts w:hint="eastAsia" w:ascii="宋体" w:hAnsi="宋体" w:eastAsia="宋体" w:cs="宋体"/>
          <w:b/>
          <w:bCs/>
          <w:color w:val="auto"/>
          <w:sz w:val="24"/>
          <w:szCs w:val="24"/>
          <w:highlight w:val="none"/>
          <w:lang w:val="en-US" w:eastAsia="zh-CN"/>
        </w:rPr>
        <w:t>，分数保留至小数点后两位。</w:t>
      </w:r>
    </w:p>
    <w:p w14:paraId="0308D593">
      <w:pPr>
        <w:pStyle w:val="2"/>
        <w:bidi w:val="0"/>
        <w:outlineLvl w:val="9"/>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73" w:name="_Toc10254"/>
      <w:bookmarkStart w:id="74" w:name="_Toc18464"/>
    </w:p>
    <w:p w14:paraId="20BF3A40">
      <w:pPr>
        <w:pStyle w:val="2"/>
        <w:bidi w:val="0"/>
        <w:rPr>
          <w:rFonts w:hint="eastAsia"/>
          <w:color w:val="auto"/>
          <w:highlight w:val="none"/>
        </w:rPr>
      </w:pPr>
      <w:bookmarkStart w:id="75" w:name="_Toc17054"/>
      <w:bookmarkStart w:id="76" w:name="_Toc2078"/>
      <w:bookmarkStart w:id="77" w:name="_Toc15851"/>
      <w:bookmarkStart w:id="78" w:name="_Toc11046"/>
      <w:bookmarkStart w:id="79" w:name="_Toc7525"/>
      <w:bookmarkStart w:id="80" w:name="_Toc10853"/>
      <w:r>
        <w:rPr>
          <w:rFonts w:hint="eastAsia"/>
          <w:color w:val="auto"/>
          <w:highlight w:val="none"/>
        </w:rPr>
        <w:t>第</w:t>
      </w:r>
      <w:r>
        <w:rPr>
          <w:rFonts w:hint="eastAsia"/>
          <w:color w:val="auto"/>
          <w:highlight w:val="none"/>
          <w:lang w:val="en-US" w:eastAsia="zh-CN"/>
        </w:rPr>
        <w:t>七</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响应文件格式</w:t>
      </w:r>
      <w:bookmarkEnd w:id="73"/>
      <w:bookmarkEnd w:id="74"/>
      <w:bookmarkEnd w:id="75"/>
      <w:bookmarkEnd w:id="76"/>
      <w:bookmarkEnd w:id="77"/>
      <w:bookmarkEnd w:id="78"/>
      <w:bookmarkEnd w:id="79"/>
      <w:bookmarkEnd w:id="80"/>
    </w:p>
    <w:p w14:paraId="7ABDAC04">
      <w:pPr>
        <w:keepNext w:val="0"/>
        <w:keepLines w:val="0"/>
        <w:pageBreakBefore w:val="0"/>
        <w:widowControl w:val="0"/>
        <w:tabs>
          <w:tab w:val="left" w:pos="8280"/>
        </w:tabs>
        <w:kinsoku/>
        <w:wordWrap/>
        <w:overflowPunct/>
        <w:topLinePunct w:val="0"/>
        <w:autoSpaceDE/>
        <w:autoSpaceDN/>
        <w:bidi w:val="0"/>
        <w:adjustRightInd/>
        <w:snapToGrid/>
        <w:spacing w:line="500" w:lineRule="exact"/>
        <w:ind w:left="0" w:leftChars="0" w:right="-1" w:righ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磋商供应商提交响应文件须知：</w:t>
      </w:r>
    </w:p>
    <w:p w14:paraId="4FA29CA5">
      <w:pPr>
        <w:keepNext w:val="0"/>
        <w:keepLines w:val="0"/>
        <w:pageBreakBefore w:val="0"/>
        <w:widowControl w:val="0"/>
        <w:numPr>
          <w:ilvl w:val="0"/>
          <w:numId w:val="10"/>
        </w:numPr>
        <w:tabs>
          <w:tab w:val="left" w:pos="8280"/>
        </w:tabs>
        <w:kinsoku/>
        <w:wordWrap/>
        <w:overflowPunct/>
        <w:topLinePunct w:val="0"/>
        <w:autoSpaceDE/>
        <w:autoSpaceDN/>
        <w:bidi w:val="0"/>
        <w:adjustRightInd/>
        <w:snapToGrid/>
        <w:spacing w:line="500" w:lineRule="exact"/>
        <w:ind w:left="0" w:leftChars="0" w:right="-1"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磋商供应商应按照要求格式、内容、顺序编制响应文件。</w:t>
      </w:r>
    </w:p>
    <w:p w14:paraId="4FC64F95">
      <w:pPr>
        <w:keepNext w:val="0"/>
        <w:keepLines w:val="0"/>
        <w:pageBreakBefore w:val="0"/>
        <w:widowControl w:val="0"/>
        <w:numPr>
          <w:ilvl w:val="0"/>
          <w:numId w:val="10"/>
        </w:numPr>
        <w:tabs>
          <w:tab w:val="left" w:pos="8280"/>
        </w:tabs>
        <w:kinsoku/>
        <w:wordWrap/>
        <w:overflowPunct/>
        <w:topLinePunct w:val="0"/>
        <w:autoSpaceDE/>
        <w:autoSpaceDN/>
        <w:bidi w:val="0"/>
        <w:adjustRightInd/>
        <w:snapToGrid/>
        <w:spacing w:line="500" w:lineRule="exact"/>
        <w:ind w:left="0" w:leftChars="0" w:right="-1"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响应文件应按照要求统一编制目录、页码。响应文件由于编排混乱导致文件被误读或查找不到，其责任应当由供应商承担。</w:t>
      </w:r>
    </w:p>
    <w:p w14:paraId="4FF158E2">
      <w:pPr>
        <w:keepNext w:val="0"/>
        <w:keepLines w:val="0"/>
        <w:pageBreakBefore w:val="0"/>
        <w:widowControl w:val="0"/>
        <w:numPr>
          <w:ilvl w:val="0"/>
          <w:numId w:val="10"/>
        </w:numPr>
        <w:tabs>
          <w:tab w:val="left" w:pos="8280"/>
        </w:tabs>
        <w:kinsoku/>
        <w:wordWrap/>
        <w:overflowPunct/>
        <w:topLinePunct w:val="0"/>
        <w:autoSpaceDE/>
        <w:autoSpaceDN/>
        <w:bidi w:val="0"/>
        <w:adjustRightInd/>
        <w:snapToGrid/>
        <w:spacing w:line="500" w:lineRule="exact"/>
        <w:ind w:left="0" w:leftChars="0" w:right="-1"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签字人应保证全部声明和问题的回答是真实的和</w:t>
      </w:r>
      <w:r>
        <w:rPr>
          <w:rFonts w:hint="eastAsia" w:ascii="宋体" w:hAnsi="宋体" w:cs="宋体"/>
          <w:color w:val="auto"/>
          <w:sz w:val="24"/>
          <w:highlight w:val="none"/>
          <w:lang w:eastAsia="zh-CN"/>
        </w:rPr>
        <w:t>准确</w:t>
      </w:r>
      <w:r>
        <w:rPr>
          <w:rFonts w:hint="eastAsia" w:ascii="宋体" w:hAnsi="宋体" w:eastAsia="宋体" w:cs="宋体"/>
          <w:color w:val="auto"/>
          <w:sz w:val="24"/>
          <w:highlight w:val="none"/>
        </w:rPr>
        <w:t>的。</w:t>
      </w:r>
    </w:p>
    <w:p w14:paraId="65562FA4">
      <w:pPr>
        <w:keepNext w:val="0"/>
        <w:keepLines w:val="0"/>
        <w:pageBreakBefore w:val="0"/>
        <w:widowControl w:val="0"/>
        <w:numPr>
          <w:ilvl w:val="0"/>
          <w:numId w:val="10"/>
        </w:numPr>
        <w:tabs>
          <w:tab w:val="left" w:pos="8280"/>
        </w:tabs>
        <w:kinsoku/>
        <w:wordWrap/>
        <w:overflowPunct/>
        <w:topLinePunct w:val="0"/>
        <w:autoSpaceDE/>
        <w:autoSpaceDN/>
        <w:bidi w:val="0"/>
        <w:adjustRightInd/>
        <w:snapToGrid/>
        <w:spacing w:line="500" w:lineRule="exact"/>
        <w:ind w:left="0" w:leftChars="0" w:right="-1"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磋商供应商提交的材料不再退还。</w:t>
      </w:r>
    </w:p>
    <w:p w14:paraId="363BA708">
      <w:pPr>
        <w:keepNext w:val="0"/>
        <w:keepLines w:val="0"/>
        <w:pageBreakBefore w:val="0"/>
        <w:widowControl w:val="0"/>
        <w:numPr>
          <w:ilvl w:val="0"/>
          <w:numId w:val="10"/>
        </w:numPr>
        <w:tabs>
          <w:tab w:val="left" w:pos="8280"/>
        </w:tabs>
        <w:kinsoku/>
        <w:wordWrap/>
        <w:overflowPunct/>
        <w:topLinePunct w:val="0"/>
        <w:autoSpaceDE/>
        <w:autoSpaceDN/>
        <w:bidi w:val="0"/>
        <w:adjustRightInd/>
        <w:snapToGrid/>
        <w:spacing w:line="500" w:lineRule="exact"/>
        <w:ind w:left="0" w:leftChars="0" w:right="-1"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磋商供应商签章时应符合以下规定，否则将视为无效响应文件：</w:t>
      </w:r>
    </w:p>
    <w:p w14:paraId="2B72612D">
      <w:pPr>
        <w:keepNext w:val="0"/>
        <w:keepLines w:val="0"/>
        <w:pageBreakBefore w:val="0"/>
        <w:widowControl w:val="0"/>
        <w:numPr>
          <w:ilvl w:val="0"/>
          <w:numId w:val="0"/>
        </w:numPr>
        <w:tabs>
          <w:tab w:val="left" w:pos="8280"/>
        </w:tabs>
        <w:kinsoku/>
        <w:wordWrap/>
        <w:overflowPunct/>
        <w:topLinePunct w:val="0"/>
        <w:autoSpaceDE/>
        <w:autoSpaceDN/>
        <w:bidi w:val="0"/>
        <w:adjustRightInd/>
        <w:snapToGrid/>
        <w:spacing w:line="500" w:lineRule="exact"/>
        <w:ind w:right="-1" w:righ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（1）凡以磋商供应商名义进行签章，必须是磋商供应商的单位公章，除有特别规定外，不得采用“投标专用章”、“合同专用章”等印章。</w:t>
      </w:r>
    </w:p>
    <w:p w14:paraId="2C85C58A">
      <w:pPr>
        <w:keepNext w:val="0"/>
        <w:keepLines w:val="0"/>
        <w:pageBreakBefore w:val="0"/>
        <w:widowControl w:val="0"/>
        <w:tabs>
          <w:tab w:val="left" w:pos="8280"/>
        </w:tabs>
        <w:kinsoku/>
        <w:wordWrap/>
        <w:overflowPunct/>
        <w:topLinePunct w:val="0"/>
        <w:autoSpaceDE/>
        <w:autoSpaceDN/>
        <w:bidi w:val="0"/>
        <w:adjustRightInd/>
        <w:snapToGrid/>
        <w:spacing w:line="500" w:lineRule="exact"/>
        <w:ind w:left="0" w:leftChars="0" w:right="-1" w:right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（2）凡以法定代表人或授权委托人的签字，必须为个人的签字，不得以个人印章代替。</w:t>
      </w:r>
      <w:bookmarkStart w:id="81" w:name="_Toc5841"/>
      <w:bookmarkStart w:id="82" w:name="_Toc32656"/>
      <w:bookmarkStart w:id="83" w:name="_Toc22804"/>
      <w:bookmarkStart w:id="84" w:name="_Toc7728"/>
    </w:p>
    <w:p w14:paraId="2ED730A7">
      <w:pPr>
        <w:rPr>
          <w:rFonts w:hint="eastAsia" w:ascii="宋体" w:hAnsi="宋体" w:eastAsia="宋体" w:cs="宋体"/>
          <w:color w:val="auto"/>
          <w:sz w:val="24"/>
          <w:highlight w:val="none"/>
        </w:rPr>
      </w:pPr>
    </w:p>
    <w:p w14:paraId="0448122F">
      <w:pPr>
        <w:pStyle w:val="11"/>
        <w:rPr>
          <w:rFonts w:hint="eastAsia" w:ascii="宋体" w:hAnsi="宋体" w:eastAsia="宋体" w:cs="宋体"/>
          <w:color w:val="auto"/>
          <w:sz w:val="24"/>
          <w:highlight w:val="none"/>
        </w:rPr>
      </w:pPr>
    </w:p>
    <w:p w14:paraId="3AC0A00A">
      <w:pPr>
        <w:rPr>
          <w:rFonts w:hint="eastAsia" w:ascii="宋体" w:hAnsi="宋体" w:eastAsia="宋体" w:cs="宋体"/>
          <w:color w:val="auto"/>
          <w:sz w:val="24"/>
          <w:highlight w:val="none"/>
        </w:rPr>
      </w:pPr>
    </w:p>
    <w:p w14:paraId="5EE878DF">
      <w:pPr>
        <w:pStyle w:val="11"/>
        <w:rPr>
          <w:rFonts w:hint="eastAsia" w:ascii="宋体" w:hAnsi="宋体" w:eastAsia="宋体" w:cs="宋体"/>
          <w:color w:val="auto"/>
          <w:sz w:val="24"/>
          <w:highlight w:val="none"/>
        </w:rPr>
      </w:pPr>
    </w:p>
    <w:p w14:paraId="545F507B">
      <w:pPr>
        <w:rPr>
          <w:rFonts w:hint="eastAsia" w:ascii="宋体" w:hAnsi="宋体" w:eastAsia="宋体" w:cs="宋体"/>
          <w:color w:val="auto"/>
          <w:sz w:val="24"/>
          <w:highlight w:val="none"/>
        </w:rPr>
      </w:pPr>
    </w:p>
    <w:p w14:paraId="42AF0684">
      <w:pPr>
        <w:pStyle w:val="11"/>
        <w:rPr>
          <w:rFonts w:hint="eastAsia" w:ascii="宋体" w:hAnsi="宋体" w:eastAsia="宋体" w:cs="宋体"/>
          <w:color w:val="auto"/>
          <w:sz w:val="24"/>
          <w:highlight w:val="none"/>
        </w:rPr>
      </w:pPr>
    </w:p>
    <w:p w14:paraId="3DDFBFC9">
      <w:pPr>
        <w:rPr>
          <w:rFonts w:hint="eastAsia" w:ascii="宋体" w:hAnsi="宋体" w:eastAsia="宋体" w:cs="宋体"/>
          <w:color w:val="auto"/>
          <w:sz w:val="24"/>
          <w:highlight w:val="none"/>
        </w:rPr>
      </w:pPr>
    </w:p>
    <w:p w14:paraId="6F10AF4E">
      <w:pPr>
        <w:pStyle w:val="11"/>
        <w:rPr>
          <w:rFonts w:hint="eastAsia" w:ascii="宋体" w:hAnsi="宋体" w:eastAsia="宋体" w:cs="宋体"/>
          <w:color w:val="auto"/>
          <w:sz w:val="24"/>
          <w:highlight w:val="none"/>
        </w:rPr>
      </w:pPr>
    </w:p>
    <w:p w14:paraId="1254055B">
      <w:pPr>
        <w:rPr>
          <w:rFonts w:hint="eastAsia" w:ascii="宋体" w:hAnsi="宋体" w:eastAsia="宋体" w:cs="宋体"/>
          <w:color w:val="auto"/>
          <w:sz w:val="24"/>
          <w:highlight w:val="none"/>
        </w:rPr>
      </w:pPr>
    </w:p>
    <w:p w14:paraId="3207333A">
      <w:pPr>
        <w:pStyle w:val="11"/>
        <w:rPr>
          <w:rFonts w:hint="eastAsia" w:ascii="宋体" w:hAnsi="宋体" w:eastAsia="宋体" w:cs="宋体"/>
          <w:color w:val="auto"/>
          <w:sz w:val="24"/>
          <w:highlight w:val="none"/>
        </w:rPr>
      </w:pPr>
    </w:p>
    <w:p w14:paraId="1C946898">
      <w:pPr>
        <w:rPr>
          <w:rFonts w:hint="eastAsia" w:ascii="宋体" w:hAnsi="宋体" w:eastAsia="宋体" w:cs="宋体"/>
          <w:color w:val="auto"/>
          <w:sz w:val="24"/>
          <w:highlight w:val="none"/>
        </w:rPr>
      </w:pPr>
    </w:p>
    <w:p w14:paraId="75E8F32F">
      <w:pPr>
        <w:pStyle w:val="11"/>
        <w:rPr>
          <w:rFonts w:hint="eastAsia" w:ascii="宋体" w:hAnsi="宋体" w:eastAsia="宋体" w:cs="宋体"/>
          <w:color w:val="auto"/>
          <w:sz w:val="24"/>
          <w:highlight w:val="none"/>
        </w:rPr>
      </w:pPr>
    </w:p>
    <w:p w14:paraId="7E1C2C8B">
      <w:pPr>
        <w:rPr>
          <w:rFonts w:hint="eastAsia"/>
          <w:color w:val="auto"/>
          <w:highlight w:val="none"/>
        </w:rPr>
      </w:pPr>
    </w:p>
    <w:p w14:paraId="53A33E16">
      <w:pPr>
        <w:tabs>
          <w:tab w:val="left" w:pos="8280"/>
        </w:tabs>
        <w:spacing w:line="440" w:lineRule="exact"/>
        <w:ind w:right="-1"/>
        <w:jc w:val="center"/>
        <w:outlineLvl w:val="9"/>
        <w:rPr>
          <w:rFonts w:hint="eastAsia" w:ascii="宋体" w:hAnsi="宋体" w:eastAsia="宋体" w:cs="宋体"/>
          <w:color w:val="auto"/>
          <w:sz w:val="24"/>
          <w:highlight w:val="none"/>
        </w:rPr>
      </w:pPr>
    </w:p>
    <w:p w14:paraId="05713FB0">
      <w:pPr>
        <w:tabs>
          <w:tab w:val="left" w:pos="8280"/>
        </w:tabs>
        <w:spacing w:line="440" w:lineRule="exact"/>
        <w:ind w:right="-1"/>
        <w:jc w:val="center"/>
        <w:outlineLvl w:val="9"/>
        <w:rPr>
          <w:rFonts w:hint="eastAsia" w:ascii="宋体" w:hAnsi="宋体" w:eastAsia="宋体" w:cs="宋体"/>
          <w:color w:val="auto"/>
          <w:sz w:val="24"/>
          <w:highlight w:val="none"/>
        </w:rPr>
      </w:pPr>
    </w:p>
    <w:p w14:paraId="0EC1C572">
      <w:pPr>
        <w:tabs>
          <w:tab w:val="left" w:pos="8280"/>
        </w:tabs>
        <w:spacing w:line="440" w:lineRule="exact"/>
        <w:ind w:right="-1"/>
        <w:jc w:val="center"/>
        <w:outlineLvl w:val="9"/>
        <w:rPr>
          <w:rFonts w:hint="eastAsia" w:ascii="宋体" w:hAnsi="宋体" w:eastAsia="宋体" w:cs="宋体"/>
          <w:color w:val="auto"/>
          <w:sz w:val="24"/>
          <w:highlight w:val="none"/>
        </w:rPr>
      </w:pPr>
    </w:p>
    <w:p w14:paraId="515E76DC">
      <w:pPr>
        <w:tabs>
          <w:tab w:val="left" w:pos="8280"/>
        </w:tabs>
        <w:spacing w:line="440" w:lineRule="exact"/>
        <w:ind w:right="-1"/>
        <w:jc w:val="center"/>
        <w:outlineLvl w:val="9"/>
        <w:rPr>
          <w:rFonts w:hint="eastAsia" w:ascii="宋体" w:hAnsi="宋体" w:eastAsia="宋体" w:cs="宋体"/>
          <w:color w:val="auto"/>
          <w:sz w:val="24"/>
          <w:highlight w:val="none"/>
        </w:rPr>
      </w:pPr>
    </w:p>
    <w:p w14:paraId="6B4945F2">
      <w:pPr>
        <w:tabs>
          <w:tab w:val="left" w:pos="8280"/>
        </w:tabs>
        <w:spacing w:line="440" w:lineRule="exact"/>
        <w:ind w:right="-1"/>
        <w:jc w:val="center"/>
        <w:outlineLvl w:val="9"/>
        <w:rPr>
          <w:rFonts w:hint="eastAsia" w:ascii="宋体" w:hAnsi="宋体" w:eastAsia="宋体" w:cs="宋体"/>
          <w:color w:val="auto"/>
          <w:sz w:val="24"/>
          <w:highlight w:val="none"/>
        </w:rPr>
      </w:pPr>
    </w:p>
    <w:p w14:paraId="3926B159">
      <w:pPr>
        <w:tabs>
          <w:tab w:val="left" w:pos="8280"/>
        </w:tabs>
        <w:spacing w:line="440" w:lineRule="exact"/>
        <w:ind w:right="-1"/>
        <w:jc w:val="center"/>
        <w:outlineLvl w:val="9"/>
        <w:rPr>
          <w:rFonts w:hint="eastAsia" w:ascii="宋体" w:hAnsi="宋体" w:eastAsia="宋体" w:cs="宋体"/>
          <w:color w:val="auto"/>
          <w:sz w:val="24"/>
          <w:highlight w:val="none"/>
        </w:rPr>
      </w:pPr>
    </w:p>
    <w:p w14:paraId="1E5C91A8">
      <w:pPr>
        <w:tabs>
          <w:tab w:val="left" w:pos="8280"/>
        </w:tabs>
        <w:spacing w:line="440" w:lineRule="exact"/>
        <w:ind w:right="-1"/>
        <w:jc w:val="center"/>
        <w:outlineLvl w:val="9"/>
        <w:rPr>
          <w:rFonts w:hint="eastAsia" w:ascii="宋体" w:hAnsi="宋体" w:eastAsia="宋体" w:cs="宋体"/>
          <w:color w:val="auto"/>
          <w:sz w:val="24"/>
          <w:highlight w:val="none"/>
        </w:rPr>
      </w:pPr>
    </w:p>
    <w:bookmarkEnd w:id="81"/>
    <w:bookmarkEnd w:id="82"/>
    <w:bookmarkEnd w:id="83"/>
    <w:bookmarkEnd w:id="84"/>
    <w:p w14:paraId="5908E72C">
      <w:pPr>
        <w:pStyle w:val="27"/>
        <w:jc w:val="both"/>
        <w:outlineLvl w:val="9"/>
        <w:rPr>
          <w:rFonts w:hint="eastAsia"/>
          <w:color w:val="auto"/>
          <w:highlight w:val="none"/>
        </w:rPr>
      </w:pPr>
    </w:p>
    <w:p w14:paraId="7C64E72F">
      <w:pPr>
        <w:rPr>
          <w:rFonts w:hint="eastAsia"/>
          <w:color w:val="auto"/>
          <w:highlight w:val="none"/>
        </w:rPr>
      </w:pPr>
    </w:p>
    <w:p w14:paraId="01190108">
      <w:pPr>
        <w:pStyle w:val="11"/>
        <w:rPr>
          <w:rFonts w:hint="eastAsia"/>
          <w:color w:val="auto"/>
          <w:highlight w:val="none"/>
        </w:rPr>
      </w:pPr>
    </w:p>
    <w:p w14:paraId="46C1B864">
      <w:pPr>
        <w:adjustRightInd w:val="0"/>
        <w:snapToGrid w:val="0"/>
        <w:ind w:firstLine="2600" w:firstLineChars="500"/>
        <w:rPr>
          <w:rFonts w:ascii="黑体" w:eastAsia="黑体"/>
          <w:bCs/>
          <w:color w:val="auto"/>
          <w:spacing w:val="20"/>
          <w:sz w:val="48"/>
          <w:szCs w:val="48"/>
          <w:highlight w:val="none"/>
          <w:u w:val="single"/>
        </w:rPr>
      </w:pPr>
      <w:r>
        <w:rPr>
          <w:rFonts w:hint="eastAsia" w:ascii="黑体" w:eastAsia="黑体"/>
          <w:bCs/>
          <w:color w:val="auto"/>
          <w:spacing w:val="20"/>
          <w:sz w:val="48"/>
          <w:szCs w:val="48"/>
          <w:highlight w:val="none"/>
          <w:u w:val="single"/>
        </w:rPr>
        <w:t>（项目名称）</w:t>
      </w:r>
    </w:p>
    <w:p w14:paraId="570B4C39">
      <w:pPr>
        <w:pStyle w:val="25"/>
        <w:rPr>
          <w:color w:val="auto"/>
          <w:highlight w:val="none"/>
        </w:rPr>
      </w:pPr>
    </w:p>
    <w:p w14:paraId="58588883">
      <w:pPr>
        <w:adjustRightInd w:val="0"/>
        <w:snapToGrid w:val="0"/>
        <w:jc w:val="center"/>
        <w:rPr>
          <w:rFonts w:ascii="黑体" w:hAnsi="黑体" w:eastAsia="黑体"/>
          <w:b/>
          <w:color w:val="auto"/>
          <w:sz w:val="28"/>
          <w:szCs w:val="28"/>
          <w:highlight w:val="none"/>
          <w:u w:val="single"/>
        </w:rPr>
      </w:pPr>
      <w:r>
        <w:rPr>
          <w:rFonts w:hint="eastAsia" w:ascii="黑体" w:hAnsi="黑体" w:eastAsia="黑体"/>
          <w:b/>
          <w:color w:val="auto"/>
          <w:sz w:val="28"/>
          <w:szCs w:val="28"/>
          <w:highlight w:val="none"/>
          <w:lang w:eastAsia="zh-CN"/>
        </w:rPr>
        <w:t>项目编号</w:t>
      </w:r>
      <w:r>
        <w:rPr>
          <w:rFonts w:hint="eastAsia" w:ascii="黑体" w:hAnsi="黑体" w:eastAsia="黑体"/>
          <w:b/>
          <w:color w:val="auto"/>
          <w:sz w:val="28"/>
          <w:szCs w:val="28"/>
          <w:highlight w:val="none"/>
        </w:rPr>
        <w:t>：</w:t>
      </w:r>
      <w:r>
        <w:rPr>
          <w:rFonts w:hint="eastAsia" w:ascii="黑体" w:hAnsi="黑体" w:eastAsia="黑体"/>
          <w:b/>
          <w:color w:val="auto"/>
          <w:sz w:val="28"/>
          <w:szCs w:val="28"/>
          <w:highlight w:val="none"/>
          <w:u w:val="single"/>
        </w:rPr>
        <w:t>（           ）</w:t>
      </w:r>
    </w:p>
    <w:p w14:paraId="53D85D4E">
      <w:pPr>
        <w:pStyle w:val="25"/>
        <w:rPr>
          <w:rFonts w:ascii="黑体" w:hAnsi="黑体" w:eastAsia="黑体"/>
          <w:b/>
          <w:color w:val="auto"/>
          <w:sz w:val="28"/>
          <w:szCs w:val="28"/>
          <w:highlight w:val="none"/>
          <w:u w:val="single"/>
        </w:rPr>
      </w:pPr>
    </w:p>
    <w:p w14:paraId="5CC4757D">
      <w:pPr>
        <w:pStyle w:val="25"/>
        <w:rPr>
          <w:rFonts w:ascii="黑体" w:hAnsi="黑体" w:eastAsia="黑体"/>
          <w:b/>
          <w:color w:val="auto"/>
          <w:sz w:val="28"/>
          <w:szCs w:val="28"/>
          <w:highlight w:val="none"/>
          <w:u w:val="single"/>
        </w:rPr>
      </w:pPr>
    </w:p>
    <w:p w14:paraId="4798833E">
      <w:pPr>
        <w:pStyle w:val="25"/>
        <w:rPr>
          <w:rFonts w:ascii="黑体" w:hAnsi="黑体" w:eastAsia="黑体"/>
          <w:b/>
          <w:color w:val="auto"/>
          <w:sz w:val="28"/>
          <w:szCs w:val="28"/>
          <w:highlight w:val="none"/>
          <w:u w:val="single"/>
        </w:rPr>
      </w:pPr>
    </w:p>
    <w:p w14:paraId="6426C901">
      <w:pPr>
        <w:pStyle w:val="25"/>
        <w:rPr>
          <w:rFonts w:ascii="黑体" w:hAnsi="黑体" w:eastAsia="黑体"/>
          <w:b/>
          <w:color w:val="auto"/>
          <w:sz w:val="28"/>
          <w:szCs w:val="28"/>
          <w:highlight w:val="none"/>
          <w:u w:val="single"/>
        </w:rPr>
      </w:pPr>
    </w:p>
    <w:p w14:paraId="471F6ACC">
      <w:pPr>
        <w:pStyle w:val="25"/>
        <w:rPr>
          <w:rFonts w:hint="eastAsia" w:ascii="黑体" w:hAnsi="黑体" w:eastAsia="黑体"/>
          <w:b/>
          <w:color w:val="auto"/>
          <w:sz w:val="28"/>
          <w:szCs w:val="28"/>
          <w:highlight w:val="none"/>
          <w:u w:val="single"/>
          <w:lang w:val="en-US" w:eastAsia="zh-CN"/>
        </w:rPr>
      </w:pPr>
      <w:r>
        <w:rPr>
          <w:rFonts w:hint="eastAsia" w:ascii="黑体" w:hAnsi="黑体" w:eastAsia="黑体"/>
          <w:b/>
          <w:color w:val="auto"/>
          <w:sz w:val="28"/>
          <w:szCs w:val="28"/>
          <w:highlight w:val="none"/>
          <w:u w:val="single"/>
          <w:lang w:val="en-US" w:eastAsia="zh-CN"/>
        </w:rPr>
        <w:t xml:space="preserve"> </w:t>
      </w:r>
    </w:p>
    <w:p w14:paraId="3B842DCA">
      <w:pPr>
        <w:adjustRightInd w:val="0"/>
        <w:snapToGrid w:val="0"/>
        <w:jc w:val="center"/>
        <w:rPr>
          <w:rFonts w:hint="eastAsia" w:ascii="黑体" w:hAnsi="黑体" w:eastAsia="黑体"/>
          <w:b/>
          <w:color w:val="auto"/>
          <w:sz w:val="72"/>
          <w:szCs w:val="72"/>
          <w:highlight w:val="none"/>
          <w:lang w:eastAsia="zh-CN"/>
        </w:rPr>
      </w:pPr>
      <w:r>
        <w:rPr>
          <w:rFonts w:hint="eastAsia" w:ascii="黑体" w:hAnsi="黑体" w:eastAsia="黑体"/>
          <w:b/>
          <w:color w:val="auto"/>
          <w:sz w:val="72"/>
          <w:szCs w:val="72"/>
          <w:highlight w:val="none"/>
          <w:lang w:eastAsia="zh-CN"/>
        </w:rPr>
        <w:t>响应文件</w:t>
      </w:r>
    </w:p>
    <w:p w14:paraId="67D21522">
      <w:pPr>
        <w:adjustRightInd w:val="0"/>
        <w:snapToGrid w:val="0"/>
        <w:jc w:val="center"/>
        <w:rPr>
          <w:rFonts w:ascii="黑体" w:hAnsi="黑体" w:eastAsia="黑体"/>
          <w:b/>
          <w:color w:val="auto"/>
          <w:sz w:val="44"/>
          <w:szCs w:val="44"/>
          <w:highlight w:val="none"/>
        </w:rPr>
      </w:pPr>
    </w:p>
    <w:p w14:paraId="4649FD43">
      <w:pPr>
        <w:adjustRightInd w:val="0"/>
        <w:snapToGrid w:val="0"/>
        <w:jc w:val="center"/>
        <w:rPr>
          <w:rFonts w:ascii="黑体" w:hAnsi="黑体" w:eastAsia="黑体"/>
          <w:b/>
          <w:color w:val="auto"/>
          <w:sz w:val="28"/>
          <w:highlight w:val="none"/>
        </w:rPr>
      </w:pPr>
    </w:p>
    <w:p w14:paraId="42FC30E8">
      <w:pPr>
        <w:adjustRightInd w:val="0"/>
        <w:snapToGrid w:val="0"/>
        <w:rPr>
          <w:rFonts w:ascii="黑体" w:hAnsi="黑体" w:eastAsia="黑体"/>
          <w:b/>
          <w:color w:val="auto"/>
          <w:sz w:val="28"/>
          <w:szCs w:val="28"/>
          <w:highlight w:val="none"/>
        </w:rPr>
      </w:pPr>
    </w:p>
    <w:p w14:paraId="6C8C7E89">
      <w:pPr>
        <w:adjustRightInd w:val="0"/>
        <w:snapToGrid w:val="0"/>
        <w:rPr>
          <w:rFonts w:ascii="黑体" w:hAnsi="黑体" w:eastAsia="黑体"/>
          <w:b/>
          <w:color w:val="auto"/>
          <w:sz w:val="28"/>
          <w:szCs w:val="28"/>
          <w:highlight w:val="none"/>
        </w:rPr>
      </w:pPr>
    </w:p>
    <w:p w14:paraId="3D5B3095">
      <w:pPr>
        <w:adjustRightInd w:val="0"/>
        <w:snapToGrid w:val="0"/>
        <w:rPr>
          <w:rFonts w:ascii="黑体" w:hAnsi="黑体" w:eastAsia="黑体"/>
          <w:b/>
          <w:color w:val="auto"/>
          <w:sz w:val="28"/>
          <w:szCs w:val="28"/>
          <w:highlight w:val="none"/>
        </w:rPr>
      </w:pPr>
    </w:p>
    <w:p w14:paraId="263C8DDB">
      <w:pPr>
        <w:adjustRightInd w:val="0"/>
        <w:snapToGrid w:val="0"/>
        <w:rPr>
          <w:rFonts w:ascii="黑体" w:hAnsi="黑体" w:eastAsia="黑体"/>
          <w:b/>
          <w:color w:val="auto"/>
          <w:sz w:val="28"/>
          <w:szCs w:val="28"/>
          <w:highlight w:val="none"/>
        </w:rPr>
      </w:pPr>
    </w:p>
    <w:p w14:paraId="0FDDA28B">
      <w:pPr>
        <w:adjustRightInd w:val="0"/>
        <w:snapToGrid w:val="0"/>
        <w:rPr>
          <w:rFonts w:ascii="黑体" w:hAnsi="黑体" w:eastAsia="黑体"/>
          <w:b/>
          <w:color w:val="auto"/>
          <w:sz w:val="28"/>
          <w:szCs w:val="28"/>
          <w:highlight w:val="none"/>
        </w:rPr>
      </w:pPr>
    </w:p>
    <w:p w14:paraId="12661140">
      <w:pPr>
        <w:adjustRightInd w:val="0"/>
        <w:snapToGrid w:val="0"/>
        <w:rPr>
          <w:rFonts w:ascii="黑体" w:hAnsi="黑体" w:eastAsia="黑体"/>
          <w:b/>
          <w:color w:val="auto"/>
          <w:sz w:val="28"/>
          <w:szCs w:val="28"/>
          <w:highlight w:val="none"/>
        </w:rPr>
      </w:pPr>
    </w:p>
    <w:p w14:paraId="48CD8762">
      <w:pPr>
        <w:adjustRightInd w:val="0"/>
        <w:snapToGrid w:val="0"/>
        <w:spacing w:line="480" w:lineRule="auto"/>
        <w:jc w:val="center"/>
        <w:rPr>
          <w:rFonts w:ascii="宋体" w:hAnsi="宋体"/>
          <w:b/>
          <w:color w:val="auto"/>
          <w:sz w:val="32"/>
          <w:szCs w:val="32"/>
          <w:highlight w:val="none"/>
        </w:rPr>
      </w:pPr>
      <w:r>
        <w:rPr>
          <w:rFonts w:hint="eastAsia" w:ascii="宋体" w:hAnsi="宋体"/>
          <w:b/>
          <w:color w:val="auto"/>
          <w:sz w:val="32"/>
          <w:szCs w:val="32"/>
          <w:highlight w:val="none"/>
          <w:lang w:val="en-US" w:eastAsia="zh-CN"/>
        </w:rPr>
        <w:t>磋商供应商</w:t>
      </w:r>
      <w:r>
        <w:rPr>
          <w:rFonts w:hint="eastAsia" w:ascii="宋体" w:hAnsi="宋体"/>
          <w:b/>
          <w:color w:val="auto"/>
          <w:sz w:val="32"/>
          <w:szCs w:val="32"/>
          <w:highlight w:val="none"/>
        </w:rPr>
        <w:t>：</w:t>
      </w:r>
      <w:r>
        <w:rPr>
          <w:rFonts w:hint="eastAsia" w:ascii="宋体" w:hAnsi="宋体"/>
          <w:b/>
          <w:color w:val="auto"/>
          <w:sz w:val="32"/>
          <w:szCs w:val="32"/>
          <w:highlight w:val="none"/>
          <w:u w:val="single"/>
          <w:lang w:val="en-US" w:eastAsia="zh-CN"/>
        </w:rPr>
        <w:t xml:space="preserve">           </w:t>
      </w:r>
      <w:r>
        <w:rPr>
          <w:rFonts w:hint="eastAsia" w:ascii="宋体" w:hAnsi="宋体"/>
          <w:b/>
          <w:color w:val="auto"/>
          <w:sz w:val="32"/>
          <w:szCs w:val="32"/>
          <w:highlight w:val="none"/>
        </w:rPr>
        <w:t>（</w:t>
      </w:r>
      <w:r>
        <w:rPr>
          <w:rFonts w:hint="eastAsia" w:ascii="宋体" w:hAnsi="宋体"/>
          <w:b/>
          <w:color w:val="auto"/>
          <w:sz w:val="32"/>
          <w:szCs w:val="32"/>
          <w:highlight w:val="none"/>
          <w:lang w:eastAsia="zh-CN"/>
        </w:rPr>
        <w:t>单位</w:t>
      </w:r>
      <w:r>
        <w:rPr>
          <w:rFonts w:hint="eastAsia" w:ascii="宋体" w:hAnsi="宋体"/>
          <w:b/>
          <w:color w:val="auto"/>
          <w:sz w:val="32"/>
          <w:szCs w:val="32"/>
          <w:highlight w:val="none"/>
        </w:rPr>
        <w:t>公章）</w:t>
      </w:r>
    </w:p>
    <w:p w14:paraId="23C7C8D0">
      <w:pPr>
        <w:adjustRightInd w:val="0"/>
        <w:snapToGrid w:val="0"/>
        <w:spacing w:line="48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法定代表人或其委托代理人：</w:t>
      </w:r>
      <w:r>
        <w:rPr>
          <w:rFonts w:hint="eastAsia" w:ascii="宋体" w:hAnsi="宋体"/>
          <w:b/>
          <w:color w:val="auto"/>
          <w:sz w:val="32"/>
          <w:szCs w:val="32"/>
          <w:highlight w:val="none"/>
          <w:u w:val="single"/>
          <w:lang w:val="en-US" w:eastAsia="zh-CN"/>
        </w:rPr>
        <w:t xml:space="preserve">     </w:t>
      </w:r>
      <w:r>
        <w:rPr>
          <w:rFonts w:hint="eastAsia" w:ascii="宋体" w:hAnsi="宋体"/>
          <w:b/>
          <w:color w:val="auto"/>
          <w:sz w:val="32"/>
          <w:szCs w:val="32"/>
          <w:highlight w:val="none"/>
        </w:rPr>
        <w:t>（签字</w:t>
      </w:r>
      <w:r>
        <w:rPr>
          <w:rFonts w:hint="eastAsia" w:ascii="宋体" w:hAnsi="宋体"/>
          <w:b/>
          <w:color w:val="auto"/>
          <w:sz w:val="32"/>
          <w:szCs w:val="32"/>
          <w:highlight w:val="none"/>
          <w:lang w:val="en-US" w:eastAsia="zh-CN"/>
        </w:rPr>
        <w:t>或盖章</w:t>
      </w:r>
      <w:r>
        <w:rPr>
          <w:rFonts w:hint="eastAsia" w:ascii="宋体" w:hAnsi="宋体"/>
          <w:b/>
          <w:color w:val="auto"/>
          <w:sz w:val="32"/>
          <w:szCs w:val="32"/>
          <w:highlight w:val="none"/>
        </w:rPr>
        <w:t>）</w:t>
      </w:r>
    </w:p>
    <w:p w14:paraId="68C000C8">
      <w:pPr>
        <w:adjustRightInd w:val="0"/>
        <w:snapToGrid w:val="0"/>
        <w:spacing w:line="480" w:lineRule="auto"/>
        <w:jc w:val="center"/>
        <w:rPr>
          <w:rFonts w:ascii="宋体" w:hAnsi="宋体"/>
          <w:b/>
          <w:color w:val="auto"/>
          <w:sz w:val="32"/>
          <w:szCs w:val="32"/>
          <w:highlight w:val="none"/>
        </w:rPr>
      </w:pPr>
      <w:r>
        <w:rPr>
          <w:rFonts w:ascii="宋体" w:hAnsi="宋体"/>
          <w:b/>
          <w:color w:val="auto"/>
          <w:sz w:val="32"/>
          <w:szCs w:val="32"/>
          <w:highlight w:val="none"/>
        </w:rPr>
        <w:t>XX</w:t>
      </w:r>
      <w:r>
        <w:rPr>
          <w:rFonts w:hint="eastAsia" w:ascii="宋体" w:hAnsi="宋体"/>
          <w:b/>
          <w:color w:val="auto"/>
          <w:sz w:val="32"/>
          <w:szCs w:val="32"/>
          <w:highlight w:val="none"/>
        </w:rPr>
        <w:t>年</w:t>
      </w:r>
      <w:r>
        <w:rPr>
          <w:rFonts w:ascii="宋体" w:hAnsi="宋体"/>
          <w:b/>
          <w:color w:val="auto"/>
          <w:sz w:val="32"/>
          <w:szCs w:val="32"/>
          <w:highlight w:val="none"/>
        </w:rPr>
        <w:t>XX</w:t>
      </w:r>
      <w:r>
        <w:rPr>
          <w:rFonts w:hint="eastAsia" w:ascii="宋体" w:hAnsi="宋体"/>
          <w:b/>
          <w:color w:val="auto"/>
          <w:sz w:val="32"/>
          <w:szCs w:val="32"/>
          <w:highlight w:val="none"/>
        </w:rPr>
        <w:t>月</w:t>
      </w:r>
      <w:r>
        <w:rPr>
          <w:rFonts w:ascii="宋体" w:hAnsi="宋体"/>
          <w:b/>
          <w:color w:val="auto"/>
          <w:sz w:val="32"/>
          <w:szCs w:val="32"/>
          <w:highlight w:val="none"/>
        </w:rPr>
        <w:t>XX</w:t>
      </w:r>
      <w:r>
        <w:rPr>
          <w:rFonts w:hint="eastAsia" w:ascii="宋体" w:hAnsi="宋体"/>
          <w:b/>
          <w:color w:val="auto"/>
          <w:sz w:val="32"/>
          <w:szCs w:val="32"/>
          <w:highlight w:val="none"/>
        </w:rPr>
        <w:t>日</w:t>
      </w:r>
    </w:p>
    <w:p w14:paraId="6F778635">
      <w:pPr>
        <w:adjustRightInd w:val="0"/>
        <w:snapToGrid w:val="0"/>
        <w:jc w:val="left"/>
        <w:rPr>
          <w:b/>
          <w:color w:val="auto"/>
          <w:sz w:val="32"/>
          <w:szCs w:val="32"/>
          <w:highlight w:val="none"/>
        </w:rPr>
      </w:pPr>
    </w:p>
    <w:p w14:paraId="6FFDDA12">
      <w:pPr>
        <w:adjustRightInd w:val="0"/>
        <w:snapToGrid w:val="0"/>
        <w:rPr>
          <w:rFonts w:ascii="黑体" w:eastAsia="黑体"/>
          <w:b/>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E3EB0D">
      <w:pPr>
        <w:keepNext w:val="0"/>
        <w:keepLines w:val="0"/>
        <w:pageBreakBefore w:val="0"/>
        <w:widowControl/>
        <w:tabs>
          <w:tab w:val="left" w:pos="1440"/>
        </w:tabs>
        <w:kinsoku/>
        <w:wordWrap/>
        <w:overflowPunct/>
        <w:topLinePunct w:val="0"/>
        <w:autoSpaceDE/>
        <w:autoSpaceDN/>
        <w:bidi w:val="0"/>
        <w:snapToGrid w:val="0"/>
        <w:spacing w:line="460" w:lineRule="exact"/>
        <w:ind w:firstLine="241" w:firstLineChars="100"/>
        <w:jc w:val="center"/>
        <w:textAlignment w:val="auto"/>
        <w:rPr>
          <w:rFonts w:hint="default"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目 录</w:t>
      </w:r>
    </w:p>
    <w:p w14:paraId="2670596C">
      <w:pPr>
        <w:keepNext w:val="0"/>
        <w:keepLines w:val="0"/>
        <w:pageBreakBefore w:val="0"/>
        <w:widowControl/>
        <w:tabs>
          <w:tab w:val="left" w:pos="1440"/>
        </w:tabs>
        <w:kinsoku/>
        <w:wordWrap/>
        <w:overflowPunct/>
        <w:topLinePunct w:val="0"/>
        <w:autoSpaceDE/>
        <w:autoSpaceDN/>
        <w:bidi w:val="0"/>
        <w:snapToGrid w:val="0"/>
        <w:spacing w:line="460" w:lineRule="exact"/>
        <w:ind w:firstLine="241" w:firstLineChars="100"/>
        <w:jc w:val="left"/>
        <w:textAlignment w:val="auto"/>
        <w:rPr>
          <w:rFonts w:hint="eastAsia" w:ascii="宋体" w:hAnsi="宋体" w:cs="宋体"/>
          <w:b/>
          <w:color w:val="auto"/>
          <w:kern w:val="0"/>
          <w:sz w:val="24"/>
          <w:szCs w:val="24"/>
          <w:highlight w:val="none"/>
          <w:lang w:eastAsia="zh-CN"/>
        </w:rPr>
      </w:pPr>
      <w:r>
        <w:rPr>
          <w:rFonts w:hint="eastAsia" w:ascii="宋体" w:hAnsi="宋体" w:cs="宋体"/>
          <w:b/>
          <w:color w:val="auto"/>
          <w:kern w:val="0"/>
          <w:sz w:val="24"/>
          <w:szCs w:val="24"/>
          <w:highlight w:val="none"/>
          <w:lang w:val="en-US" w:eastAsia="zh-CN"/>
        </w:rPr>
        <w:t>一、</w:t>
      </w:r>
      <w:r>
        <w:rPr>
          <w:rFonts w:hint="eastAsia" w:ascii="宋体" w:hAnsi="宋体" w:cs="宋体"/>
          <w:b/>
          <w:color w:val="auto"/>
          <w:kern w:val="0"/>
          <w:sz w:val="24"/>
          <w:szCs w:val="24"/>
          <w:highlight w:val="none"/>
          <w:lang w:eastAsia="zh-CN"/>
        </w:rPr>
        <w:t>资格部分：</w:t>
      </w:r>
    </w:p>
    <w:p w14:paraId="6C24926C">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竞争性磋商声明函</w:t>
      </w:r>
      <w:r>
        <w:rPr>
          <w:rFonts w:hint="eastAsia" w:ascii="宋体" w:hAnsi="宋体" w:eastAsia="宋体" w:cs="宋体"/>
          <w:color w:val="auto"/>
          <w:kern w:val="0"/>
          <w:sz w:val="24"/>
          <w:szCs w:val="24"/>
          <w:highlight w:val="none"/>
        </w:rPr>
        <w:t>(见‘</w:t>
      </w:r>
      <w:r>
        <w:rPr>
          <w:rFonts w:hint="eastAsia" w:ascii="宋体" w:hAnsi="宋体" w:cs="宋体"/>
          <w:color w:val="auto"/>
          <w:kern w:val="0"/>
          <w:sz w:val="24"/>
          <w:szCs w:val="24"/>
          <w:highlight w:val="none"/>
          <w:lang w:eastAsia="zh-CN"/>
        </w:rPr>
        <w:t>响应文件格式</w:t>
      </w:r>
      <w:r>
        <w:rPr>
          <w:rFonts w:hint="eastAsia" w:ascii="宋体" w:hAnsi="宋体" w:eastAsia="宋体" w:cs="宋体"/>
          <w:color w:val="auto"/>
          <w:kern w:val="0"/>
          <w:sz w:val="24"/>
          <w:szCs w:val="24"/>
          <w:highlight w:val="none"/>
        </w:rPr>
        <w:t>’)；</w:t>
      </w:r>
    </w:p>
    <w:p w14:paraId="059CEBA9">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2、若为法人须提交法定代表人身份证明书；若为授权委托代理人需提供法定代表人身份证明书、法定代表人授权委托书；</w:t>
      </w:r>
    </w:p>
    <w:p w14:paraId="7BDF557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供应商信用承诺书</w:t>
      </w:r>
      <w:r>
        <w:rPr>
          <w:rFonts w:hint="eastAsia" w:ascii="宋体" w:hAnsi="宋体" w:eastAsia="宋体" w:cs="宋体"/>
          <w:color w:val="auto"/>
          <w:sz w:val="24"/>
          <w:szCs w:val="24"/>
          <w:highlight w:val="none"/>
        </w:rPr>
        <w:t>(见‘</w:t>
      </w:r>
      <w:r>
        <w:rPr>
          <w:rFonts w:hint="eastAsia" w:ascii="宋体" w:hAnsi="宋体" w:cs="宋体"/>
          <w:color w:val="auto"/>
          <w:sz w:val="24"/>
          <w:szCs w:val="24"/>
          <w:highlight w:val="none"/>
          <w:lang w:eastAsia="zh-CN"/>
        </w:rPr>
        <w:t>响应文件格式</w:t>
      </w:r>
      <w:r>
        <w:rPr>
          <w:rFonts w:hint="eastAsia" w:ascii="宋体" w:hAnsi="宋体" w:eastAsia="宋体" w:cs="宋体"/>
          <w:color w:val="auto"/>
          <w:sz w:val="24"/>
          <w:szCs w:val="24"/>
          <w:highlight w:val="none"/>
        </w:rPr>
        <w:t>’)</w:t>
      </w:r>
      <w:r>
        <w:rPr>
          <w:rFonts w:hint="eastAsia" w:ascii="宋体" w:hAnsi="宋体" w:eastAsia="宋体" w:cs="宋体"/>
          <w:bCs/>
          <w:color w:val="auto"/>
          <w:sz w:val="24"/>
          <w:highlight w:val="none"/>
          <w:lang w:val="en-US" w:eastAsia="zh-CN"/>
        </w:rPr>
        <w:t>；</w:t>
      </w:r>
    </w:p>
    <w:p w14:paraId="0D8D1046">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4、营业执照</w:t>
      </w:r>
      <w:r>
        <w:rPr>
          <w:rFonts w:hint="eastAsia" w:ascii="宋体" w:hAnsi="宋体" w:eastAsia="宋体" w:cs="宋体"/>
          <w:bCs/>
          <w:color w:val="auto"/>
          <w:sz w:val="24"/>
          <w:highlight w:val="none"/>
          <w:lang w:val="en-US" w:eastAsia="zh-CN"/>
        </w:rPr>
        <w:t>；</w:t>
      </w:r>
    </w:p>
    <w:p w14:paraId="20CDEF40">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银行基本账户开户许可证或基本账户存款信息</w:t>
      </w:r>
      <w:r>
        <w:rPr>
          <w:rFonts w:hint="eastAsia" w:ascii="宋体" w:hAnsi="宋体" w:eastAsia="宋体" w:cs="宋体"/>
          <w:bCs/>
          <w:color w:val="auto"/>
          <w:sz w:val="24"/>
          <w:highlight w:val="none"/>
          <w:lang w:val="en-US" w:eastAsia="zh-CN"/>
        </w:rPr>
        <w:t>；</w:t>
      </w:r>
    </w:p>
    <w:p w14:paraId="2B660F52">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color w:val="auto"/>
          <w:sz w:val="24"/>
          <w:szCs w:val="24"/>
          <w:highlight w:val="none"/>
          <w:lang w:val="en-US" w:eastAsia="zh-CN"/>
        </w:rPr>
        <w:t>投标保证金缴纳凭证</w:t>
      </w:r>
      <w:r>
        <w:rPr>
          <w:rFonts w:hint="eastAsia" w:ascii="宋体" w:hAnsi="宋体" w:eastAsia="宋体" w:cs="宋体"/>
          <w:bCs/>
          <w:color w:val="auto"/>
          <w:sz w:val="24"/>
          <w:highlight w:val="none"/>
          <w:lang w:val="en-US" w:eastAsia="zh-CN"/>
        </w:rPr>
        <w:t>；</w:t>
      </w:r>
    </w:p>
    <w:p w14:paraId="3280C3B3">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color w:val="auto"/>
          <w:sz w:val="24"/>
          <w:szCs w:val="24"/>
          <w:highlight w:val="none"/>
          <w:lang w:val="en-US" w:eastAsia="zh-CN"/>
        </w:rPr>
        <w:t>诚信投标承诺书</w:t>
      </w:r>
      <w:r>
        <w:rPr>
          <w:rFonts w:hint="eastAsia" w:ascii="宋体" w:hAnsi="宋体" w:eastAsia="宋体" w:cs="宋体"/>
          <w:bCs/>
          <w:color w:val="auto"/>
          <w:sz w:val="24"/>
          <w:highlight w:val="none"/>
          <w:lang w:val="en-US" w:eastAsia="zh-CN"/>
        </w:rPr>
        <w:t>；</w:t>
      </w:r>
    </w:p>
    <w:p w14:paraId="22B2CC37">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、中小企业声明函</w:t>
      </w:r>
      <w:r>
        <w:rPr>
          <w:rFonts w:hint="eastAsia" w:ascii="宋体" w:hAnsi="宋体" w:eastAsia="宋体" w:cs="宋体"/>
          <w:color w:val="auto"/>
          <w:sz w:val="24"/>
          <w:szCs w:val="24"/>
          <w:highlight w:val="none"/>
        </w:rPr>
        <w:t>(见‘</w:t>
      </w:r>
      <w:r>
        <w:rPr>
          <w:rFonts w:hint="eastAsia" w:ascii="宋体" w:hAnsi="宋体" w:cs="宋体"/>
          <w:color w:val="auto"/>
          <w:sz w:val="24"/>
          <w:szCs w:val="24"/>
          <w:highlight w:val="none"/>
          <w:lang w:eastAsia="zh-CN"/>
        </w:rPr>
        <w:t>响应文件格式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08410C58">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、企业资质证书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安全生产许可证</w:t>
      </w:r>
      <w:r>
        <w:rPr>
          <w:rFonts w:hint="eastAsia" w:ascii="宋体" w:hAnsi="宋体" w:eastAsia="宋体" w:cs="宋体"/>
          <w:color w:val="auto"/>
          <w:sz w:val="24"/>
          <w:szCs w:val="24"/>
          <w:highlight w:val="none"/>
          <w:lang w:eastAsia="zh-CN"/>
        </w:rPr>
        <w:t>；</w:t>
      </w:r>
    </w:p>
    <w:p w14:paraId="1442861D">
      <w:pPr>
        <w:keepNext w:val="0"/>
        <w:keepLines w:val="0"/>
        <w:pageBreakBefore w:val="0"/>
        <w:kinsoku/>
        <w:wordWrap/>
        <w:overflowPunct/>
        <w:topLinePunct w:val="0"/>
        <w:autoSpaceDE/>
        <w:autoSpaceDN/>
        <w:bidi w:val="0"/>
        <w:spacing w:line="46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拟派往本工程项目经理的身份证明、注册建造师证书、安全生产考核合格证书及</w:t>
      </w:r>
      <w:r>
        <w:rPr>
          <w:rFonts w:hint="eastAsia" w:ascii="Times New Roman" w:hAnsi="Times New Roman" w:eastAsia="宋体" w:cs="Times New Roman"/>
          <w:color w:val="auto"/>
          <w:sz w:val="24"/>
          <w:szCs w:val="24"/>
          <w:highlight w:val="none"/>
          <w:lang w:val="en-US" w:eastAsia="zh-CN"/>
        </w:rPr>
        <w:t>无在建承诺书</w:t>
      </w:r>
      <w:r>
        <w:rPr>
          <w:rFonts w:hint="eastAsia" w:ascii="宋体" w:hAnsi="宋体" w:eastAsia="宋体" w:cs="宋体"/>
          <w:color w:val="auto"/>
          <w:kern w:val="0"/>
          <w:sz w:val="24"/>
          <w:szCs w:val="24"/>
          <w:highlight w:val="none"/>
        </w:rPr>
        <w:t>（见‘</w:t>
      </w:r>
      <w:r>
        <w:rPr>
          <w:rFonts w:hint="eastAsia" w:ascii="宋体" w:hAnsi="宋体" w:cs="宋体"/>
          <w:color w:val="auto"/>
          <w:kern w:val="0"/>
          <w:sz w:val="24"/>
          <w:szCs w:val="24"/>
          <w:highlight w:val="none"/>
          <w:lang w:eastAsia="zh-CN"/>
        </w:rPr>
        <w:t>响应文件格式</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w:t>
      </w:r>
    </w:p>
    <w:p w14:paraId="25180AE9">
      <w:pPr>
        <w:keepNext w:val="0"/>
        <w:keepLines w:val="0"/>
        <w:pageBreakBefore w:val="0"/>
        <w:widowControl/>
        <w:tabs>
          <w:tab w:val="left" w:pos="1440"/>
        </w:tabs>
        <w:kinsoku/>
        <w:wordWrap/>
        <w:overflowPunct/>
        <w:topLinePunct w:val="0"/>
        <w:autoSpaceDE/>
        <w:autoSpaceDN/>
        <w:bidi w:val="0"/>
        <w:snapToGrid w:val="0"/>
        <w:spacing w:line="460" w:lineRule="exact"/>
        <w:ind w:firstLine="354" w:firstLineChars="147"/>
        <w:jc w:val="left"/>
        <w:textAlignment w:val="auto"/>
        <w:rPr>
          <w:rFonts w:hint="eastAsia" w:ascii="宋体" w:hAnsi="宋体" w:eastAsia="宋体" w:cs="宋体"/>
          <w:color w:val="auto"/>
          <w:kern w:val="0"/>
          <w:sz w:val="24"/>
          <w:szCs w:val="24"/>
          <w:highlight w:val="none"/>
        </w:rPr>
      </w:pPr>
      <w:r>
        <w:rPr>
          <w:rFonts w:hint="eastAsia" w:ascii="宋体" w:hAnsi="宋体" w:cs="宋体"/>
          <w:b/>
          <w:color w:val="auto"/>
          <w:kern w:val="0"/>
          <w:sz w:val="24"/>
          <w:szCs w:val="24"/>
          <w:highlight w:val="none"/>
          <w:lang w:val="en-US" w:eastAsia="zh-CN"/>
        </w:rPr>
        <w:t>二、</w:t>
      </w:r>
      <w:r>
        <w:rPr>
          <w:rFonts w:hint="eastAsia" w:ascii="宋体" w:hAnsi="宋体" w:cs="宋体"/>
          <w:b/>
          <w:color w:val="auto"/>
          <w:kern w:val="0"/>
          <w:sz w:val="24"/>
          <w:szCs w:val="24"/>
          <w:highlight w:val="none"/>
        </w:rPr>
        <w:t>商务</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技术部分</w:t>
      </w:r>
      <w:r>
        <w:rPr>
          <w:rFonts w:hint="eastAsia" w:ascii="宋体" w:hAnsi="宋体" w:cs="宋体"/>
          <w:color w:val="auto"/>
          <w:kern w:val="0"/>
          <w:sz w:val="24"/>
          <w:szCs w:val="24"/>
          <w:highlight w:val="none"/>
        </w:rPr>
        <w:t>：</w:t>
      </w:r>
      <w:r>
        <w:rPr>
          <w:rFonts w:hint="eastAsia" w:ascii="宋体" w:hAnsi="宋体" w:eastAsia="宋体" w:cs="宋体"/>
          <w:color w:val="auto"/>
          <w:kern w:val="0"/>
          <w:sz w:val="24"/>
          <w:szCs w:val="24"/>
          <w:highlight w:val="none"/>
        </w:rPr>
        <w:t xml:space="preserve"> </w:t>
      </w:r>
    </w:p>
    <w:p w14:paraId="310A08ED">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项目管理</w:t>
      </w:r>
      <w:r>
        <w:rPr>
          <w:rFonts w:hint="eastAsia" w:ascii="宋体" w:hAnsi="宋体" w:eastAsia="宋体" w:cs="宋体"/>
          <w:color w:val="auto"/>
          <w:sz w:val="24"/>
          <w:szCs w:val="24"/>
          <w:highlight w:val="none"/>
          <w:lang w:eastAsia="zh-CN"/>
        </w:rPr>
        <w:t>人员配备</w:t>
      </w:r>
      <w:r>
        <w:rPr>
          <w:rFonts w:hint="eastAsia" w:ascii="宋体" w:hAnsi="宋体" w:eastAsia="宋体" w:cs="宋体"/>
          <w:color w:val="auto"/>
          <w:sz w:val="24"/>
          <w:szCs w:val="24"/>
          <w:highlight w:val="none"/>
        </w:rPr>
        <w:t>表</w:t>
      </w:r>
      <w:r>
        <w:rPr>
          <w:rFonts w:hint="eastAsia" w:ascii="宋体" w:hAnsi="宋体" w:eastAsia="宋体" w:cs="宋体"/>
          <w:color w:val="auto"/>
          <w:kern w:val="0"/>
          <w:sz w:val="24"/>
          <w:szCs w:val="24"/>
          <w:highlight w:val="none"/>
        </w:rPr>
        <w:t>（见‘</w:t>
      </w:r>
      <w:r>
        <w:rPr>
          <w:rFonts w:hint="eastAsia" w:ascii="宋体" w:hAnsi="宋体" w:cs="宋体"/>
          <w:color w:val="auto"/>
          <w:kern w:val="0"/>
          <w:sz w:val="24"/>
          <w:szCs w:val="24"/>
          <w:highlight w:val="none"/>
          <w:lang w:eastAsia="zh-CN"/>
        </w:rPr>
        <w:t>响应文件格式</w:t>
      </w:r>
      <w:r>
        <w:rPr>
          <w:rFonts w:hint="eastAsia" w:ascii="宋体" w:hAnsi="宋体" w:eastAsia="宋体" w:cs="宋体"/>
          <w:color w:val="auto"/>
          <w:kern w:val="0"/>
          <w:sz w:val="24"/>
          <w:szCs w:val="24"/>
          <w:highlight w:val="none"/>
        </w:rPr>
        <w:t>’）；</w:t>
      </w:r>
    </w:p>
    <w:p w14:paraId="12F1A460">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sz w:val="24"/>
          <w:szCs w:val="24"/>
          <w:highlight w:val="none"/>
          <w:lang w:val="en-US" w:eastAsia="zh-CN"/>
        </w:rPr>
        <w:t>供应商同类型工程表及证明材料</w:t>
      </w:r>
      <w:r>
        <w:rPr>
          <w:rFonts w:hint="eastAsia" w:ascii="宋体" w:hAnsi="宋体" w:eastAsia="宋体" w:cs="宋体"/>
          <w:color w:val="auto"/>
          <w:kern w:val="0"/>
          <w:sz w:val="24"/>
          <w:szCs w:val="24"/>
          <w:highlight w:val="none"/>
        </w:rPr>
        <w:t>（见‘</w:t>
      </w:r>
      <w:r>
        <w:rPr>
          <w:rFonts w:hint="eastAsia" w:ascii="宋体" w:hAnsi="宋体" w:cs="宋体"/>
          <w:color w:val="auto"/>
          <w:kern w:val="0"/>
          <w:sz w:val="24"/>
          <w:szCs w:val="24"/>
          <w:highlight w:val="none"/>
          <w:lang w:eastAsia="zh-CN"/>
        </w:rPr>
        <w:t>响应文件格式</w:t>
      </w:r>
      <w:r>
        <w:rPr>
          <w:rFonts w:hint="eastAsia" w:ascii="宋体" w:hAnsi="宋体" w:eastAsia="宋体" w:cs="宋体"/>
          <w:color w:val="auto"/>
          <w:kern w:val="0"/>
          <w:sz w:val="24"/>
          <w:szCs w:val="24"/>
          <w:highlight w:val="none"/>
        </w:rPr>
        <w:t>’）；</w:t>
      </w:r>
    </w:p>
    <w:p w14:paraId="1FC35040">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3、拟派项目经理同类型工程表及证明材料</w:t>
      </w:r>
      <w:r>
        <w:rPr>
          <w:rFonts w:hint="eastAsia" w:ascii="宋体" w:hAnsi="宋体" w:eastAsia="宋体" w:cs="宋体"/>
          <w:color w:val="auto"/>
          <w:kern w:val="0"/>
          <w:sz w:val="24"/>
          <w:szCs w:val="24"/>
          <w:highlight w:val="none"/>
        </w:rPr>
        <w:t>（见‘</w:t>
      </w:r>
      <w:r>
        <w:rPr>
          <w:rFonts w:hint="eastAsia" w:ascii="宋体" w:hAnsi="宋体" w:cs="宋体"/>
          <w:color w:val="auto"/>
          <w:kern w:val="0"/>
          <w:sz w:val="24"/>
          <w:szCs w:val="24"/>
          <w:highlight w:val="none"/>
          <w:lang w:eastAsia="zh-CN"/>
        </w:rPr>
        <w:t>响应文件格式</w:t>
      </w:r>
      <w:r>
        <w:rPr>
          <w:rFonts w:hint="eastAsia" w:ascii="宋体" w:hAnsi="宋体" w:eastAsia="宋体" w:cs="宋体"/>
          <w:color w:val="auto"/>
          <w:kern w:val="0"/>
          <w:sz w:val="24"/>
          <w:szCs w:val="24"/>
          <w:highlight w:val="none"/>
        </w:rPr>
        <w:t>’）；</w:t>
      </w:r>
    </w:p>
    <w:p w14:paraId="55CF839E">
      <w:pPr>
        <w:adjustRightInd w:val="0"/>
        <w:snapToGrid w:val="0"/>
        <w:spacing w:line="520" w:lineRule="exact"/>
        <w:ind w:right="42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、技术方案；</w:t>
      </w:r>
    </w:p>
    <w:p w14:paraId="722A9523">
      <w:pPr>
        <w:adjustRightInd w:val="0"/>
        <w:snapToGrid w:val="0"/>
        <w:spacing w:line="520" w:lineRule="exact"/>
        <w:ind w:right="420" w:firstLine="480" w:firstLineChars="200"/>
        <w:jc w:val="both"/>
        <w:rPr>
          <w:rFonts w:hint="eastAsia" w:ascii="宋体" w:hAnsi="宋体" w:cs="宋体"/>
          <w:b/>
          <w:bCs/>
          <w:color w:val="auto"/>
          <w:sz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认为需要提供的其他</w:t>
      </w:r>
      <w:r>
        <w:rPr>
          <w:rFonts w:hint="eastAsia" w:ascii="宋体" w:hAnsi="宋体" w:eastAsia="宋体" w:cs="宋体"/>
          <w:color w:val="auto"/>
          <w:kern w:val="0"/>
          <w:sz w:val="24"/>
          <w:szCs w:val="24"/>
          <w:highlight w:val="none"/>
          <w:lang w:val="en-US" w:eastAsia="zh-CN"/>
        </w:rPr>
        <w:t>商务技术</w:t>
      </w:r>
      <w:r>
        <w:rPr>
          <w:rFonts w:hint="eastAsia" w:ascii="宋体" w:hAnsi="宋体" w:eastAsia="宋体" w:cs="宋体"/>
          <w:color w:val="auto"/>
          <w:kern w:val="0"/>
          <w:sz w:val="24"/>
          <w:szCs w:val="24"/>
          <w:highlight w:val="none"/>
        </w:rPr>
        <w:t>材料。</w:t>
      </w:r>
    </w:p>
    <w:p w14:paraId="4AABF38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460" w:lineRule="exact"/>
        <w:ind w:leftChars="200"/>
        <w:jc w:val="left"/>
        <w:textAlignment w:val="auto"/>
        <w:rPr>
          <w:rFonts w:hint="eastAsia" w:ascii="宋体" w:hAnsi="宋体" w:eastAsia="宋体" w:cs="宋体"/>
          <w:b/>
          <w:color w:val="auto"/>
          <w:spacing w:val="10"/>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
          <w:color w:val="auto"/>
          <w:spacing w:val="10"/>
          <w:kern w:val="0"/>
          <w:sz w:val="24"/>
          <w:szCs w:val="24"/>
          <w:highlight w:val="none"/>
          <w:lang w:val="en-US" w:eastAsia="zh-CN"/>
        </w:rPr>
        <w:t>价格部分</w:t>
      </w:r>
    </w:p>
    <w:p w14:paraId="20C28B36">
      <w:pPr>
        <w:keepNext w:val="0"/>
        <w:keepLines w:val="0"/>
        <w:pageBreakBefore w:val="0"/>
        <w:widowControl w:val="0"/>
        <w:kinsoku/>
        <w:wordWrap/>
        <w:overflowPunct/>
        <w:topLinePunct w:val="0"/>
        <w:autoSpaceDE/>
        <w:autoSpaceDN/>
        <w:bidi w:val="0"/>
        <w:adjustRightInd w:val="0"/>
        <w:snapToGrid w:val="0"/>
        <w:spacing w:beforeAutospacing="0" w:line="460" w:lineRule="exact"/>
        <w:ind w:left="0" w:leftChars="0" w:firstLine="520" w:firstLineChars="200"/>
        <w:jc w:val="left"/>
        <w:textAlignment w:val="auto"/>
        <w:rPr>
          <w:rFonts w:hint="eastAsia" w:ascii="宋体" w:hAnsi="宋体" w:eastAsia="宋体" w:cs="宋体"/>
          <w:color w:val="auto"/>
          <w:spacing w:val="10"/>
          <w:kern w:val="0"/>
          <w:sz w:val="24"/>
          <w:szCs w:val="24"/>
          <w:highlight w:val="none"/>
        </w:rPr>
      </w:pPr>
      <w:r>
        <w:rPr>
          <w:rFonts w:hint="eastAsia" w:ascii="宋体" w:hAnsi="宋体" w:eastAsia="宋体" w:cs="宋体"/>
          <w:color w:val="auto"/>
          <w:spacing w:val="10"/>
          <w:kern w:val="0"/>
          <w:sz w:val="24"/>
          <w:szCs w:val="24"/>
          <w:highlight w:val="none"/>
          <w:lang w:val="en-US" w:eastAsia="zh-CN"/>
        </w:rPr>
        <w:t>1、第一次报价</w:t>
      </w:r>
      <w:r>
        <w:rPr>
          <w:rFonts w:hint="eastAsia" w:ascii="宋体" w:hAnsi="宋体" w:eastAsia="宋体" w:cs="宋体"/>
          <w:color w:val="auto"/>
          <w:spacing w:val="10"/>
          <w:kern w:val="0"/>
          <w:sz w:val="24"/>
          <w:szCs w:val="24"/>
          <w:highlight w:val="none"/>
        </w:rPr>
        <w:t>表 (见‘</w:t>
      </w:r>
      <w:r>
        <w:rPr>
          <w:rFonts w:hint="eastAsia" w:ascii="宋体" w:hAnsi="宋体" w:cs="宋体"/>
          <w:color w:val="auto"/>
          <w:spacing w:val="10"/>
          <w:kern w:val="0"/>
          <w:sz w:val="24"/>
          <w:szCs w:val="24"/>
          <w:highlight w:val="none"/>
          <w:lang w:eastAsia="zh-CN"/>
        </w:rPr>
        <w:t>响应文件格式</w:t>
      </w:r>
      <w:r>
        <w:rPr>
          <w:rFonts w:hint="eastAsia" w:ascii="宋体" w:hAnsi="宋体" w:eastAsia="宋体" w:cs="宋体"/>
          <w:color w:val="auto"/>
          <w:spacing w:val="10"/>
          <w:kern w:val="0"/>
          <w:sz w:val="24"/>
          <w:szCs w:val="24"/>
          <w:highlight w:val="none"/>
        </w:rPr>
        <w:t>’)；</w:t>
      </w:r>
    </w:p>
    <w:p w14:paraId="2ADF475A">
      <w:pPr>
        <w:adjustRightInd w:val="0"/>
        <w:snapToGrid w:val="0"/>
        <w:spacing w:line="520" w:lineRule="exact"/>
        <w:ind w:right="420"/>
        <w:jc w:val="center"/>
        <w:rPr>
          <w:rFonts w:hint="eastAsia" w:ascii="宋体" w:hAnsi="宋体" w:cs="宋体"/>
          <w:b/>
          <w:bCs/>
          <w:color w:val="auto"/>
          <w:sz w:val="24"/>
          <w:highlight w:val="none"/>
        </w:rPr>
        <w:sectPr>
          <w:pgSz w:w="11906" w:h="16838"/>
          <w:pgMar w:top="1701" w:right="1588" w:bottom="1588" w:left="1588" w:header="851" w:footer="1134" w:gutter="0"/>
          <w:pgNumType w:fmt="decimal"/>
          <w:cols w:space="720" w:num="1"/>
          <w:docGrid w:linePitch="312" w:charSpace="0"/>
        </w:sectPr>
      </w:pPr>
    </w:p>
    <w:p w14:paraId="7A4DEB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b/>
          <w:bCs w:val="0"/>
          <w:color w:val="auto"/>
          <w:kern w:val="0"/>
          <w:sz w:val="24"/>
          <w:szCs w:val="24"/>
          <w:highlight w:val="none"/>
          <w:lang w:val="en-US" w:eastAsia="zh-CN" w:bidi="ar"/>
        </w:rPr>
        <w:t>竞争性磋商声明函（格式）</w:t>
      </w:r>
    </w:p>
    <w:p w14:paraId="188524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600D15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贵单位的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）磋商文件（包括更正公告，</w:t>
      </w:r>
      <w:r>
        <w:rPr>
          <w:rFonts w:hint="eastAsia" w:ascii="宋体" w:hAnsi="宋体" w:cs="宋体"/>
          <w:color w:val="auto"/>
          <w:sz w:val="24"/>
          <w:highlight w:val="none"/>
          <w:lang w:eastAsia="zh-CN"/>
        </w:rPr>
        <w:t>如</w:t>
      </w:r>
      <w:r>
        <w:rPr>
          <w:rFonts w:hint="eastAsia" w:ascii="宋体" w:hAnsi="宋体" w:eastAsia="宋体" w:cs="宋体"/>
          <w:color w:val="auto"/>
          <w:sz w:val="24"/>
          <w:highlight w:val="none"/>
        </w:rPr>
        <w:t>果有的话）收悉，我们经详细审阅和研究，现决定参加竞争性磋商：</w:t>
      </w:r>
    </w:p>
    <w:p w14:paraId="554A1790">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我们郑重承诺：我们是符合《</w:t>
      </w:r>
      <w:r>
        <w:rPr>
          <w:rFonts w:hint="eastAsia" w:ascii="宋体" w:hAnsi="宋体" w:cs="宋体"/>
          <w:color w:val="auto"/>
          <w:sz w:val="24"/>
          <w:highlight w:val="none"/>
          <w:lang w:eastAsia="zh-CN"/>
        </w:rPr>
        <w:t>中华人民共和国政府采购法</w:t>
      </w:r>
      <w:r>
        <w:rPr>
          <w:rFonts w:hint="eastAsia" w:ascii="宋体" w:hAnsi="宋体" w:eastAsia="宋体" w:cs="宋体"/>
          <w:color w:val="auto"/>
          <w:sz w:val="24"/>
          <w:highlight w:val="none"/>
        </w:rPr>
        <w:t>》第22条规定的供应商，并严格遵守《</w:t>
      </w:r>
      <w:r>
        <w:rPr>
          <w:rFonts w:hint="eastAsia" w:ascii="宋体" w:hAnsi="宋体" w:cs="宋体"/>
          <w:color w:val="auto"/>
          <w:sz w:val="24"/>
          <w:highlight w:val="none"/>
          <w:lang w:eastAsia="zh-CN"/>
        </w:rPr>
        <w:t>中华人民共和国政府采购法</w:t>
      </w:r>
      <w:r>
        <w:rPr>
          <w:rFonts w:hint="eastAsia" w:ascii="宋体" w:hAnsi="宋体" w:eastAsia="宋体" w:cs="宋体"/>
          <w:color w:val="auto"/>
          <w:sz w:val="24"/>
          <w:highlight w:val="none"/>
        </w:rPr>
        <w:t>》第77条的规定。</w:t>
      </w:r>
    </w:p>
    <w:p w14:paraId="7996DB31">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我们接受磋商文件的所有的条款和规定。</w:t>
      </w:r>
    </w:p>
    <w:p w14:paraId="3710D955">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我们同意按照磋商文件第二章“磋商供应商须知”的规定，本响应文</w:t>
      </w:r>
      <w:r>
        <w:rPr>
          <w:rFonts w:hint="eastAsia" w:ascii="宋体" w:hAnsi="宋体" w:eastAsia="宋体" w:cs="宋体"/>
          <w:color w:val="auto"/>
          <w:sz w:val="24"/>
          <w:highlight w:val="none"/>
          <w:lang w:eastAsia="zh-CN"/>
        </w:rPr>
        <w:t>件</w:t>
      </w:r>
      <w:r>
        <w:rPr>
          <w:rFonts w:hint="eastAsia" w:ascii="宋体" w:hAnsi="宋体" w:eastAsia="宋体" w:cs="宋体"/>
          <w:color w:val="auto"/>
          <w:sz w:val="24"/>
          <w:highlight w:val="none"/>
        </w:rPr>
        <w:t>的有效期为从竞争性磋商</w:t>
      </w:r>
      <w:r>
        <w:rPr>
          <w:rFonts w:hint="eastAsia" w:ascii="宋体" w:hAnsi="宋体" w:cs="宋体"/>
          <w:color w:val="auto"/>
          <w:sz w:val="24"/>
          <w:highlight w:val="none"/>
          <w:lang w:eastAsia="zh-CN"/>
        </w:rPr>
        <w:t>截止时间</w:t>
      </w:r>
      <w:r>
        <w:rPr>
          <w:rFonts w:hint="eastAsia" w:ascii="宋体" w:hAnsi="宋体" w:eastAsia="宋体" w:cs="宋体"/>
          <w:color w:val="auto"/>
          <w:sz w:val="24"/>
          <w:highlight w:val="none"/>
        </w:rPr>
        <w:t>起计算的</w:t>
      </w:r>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十天，在此期间，本磋商文件将始终对我们具有约束力，并可随时被接受。如果我们</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，本磋商文件在此期间之后将继续保持有效。</w:t>
      </w:r>
    </w:p>
    <w:p w14:paraId="442BD2CE">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我们同意提供要求的有关本次竞争性磋商的所有资料，并声明所提交的资料是准确的和真实的。</w:t>
      </w:r>
    </w:p>
    <w:p w14:paraId="009131F3">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我们理解，你们无义务必须接受竞争性磋商最低的报价，并有权拒绝所有的响应文件和报价。同时也理解你们不承担我们本次磋商费用。 </w:t>
      </w:r>
    </w:p>
    <w:p w14:paraId="54BAD0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789E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p>
    <w:p w14:paraId="0E57496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磋商供应商名称（公章）：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08E6C7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p>
    <w:p w14:paraId="0E0494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 xml:space="preserve">                </w:t>
      </w:r>
    </w:p>
    <w:p w14:paraId="0E1CD8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日</w:t>
      </w:r>
    </w:p>
    <w:p w14:paraId="04924D8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特别提示</w:t>
      </w:r>
      <w:r>
        <w:rPr>
          <w:rFonts w:hint="eastAsia" w:ascii="宋体" w:hAnsi="宋体" w:eastAsia="宋体" w:cs="宋体"/>
          <w:color w:val="auto"/>
          <w:sz w:val="24"/>
          <w:highlight w:val="none"/>
        </w:rPr>
        <w:t>：以上内容不得改动，否则将视为无效响应文件。</w:t>
      </w:r>
    </w:p>
    <w:p w14:paraId="27B6A912">
      <w:pPr>
        <w:adjustRightInd w:val="0"/>
        <w:snapToGrid w:val="0"/>
        <w:spacing w:line="520" w:lineRule="exact"/>
        <w:ind w:right="420"/>
        <w:jc w:val="center"/>
        <w:rPr>
          <w:rFonts w:hint="eastAsia" w:ascii="宋体" w:hAnsi="宋体" w:cs="宋体"/>
          <w:b/>
          <w:bCs/>
          <w:color w:val="auto"/>
          <w:sz w:val="24"/>
          <w:highlight w:val="none"/>
        </w:rPr>
      </w:pPr>
    </w:p>
    <w:p w14:paraId="16ADEE50">
      <w:pPr>
        <w:adjustRightInd w:val="0"/>
        <w:snapToGrid w:val="0"/>
        <w:spacing w:line="520" w:lineRule="exact"/>
        <w:ind w:right="420"/>
        <w:jc w:val="center"/>
        <w:rPr>
          <w:rFonts w:hint="eastAsia" w:ascii="宋体" w:hAnsi="宋体" w:cs="宋体"/>
          <w:b/>
          <w:bCs/>
          <w:color w:val="auto"/>
          <w:sz w:val="24"/>
          <w:highlight w:val="none"/>
        </w:rPr>
        <w:sectPr>
          <w:pgSz w:w="11906" w:h="16838"/>
          <w:pgMar w:top="1701" w:right="1588" w:bottom="1588" w:left="1588" w:header="851" w:footer="1134" w:gutter="0"/>
          <w:pgNumType w:fmt="decimal"/>
          <w:cols w:space="720" w:num="1"/>
          <w:docGrid w:linePitch="312" w:charSpace="0"/>
        </w:sectPr>
      </w:pPr>
    </w:p>
    <w:p w14:paraId="3CFC714F">
      <w:pPr>
        <w:adjustRightInd w:val="0"/>
        <w:snapToGrid w:val="0"/>
        <w:spacing w:line="520" w:lineRule="exact"/>
        <w:ind w:right="420"/>
        <w:jc w:val="center"/>
        <w:rPr>
          <w:rFonts w:hint="eastAsia" w:ascii="宋体" w:hAnsi="宋体" w:cs="宋体"/>
          <w:b/>
          <w:color w:val="auto"/>
          <w:sz w:val="24"/>
          <w:highlight w:val="none"/>
        </w:rPr>
      </w:pPr>
      <w:r>
        <w:rPr>
          <w:rFonts w:hint="eastAsia" w:ascii="宋体" w:hAnsi="宋体" w:cs="宋体"/>
          <w:b/>
          <w:bCs/>
          <w:color w:val="auto"/>
          <w:sz w:val="24"/>
          <w:highlight w:val="none"/>
        </w:rPr>
        <w:t>法定代表人身份证明</w:t>
      </w:r>
      <w:r>
        <w:rPr>
          <w:rFonts w:hint="eastAsia" w:ascii="宋体" w:hAnsi="宋体" w:cs="宋体"/>
          <w:b/>
          <w:bCs/>
          <w:color w:val="auto"/>
          <w:sz w:val="24"/>
          <w:highlight w:val="none"/>
          <w:lang w:val="en-US" w:eastAsia="zh-CN"/>
        </w:rPr>
        <w:t>书</w:t>
      </w:r>
      <w:r>
        <w:rPr>
          <w:rFonts w:hint="eastAsia" w:ascii="宋体" w:hAnsi="宋体" w:cs="宋体"/>
          <w:b/>
          <w:bCs/>
          <w:color w:val="auto"/>
          <w:sz w:val="24"/>
          <w:highlight w:val="none"/>
        </w:rPr>
        <w:t>（格式）</w:t>
      </w:r>
    </w:p>
    <w:p w14:paraId="486A9219">
      <w:pPr>
        <w:adjustRightInd w:val="0"/>
        <w:snapToGrid w:val="0"/>
        <w:spacing w:line="400" w:lineRule="exact"/>
        <w:rPr>
          <w:rFonts w:hint="eastAsia" w:ascii="宋体" w:hAnsi="宋体" w:cs="宋体"/>
          <w:color w:val="auto"/>
          <w:sz w:val="24"/>
          <w:highlight w:val="none"/>
        </w:rPr>
      </w:pPr>
    </w:p>
    <w:p w14:paraId="54542127">
      <w:pPr>
        <w:autoSpaceDE w:val="0"/>
        <w:autoSpaceDN w:val="0"/>
        <w:adjustRightInd w:val="0"/>
        <w:snapToGrid w:val="0"/>
        <w:spacing w:line="520" w:lineRule="exact"/>
        <w:jc w:val="left"/>
        <w:rPr>
          <w:rFonts w:hint="eastAsia" w:ascii="宋体" w:hAnsi="宋体" w:eastAsia="宋体" w:cs="宋体"/>
          <w:color w:val="auto"/>
          <w:kern w:val="0"/>
          <w:sz w:val="24"/>
          <w:highlight w:val="none"/>
          <w:lang w:val="en-US" w:eastAsia="zh-CN"/>
        </w:rPr>
      </w:pPr>
      <w:r>
        <w:rPr>
          <w:rFonts w:hint="eastAsia" w:ascii="宋体" w:hAnsi="宋体" w:cs="宋体"/>
          <w:color w:val="auto"/>
          <w:sz w:val="24"/>
          <w:highlight w:val="none"/>
        </w:rPr>
        <w:t>供应商</w:t>
      </w:r>
      <w:r>
        <w:rPr>
          <w:rFonts w:hint="eastAsia" w:ascii="宋体" w:hAnsi="宋体" w:cs="宋体"/>
          <w:color w:val="auto"/>
          <w:kern w:val="0"/>
          <w:sz w:val="24"/>
          <w:highlight w:val="none"/>
        </w:rPr>
        <w:t>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p>
    <w:p w14:paraId="1BE15BA0">
      <w:pPr>
        <w:autoSpaceDE w:val="0"/>
        <w:autoSpaceDN w:val="0"/>
        <w:adjustRightInd w:val="0"/>
        <w:snapToGrid w:val="0"/>
        <w:spacing w:line="520" w:lineRule="exact"/>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统一社会信用代码：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p>
    <w:p w14:paraId="3B911466">
      <w:pPr>
        <w:autoSpaceDE w:val="0"/>
        <w:autoSpaceDN w:val="0"/>
        <w:adjustRightInd w:val="0"/>
        <w:snapToGrid w:val="0"/>
        <w:spacing w:line="5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注册地址：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p>
    <w:p w14:paraId="52D73C0B">
      <w:pPr>
        <w:autoSpaceDE w:val="0"/>
        <w:autoSpaceDN w:val="0"/>
        <w:adjustRightInd w:val="0"/>
        <w:snapToGrid w:val="0"/>
        <w:spacing w:line="5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成立时间：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年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日</w:t>
      </w:r>
    </w:p>
    <w:p w14:paraId="25CBDA7E">
      <w:pPr>
        <w:autoSpaceDE w:val="0"/>
        <w:autoSpaceDN w:val="0"/>
        <w:adjustRightInd w:val="0"/>
        <w:snapToGrid w:val="0"/>
        <w:spacing w:line="520" w:lineRule="exact"/>
        <w:jc w:val="left"/>
        <w:rPr>
          <w:rFonts w:hint="eastAsia" w:ascii="宋体" w:hAnsi="宋体" w:eastAsia="宋体" w:cs="宋体"/>
          <w:color w:val="auto"/>
          <w:kern w:val="0"/>
          <w:sz w:val="24"/>
          <w:highlight w:val="none"/>
          <w:u w:val="single"/>
          <w:lang w:val="en-US" w:eastAsia="zh-CN"/>
        </w:rPr>
      </w:pPr>
      <w:r>
        <w:rPr>
          <w:rFonts w:hint="eastAsia" w:ascii="宋体" w:hAnsi="宋体" w:cs="宋体"/>
          <w:color w:val="auto"/>
          <w:kern w:val="0"/>
          <w:sz w:val="24"/>
          <w:highlight w:val="none"/>
        </w:rPr>
        <w:t>经营期限：</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p>
    <w:p w14:paraId="726D852A">
      <w:pPr>
        <w:autoSpaceDE w:val="0"/>
        <w:autoSpaceDN w:val="0"/>
        <w:adjustRightInd w:val="0"/>
        <w:snapToGrid w:val="0"/>
        <w:spacing w:line="520" w:lineRule="exact"/>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经营范围：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p>
    <w:p w14:paraId="57D96CEB">
      <w:pPr>
        <w:autoSpaceDE w:val="0"/>
        <w:autoSpaceDN w:val="0"/>
        <w:adjustRightInd w:val="0"/>
        <w:snapToGrid w:val="0"/>
        <w:spacing w:line="5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姓名：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性别：</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年龄：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职务：</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r>
        <w:rPr>
          <w:rFonts w:hint="eastAsia" w:ascii="宋体" w:hAnsi="宋体" w:cs="宋体"/>
          <w:color w:val="auto"/>
          <w:sz w:val="24"/>
          <w:highlight w:val="none"/>
          <w:lang w:val="en-US" w:eastAsia="zh-CN"/>
        </w:rPr>
        <w:t>供应商</w:t>
      </w:r>
      <w:r>
        <w:rPr>
          <w:rFonts w:hint="eastAsia" w:ascii="宋体" w:hAnsi="宋体" w:cs="宋体"/>
          <w:color w:val="auto"/>
          <w:kern w:val="0"/>
          <w:sz w:val="24"/>
          <w:highlight w:val="none"/>
        </w:rPr>
        <w:t>名称）的法定代表人。</w:t>
      </w:r>
    </w:p>
    <w:p w14:paraId="66FA166D">
      <w:pPr>
        <w:autoSpaceDE w:val="0"/>
        <w:autoSpaceDN w:val="0"/>
        <w:adjustRightInd w:val="0"/>
        <w:snapToGrid w:val="0"/>
        <w:spacing w:line="52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特此证明。</w:t>
      </w:r>
    </w:p>
    <w:p w14:paraId="77A4172A">
      <w:pPr>
        <w:autoSpaceDE w:val="0"/>
        <w:autoSpaceDN w:val="0"/>
        <w:adjustRightInd w:val="0"/>
        <w:snapToGrid w:val="0"/>
        <w:spacing w:line="400" w:lineRule="exact"/>
        <w:jc w:val="left"/>
        <w:rPr>
          <w:rFonts w:hint="eastAsia" w:ascii="宋体" w:hAnsi="宋体" w:cs="宋体"/>
          <w:color w:val="auto"/>
          <w:kern w:val="0"/>
          <w:sz w:val="24"/>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633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noWrap w:val="0"/>
            <w:vAlign w:val="center"/>
          </w:tcPr>
          <w:p w14:paraId="5380C1BC">
            <w:pPr>
              <w:adjustRightInd w:val="0"/>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法定代表人身份证复印件</w:t>
            </w:r>
          </w:p>
        </w:tc>
      </w:tr>
    </w:tbl>
    <w:p w14:paraId="7E94BEE4">
      <w:pPr>
        <w:adjustRightInd w:val="0"/>
        <w:snapToGrid w:val="0"/>
        <w:spacing w:line="400" w:lineRule="exact"/>
        <w:rPr>
          <w:rFonts w:hint="eastAsia" w:ascii="宋体" w:hAnsi="宋体" w:cs="宋体"/>
          <w:color w:val="auto"/>
          <w:sz w:val="24"/>
          <w:highlight w:val="none"/>
        </w:rPr>
      </w:pPr>
    </w:p>
    <w:p w14:paraId="1E799FC7">
      <w:pPr>
        <w:adjustRightInd w:val="0"/>
        <w:snapToGrid w:val="0"/>
        <w:spacing w:line="400" w:lineRule="exact"/>
        <w:rPr>
          <w:rFonts w:hint="eastAsia" w:ascii="宋体" w:hAnsi="宋体" w:cs="宋体"/>
          <w:color w:val="auto"/>
          <w:sz w:val="24"/>
          <w:highlight w:val="none"/>
        </w:rPr>
      </w:pPr>
    </w:p>
    <w:p w14:paraId="2ACAD2BE">
      <w:pPr>
        <w:adjustRightInd w:val="0"/>
        <w:snapToGrid w:val="0"/>
        <w:spacing w:line="400" w:lineRule="exact"/>
        <w:rPr>
          <w:rFonts w:hint="eastAsia" w:ascii="宋体" w:hAnsi="宋体" w:cs="宋体"/>
          <w:color w:val="auto"/>
          <w:sz w:val="24"/>
          <w:highlight w:val="none"/>
        </w:rPr>
      </w:pPr>
    </w:p>
    <w:p w14:paraId="6110A3B8">
      <w:pPr>
        <w:adjustRightInd w:val="0"/>
        <w:snapToGrid w:val="0"/>
        <w:spacing w:line="400" w:lineRule="exact"/>
        <w:rPr>
          <w:rFonts w:hint="eastAsia" w:ascii="宋体" w:hAnsi="宋体" w:cs="宋体"/>
          <w:color w:val="auto"/>
          <w:sz w:val="24"/>
          <w:highlight w:val="none"/>
        </w:rPr>
      </w:pPr>
    </w:p>
    <w:p w14:paraId="3EF7CCAC">
      <w:pPr>
        <w:spacing w:line="500" w:lineRule="exact"/>
        <w:ind w:firstLine="2880" w:firstLineChars="1200"/>
        <w:rPr>
          <w:rFonts w:hint="eastAsia" w:ascii="宋体" w:hAnsi="宋体" w:cs="宋体"/>
          <w:color w:val="auto"/>
          <w:sz w:val="24"/>
          <w:highlight w:val="none"/>
        </w:rPr>
      </w:pPr>
      <w:r>
        <w:rPr>
          <w:rFonts w:hint="eastAsia" w:ascii="宋体" w:hAnsi="宋体" w:cs="宋体"/>
          <w:color w:val="auto"/>
          <w:sz w:val="24"/>
          <w:highlight w:val="none"/>
        </w:rPr>
        <w:t>磋商供应商名称（公章）：</w:t>
      </w:r>
      <w:r>
        <w:rPr>
          <w:rFonts w:hint="eastAsia" w:ascii="宋体" w:hAnsi="宋体" w:cs="宋体"/>
          <w:color w:val="auto"/>
          <w:sz w:val="24"/>
          <w:highlight w:val="none"/>
          <w:u w:val="single"/>
        </w:rPr>
        <w:t xml:space="preserve">                    。</w:t>
      </w:r>
    </w:p>
    <w:p w14:paraId="0C65F44F">
      <w:pPr>
        <w:pStyle w:val="26"/>
        <w:spacing w:line="360" w:lineRule="atLeast"/>
        <w:jc w:val="center"/>
        <w:outlineLvl w:val="0"/>
        <w:rPr>
          <w:rFonts w:hint="eastAsia" w:ascii="宋体" w:hAnsi="宋体" w:cs="宋体"/>
          <w:color w:val="auto"/>
          <w:highlight w:val="none"/>
        </w:rPr>
        <w:sectPr>
          <w:pgSz w:w="11906" w:h="16838"/>
          <w:pgMar w:top="1701" w:right="1588" w:bottom="1588" w:left="1588" w:header="851" w:footer="1134" w:gutter="0"/>
          <w:pgNumType w:fmt="decimal"/>
          <w:cols w:space="720" w:num="1"/>
          <w:docGrid w:linePitch="312" w:charSpace="0"/>
        </w:sectPr>
      </w:pPr>
      <w:r>
        <w:rPr>
          <w:rFonts w:hint="eastAsia" w:ascii="宋体" w:hAnsi="宋体" w:cs="宋体"/>
          <w:color w:val="auto"/>
          <w:highlight w:val="none"/>
        </w:rPr>
        <w:t xml:space="preserve">                       </w:t>
      </w:r>
      <w:bookmarkStart w:id="85" w:name="_Toc21065"/>
      <w:bookmarkStart w:id="86" w:name="_Toc20706"/>
      <w:bookmarkStart w:id="87" w:name="_Toc32414"/>
      <w:bookmarkStart w:id="88" w:name="_Toc6021"/>
      <w:bookmarkStart w:id="89" w:name="_Toc13289"/>
      <w:bookmarkStart w:id="90" w:name="_Toc26218"/>
      <w:bookmarkStart w:id="91" w:name="_Toc17244"/>
      <w:bookmarkStart w:id="92" w:name="_Toc19161"/>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bookmarkEnd w:id="85"/>
      <w:bookmarkEnd w:id="86"/>
      <w:bookmarkEnd w:id="87"/>
      <w:bookmarkEnd w:id="88"/>
      <w:bookmarkEnd w:id="89"/>
      <w:bookmarkEnd w:id="90"/>
      <w:bookmarkEnd w:id="91"/>
      <w:bookmarkEnd w:id="92"/>
    </w:p>
    <w:p w14:paraId="00D3A935">
      <w:pPr>
        <w:pStyle w:val="26"/>
        <w:spacing w:line="360" w:lineRule="atLeast"/>
        <w:jc w:val="center"/>
        <w:rPr>
          <w:rFonts w:hint="eastAsia" w:ascii="宋体" w:hAnsi="宋体" w:cs="宋体"/>
          <w:b/>
          <w:color w:val="auto"/>
          <w:highlight w:val="none"/>
        </w:rPr>
      </w:pPr>
      <w:r>
        <w:rPr>
          <w:rFonts w:hint="eastAsia" w:ascii="宋体" w:hAnsi="宋体" w:cs="宋体"/>
          <w:b/>
          <w:color w:val="auto"/>
          <w:highlight w:val="none"/>
          <w:lang w:val="en-US" w:eastAsia="zh-CN"/>
        </w:rPr>
        <w:t>法人</w:t>
      </w:r>
      <w:r>
        <w:rPr>
          <w:rFonts w:hint="eastAsia" w:ascii="宋体" w:hAnsi="宋体" w:cs="宋体"/>
          <w:b/>
          <w:color w:val="auto"/>
          <w:highlight w:val="none"/>
        </w:rPr>
        <w:t>授权委托书</w:t>
      </w:r>
      <w:r>
        <w:rPr>
          <w:rFonts w:hint="eastAsia" w:ascii="宋体" w:hAnsi="宋体" w:cs="宋体"/>
          <w:b/>
          <w:bCs/>
          <w:color w:val="auto"/>
          <w:highlight w:val="none"/>
        </w:rPr>
        <w:t>（格式）</w:t>
      </w:r>
    </w:p>
    <w:p w14:paraId="276383C6">
      <w:pPr>
        <w:spacing w:line="500" w:lineRule="exact"/>
        <w:rPr>
          <w:rFonts w:hint="eastAsia" w:ascii="宋体" w:hAnsi="宋体" w:cs="宋体"/>
          <w:color w:val="auto"/>
          <w:sz w:val="13"/>
          <w:szCs w:val="13"/>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w:t>
      </w:r>
    </w:p>
    <w:p w14:paraId="249542AC">
      <w:pPr>
        <w:spacing w:line="500" w:lineRule="exact"/>
        <w:rPr>
          <w:rFonts w:hint="eastAsia" w:ascii="宋体" w:hAnsi="宋体" w:cs="宋体"/>
          <w:color w:val="auto"/>
          <w:sz w:val="13"/>
          <w:szCs w:val="13"/>
          <w:highlight w:val="none"/>
        </w:rPr>
      </w:pPr>
    </w:p>
    <w:p w14:paraId="540886DF">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磋商供应商名称：</w:t>
      </w:r>
      <w:r>
        <w:rPr>
          <w:rFonts w:hint="eastAsia" w:ascii="宋体" w:hAnsi="宋体" w:cs="宋体"/>
          <w:color w:val="auto"/>
          <w:sz w:val="24"/>
          <w:highlight w:val="none"/>
          <w:u w:val="single"/>
        </w:rPr>
        <w:t xml:space="preserve">                                   .                                 </w:t>
      </w:r>
    </w:p>
    <w:p w14:paraId="0F50C304">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                                  </w:t>
      </w:r>
    </w:p>
    <w:p w14:paraId="51DEFAEA">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                               </w:t>
      </w:r>
    </w:p>
    <w:p w14:paraId="73277CC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授权委托人姓名：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出生日期：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E5CBF4B">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授权委托人在本单位的任职部门及职务：</w:t>
      </w:r>
      <w:r>
        <w:rPr>
          <w:rFonts w:hint="eastAsia" w:ascii="宋体" w:hAnsi="宋体" w:cs="宋体"/>
          <w:color w:val="auto"/>
          <w:sz w:val="24"/>
          <w:highlight w:val="none"/>
          <w:u w:val="single"/>
        </w:rPr>
        <w:t xml:space="preserve">                    .                          </w:t>
      </w:r>
    </w:p>
    <w:p w14:paraId="34A45E71">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身份证编号：</w:t>
      </w:r>
      <w:r>
        <w:rPr>
          <w:rFonts w:hint="eastAsia" w:ascii="宋体" w:hAnsi="宋体" w:cs="宋体"/>
          <w:color w:val="auto"/>
          <w:sz w:val="24"/>
          <w:highlight w:val="none"/>
          <w:u w:val="single"/>
        </w:rPr>
        <w:t xml:space="preserve">                            .                    </w:t>
      </w:r>
    </w:p>
    <w:p w14:paraId="13133B68">
      <w:pPr>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授权委托人的联系方式（手机）：</w:t>
      </w:r>
      <w:r>
        <w:rPr>
          <w:rFonts w:hint="eastAsia" w:ascii="宋体" w:hAnsi="宋体" w:cs="宋体"/>
          <w:color w:val="auto"/>
          <w:sz w:val="24"/>
          <w:highlight w:val="none"/>
          <w:u w:val="single"/>
        </w:rPr>
        <w:t xml:space="preserve">                  .                          </w:t>
      </w:r>
    </w:p>
    <w:p w14:paraId="0968B23F">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兹委托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代表我单位参加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项目（项目编号：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）的政府采购活动，授权委托人有权在该磋商活动中，以我单位名义签署磋商函和响应文件、递交响应文件，磋商小组进行澄清、解释、磋商，签订合同书并执行一切与此有关的事项。</w:t>
      </w:r>
    </w:p>
    <w:p w14:paraId="08B3583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授权委托人在办理上述事宜过程中以其自己的名义所签署的所有文件均予以承认。授权委托人无转委托权。</w:t>
      </w:r>
    </w:p>
    <w:p w14:paraId="64ECFD74">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委托期限：至上述事宜处理完毕止。</w:t>
      </w:r>
    </w:p>
    <w:p w14:paraId="6C742EFE">
      <w:pPr>
        <w:spacing w:line="500" w:lineRule="exact"/>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bookmarkStart w:id="93" w:name="_Toc28165"/>
      <w:bookmarkStart w:id="94" w:name="_Toc7950"/>
      <w:bookmarkStart w:id="95" w:name="_Toc2052"/>
      <w:bookmarkStart w:id="96" w:name="_Toc26560"/>
      <w:bookmarkStart w:id="97" w:name="_Toc2626"/>
      <w:bookmarkStart w:id="98" w:name="_Toc21425"/>
      <w:bookmarkStart w:id="99" w:name="_Toc5584"/>
      <w:bookmarkStart w:id="100" w:name="_Toc10160"/>
      <w:r>
        <w:rPr>
          <w:rFonts w:hint="eastAsia" w:ascii="宋体" w:hAnsi="宋体" w:cs="宋体"/>
          <w:color w:val="auto"/>
          <w:sz w:val="24"/>
          <w:highlight w:val="none"/>
        </w:rPr>
        <w:t>附：1.委托单位法定代表人身份证复印件（复印正、反两面）</w:t>
      </w:r>
      <w:bookmarkEnd w:id="93"/>
      <w:bookmarkEnd w:id="94"/>
      <w:bookmarkEnd w:id="95"/>
      <w:bookmarkEnd w:id="96"/>
      <w:bookmarkEnd w:id="97"/>
      <w:bookmarkEnd w:id="98"/>
      <w:bookmarkEnd w:id="99"/>
      <w:bookmarkEnd w:id="100"/>
    </w:p>
    <w:p w14:paraId="2523D097">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tbl>
      <w:tblPr>
        <w:tblStyle w:val="30"/>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1"/>
        <w:gridCol w:w="4104"/>
      </w:tblGrid>
      <w:tr w14:paraId="4687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131" w:type="dxa"/>
            <w:noWrap w:val="0"/>
            <w:vAlign w:val="top"/>
          </w:tcPr>
          <w:p w14:paraId="01FE64C8">
            <w:pPr>
              <w:spacing w:line="500" w:lineRule="exact"/>
              <w:rPr>
                <w:rFonts w:hint="eastAsia" w:ascii="宋体" w:hAnsi="宋体" w:cs="宋体"/>
                <w:color w:val="auto"/>
                <w:sz w:val="24"/>
                <w:highlight w:val="none"/>
              </w:rPr>
            </w:pPr>
          </w:p>
        </w:tc>
        <w:tc>
          <w:tcPr>
            <w:tcW w:w="4104" w:type="dxa"/>
            <w:noWrap w:val="0"/>
            <w:vAlign w:val="top"/>
          </w:tcPr>
          <w:p w14:paraId="725233DE">
            <w:pPr>
              <w:spacing w:line="500" w:lineRule="exact"/>
              <w:rPr>
                <w:rFonts w:hint="eastAsia" w:ascii="宋体" w:hAnsi="宋体" w:cs="宋体"/>
                <w:color w:val="auto"/>
                <w:sz w:val="24"/>
                <w:highlight w:val="none"/>
              </w:rPr>
            </w:pPr>
          </w:p>
        </w:tc>
      </w:tr>
    </w:tbl>
    <w:p w14:paraId="418275BF">
      <w:pPr>
        <w:spacing w:line="500" w:lineRule="exact"/>
        <w:rPr>
          <w:rFonts w:hint="eastAsia" w:ascii="宋体" w:hAnsi="宋体" w:cs="宋体"/>
          <w:color w:val="auto"/>
          <w:sz w:val="24"/>
          <w:highlight w:val="none"/>
        </w:rPr>
      </w:pPr>
    </w:p>
    <w:p w14:paraId="15DF28BF">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2.授权委托人身份证复印件（复印正、反两面）</w:t>
      </w:r>
    </w:p>
    <w:tbl>
      <w:tblPr>
        <w:tblStyle w:val="30"/>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1"/>
        <w:gridCol w:w="4104"/>
      </w:tblGrid>
      <w:tr w14:paraId="1E70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5" w:hRule="atLeast"/>
        </w:trPr>
        <w:tc>
          <w:tcPr>
            <w:tcW w:w="4131" w:type="dxa"/>
            <w:noWrap w:val="0"/>
            <w:vAlign w:val="top"/>
          </w:tcPr>
          <w:p w14:paraId="539520C0">
            <w:pPr>
              <w:spacing w:line="500" w:lineRule="exact"/>
              <w:rPr>
                <w:rFonts w:hint="eastAsia" w:ascii="宋体" w:hAnsi="宋体" w:cs="宋体"/>
                <w:color w:val="auto"/>
                <w:sz w:val="24"/>
                <w:highlight w:val="none"/>
              </w:rPr>
            </w:pPr>
          </w:p>
        </w:tc>
        <w:tc>
          <w:tcPr>
            <w:tcW w:w="4104" w:type="dxa"/>
            <w:noWrap w:val="0"/>
            <w:vAlign w:val="top"/>
          </w:tcPr>
          <w:p w14:paraId="03A5C631">
            <w:pPr>
              <w:spacing w:line="500" w:lineRule="exact"/>
              <w:rPr>
                <w:rFonts w:hint="eastAsia" w:ascii="宋体" w:hAnsi="宋体" w:cs="宋体"/>
                <w:color w:val="auto"/>
                <w:sz w:val="24"/>
                <w:highlight w:val="none"/>
              </w:rPr>
            </w:pPr>
          </w:p>
        </w:tc>
      </w:tr>
    </w:tbl>
    <w:p w14:paraId="351836C0">
      <w:pPr>
        <w:spacing w:line="500" w:lineRule="exact"/>
        <w:rPr>
          <w:rFonts w:hint="eastAsia" w:ascii="宋体" w:hAnsi="宋体" w:cs="宋体"/>
          <w:color w:val="auto"/>
          <w:sz w:val="24"/>
          <w:highlight w:val="none"/>
        </w:rPr>
      </w:pPr>
    </w:p>
    <w:p w14:paraId="495DC1CA">
      <w:pPr>
        <w:spacing w:line="5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磋商供应商名称（公章）：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p>
    <w:p w14:paraId="40921623">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法定代表人（签字或个人印章）：</w:t>
      </w:r>
      <w:r>
        <w:rPr>
          <w:rFonts w:hint="eastAsia" w:ascii="宋体" w:hAnsi="宋体" w:cs="宋体"/>
          <w:color w:val="auto"/>
          <w:sz w:val="24"/>
          <w:highlight w:val="none"/>
          <w:u w:val="single"/>
        </w:rPr>
        <w:t xml:space="preserve">                   . </w:t>
      </w:r>
    </w:p>
    <w:p w14:paraId="627A1FD5">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授权委托人（签字）：</w:t>
      </w:r>
      <w:r>
        <w:rPr>
          <w:rFonts w:hint="eastAsia" w:ascii="宋体" w:hAnsi="宋体" w:cs="宋体"/>
          <w:color w:val="auto"/>
          <w:sz w:val="24"/>
          <w:highlight w:val="none"/>
          <w:u w:val="single"/>
        </w:rPr>
        <w:t xml:space="preserve">                    .  </w:t>
      </w:r>
    </w:p>
    <w:p w14:paraId="214D57B0">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D0541F3">
      <w:pPr>
        <w:spacing w:line="360" w:lineRule="auto"/>
        <w:jc w:val="center"/>
        <w:rPr>
          <w:rFonts w:hint="eastAsia" w:ascii="宋体" w:hAnsi="宋体" w:cs="宋体"/>
          <w:b/>
          <w:bCs/>
          <w:color w:val="auto"/>
          <w:sz w:val="24"/>
          <w:highlight w:val="none"/>
        </w:rPr>
        <w:sectPr>
          <w:pgSz w:w="11906" w:h="16838"/>
          <w:pgMar w:top="1701" w:right="1588" w:bottom="1588" w:left="1588" w:header="851" w:footer="1134" w:gutter="0"/>
          <w:pgNumType w:fmt="decimal"/>
          <w:cols w:space="720" w:num="1"/>
          <w:docGrid w:linePitch="312" w:charSpace="0"/>
        </w:sectPr>
      </w:pPr>
    </w:p>
    <w:p w14:paraId="65CFEFDD">
      <w:pPr>
        <w:pStyle w:val="26"/>
        <w:keepNext w:val="0"/>
        <w:keepLines w:val="0"/>
        <w:pageBreakBefore w:val="0"/>
        <w:widowControl w:val="0"/>
        <w:kinsoku/>
        <w:wordWrap/>
        <w:overflowPunct/>
        <w:topLinePunct w:val="0"/>
        <w:autoSpaceDE/>
        <w:autoSpaceDN/>
        <w:bidi w:val="0"/>
        <w:adjustRightInd/>
        <w:snapToGrid/>
        <w:spacing w:line="20" w:lineRule="atLeast"/>
        <w:jc w:val="center"/>
        <w:textAlignment w:val="auto"/>
        <w:rPr>
          <w:rFonts w:hint="default" w:ascii="Times New Roman" w:hAnsi="Times New Roman" w:cs="Times New Roman"/>
          <w:b w:val="0"/>
          <w:bCs w:val="0"/>
          <w:color w:val="auto"/>
          <w:position w:val="-7"/>
          <w:sz w:val="24"/>
          <w:szCs w:val="24"/>
          <w:highlight w:val="none"/>
          <w:u w:val="single"/>
        </w:rPr>
      </w:pPr>
      <w:r>
        <w:rPr>
          <w:rFonts w:hint="eastAsia" w:ascii="宋体" w:hAnsi="宋体" w:eastAsia="宋体" w:cs="宋体"/>
          <w:b/>
          <w:color w:val="auto"/>
          <w:highlight w:val="none"/>
          <w:lang w:val="en-US" w:eastAsia="zh-CN"/>
        </w:rPr>
        <w:t>项目经理无在建</w:t>
      </w:r>
      <w:r>
        <w:rPr>
          <w:rFonts w:hint="default" w:ascii="宋体" w:hAnsi="宋体" w:eastAsia="宋体" w:cs="宋体"/>
          <w:b/>
          <w:color w:val="auto"/>
          <w:highlight w:val="none"/>
        </w:rPr>
        <w:t>承诺书</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格式</w:t>
      </w:r>
      <w:r>
        <w:rPr>
          <w:rFonts w:hint="eastAsia" w:ascii="宋体" w:hAnsi="宋体" w:eastAsia="宋体" w:cs="宋体"/>
          <w:b/>
          <w:color w:val="auto"/>
          <w:highlight w:val="none"/>
          <w:lang w:eastAsia="zh-CN"/>
        </w:rPr>
        <w:t>）</w:t>
      </w:r>
    </w:p>
    <w:p w14:paraId="3F85AAFC">
      <w:pPr>
        <w:spacing w:after="312" w:afterLines="100" w:line="360" w:lineRule="auto"/>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position w:val="-7"/>
          <w:sz w:val="24"/>
          <w:szCs w:val="24"/>
          <w:highlight w:val="none"/>
          <w:u w:val="single"/>
        </w:rPr>
        <w:t xml:space="preserve">                    </w:t>
      </w:r>
      <w:r>
        <w:rPr>
          <w:rFonts w:hint="default" w:ascii="Times New Roman" w:hAnsi="Times New Roman" w:cs="Times New Roman"/>
          <w:b w:val="0"/>
          <w:bCs w:val="0"/>
          <w:color w:val="auto"/>
          <w:sz w:val="24"/>
          <w:szCs w:val="24"/>
          <w:highlight w:val="none"/>
        </w:rPr>
        <w:t>（</w:t>
      </w:r>
      <w:r>
        <w:rPr>
          <w:rFonts w:hint="eastAsia" w:ascii="Times New Roman" w:hAnsi="Times New Roman" w:cs="Times New Roman"/>
          <w:b w:val="0"/>
          <w:bCs w:val="0"/>
          <w:color w:val="auto"/>
          <w:sz w:val="24"/>
          <w:szCs w:val="24"/>
          <w:highlight w:val="none"/>
          <w:lang w:val="en-US" w:eastAsia="zh-CN"/>
        </w:rPr>
        <w:t>采购</w:t>
      </w:r>
      <w:r>
        <w:rPr>
          <w:rFonts w:hint="default" w:ascii="Times New Roman" w:hAnsi="Times New Roman" w:cs="Times New Roman"/>
          <w:b w:val="0"/>
          <w:bCs w:val="0"/>
          <w:color w:val="auto"/>
          <w:sz w:val="24"/>
          <w:szCs w:val="24"/>
          <w:highlight w:val="none"/>
        </w:rPr>
        <w:t>人名称）：</w:t>
      </w:r>
    </w:p>
    <w:p w14:paraId="0D1F0881">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w:t>
      </w:r>
      <w:r>
        <w:rPr>
          <w:rFonts w:hint="eastAsia" w:ascii="Times New Roman" w:hAnsi="Times New Roman" w:cs="Times New Roman"/>
          <w:b w:val="0"/>
          <w:bCs w:val="0"/>
          <w:color w:val="auto"/>
          <w:sz w:val="24"/>
          <w:szCs w:val="24"/>
          <w:highlight w:val="none"/>
          <w:lang w:val="en-US" w:eastAsia="zh-CN"/>
        </w:rPr>
        <w:t>磋商供应商</w:t>
      </w:r>
      <w:r>
        <w:rPr>
          <w:rFonts w:hint="default" w:ascii="Times New Roman" w:hAnsi="Times New Roman" w:cs="Times New Roman"/>
          <w:b w:val="0"/>
          <w:bCs w:val="0"/>
          <w:color w:val="auto"/>
          <w:sz w:val="24"/>
          <w:szCs w:val="24"/>
          <w:highlight w:val="none"/>
        </w:rPr>
        <w:t>名称）在此声明，我方</w:t>
      </w:r>
      <w:r>
        <w:rPr>
          <w:rFonts w:hint="eastAsia" w:ascii="Times New Roman" w:hAnsi="Times New Roman" w:cs="Times New Roman"/>
          <w:b w:val="0"/>
          <w:bCs w:val="0"/>
          <w:color w:val="auto"/>
          <w:sz w:val="24"/>
          <w:szCs w:val="24"/>
          <w:highlight w:val="none"/>
          <w:lang w:val="en-US" w:eastAsia="zh-CN"/>
        </w:rPr>
        <w:t>响应</w:t>
      </w:r>
      <w:r>
        <w:rPr>
          <w:rFonts w:hint="default" w:ascii="Times New Roman" w:hAnsi="Times New Roman" w:cs="Times New Roman"/>
          <w:b w:val="0"/>
          <w:bCs w:val="0"/>
          <w:color w:val="auto"/>
          <w:sz w:val="24"/>
          <w:szCs w:val="24"/>
          <w:highlight w:val="none"/>
        </w:rPr>
        <w:t>文件中的内容均系我方法人行为，各类资信情况及复印件均真实和准确；拟派往</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（项目名称）（以下简称“本工程”）的项目经理</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（项目经理姓名）现阶段没有担任任何在施建设工程项目的项目经理。一旦我单位中标，将实行项目经理负责制，保证并配备已报项目管理机构，按照</w:t>
      </w:r>
      <w:r>
        <w:rPr>
          <w:rFonts w:hint="eastAsia" w:ascii="Times New Roman" w:hAnsi="Times New Roman" w:cs="Times New Roman"/>
          <w:b w:val="0"/>
          <w:bCs w:val="0"/>
          <w:color w:val="auto"/>
          <w:sz w:val="24"/>
          <w:szCs w:val="24"/>
          <w:highlight w:val="none"/>
          <w:lang w:val="en-US" w:eastAsia="zh-CN"/>
        </w:rPr>
        <w:t>磋商</w:t>
      </w:r>
      <w:r>
        <w:rPr>
          <w:rFonts w:hint="default" w:ascii="Times New Roman" w:hAnsi="Times New Roman" w:cs="Times New Roman"/>
          <w:b w:val="0"/>
          <w:bCs w:val="0"/>
          <w:color w:val="auto"/>
          <w:sz w:val="24"/>
          <w:szCs w:val="24"/>
          <w:highlight w:val="none"/>
        </w:rPr>
        <w:t>文件承诺完成本工程施工。</w:t>
      </w:r>
    </w:p>
    <w:p w14:paraId="26EB973F">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由于上述信息存在不真实和弄虚作假情形，我方愿放弃中标并承担因此所引起的一切法律后果。</w:t>
      </w:r>
    </w:p>
    <w:p w14:paraId="0D24E8C3">
      <w:pPr>
        <w:snapToGrid w:val="0"/>
        <w:spacing w:line="360" w:lineRule="auto"/>
        <w:ind w:firstLine="480" w:firstLineChars="200"/>
        <w:rPr>
          <w:rFonts w:hint="default" w:ascii="Times New Roman" w:hAnsi="Times New Roman" w:cs="Times New Roman"/>
          <w:b w:val="0"/>
          <w:bCs w:val="0"/>
          <w:color w:val="auto"/>
          <w:sz w:val="24"/>
          <w:szCs w:val="24"/>
          <w:highlight w:val="none"/>
        </w:rPr>
      </w:pPr>
    </w:p>
    <w:p w14:paraId="521DCB9D">
      <w:pPr>
        <w:snapToGrid w:val="0"/>
        <w:spacing w:line="360" w:lineRule="auto"/>
        <w:ind w:firstLine="420" w:firstLineChars="200"/>
        <w:rPr>
          <w:rFonts w:hint="default" w:ascii="Times New Roman" w:hAnsi="Times New Roman" w:cs="Times New Roman"/>
          <w:b w:val="0"/>
          <w:bCs w:val="0"/>
          <w:color w:val="auto"/>
          <w:szCs w:val="21"/>
          <w:highlight w:val="none"/>
        </w:rPr>
      </w:pPr>
    </w:p>
    <w:p w14:paraId="63491E98">
      <w:pPr>
        <w:snapToGrid w:val="0"/>
        <w:spacing w:line="360" w:lineRule="auto"/>
        <w:ind w:firstLine="480" w:firstLineChars="200"/>
        <w:rPr>
          <w:rFonts w:hint="eastAsia" w:ascii="Times New Roman" w:hAnsi="Times New Roman" w:eastAsia="宋体" w:cs="Times New Roman"/>
          <w:b w:val="0"/>
          <w:bCs w:val="0"/>
          <w:color w:val="auto"/>
          <w:sz w:val="24"/>
          <w:szCs w:val="24"/>
          <w:highlight w:val="none"/>
          <w:lang w:eastAsia="zh-CN"/>
        </w:rPr>
      </w:pPr>
      <w:r>
        <w:rPr>
          <w:rFonts w:hint="default" w:ascii="Times New Roman" w:hAnsi="Times New Roman" w:cs="Times New Roman"/>
          <w:b w:val="0"/>
          <w:bCs w:val="0"/>
          <w:color w:val="auto"/>
          <w:sz w:val="24"/>
          <w:szCs w:val="24"/>
          <w:highlight w:val="none"/>
        </w:rPr>
        <w:t>特此承诺</w:t>
      </w:r>
      <w:r>
        <w:rPr>
          <w:rFonts w:hint="eastAsia" w:ascii="Times New Roman" w:hAnsi="Times New Roman" w:cs="Times New Roman"/>
          <w:b w:val="0"/>
          <w:bCs w:val="0"/>
          <w:color w:val="auto"/>
          <w:sz w:val="24"/>
          <w:szCs w:val="24"/>
          <w:highlight w:val="none"/>
          <w:lang w:eastAsia="zh-CN"/>
        </w:rPr>
        <w:t>。</w:t>
      </w:r>
    </w:p>
    <w:p w14:paraId="293EC93C">
      <w:pPr>
        <w:spacing w:line="360" w:lineRule="auto"/>
        <w:ind w:firstLine="420" w:firstLineChars="200"/>
        <w:rPr>
          <w:rFonts w:hint="default" w:ascii="Times New Roman" w:hAnsi="Times New Roman" w:cs="Times New Roman"/>
          <w:b w:val="0"/>
          <w:bCs w:val="0"/>
          <w:color w:val="auto"/>
          <w:szCs w:val="21"/>
          <w:highlight w:val="none"/>
        </w:rPr>
      </w:pPr>
    </w:p>
    <w:p w14:paraId="65A60167">
      <w:pPr>
        <w:pStyle w:val="3"/>
        <w:jc w:val="both"/>
        <w:outlineLvl w:val="9"/>
        <w:rPr>
          <w:rFonts w:hint="default"/>
          <w:color w:val="auto"/>
          <w:highlight w:val="none"/>
        </w:rPr>
      </w:pPr>
    </w:p>
    <w:p w14:paraId="36FA0E9B">
      <w:pPr>
        <w:spacing w:line="360" w:lineRule="auto"/>
        <w:ind w:firstLine="420" w:firstLineChars="200"/>
        <w:rPr>
          <w:rFonts w:hint="default" w:ascii="Times New Roman" w:hAnsi="Times New Roman" w:cs="Times New Roman"/>
          <w:b w:val="0"/>
          <w:bCs w:val="0"/>
          <w:color w:val="auto"/>
          <w:szCs w:val="21"/>
          <w:highlight w:val="none"/>
        </w:rPr>
      </w:pPr>
    </w:p>
    <w:p w14:paraId="689D8E96">
      <w:pPr>
        <w:spacing w:line="360" w:lineRule="auto"/>
        <w:ind w:firstLine="420" w:firstLineChars="200"/>
        <w:rPr>
          <w:rFonts w:hint="default" w:ascii="Times New Roman" w:hAnsi="Times New Roman" w:cs="Times New Roman"/>
          <w:b w:val="0"/>
          <w:bCs w:val="0"/>
          <w:color w:val="auto"/>
          <w:szCs w:val="21"/>
          <w:highlight w:val="none"/>
        </w:rPr>
      </w:pPr>
    </w:p>
    <w:p w14:paraId="1E988EF6">
      <w:pPr>
        <w:spacing w:line="480" w:lineRule="auto"/>
        <w:ind w:right="630" w:rightChars="300" w:firstLine="2160" w:firstLineChars="900"/>
        <w:jc w:val="both"/>
        <w:rPr>
          <w:rFonts w:hint="default" w:ascii="Times New Roman" w:hAnsi="Times New Roman" w:cs="Times New Roman"/>
          <w:b w:val="0"/>
          <w:bCs w:val="0"/>
          <w:color w:val="auto"/>
          <w:sz w:val="24"/>
          <w:szCs w:val="24"/>
          <w:highlight w:val="none"/>
        </w:rPr>
      </w:pPr>
      <w:r>
        <w:rPr>
          <w:rFonts w:hint="eastAsia" w:ascii="宋体" w:hAnsi="宋体" w:cs="宋体"/>
          <w:color w:val="auto"/>
          <w:sz w:val="24"/>
          <w:highlight w:val="none"/>
        </w:rPr>
        <w:t>磋商供应商名称（公章）</w:t>
      </w:r>
      <w:r>
        <w:rPr>
          <w:rFonts w:hint="default" w:ascii="Times New Roman" w:hAnsi="Times New Roman" w:cs="Times New Roman"/>
          <w:b w:val="0"/>
          <w:bCs w:val="0"/>
          <w:color w:val="auto"/>
          <w:sz w:val="24"/>
          <w:szCs w:val="24"/>
          <w:highlight w:val="none"/>
        </w:rPr>
        <w:t>：</w:t>
      </w:r>
      <w:r>
        <w:rPr>
          <w:rFonts w:hint="eastAsia" w:ascii="宋体" w:hAnsi="宋体" w:cs="宋体"/>
          <w:color w:val="auto"/>
          <w:sz w:val="24"/>
          <w:highlight w:val="none"/>
          <w:u w:val="single"/>
        </w:rPr>
        <w:t xml:space="preserve">                    。</w:t>
      </w:r>
      <w:r>
        <w:rPr>
          <w:rFonts w:hint="default" w:ascii="Times New Roman" w:hAnsi="Times New Roman" w:cs="Times New Roman"/>
          <w:b w:val="0"/>
          <w:bCs w:val="0"/>
          <w:color w:val="auto"/>
          <w:sz w:val="24"/>
          <w:szCs w:val="24"/>
          <w:highlight w:val="none"/>
          <w:u w:val="single"/>
        </w:rPr>
        <w:t xml:space="preserve">                             </w:t>
      </w:r>
    </w:p>
    <w:p w14:paraId="38C18BDE">
      <w:pPr>
        <w:spacing w:line="480" w:lineRule="auto"/>
        <w:ind w:right="630" w:rightChars="300"/>
        <w:jc w:val="right"/>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法定代表人或其委托代理人：</w:t>
      </w:r>
      <w:r>
        <w:rPr>
          <w:rFonts w:hint="default" w:ascii="Times New Roman" w:hAnsi="Times New Roman" w:cs="Times New Roman"/>
          <w:b w:val="0"/>
          <w:bCs w:val="0"/>
          <w:color w:val="auto"/>
          <w:sz w:val="24"/>
          <w:szCs w:val="24"/>
          <w:highlight w:val="none"/>
          <w:u w:val="single"/>
        </w:rPr>
        <w:t xml:space="preserve">               </w:t>
      </w:r>
      <w:r>
        <w:rPr>
          <w:rFonts w:hint="default" w:ascii="Times New Roman" w:hAnsi="Times New Roman" w:cs="Times New Roman"/>
          <w:b w:val="0"/>
          <w:bCs w:val="0"/>
          <w:color w:val="auto"/>
          <w:sz w:val="24"/>
          <w:szCs w:val="24"/>
          <w:highlight w:val="none"/>
        </w:rPr>
        <w:t>（签字）</w:t>
      </w:r>
    </w:p>
    <w:p w14:paraId="39F6D770">
      <w:pPr>
        <w:spacing w:line="500" w:lineRule="exact"/>
        <w:ind w:firstLine="2160" w:firstLineChars="90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559F1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b/>
          <w:bCs w:val="0"/>
          <w:color w:val="auto"/>
          <w:kern w:val="0"/>
          <w:sz w:val="24"/>
          <w:szCs w:val="24"/>
          <w:highlight w:val="none"/>
          <w:lang w:val="en-US" w:eastAsia="zh-CN" w:bidi="ar"/>
        </w:rPr>
      </w:pPr>
    </w:p>
    <w:p w14:paraId="08756366">
      <w:pPr>
        <w:pStyle w:val="3"/>
        <w:outlineLvl w:val="9"/>
        <w:rPr>
          <w:rFonts w:hint="eastAsia" w:ascii="宋体" w:hAnsi="宋体" w:eastAsia="宋体" w:cs="宋体"/>
          <w:b/>
          <w:bCs w:val="0"/>
          <w:color w:val="auto"/>
          <w:kern w:val="0"/>
          <w:sz w:val="24"/>
          <w:szCs w:val="24"/>
          <w:highlight w:val="none"/>
          <w:lang w:val="en-US" w:eastAsia="zh-CN" w:bidi="ar"/>
        </w:rPr>
      </w:pPr>
    </w:p>
    <w:p w14:paraId="67556A0F">
      <w:pPr>
        <w:rPr>
          <w:rFonts w:hint="eastAsia" w:ascii="宋体" w:hAnsi="宋体" w:eastAsia="宋体" w:cs="宋体"/>
          <w:b/>
          <w:bCs w:val="0"/>
          <w:color w:val="auto"/>
          <w:kern w:val="0"/>
          <w:sz w:val="24"/>
          <w:szCs w:val="24"/>
          <w:highlight w:val="none"/>
          <w:lang w:val="en-US" w:eastAsia="zh-CN" w:bidi="ar"/>
        </w:rPr>
      </w:pPr>
    </w:p>
    <w:p w14:paraId="55E6A552">
      <w:pPr>
        <w:pStyle w:val="3"/>
        <w:outlineLvl w:val="9"/>
        <w:rPr>
          <w:rFonts w:hint="eastAsia" w:ascii="宋体" w:hAnsi="宋体" w:eastAsia="宋体" w:cs="宋体"/>
          <w:b/>
          <w:bCs w:val="0"/>
          <w:color w:val="auto"/>
          <w:kern w:val="0"/>
          <w:sz w:val="24"/>
          <w:szCs w:val="24"/>
          <w:highlight w:val="none"/>
          <w:lang w:val="en-US" w:eastAsia="zh-CN" w:bidi="ar"/>
        </w:rPr>
      </w:pPr>
    </w:p>
    <w:p w14:paraId="20EE9415">
      <w:pPr>
        <w:rPr>
          <w:rFonts w:hint="eastAsia" w:ascii="宋体" w:hAnsi="宋体" w:eastAsia="宋体" w:cs="宋体"/>
          <w:b/>
          <w:bCs w:val="0"/>
          <w:color w:val="auto"/>
          <w:kern w:val="0"/>
          <w:sz w:val="24"/>
          <w:szCs w:val="24"/>
          <w:highlight w:val="none"/>
          <w:lang w:val="en-US" w:eastAsia="zh-CN" w:bidi="ar"/>
        </w:rPr>
      </w:pPr>
    </w:p>
    <w:p w14:paraId="4B55BFC0">
      <w:pPr>
        <w:numPr>
          <w:ilvl w:val="0"/>
          <w:numId w:val="0"/>
        </w:numPr>
        <w:spacing w:line="360" w:lineRule="auto"/>
        <w:ind w:left="0" w:leftChars="0" w:right="0" w:rightChars="0" w:firstLine="0" w:firstLineChars="0"/>
        <w:jc w:val="center"/>
        <w:rPr>
          <w:rFonts w:hint="eastAsia" w:ascii="宋体" w:hAnsi="宋体" w:eastAsia="宋体" w:cs="宋体"/>
          <w:b/>
          <w:bCs/>
          <w:color w:val="auto"/>
          <w:sz w:val="24"/>
          <w:highlight w:val="none"/>
          <w:lang w:val="en-US" w:eastAsia="zh-CN"/>
        </w:rPr>
        <w:sectPr>
          <w:pgSz w:w="11906" w:h="16838"/>
          <w:pgMar w:top="1701" w:right="1588" w:bottom="1588" w:left="1588" w:header="851" w:footer="1134" w:gutter="0"/>
          <w:pgNumType w:fmt="decimal"/>
          <w:cols w:space="720" w:num="1"/>
          <w:docGrid w:linePitch="312" w:charSpace="0"/>
        </w:sectPr>
      </w:pPr>
    </w:p>
    <w:p w14:paraId="1E9D1CCE">
      <w:pPr>
        <w:pStyle w:val="26"/>
        <w:spacing w:line="360" w:lineRule="atLeast"/>
        <w:jc w:val="center"/>
        <w:rPr>
          <w:color w:val="auto"/>
          <w:sz w:val="24"/>
          <w:highlight w:val="none"/>
        </w:rPr>
      </w:pPr>
      <w:r>
        <w:rPr>
          <w:rFonts w:hint="eastAsia" w:ascii="宋体" w:hAnsi="宋体" w:eastAsia="宋体" w:cs="宋体"/>
          <w:b/>
          <w:bCs w:val="0"/>
          <w:color w:val="auto"/>
          <w:sz w:val="24"/>
          <w:highlight w:val="none"/>
          <w:lang w:val="en-US" w:eastAsia="zh-CN"/>
        </w:rPr>
        <w:t>供应商信用承诺书</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格式</w:t>
      </w:r>
      <w:r>
        <w:rPr>
          <w:rFonts w:hint="eastAsia" w:ascii="宋体" w:hAnsi="宋体" w:eastAsia="宋体" w:cs="宋体"/>
          <w:b/>
          <w:color w:val="auto"/>
          <w:highlight w:val="none"/>
          <w:lang w:eastAsia="zh-CN"/>
        </w:rPr>
        <w:t>）</w:t>
      </w:r>
    </w:p>
    <w:p w14:paraId="096064CB">
      <w:pPr>
        <w:tabs>
          <w:tab w:val="left" w:pos="5580"/>
        </w:tabs>
        <w:spacing w:line="360" w:lineRule="auto"/>
        <w:rPr>
          <w:color w:val="auto"/>
          <w:sz w:val="24"/>
          <w:highlight w:val="none"/>
        </w:rPr>
      </w:pPr>
      <w:r>
        <w:rPr>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3B747622">
      <w:pPr>
        <w:spacing w:line="360" w:lineRule="auto"/>
        <w:ind w:firstLine="480" w:firstLineChars="200"/>
        <w:rPr>
          <w:color w:val="auto"/>
          <w:sz w:val="24"/>
          <w:highlight w:val="none"/>
        </w:rPr>
      </w:pPr>
      <w:r>
        <w:rPr>
          <w:color w:val="auto"/>
          <w:sz w:val="24"/>
          <w:highlight w:val="none"/>
        </w:rPr>
        <w:t>在参与本次项目投标中，我单位承诺：</w:t>
      </w:r>
    </w:p>
    <w:p w14:paraId="69604033">
      <w:pPr>
        <w:numPr>
          <w:ilvl w:val="0"/>
          <w:numId w:val="12"/>
        </w:numPr>
        <w:spacing w:line="360" w:lineRule="auto"/>
        <w:ind w:left="1134"/>
        <w:rPr>
          <w:color w:val="auto"/>
          <w:sz w:val="24"/>
          <w:szCs w:val="22"/>
          <w:highlight w:val="none"/>
        </w:rPr>
      </w:pPr>
      <w:r>
        <w:rPr>
          <w:rFonts w:hint="eastAsia"/>
          <w:color w:val="auto"/>
          <w:sz w:val="24"/>
          <w:szCs w:val="22"/>
          <w:highlight w:val="none"/>
          <w:lang w:val="en-US" w:eastAsia="zh-CN"/>
        </w:rPr>
        <w:t>具有独立承担民事责任的能力；</w:t>
      </w:r>
    </w:p>
    <w:p w14:paraId="5A033524">
      <w:pPr>
        <w:numPr>
          <w:ilvl w:val="0"/>
          <w:numId w:val="12"/>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57FB7906">
      <w:pPr>
        <w:numPr>
          <w:ilvl w:val="0"/>
          <w:numId w:val="12"/>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7C6A9AAC">
      <w:pPr>
        <w:numPr>
          <w:ilvl w:val="0"/>
          <w:numId w:val="12"/>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07230C40">
      <w:pPr>
        <w:numPr>
          <w:ilvl w:val="0"/>
          <w:numId w:val="12"/>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D08013">
      <w:pPr>
        <w:numPr>
          <w:ilvl w:val="0"/>
          <w:numId w:val="12"/>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1701C783">
      <w:pPr>
        <w:numPr>
          <w:ilvl w:val="0"/>
          <w:numId w:val="12"/>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26E242BF">
      <w:pPr>
        <w:numPr>
          <w:ilvl w:val="0"/>
          <w:numId w:val="12"/>
        </w:numPr>
        <w:spacing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0906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BE8F8D7">
            <w:pPr>
              <w:jc w:val="center"/>
              <w:rPr>
                <w:color w:val="auto"/>
                <w:sz w:val="24"/>
                <w:highlight w:val="none"/>
              </w:rPr>
            </w:pPr>
            <w:r>
              <w:rPr>
                <w:color w:val="auto"/>
                <w:sz w:val="24"/>
                <w:highlight w:val="none"/>
              </w:rPr>
              <w:t>序号</w:t>
            </w:r>
          </w:p>
        </w:tc>
        <w:tc>
          <w:tcPr>
            <w:tcW w:w="4574" w:type="dxa"/>
            <w:noWrap w:val="0"/>
            <w:vAlign w:val="center"/>
          </w:tcPr>
          <w:p w14:paraId="5A4E6E55">
            <w:pPr>
              <w:jc w:val="center"/>
              <w:rPr>
                <w:color w:val="auto"/>
                <w:sz w:val="24"/>
                <w:highlight w:val="none"/>
              </w:rPr>
            </w:pPr>
            <w:r>
              <w:rPr>
                <w:color w:val="auto"/>
                <w:sz w:val="24"/>
                <w:highlight w:val="none"/>
              </w:rPr>
              <w:t>单位名称</w:t>
            </w:r>
          </w:p>
        </w:tc>
        <w:tc>
          <w:tcPr>
            <w:tcW w:w="2976" w:type="dxa"/>
            <w:noWrap w:val="0"/>
            <w:vAlign w:val="center"/>
          </w:tcPr>
          <w:p w14:paraId="6D6E104A">
            <w:pPr>
              <w:jc w:val="center"/>
              <w:rPr>
                <w:color w:val="auto"/>
                <w:sz w:val="24"/>
                <w:highlight w:val="none"/>
              </w:rPr>
            </w:pPr>
            <w:r>
              <w:rPr>
                <w:color w:val="auto"/>
                <w:sz w:val="24"/>
                <w:highlight w:val="none"/>
              </w:rPr>
              <w:t>相互关系</w:t>
            </w:r>
          </w:p>
        </w:tc>
      </w:tr>
      <w:tr w14:paraId="3844E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33A68C1">
            <w:pPr>
              <w:jc w:val="center"/>
              <w:rPr>
                <w:color w:val="auto"/>
                <w:sz w:val="24"/>
                <w:highlight w:val="none"/>
              </w:rPr>
            </w:pPr>
            <w:r>
              <w:rPr>
                <w:color w:val="auto"/>
                <w:sz w:val="24"/>
                <w:highlight w:val="none"/>
              </w:rPr>
              <w:t>1</w:t>
            </w:r>
          </w:p>
        </w:tc>
        <w:tc>
          <w:tcPr>
            <w:tcW w:w="4574" w:type="dxa"/>
            <w:noWrap w:val="0"/>
            <w:vAlign w:val="center"/>
          </w:tcPr>
          <w:p w14:paraId="60ECBD96">
            <w:pPr>
              <w:jc w:val="center"/>
              <w:rPr>
                <w:color w:val="auto"/>
                <w:sz w:val="24"/>
                <w:highlight w:val="none"/>
              </w:rPr>
            </w:pPr>
          </w:p>
        </w:tc>
        <w:tc>
          <w:tcPr>
            <w:tcW w:w="2976" w:type="dxa"/>
            <w:noWrap w:val="0"/>
            <w:vAlign w:val="center"/>
          </w:tcPr>
          <w:p w14:paraId="1F946FF8">
            <w:pPr>
              <w:jc w:val="center"/>
              <w:rPr>
                <w:color w:val="auto"/>
                <w:sz w:val="24"/>
                <w:highlight w:val="none"/>
              </w:rPr>
            </w:pPr>
          </w:p>
        </w:tc>
      </w:tr>
      <w:tr w14:paraId="3EC1F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E1CD866">
            <w:pPr>
              <w:jc w:val="center"/>
              <w:rPr>
                <w:color w:val="auto"/>
                <w:sz w:val="24"/>
                <w:highlight w:val="none"/>
              </w:rPr>
            </w:pPr>
            <w:r>
              <w:rPr>
                <w:color w:val="auto"/>
                <w:sz w:val="24"/>
                <w:highlight w:val="none"/>
              </w:rPr>
              <w:t>2</w:t>
            </w:r>
          </w:p>
        </w:tc>
        <w:tc>
          <w:tcPr>
            <w:tcW w:w="4574" w:type="dxa"/>
            <w:noWrap w:val="0"/>
            <w:vAlign w:val="center"/>
          </w:tcPr>
          <w:p w14:paraId="633A1095">
            <w:pPr>
              <w:jc w:val="center"/>
              <w:rPr>
                <w:color w:val="auto"/>
                <w:sz w:val="24"/>
                <w:highlight w:val="none"/>
              </w:rPr>
            </w:pPr>
          </w:p>
        </w:tc>
        <w:tc>
          <w:tcPr>
            <w:tcW w:w="2976" w:type="dxa"/>
            <w:noWrap w:val="0"/>
            <w:vAlign w:val="center"/>
          </w:tcPr>
          <w:p w14:paraId="5DA16E23">
            <w:pPr>
              <w:jc w:val="center"/>
              <w:rPr>
                <w:color w:val="auto"/>
                <w:sz w:val="24"/>
                <w:highlight w:val="none"/>
              </w:rPr>
            </w:pPr>
          </w:p>
        </w:tc>
      </w:tr>
      <w:tr w14:paraId="663CD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19BF588">
            <w:pPr>
              <w:jc w:val="center"/>
              <w:rPr>
                <w:color w:val="auto"/>
                <w:sz w:val="24"/>
                <w:highlight w:val="none"/>
              </w:rPr>
            </w:pPr>
            <w:r>
              <w:rPr>
                <w:color w:val="auto"/>
                <w:sz w:val="24"/>
                <w:highlight w:val="none"/>
              </w:rPr>
              <w:t>…</w:t>
            </w:r>
          </w:p>
        </w:tc>
        <w:tc>
          <w:tcPr>
            <w:tcW w:w="4574" w:type="dxa"/>
            <w:noWrap w:val="0"/>
            <w:vAlign w:val="center"/>
          </w:tcPr>
          <w:p w14:paraId="0B3C9CA4">
            <w:pPr>
              <w:jc w:val="center"/>
              <w:rPr>
                <w:color w:val="auto"/>
                <w:sz w:val="24"/>
                <w:highlight w:val="none"/>
              </w:rPr>
            </w:pPr>
          </w:p>
        </w:tc>
        <w:tc>
          <w:tcPr>
            <w:tcW w:w="2976" w:type="dxa"/>
            <w:noWrap w:val="0"/>
            <w:vAlign w:val="center"/>
          </w:tcPr>
          <w:p w14:paraId="0AD72F14">
            <w:pPr>
              <w:jc w:val="center"/>
              <w:rPr>
                <w:color w:val="auto"/>
                <w:sz w:val="24"/>
                <w:highlight w:val="none"/>
              </w:rPr>
            </w:pPr>
          </w:p>
        </w:tc>
      </w:tr>
    </w:tbl>
    <w:p w14:paraId="36E73D9E">
      <w:pPr>
        <w:rPr>
          <w:color w:val="auto"/>
          <w:highlight w:val="none"/>
        </w:rPr>
      </w:pPr>
    </w:p>
    <w:p w14:paraId="6CB6AC9F">
      <w:pPr>
        <w:ind w:firstLine="480" w:firstLineChars="200"/>
        <w:rPr>
          <w:color w:val="auto"/>
          <w:sz w:val="24"/>
          <w:szCs w:val="22"/>
          <w:highlight w:val="none"/>
        </w:rPr>
      </w:pPr>
      <w:r>
        <w:rPr>
          <w:color w:val="auto"/>
          <w:sz w:val="24"/>
          <w:highlight w:val="none"/>
        </w:rPr>
        <w:t>上述声明真实有效，否则我方负全部责任。</w:t>
      </w:r>
    </w:p>
    <w:p w14:paraId="0DCF7065">
      <w:pPr>
        <w:spacing w:line="360" w:lineRule="auto"/>
        <w:rPr>
          <w:color w:val="auto"/>
          <w:sz w:val="24"/>
          <w:highlight w:val="none"/>
        </w:rPr>
      </w:pPr>
    </w:p>
    <w:p w14:paraId="24AE38B3">
      <w:pPr>
        <w:autoSpaceDE w:val="0"/>
        <w:autoSpaceDN w:val="0"/>
        <w:adjustRightInd w:val="0"/>
        <w:snapToGrid w:val="0"/>
        <w:spacing w:before="25" w:after="25" w:line="360" w:lineRule="auto"/>
        <w:jc w:val="right"/>
        <w:rPr>
          <w:color w:val="auto"/>
          <w:sz w:val="24"/>
          <w:highlight w:val="none"/>
          <w:lang w:val="zh-CN"/>
        </w:rPr>
      </w:pPr>
      <w:r>
        <w:rPr>
          <w:rFonts w:hint="eastAsia"/>
          <w:color w:val="auto"/>
          <w:sz w:val="24"/>
          <w:highlight w:val="none"/>
          <w:lang w:val="en-US" w:eastAsia="zh-CN"/>
        </w:rPr>
        <w:t>磋商供应商</w:t>
      </w:r>
      <w:r>
        <w:rPr>
          <w:color w:val="auto"/>
          <w:sz w:val="24"/>
          <w:highlight w:val="none"/>
        </w:rPr>
        <w:t>名称（加盖公章）</w:t>
      </w:r>
      <w:r>
        <w:rPr>
          <w:color w:val="auto"/>
          <w:sz w:val="24"/>
          <w:highlight w:val="none"/>
          <w:lang w:val="zh-CN"/>
        </w:rPr>
        <w:t>：____________</w:t>
      </w:r>
    </w:p>
    <w:p w14:paraId="09D3BB53">
      <w:pPr>
        <w:spacing w:line="360" w:lineRule="auto"/>
        <w:ind w:right="360" w:firstLine="480"/>
        <w:jc w:val="right"/>
        <w:rPr>
          <w:color w:val="auto"/>
          <w:sz w:val="24"/>
          <w:highlight w:val="none"/>
        </w:rPr>
      </w:pPr>
      <w:r>
        <w:rPr>
          <w:color w:val="auto"/>
          <w:sz w:val="24"/>
          <w:szCs w:val="20"/>
          <w:highlight w:val="none"/>
        </w:rPr>
        <w:t xml:space="preserve">日期：_____年______月______日   </w:t>
      </w:r>
    </w:p>
    <w:p w14:paraId="74BBDB9A">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w:t>
      </w:r>
      <w:r>
        <w:rPr>
          <w:rFonts w:hint="eastAsia"/>
          <w:color w:val="auto"/>
          <w:sz w:val="24"/>
          <w:highlight w:val="none"/>
          <w:lang w:eastAsia="zh-CN"/>
        </w:rPr>
        <w:t>中华人民共和国政府采购法</w:t>
      </w:r>
      <w:r>
        <w:rPr>
          <w:rFonts w:hint="eastAsia"/>
          <w:color w:val="auto"/>
          <w:sz w:val="24"/>
          <w:highlight w:val="none"/>
        </w:rPr>
        <w:t>》第七十七条“提供虚假材料谋取中标、成交的”有关规定予以处理</w:t>
      </w:r>
      <w:r>
        <w:rPr>
          <w:color w:val="auto"/>
          <w:sz w:val="24"/>
          <w:highlight w:val="none"/>
        </w:rPr>
        <w:t>。</w:t>
      </w:r>
    </w:p>
    <w:p w14:paraId="77D50871">
      <w:pPr>
        <w:tabs>
          <w:tab w:val="left" w:pos="5580"/>
        </w:tabs>
        <w:spacing w:line="360" w:lineRule="auto"/>
        <w:rPr>
          <w:color w:val="auto"/>
          <w:sz w:val="24"/>
          <w:highlight w:val="none"/>
        </w:rPr>
        <w:sectPr>
          <w:pgSz w:w="11907" w:h="16840"/>
          <w:pgMar w:top="1418" w:right="1134" w:bottom="1418" w:left="1701" w:header="851" w:footer="851" w:gutter="0"/>
          <w:pgNumType w:fmt="decimal"/>
          <w:cols w:space="720" w:num="1"/>
          <w:docGrid w:linePitch="462" w:charSpace="0"/>
        </w:sectPr>
      </w:pPr>
    </w:p>
    <w:p w14:paraId="2F13741A">
      <w:pPr>
        <w:pStyle w:val="2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4"/>
          <w:highlight w:val="none"/>
          <w:lang w:eastAsia="zh-CN"/>
        </w:rPr>
      </w:pPr>
      <w:bookmarkStart w:id="101" w:name="_Toc21241"/>
      <w:bookmarkStart w:id="102" w:name="_Toc7661"/>
      <w:bookmarkStart w:id="103" w:name="_Toc19227"/>
      <w:bookmarkStart w:id="104" w:name="_Toc22402"/>
      <w:r>
        <w:rPr>
          <w:rFonts w:hint="eastAsia" w:ascii="宋体" w:hAnsi="宋体" w:eastAsia="宋体" w:cs="宋体"/>
          <w:b/>
          <w:bCs w:val="0"/>
          <w:color w:val="auto"/>
          <w:sz w:val="24"/>
          <w:highlight w:val="none"/>
          <w:lang w:eastAsia="zh-CN"/>
        </w:rPr>
        <w:t>诚信投标承诺书</w:t>
      </w:r>
      <w:r>
        <w:rPr>
          <w:rFonts w:hint="eastAsia" w:ascii="宋体" w:hAnsi="宋体" w:cs="宋体"/>
          <w:b/>
          <w:color w:val="auto"/>
          <w:kern w:val="0"/>
          <w:sz w:val="24"/>
          <w:highlight w:val="none"/>
          <w:lang w:eastAsia="zh-CN" w:bidi="ar"/>
        </w:rPr>
        <w:t>（格式）</w:t>
      </w:r>
    </w:p>
    <w:p w14:paraId="67B3C0D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本人以企业法定代表人的身份郑重承诺：</w:t>
      </w:r>
    </w:p>
    <w:p w14:paraId="34B6C97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righ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一、将遵循公开、公正和诚实信用的原则自愿参加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w:t>
      </w:r>
    </w:p>
    <w:p w14:paraId="579A1AF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二、所提供的一切材料都是真实、有效、合法的；</w:t>
      </w:r>
    </w:p>
    <w:p w14:paraId="128758F9">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三、不出借、转让资质证书，不让他人挂靠投标，不以他人名义投标或者以其他方式弄虚作假，骗取中标；</w:t>
      </w:r>
    </w:p>
    <w:p w14:paraId="173C2996">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四、不与其他</w:t>
      </w:r>
      <w:r>
        <w:rPr>
          <w:rFonts w:hint="eastAsia" w:ascii="宋体" w:hAnsi="宋体" w:cs="宋体"/>
          <w:color w:val="auto"/>
          <w:highlight w:val="none"/>
          <w:lang w:eastAsia="zh-CN"/>
        </w:rPr>
        <w:t>供应商</w:t>
      </w:r>
      <w:r>
        <w:rPr>
          <w:rFonts w:hint="eastAsia" w:ascii="宋体" w:hAnsi="宋体" w:eastAsia="宋体" w:cs="宋体"/>
          <w:color w:val="auto"/>
          <w:highlight w:val="none"/>
        </w:rPr>
        <w:t>相互串通投标报价，不排挤其他</w:t>
      </w:r>
      <w:r>
        <w:rPr>
          <w:rFonts w:hint="eastAsia" w:ascii="宋体" w:hAnsi="宋体" w:cs="宋体"/>
          <w:color w:val="auto"/>
          <w:highlight w:val="none"/>
          <w:lang w:eastAsia="zh-CN"/>
        </w:rPr>
        <w:t>供应商</w:t>
      </w:r>
      <w:r>
        <w:rPr>
          <w:rFonts w:hint="eastAsia" w:ascii="宋体" w:hAnsi="宋体" w:eastAsia="宋体" w:cs="宋体"/>
          <w:color w:val="auto"/>
          <w:highlight w:val="none"/>
        </w:rPr>
        <w:t>的公平竞争、损害招标人的合法权益；</w:t>
      </w:r>
    </w:p>
    <w:p w14:paraId="02DFE59F">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五、不与招标人、招标代理机构或其他</w:t>
      </w:r>
      <w:r>
        <w:rPr>
          <w:rFonts w:hint="eastAsia" w:ascii="宋体" w:hAnsi="宋体" w:cs="宋体"/>
          <w:color w:val="auto"/>
          <w:highlight w:val="none"/>
          <w:lang w:eastAsia="zh-CN"/>
        </w:rPr>
        <w:t>供应商</w:t>
      </w:r>
      <w:r>
        <w:rPr>
          <w:rFonts w:hint="eastAsia" w:ascii="宋体" w:hAnsi="宋体" w:eastAsia="宋体" w:cs="宋体"/>
          <w:color w:val="auto"/>
          <w:highlight w:val="none"/>
        </w:rPr>
        <w:t>串通投标，损害国家利益、社会公共利益或者他人的合法权益；</w:t>
      </w:r>
    </w:p>
    <w:p w14:paraId="0D4E5299">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六、严格遵守开标现场纪律，服从监管人员管理；</w:t>
      </w:r>
    </w:p>
    <w:p w14:paraId="36FEE5E8">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七、保证中标后不转包，若有分包征得采购单位同意；</w:t>
      </w:r>
    </w:p>
    <w:p w14:paraId="4744573D">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八、保证中标之后，按照</w:t>
      </w:r>
      <w:r>
        <w:rPr>
          <w:rFonts w:hint="eastAsia" w:ascii="宋体" w:hAnsi="宋体" w:cs="宋体"/>
          <w:color w:val="auto"/>
          <w:highlight w:val="none"/>
          <w:lang w:eastAsia="zh-CN"/>
        </w:rPr>
        <w:t>响应文件</w:t>
      </w:r>
      <w:r>
        <w:rPr>
          <w:rFonts w:hint="eastAsia" w:ascii="宋体" w:hAnsi="宋体" w:eastAsia="宋体" w:cs="宋体"/>
          <w:color w:val="auto"/>
          <w:highlight w:val="none"/>
        </w:rPr>
        <w:t>承诺履约，如有违反，同意接受采购单位违约处罚；</w:t>
      </w:r>
    </w:p>
    <w:p w14:paraId="0A72EF53">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九、保证企业及所属相关人员在本次投标中无行贿等犯罪行为</w:t>
      </w:r>
    </w:p>
    <w:p w14:paraId="7281F41D">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76ACB903">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right="0" w:rightChars="0"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以上内容我已仔细阅读，本公司若有违反承诺内容的行为，自愿依法接受取消投标资格、记入信用档案、取消中标资格、没收投标保证金等有关处理，愿意承担法律责任，给招标人造成损失的，依法承担赔偿责任。</w:t>
      </w:r>
    </w:p>
    <w:p w14:paraId="774863BF">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left="0" w:leftChars="0" w:right="0" w:rightChars="0" w:firstLine="360" w:firstLineChars="150"/>
        <w:textAlignment w:val="auto"/>
        <w:outlineLvl w:val="9"/>
        <w:rPr>
          <w:rFonts w:hint="eastAsia" w:ascii="宋体" w:hAnsi="宋体" w:eastAsia="宋体" w:cs="宋体"/>
          <w:color w:val="auto"/>
          <w:highlight w:val="none"/>
        </w:rPr>
      </w:pPr>
    </w:p>
    <w:p w14:paraId="1C83BE9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right="0" w:right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投标单位（公章）：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法定代表人（签字</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盖章）：</w:t>
      </w:r>
    </w:p>
    <w:p w14:paraId="6EBDA4AC">
      <w:pPr>
        <w:keepNext w:val="0"/>
        <w:keepLines w:val="0"/>
        <w:pageBreakBefore w:val="0"/>
        <w:widowControl w:val="0"/>
        <w:tabs>
          <w:tab w:val="left" w:pos="5205"/>
        </w:tabs>
        <w:kinsoku/>
        <w:wordWrap/>
        <w:overflowPunct/>
        <w:topLinePunct w:val="0"/>
        <w:autoSpaceDE/>
        <w:autoSpaceDN/>
        <w:bidi w:val="0"/>
        <w:adjustRightInd/>
        <w:snapToGrid/>
        <w:spacing w:beforeAutospacing="0" w:afterAutospacing="0" w:line="460" w:lineRule="exact"/>
        <w:ind w:right="0" w:rightChars="0" w:firstLine="4800" w:firstLineChars="2000"/>
        <w:textAlignment w:val="auto"/>
        <w:outlineLvl w:val="9"/>
        <w:rPr>
          <w:rFonts w:hint="default" w:ascii="宋体" w:hAnsi="宋体" w:eastAsia="宋体" w:cs="宋体"/>
          <w:b/>
          <w:bCs/>
          <w:color w:val="auto"/>
          <w:sz w:val="24"/>
          <w:highlight w:val="none"/>
          <w:lang w:val="en-US" w:eastAsia="zh-CN"/>
        </w:rPr>
        <w:sectPr>
          <w:pgSz w:w="11906" w:h="16838"/>
          <w:pgMar w:top="1701" w:right="1588" w:bottom="1588" w:left="1588" w:header="851" w:footer="1134" w:gutter="0"/>
          <w:pgNumType w:fmt="decimal"/>
          <w:cols w:space="720" w:num="1"/>
          <w:docGrid w:linePitch="312" w:charSpace="0"/>
        </w:sectPr>
      </w:pPr>
      <w:r>
        <w:rPr>
          <w:rFonts w:hint="eastAsia" w:ascii="宋体" w:hAnsi="宋体" w:eastAsia="宋体" w:cs="宋体"/>
          <w:color w:val="auto"/>
          <w:sz w:val="24"/>
          <w:highlight w:val="none"/>
        </w:rPr>
        <w:t xml:space="preserve">日   期：   年   月  </w:t>
      </w:r>
      <w:r>
        <w:rPr>
          <w:rFonts w:hint="eastAsia" w:ascii="宋体" w:hAnsi="宋体" w:eastAsia="宋体" w:cs="宋体"/>
          <w:b w:val="0"/>
          <w:bCs w:val="0"/>
          <w:color w:val="auto"/>
          <w:sz w:val="24"/>
          <w:highlight w:val="none"/>
        </w:rPr>
        <w:t xml:space="preserve"> </w:t>
      </w:r>
      <w:r>
        <w:rPr>
          <w:rFonts w:hint="eastAsia" w:ascii="宋体" w:hAnsi="宋体" w:eastAsia="宋体" w:cs="宋体"/>
          <w:b w:val="0"/>
          <w:bCs w:val="0"/>
          <w:color w:val="auto"/>
          <w:sz w:val="24"/>
          <w:highlight w:val="none"/>
          <w:lang w:val="en-US" w:eastAsia="zh-CN"/>
        </w:rPr>
        <w:t>日</w:t>
      </w:r>
    </w:p>
    <w:p w14:paraId="376B9672">
      <w:pPr>
        <w:numPr>
          <w:ilvl w:val="0"/>
          <w:numId w:val="0"/>
        </w:numPr>
        <w:spacing w:line="360" w:lineRule="auto"/>
        <w:ind w:left="0" w:leftChars="0" w:right="0" w:rightChars="0" w:firstLine="0" w:firstLineChars="0"/>
        <w:jc w:val="center"/>
        <w:outlineLvl w:val="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中小企业声明函</w:t>
      </w:r>
      <w:r>
        <w:rPr>
          <w:rFonts w:hint="eastAsia" w:ascii="宋体" w:hAnsi="宋体" w:cs="宋体"/>
          <w:b/>
          <w:color w:val="auto"/>
          <w:kern w:val="0"/>
          <w:sz w:val="24"/>
          <w:highlight w:val="none"/>
          <w:lang w:eastAsia="zh-CN" w:bidi="ar"/>
        </w:rPr>
        <w:t>（格式）</w:t>
      </w:r>
      <w:bookmarkEnd w:id="101"/>
      <w:bookmarkEnd w:id="102"/>
      <w:bookmarkEnd w:id="103"/>
      <w:bookmarkEnd w:id="104"/>
    </w:p>
    <w:p w14:paraId="052CF781">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本公司郑重声明，根据《政府采购促进中小企业发展管理办法》（财库﹝2020﹞46 号）的规定，本公司参加</w:t>
      </w:r>
      <w:r>
        <w:rPr>
          <w:rFonts w:hint="eastAsia" w:ascii="宋体" w:hAnsi="宋体" w:cs="宋体"/>
          <w:color w:val="auto"/>
          <w:sz w:val="24"/>
          <w:szCs w:val="24"/>
          <w:highlight w:val="none"/>
          <w:u w:val="single"/>
          <w:lang w:val="en-US" w:eastAsia="zh-CN"/>
        </w:rPr>
        <w:t>垣曲县民政局（</w:t>
      </w:r>
      <w:r>
        <w:rPr>
          <w:rFonts w:hint="eastAsia" w:ascii="宋体" w:hAnsi="宋体" w:eastAsia="宋体" w:cs="宋体"/>
          <w:color w:val="auto"/>
          <w:sz w:val="24"/>
          <w:highlight w:val="none"/>
          <w:u w:val="single"/>
          <w:lang w:val="en-US" w:eastAsia="zh-CN"/>
        </w:rPr>
        <w:t>单位名称）</w:t>
      </w:r>
      <w:r>
        <w:rPr>
          <w:rFonts w:hint="eastAsia" w:ascii="宋体" w:hAnsi="宋体" w:eastAsia="宋体" w:cs="宋体"/>
          <w:color w:val="auto"/>
          <w:sz w:val="24"/>
          <w:highlight w:val="none"/>
          <w:lang w:val="en-US" w:eastAsia="zh-CN"/>
        </w:rPr>
        <w:t>的</w:t>
      </w:r>
      <w:r>
        <w:rPr>
          <w:rFonts w:hint="eastAsia" w:ascii="宋体" w:hAnsi="宋体" w:cs="宋体"/>
          <w:color w:val="auto"/>
          <w:sz w:val="24"/>
          <w:szCs w:val="24"/>
          <w:highlight w:val="none"/>
          <w:u w:val="single"/>
          <w:lang w:val="en-US" w:eastAsia="zh-CN"/>
        </w:rPr>
        <w:t>王茅镇区域养老服务中心改扩建项目</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lang w:val="en-US" w:eastAsia="zh-CN"/>
        </w:rPr>
        <w:t>采购活动，工程的施工单位全部为符合政策要求的中小企业。相关企业的具体情况如下：</w:t>
      </w:r>
    </w:p>
    <w:p w14:paraId="785E78EE">
      <w:pPr>
        <w:numPr>
          <w:ilvl w:val="0"/>
          <w:numId w:val="13"/>
        </w:num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szCs w:val="24"/>
          <w:highlight w:val="none"/>
          <w:u w:val="single"/>
          <w:lang w:val="en-US" w:eastAsia="zh-CN"/>
        </w:rPr>
        <w:t>王茅镇区域养老服务中心改扩建项目</w:t>
      </w:r>
      <w:r>
        <w:rPr>
          <w:rFonts w:hint="eastAsia" w:ascii="宋体" w:hAnsi="宋体" w:eastAsia="宋体" w:cs="宋体"/>
          <w:color w:val="auto"/>
          <w:sz w:val="24"/>
          <w:highlight w:val="none"/>
          <w:u w:val="single"/>
          <w:lang w:val="en-US" w:eastAsia="zh-CN"/>
        </w:rPr>
        <w:t>（标的名称）</w:t>
      </w:r>
      <w:r>
        <w:rPr>
          <w:rFonts w:hint="eastAsia" w:ascii="宋体" w:hAnsi="宋体" w:eastAsia="宋体" w:cs="宋体"/>
          <w:color w:val="auto"/>
          <w:sz w:val="24"/>
          <w:highlight w:val="none"/>
          <w:lang w:val="en-US" w:eastAsia="zh-CN"/>
        </w:rPr>
        <w:t>，属于</w:t>
      </w:r>
      <w:r>
        <w:rPr>
          <w:rFonts w:hint="eastAsia" w:ascii="宋体" w:hAnsi="宋体" w:eastAsia="宋体" w:cs="宋体"/>
          <w:color w:val="auto"/>
          <w:sz w:val="24"/>
          <w:highlight w:val="none"/>
          <w:u w:val="single"/>
          <w:lang w:val="en-US" w:eastAsia="zh-CN"/>
        </w:rPr>
        <w:t>建筑业</w:t>
      </w:r>
      <w:r>
        <w:rPr>
          <w:rFonts w:hint="eastAsia" w:ascii="宋体" w:hAnsi="宋体" w:eastAsia="宋体" w:cs="宋体"/>
          <w:color w:val="auto"/>
          <w:sz w:val="24"/>
          <w:highlight w:val="none"/>
          <w:lang w:val="en-US" w:eastAsia="zh-CN"/>
        </w:rPr>
        <w:t>（采购文件中明确的所属行业）；承建企业为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企业名称</w:t>
      </w:r>
      <w:r>
        <w:rPr>
          <w:rFonts w:hint="eastAsia" w:ascii="宋体" w:hAnsi="宋体" w:eastAsia="宋体" w:cs="宋体"/>
          <w:color w:val="auto"/>
          <w:sz w:val="24"/>
          <w:highlight w:val="none"/>
          <w:lang w:val="en-US" w:eastAsia="zh-CN"/>
        </w:rPr>
        <w:t>），从业人员</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人，营业收入为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万元，资产总额为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万元，属于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（中型企业、小型企业、微型企业）； </w:t>
      </w:r>
    </w:p>
    <w:p w14:paraId="34B3A97E">
      <w:pPr>
        <w:spacing w:line="50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p w14:paraId="485C6CC0">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以上企业，不属于大企业的分支机构，不存在控股股东 为大企业的情形，也不存在与大企业的负责人为同一人的情形。</w:t>
      </w:r>
    </w:p>
    <w:p w14:paraId="7F37C699">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本企业对上述声明内容的真实性负责。如有虚假，将依法承担相应责任。 </w:t>
      </w:r>
    </w:p>
    <w:p w14:paraId="08594140">
      <w:pPr>
        <w:spacing w:line="500" w:lineRule="exact"/>
        <w:ind w:firstLine="480" w:firstLineChars="200"/>
        <w:jc w:val="left"/>
        <w:rPr>
          <w:rFonts w:hint="eastAsia" w:ascii="宋体" w:hAnsi="宋体" w:eastAsia="宋体" w:cs="宋体"/>
          <w:color w:val="auto"/>
          <w:sz w:val="24"/>
          <w:highlight w:val="none"/>
          <w:lang w:val="en-US" w:eastAsia="zh-CN"/>
        </w:rPr>
      </w:pPr>
    </w:p>
    <w:p w14:paraId="2F29B0BF">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企业名称（盖章）： </w:t>
      </w:r>
    </w:p>
    <w:p w14:paraId="4CD40027">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日 期： </w:t>
      </w:r>
    </w:p>
    <w:p w14:paraId="58D8E49E">
      <w:pPr>
        <w:widowControl/>
        <w:adjustRightInd w:val="0"/>
        <w:snapToGrid w:val="0"/>
        <w:spacing w:line="520" w:lineRule="exact"/>
        <w:ind w:firstLine="480" w:firstLineChars="200"/>
        <w:jc w:val="left"/>
        <w:rPr>
          <w:rFonts w:ascii="宋体" w:hAnsi="宋体" w:cs="宋体"/>
          <w:color w:val="auto"/>
          <w:kern w:val="0"/>
          <w:sz w:val="24"/>
          <w:highlight w:val="none"/>
        </w:rPr>
      </w:pPr>
    </w:p>
    <w:p w14:paraId="49255FD8">
      <w:pPr>
        <w:adjustRightInd w:val="0"/>
        <w:snapToGrid w:val="0"/>
        <w:spacing w:line="520" w:lineRule="exact"/>
        <w:jc w:val="center"/>
        <w:outlineLvl w:val="9"/>
        <w:rPr>
          <w:rFonts w:ascii="仿宋_GB2312" w:hAnsi="宋体" w:eastAsia="仿宋_GB2312"/>
          <w:color w:val="auto"/>
          <w:sz w:val="28"/>
          <w:szCs w:val="28"/>
          <w:highlight w:val="none"/>
        </w:rPr>
      </w:pPr>
    </w:p>
    <w:p w14:paraId="00426BD0">
      <w:pPr>
        <w:widowControl/>
        <w:adjustRightInd w:val="0"/>
        <w:snapToGrid w:val="0"/>
        <w:spacing w:line="520" w:lineRule="exact"/>
        <w:ind w:firstLine="504" w:firstLineChars="200"/>
        <w:jc w:val="left"/>
        <w:rPr>
          <w:rFonts w:hint="eastAsia" w:ascii="宋体" w:hAnsi="宋体" w:eastAsia="宋体" w:cs="宋体"/>
          <w:color w:val="auto"/>
          <w:spacing w:val="6"/>
          <w:kern w:val="0"/>
          <w:sz w:val="24"/>
          <w:highlight w:val="none"/>
          <w:lang w:val="en-US" w:eastAsia="zh-CN"/>
        </w:rPr>
      </w:pPr>
      <w:r>
        <w:rPr>
          <w:rFonts w:hint="eastAsia" w:ascii="宋体" w:hAnsi="宋体" w:eastAsia="宋体" w:cs="宋体"/>
          <w:color w:val="auto"/>
          <w:spacing w:val="6"/>
          <w:kern w:val="0"/>
          <w:sz w:val="24"/>
          <w:highlight w:val="none"/>
        </w:rPr>
        <w:t>备注：</w:t>
      </w:r>
      <w:r>
        <w:rPr>
          <w:rFonts w:hint="eastAsia" w:ascii="宋体" w:hAnsi="宋体" w:eastAsia="宋体" w:cs="宋体"/>
          <w:color w:val="auto"/>
          <w:spacing w:val="6"/>
          <w:kern w:val="0"/>
          <w:sz w:val="24"/>
          <w:highlight w:val="none"/>
          <w:lang w:eastAsia="zh-CN"/>
        </w:rPr>
        <w:t>（</w:t>
      </w:r>
      <w:r>
        <w:rPr>
          <w:rFonts w:hint="eastAsia" w:ascii="宋体" w:hAnsi="宋体" w:eastAsia="宋体" w:cs="宋体"/>
          <w:color w:val="auto"/>
          <w:spacing w:val="6"/>
          <w:kern w:val="0"/>
          <w:sz w:val="24"/>
          <w:highlight w:val="none"/>
          <w:lang w:val="en-US" w:eastAsia="zh-CN"/>
        </w:rPr>
        <w:t>1</w:t>
      </w:r>
      <w:r>
        <w:rPr>
          <w:rFonts w:hint="eastAsia" w:ascii="宋体" w:hAnsi="宋体" w:eastAsia="宋体" w:cs="宋体"/>
          <w:color w:val="auto"/>
          <w:spacing w:val="6"/>
          <w:kern w:val="0"/>
          <w:sz w:val="24"/>
          <w:highlight w:val="none"/>
          <w:lang w:eastAsia="zh-CN"/>
        </w:rPr>
        <w:t>）</w:t>
      </w:r>
      <w:r>
        <w:rPr>
          <w:rFonts w:hint="eastAsia" w:ascii="宋体" w:hAnsi="宋体" w:eastAsia="宋体" w:cs="宋体"/>
          <w:color w:val="auto"/>
          <w:spacing w:val="6"/>
          <w:kern w:val="0"/>
          <w:sz w:val="24"/>
          <w:highlight w:val="none"/>
          <w:lang w:val="en-US" w:eastAsia="zh-CN"/>
        </w:rPr>
        <w:t>从业人员、营业收入、资产总额填报上一年度数据，无上一年度数据的新成立企业可不填报。</w:t>
      </w:r>
    </w:p>
    <w:p w14:paraId="6C920C85">
      <w:pPr>
        <w:widowControl/>
        <w:adjustRightInd w:val="0"/>
        <w:snapToGrid w:val="0"/>
        <w:spacing w:line="520" w:lineRule="exact"/>
        <w:ind w:firstLine="1260" w:firstLineChars="500"/>
        <w:jc w:val="left"/>
        <w:rPr>
          <w:rFonts w:hint="eastAsia" w:ascii="宋体" w:hAnsi="宋体" w:eastAsia="宋体" w:cs="宋体"/>
          <w:color w:val="auto"/>
          <w:spacing w:val="6"/>
          <w:kern w:val="0"/>
          <w:sz w:val="24"/>
          <w:highlight w:val="none"/>
          <w:lang w:val="en-US" w:eastAsia="zh-CN"/>
        </w:rPr>
        <w:sectPr>
          <w:pgSz w:w="11906" w:h="16838"/>
          <w:pgMar w:top="1701" w:right="1588" w:bottom="1588" w:left="1588" w:header="851" w:footer="1134" w:gutter="0"/>
          <w:pgNumType w:fmt="decimal"/>
          <w:cols w:space="720" w:num="1"/>
          <w:docGrid w:linePitch="312" w:charSpace="0"/>
        </w:sectPr>
      </w:pPr>
      <w:r>
        <w:rPr>
          <w:rFonts w:hint="eastAsia" w:ascii="宋体" w:hAnsi="宋体" w:eastAsia="宋体" w:cs="宋体"/>
          <w:color w:val="auto"/>
          <w:spacing w:val="6"/>
          <w:kern w:val="0"/>
          <w:sz w:val="24"/>
          <w:highlight w:val="none"/>
          <w:lang w:val="en-US" w:eastAsia="zh-CN"/>
        </w:rPr>
        <w:t>（2）中、小、微企业划分标准执行《中小企业划型标准规定》（工信部联企业〔2011〕300号文件）</w:t>
      </w:r>
    </w:p>
    <w:p w14:paraId="2CED3F25">
      <w:pPr>
        <w:pStyle w:val="26"/>
        <w:spacing w:line="360" w:lineRule="atLeast"/>
        <w:jc w:val="center"/>
        <w:outlineLvl w:val="0"/>
        <w:rPr>
          <w:rFonts w:hint="eastAsia" w:ascii="宋体" w:hAnsi="宋体" w:eastAsia="宋体" w:cs="宋体"/>
          <w:b/>
          <w:color w:val="auto"/>
          <w:highlight w:val="none"/>
          <w:lang w:eastAsia="zh-CN"/>
        </w:rPr>
      </w:pPr>
      <w:bookmarkStart w:id="105" w:name="_Toc6709"/>
      <w:bookmarkStart w:id="106" w:name="_Toc18164"/>
      <w:bookmarkStart w:id="107" w:name="_Toc9081"/>
      <w:bookmarkStart w:id="108" w:name="_Toc27277"/>
      <w:r>
        <w:rPr>
          <w:rFonts w:hint="eastAsia" w:ascii="宋体" w:hAnsi="宋体" w:eastAsia="宋体" w:cs="宋体"/>
          <w:b/>
          <w:color w:val="auto"/>
          <w:highlight w:val="none"/>
        </w:rPr>
        <w:t>项目管理机构人员</w:t>
      </w:r>
      <w:r>
        <w:rPr>
          <w:rFonts w:hint="eastAsia" w:ascii="宋体" w:hAnsi="宋体" w:eastAsia="宋体" w:cs="宋体"/>
          <w:b/>
          <w:color w:val="auto"/>
          <w:highlight w:val="none"/>
          <w:lang w:eastAsia="zh-CN"/>
        </w:rPr>
        <w:t>配备表</w:t>
      </w:r>
      <w:r>
        <w:rPr>
          <w:rFonts w:hint="eastAsia" w:ascii="宋体" w:hAnsi="宋体" w:cs="宋体"/>
          <w:b/>
          <w:color w:val="auto"/>
          <w:kern w:val="0"/>
          <w:sz w:val="24"/>
          <w:highlight w:val="none"/>
          <w:lang w:eastAsia="zh-CN" w:bidi="ar"/>
        </w:rPr>
        <w:t>（格式）</w:t>
      </w:r>
      <w:bookmarkEnd w:id="105"/>
      <w:bookmarkEnd w:id="106"/>
      <w:bookmarkEnd w:id="107"/>
      <w:bookmarkEnd w:id="108"/>
    </w:p>
    <w:tbl>
      <w:tblPr>
        <w:tblStyle w:val="30"/>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900"/>
        <w:gridCol w:w="1260"/>
        <w:gridCol w:w="900"/>
        <w:gridCol w:w="1080"/>
        <w:gridCol w:w="900"/>
        <w:gridCol w:w="1262"/>
        <w:gridCol w:w="1258"/>
      </w:tblGrid>
      <w:tr w14:paraId="5D7A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noWrap w:val="0"/>
            <w:vAlign w:val="center"/>
          </w:tcPr>
          <w:p w14:paraId="48FBFF92">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职务</w:t>
            </w:r>
          </w:p>
        </w:tc>
        <w:tc>
          <w:tcPr>
            <w:tcW w:w="720" w:type="dxa"/>
            <w:vMerge w:val="restart"/>
            <w:noWrap w:val="0"/>
            <w:vAlign w:val="center"/>
          </w:tcPr>
          <w:p w14:paraId="710B8B14">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姓名</w:t>
            </w:r>
          </w:p>
        </w:tc>
        <w:tc>
          <w:tcPr>
            <w:tcW w:w="900" w:type="dxa"/>
            <w:vMerge w:val="restart"/>
            <w:noWrap w:val="0"/>
            <w:vAlign w:val="center"/>
          </w:tcPr>
          <w:p w14:paraId="353D5673">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职称</w:t>
            </w:r>
          </w:p>
        </w:tc>
        <w:tc>
          <w:tcPr>
            <w:tcW w:w="5402" w:type="dxa"/>
            <w:gridSpan w:val="5"/>
            <w:noWrap w:val="0"/>
            <w:vAlign w:val="center"/>
          </w:tcPr>
          <w:p w14:paraId="79461C26">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执业或职业资格证明</w:t>
            </w:r>
          </w:p>
        </w:tc>
        <w:tc>
          <w:tcPr>
            <w:tcW w:w="1258" w:type="dxa"/>
            <w:noWrap w:val="0"/>
            <w:vAlign w:val="center"/>
          </w:tcPr>
          <w:p w14:paraId="26550DC2">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0E9C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noWrap w:val="0"/>
            <w:vAlign w:val="center"/>
          </w:tcPr>
          <w:p w14:paraId="0168EF24">
            <w:pPr>
              <w:spacing w:line="440" w:lineRule="exact"/>
              <w:jc w:val="center"/>
              <w:rPr>
                <w:rFonts w:ascii="宋体" w:hAnsi="宋体" w:cs="宋体"/>
                <w:b/>
                <w:color w:val="auto"/>
                <w:sz w:val="24"/>
                <w:highlight w:val="none"/>
              </w:rPr>
            </w:pPr>
          </w:p>
        </w:tc>
        <w:tc>
          <w:tcPr>
            <w:tcW w:w="720" w:type="dxa"/>
            <w:vMerge w:val="continue"/>
            <w:noWrap w:val="0"/>
            <w:vAlign w:val="center"/>
          </w:tcPr>
          <w:p w14:paraId="3FB6C3F6">
            <w:pPr>
              <w:spacing w:line="440" w:lineRule="exact"/>
              <w:jc w:val="center"/>
              <w:rPr>
                <w:rFonts w:ascii="宋体" w:hAnsi="宋体" w:cs="宋体"/>
                <w:b/>
                <w:color w:val="auto"/>
                <w:sz w:val="24"/>
                <w:highlight w:val="none"/>
              </w:rPr>
            </w:pPr>
          </w:p>
        </w:tc>
        <w:tc>
          <w:tcPr>
            <w:tcW w:w="900" w:type="dxa"/>
            <w:vMerge w:val="continue"/>
            <w:noWrap w:val="0"/>
            <w:vAlign w:val="center"/>
          </w:tcPr>
          <w:p w14:paraId="421267CA">
            <w:pPr>
              <w:spacing w:line="440" w:lineRule="exact"/>
              <w:jc w:val="center"/>
              <w:rPr>
                <w:rFonts w:ascii="宋体" w:hAnsi="宋体" w:cs="宋体"/>
                <w:b/>
                <w:color w:val="auto"/>
                <w:sz w:val="24"/>
                <w:highlight w:val="none"/>
              </w:rPr>
            </w:pPr>
          </w:p>
        </w:tc>
        <w:tc>
          <w:tcPr>
            <w:tcW w:w="1260" w:type="dxa"/>
            <w:noWrap w:val="0"/>
            <w:vAlign w:val="center"/>
          </w:tcPr>
          <w:p w14:paraId="2F92CDDC">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证书名称</w:t>
            </w:r>
          </w:p>
        </w:tc>
        <w:tc>
          <w:tcPr>
            <w:tcW w:w="900" w:type="dxa"/>
            <w:noWrap w:val="0"/>
            <w:vAlign w:val="center"/>
          </w:tcPr>
          <w:p w14:paraId="0C937E27">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级别</w:t>
            </w:r>
          </w:p>
        </w:tc>
        <w:tc>
          <w:tcPr>
            <w:tcW w:w="1080" w:type="dxa"/>
            <w:noWrap w:val="0"/>
            <w:vAlign w:val="center"/>
          </w:tcPr>
          <w:p w14:paraId="63230C7D">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证号</w:t>
            </w:r>
          </w:p>
        </w:tc>
        <w:tc>
          <w:tcPr>
            <w:tcW w:w="900" w:type="dxa"/>
            <w:noWrap w:val="0"/>
            <w:vAlign w:val="center"/>
          </w:tcPr>
          <w:p w14:paraId="4964154B">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专业</w:t>
            </w:r>
          </w:p>
        </w:tc>
        <w:tc>
          <w:tcPr>
            <w:tcW w:w="1262" w:type="dxa"/>
            <w:noWrap w:val="0"/>
            <w:vAlign w:val="center"/>
          </w:tcPr>
          <w:p w14:paraId="2E517BEF">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rPr>
              <w:t>养老保险</w:t>
            </w:r>
          </w:p>
        </w:tc>
        <w:tc>
          <w:tcPr>
            <w:tcW w:w="1258" w:type="dxa"/>
            <w:noWrap w:val="0"/>
            <w:vAlign w:val="center"/>
          </w:tcPr>
          <w:p w14:paraId="3800968C">
            <w:pPr>
              <w:spacing w:line="440" w:lineRule="exact"/>
              <w:jc w:val="center"/>
              <w:rPr>
                <w:rFonts w:ascii="宋体" w:hAnsi="宋体" w:cs="宋体"/>
                <w:b/>
                <w:color w:val="auto"/>
                <w:sz w:val="24"/>
                <w:highlight w:val="none"/>
              </w:rPr>
            </w:pPr>
          </w:p>
        </w:tc>
      </w:tr>
      <w:tr w14:paraId="355A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D5788A8">
            <w:pPr>
              <w:spacing w:line="440" w:lineRule="exact"/>
              <w:jc w:val="center"/>
              <w:rPr>
                <w:rFonts w:ascii="宋体" w:hAnsi="宋体" w:cs="宋体"/>
                <w:color w:val="auto"/>
                <w:sz w:val="24"/>
                <w:highlight w:val="none"/>
              </w:rPr>
            </w:pPr>
          </w:p>
        </w:tc>
        <w:tc>
          <w:tcPr>
            <w:tcW w:w="720" w:type="dxa"/>
            <w:noWrap w:val="0"/>
            <w:vAlign w:val="center"/>
          </w:tcPr>
          <w:p w14:paraId="28CDF763">
            <w:pPr>
              <w:spacing w:line="440" w:lineRule="exact"/>
              <w:jc w:val="center"/>
              <w:rPr>
                <w:rFonts w:ascii="宋体" w:hAnsi="宋体" w:cs="宋体"/>
                <w:color w:val="auto"/>
                <w:sz w:val="24"/>
                <w:highlight w:val="none"/>
              </w:rPr>
            </w:pPr>
          </w:p>
        </w:tc>
        <w:tc>
          <w:tcPr>
            <w:tcW w:w="900" w:type="dxa"/>
            <w:noWrap w:val="0"/>
            <w:vAlign w:val="center"/>
          </w:tcPr>
          <w:p w14:paraId="11F86679">
            <w:pPr>
              <w:spacing w:line="440" w:lineRule="exact"/>
              <w:jc w:val="center"/>
              <w:rPr>
                <w:rFonts w:ascii="宋体" w:hAnsi="宋体" w:cs="宋体"/>
                <w:color w:val="auto"/>
                <w:sz w:val="24"/>
                <w:highlight w:val="none"/>
              </w:rPr>
            </w:pPr>
          </w:p>
        </w:tc>
        <w:tc>
          <w:tcPr>
            <w:tcW w:w="1260" w:type="dxa"/>
            <w:noWrap w:val="0"/>
            <w:vAlign w:val="center"/>
          </w:tcPr>
          <w:p w14:paraId="102CF9FB">
            <w:pPr>
              <w:spacing w:line="440" w:lineRule="exact"/>
              <w:jc w:val="center"/>
              <w:rPr>
                <w:rFonts w:ascii="宋体" w:hAnsi="宋体" w:cs="宋体"/>
                <w:color w:val="auto"/>
                <w:sz w:val="24"/>
                <w:highlight w:val="none"/>
              </w:rPr>
            </w:pPr>
          </w:p>
        </w:tc>
        <w:tc>
          <w:tcPr>
            <w:tcW w:w="900" w:type="dxa"/>
            <w:noWrap w:val="0"/>
            <w:vAlign w:val="center"/>
          </w:tcPr>
          <w:p w14:paraId="34DA9EBD">
            <w:pPr>
              <w:spacing w:line="440" w:lineRule="exact"/>
              <w:jc w:val="center"/>
              <w:rPr>
                <w:rFonts w:ascii="宋体" w:hAnsi="宋体" w:cs="宋体"/>
                <w:color w:val="auto"/>
                <w:sz w:val="24"/>
                <w:highlight w:val="none"/>
              </w:rPr>
            </w:pPr>
          </w:p>
        </w:tc>
        <w:tc>
          <w:tcPr>
            <w:tcW w:w="1080" w:type="dxa"/>
            <w:noWrap w:val="0"/>
            <w:vAlign w:val="center"/>
          </w:tcPr>
          <w:p w14:paraId="0CD09263">
            <w:pPr>
              <w:spacing w:line="440" w:lineRule="exact"/>
              <w:jc w:val="center"/>
              <w:rPr>
                <w:rFonts w:ascii="宋体" w:hAnsi="宋体" w:cs="宋体"/>
                <w:color w:val="auto"/>
                <w:sz w:val="24"/>
                <w:highlight w:val="none"/>
              </w:rPr>
            </w:pPr>
          </w:p>
        </w:tc>
        <w:tc>
          <w:tcPr>
            <w:tcW w:w="900" w:type="dxa"/>
            <w:noWrap w:val="0"/>
            <w:vAlign w:val="center"/>
          </w:tcPr>
          <w:p w14:paraId="2CDD41FA">
            <w:pPr>
              <w:spacing w:line="440" w:lineRule="exact"/>
              <w:jc w:val="center"/>
              <w:rPr>
                <w:rFonts w:ascii="宋体" w:hAnsi="宋体" w:cs="宋体"/>
                <w:color w:val="auto"/>
                <w:sz w:val="24"/>
                <w:highlight w:val="none"/>
              </w:rPr>
            </w:pPr>
          </w:p>
        </w:tc>
        <w:tc>
          <w:tcPr>
            <w:tcW w:w="1262" w:type="dxa"/>
            <w:noWrap w:val="0"/>
            <w:vAlign w:val="center"/>
          </w:tcPr>
          <w:p w14:paraId="35D621F9">
            <w:pPr>
              <w:spacing w:line="440" w:lineRule="exact"/>
              <w:jc w:val="center"/>
              <w:rPr>
                <w:rFonts w:ascii="宋体" w:hAnsi="宋体" w:cs="宋体"/>
                <w:color w:val="auto"/>
                <w:sz w:val="24"/>
                <w:highlight w:val="none"/>
              </w:rPr>
            </w:pPr>
          </w:p>
        </w:tc>
        <w:tc>
          <w:tcPr>
            <w:tcW w:w="1258" w:type="dxa"/>
            <w:noWrap w:val="0"/>
            <w:vAlign w:val="center"/>
          </w:tcPr>
          <w:p w14:paraId="6A21A71A">
            <w:pPr>
              <w:spacing w:line="440" w:lineRule="exact"/>
              <w:jc w:val="center"/>
              <w:rPr>
                <w:rFonts w:ascii="宋体" w:hAnsi="宋体" w:cs="宋体"/>
                <w:color w:val="auto"/>
                <w:sz w:val="24"/>
                <w:highlight w:val="none"/>
              </w:rPr>
            </w:pPr>
          </w:p>
        </w:tc>
      </w:tr>
      <w:tr w14:paraId="23B1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40359F6">
            <w:pPr>
              <w:spacing w:line="440" w:lineRule="exact"/>
              <w:jc w:val="center"/>
              <w:rPr>
                <w:rFonts w:ascii="宋体" w:hAnsi="宋体" w:cs="宋体"/>
                <w:color w:val="auto"/>
                <w:sz w:val="24"/>
                <w:highlight w:val="none"/>
              </w:rPr>
            </w:pPr>
          </w:p>
        </w:tc>
        <w:tc>
          <w:tcPr>
            <w:tcW w:w="720" w:type="dxa"/>
            <w:noWrap w:val="0"/>
            <w:vAlign w:val="top"/>
          </w:tcPr>
          <w:p w14:paraId="3205DA6C">
            <w:pPr>
              <w:spacing w:line="440" w:lineRule="exact"/>
              <w:jc w:val="center"/>
              <w:rPr>
                <w:rFonts w:ascii="宋体" w:hAnsi="宋体" w:cs="宋体"/>
                <w:color w:val="auto"/>
                <w:sz w:val="24"/>
                <w:highlight w:val="none"/>
              </w:rPr>
            </w:pPr>
          </w:p>
        </w:tc>
        <w:tc>
          <w:tcPr>
            <w:tcW w:w="900" w:type="dxa"/>
            <w:noWrap w:val="0"/>
            <w:vAlign w:val="top"/>
          </w:tcPr>
          <w:p w14:paraId="3E3CC660">
            <w:pPr>
              <w:spacing w:line="440" w:lineRule="exact"/>
              <w:jc w:val="center"/>
              <w:rPr>
                <w:rFonts w:ascii="宋体" w:hAnsi="宋体" w:cs="宋体"/>
                <w:color w:val="auto"/>
                <w:sz w:val="24"/>
                <w:highlight w:val="none"/>
              </w:rPr>
            </w:pPr>
          </w:p>
        </w:tc>
        <w:tc>
          <w:tcPr>
            <w:tcW w:w="1260" w:type="dxa"/>
            <w:noWrap w:val="0"/>
            <w:vAlign w:val="top"/>
          </w:tcPr>
          <w:p w14:paraId="2AB0610F">
            <w:pPr>
              <w:spacing w:line="440" w:lineRule="exact"/>
              <w:jc w:val="center"/>
              <w:rPr>
                <w:rFonts w:ascii="宋体" w:hAnsi="宋体" w:cs="宋体"/>
                <w:color w:val="auto"/>
                <w:sz w:val="24"/>
                <w:highlight w:val="none"/>
              </w:rPr>
            </w:pPr>
          </w:p>
        </w:tc>
        <w:tc>
          <w:tcPr>
            <w:tcW w:w="900" w:type="dxa"/>
            <w:noWrap w:val="0"/>
            <w:vAlign w:val="top"/>
          </w:tcPr>
          <w:p w14:paraId="431ABB4D">
            <w:pPr>
              <w:spacing w:line="440" w:lineRule="exact"/>
              <w:jc w:val="center"/>
              <w:rPr>
                <w:rFonts w:ascii="宋体" w:hAnsi="宋体" w:cs="宋体"/>
                <w:color w:val="auto"/>
                <w:sz w:val="24"/>
                <w:highlight w:val="none"/>
              </w:rPr>
            </w:pPr>
          </w:p>
        </w:tc>
        <w:tc>
          <w:tcPr>
            <w:tcW w:w="1080" w:type="dxa"/>
            <w:noWrap w:val="0"/>
            <w:vAlign w:val="top"/>
          </w:tcPr>
          <w:p w14:paraId="104CA200">
            <w:pPr>
              <w:spacing w:line="440" w:lineRule="exact"/>
              <w:jc w:val="center"/>
              <w:rPr>
                <w:rFonts w:ascii="宋体" w:hAnsi="宋体" w:cs="宋体"/>
                <w:color w:val="auto"/>
                <w:sz w:val="24"/>
                <w:highlight w:val="none"/>
              </w:rPr>
            </w:pPr>
          </w:p>
        </w:tc>
        <w:tc>
          <w:tcPr>
            <w:tcW w:w="900" w:type="dxa"/>
            <w:noWrap w:val="0"/>
            <w:vAlign w:val="top"/>
          </w:tcPr>
          <w:p w14:paraId="5336C58B">
            <w:pPr>
              <w:spacing w:line="440" w:lineRule="exact"/>
              <w:jc w:val="center"/>
              <w:rPr>
                <w:rFonts w:ascii="宋体" w:hAnsi="宋体" w:cs="宋体"/>
                <w:color w:val="auto"/>
                <w:sz w:val="24"/>
                <w:highlight w:val="none"/>
              </w:rPr>
            </w:pPr>
          </w:p>
        </w:tc>
        <w:tc>
          <w:tcPr>
            <w:tcW w:w="1262" w:type="dxa"/>
            <w:noWrap w:val="0"/>
            <w:vAlign w:val="top"/>
          </w:tcPr>
          <w:p w14:paraId="03E3D114">
            <w:pPr>
              <w:spacing w:line="440" w:lineRule="exact"/>
              <w:jc w:val="center"/>
              <w:rPr>
                <w:rFonts w:ascii="宋体" w:hAnsi="宋体" w:cs="宋体"/>
                <w:color w:val="auto"/>
                <w:sz w:val="24"/>
                <w:highlight w:val="none"/>
              </w:rPr>
            </w:pPr>
          </w:p>
        </w:tc>
        <w:tc>
          <w:tcPr>
            <w:tcW w:w="1258" w:type="dxa"/>
            <w:noWrap w:val="0"/>
            <w:vAlign w:val="top"/>
          </w:tcPr>
          <w:p w14:paraId="46C522F0">
            <w:pPr>
              <w:spacing w:line="440" w:lineRule="exact"/>
              <w:jc w:val="center"/>
              <w:rPr>
                <w:rFonts w:ascii="宋体" w:hAnsi="宋体" w:cs="宋体"/>
                <w:color w:val="auto"/>
                <w:sz w:val="24"/>
                <w:highlight w:val="none"/>
              </w:rPr>
            </w:pPr>
          </w:p>
        </w:tc>
      </w:tr>
      <w:tr w14:paraId="6F75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C074BF2">
            <w:pPr>
              <w:spacing w:line="440" w:lineRule="exact"/>
              <w:jc w:val="center"/>
              <w:rPr>
                <w:rFonts w:ascii="宋体" w:hAnsi="宋体" w:cs="宋体"/>
                <w:color w:val="auto"/>
                <w:sz w:val="24"/>
                <w:highlight w:val="none"/>
              </w:rPr>
            </w:pPr>
          </w:p>
        </w:tc>
        <w:tc>
          <w:tcPr>
            <w:tcW w:w="720" w:type="dxa"/>
            <w:noWrap w:val="0"/>
            <w:vAlign w:val="top"/>
          </w:tcPr>
          <w:p w14:paraId="42682788">
            <w:pPr>
              <w:spacing w:line="440" w:lineRule="exact"/>
              <w:jc w:val="center"/>
              <w:rPr>
                <w:rFonts w:ascii="宋体" w:hAnsi="宋体" w:cs="宋体"/>
                <w:color w:val="auto"/>
                <w:sz w:val="24"/>
                <w:highlight w:val="none"/>
              </w:rPr>
            </w:pPr>
          </w:p>
        </w:tc>
        <w:tc>
          <w:tcPr>
            <w:tcW w:w="900" w:type="dxa"/>
            <w:noWrap w:val="0"/>
            <w:vAlign w:val="top"/>
          </w:tcPr>
          <w:p w14:paraId="1080A04E">
            <w:pPr>
              <w:spacing w:line="440" w:lineRule="exact"/>
              <w:jc w:val="center"/>
              <w:rPr>
                <w:rFonts w:ascii="宋体" w:hAnsi="宋体" w:cs="宋体"/>
                <w:color w:val="auto"/>
                <w:sz w:val="24"/>
                <w:highlight w:val="none"/>
              </w:rPr>
            </w:pPr>
          </w:p>
        </w:tc>
        <w:tc>
          <w:tcPr>
            <w:tcW w:w="1260" w:type="dxa"/>
            <w:noWrap w:val="0"/>
            <w:vAlign w:val="top"/>
          </w:tcPr>
          <w:p w14:paraId="468490CD">
            <w:pPr>
              <w:spacing w:line="440" w:lineRule="exact"/>
              <w:jc w:val="center"/>
              <w:rPr>
                <w:rFonts w:ascii="宋体" w:hAnsi="宋体" w:cs="宋体"/>
                <w:color w:val="auto"/>
                <w:sz w:val="24"/>
                <w:highlight w:val="none"/>
              </w:rPr>
            </w:pPr>
          </w:p>
        </w:tc>
        <w:tc>
          <w:tcPr>
            <w:tcW w:w="900" w:type="dxa"/>
            <w:noWrap w:val="0"/>
            <w:vAlign w:val="top"/>
          </w:tcPr>
          <w:p w14:paraId="5BC301FA">
            <w:pPr>
              <w:spacing w:line="440" w:lineRule="exact"/>
              <w:jc w:val="center"/>
              <w:rPr>
                <w:rFonts w:ascii="宋体" w:hAnsi="宋体" w:cs="宋体"/>
                <w:color w:val="auto"/>
                <w:sz w:val="24"/>
                <w:highlight w:val="none"/>
              </w:rPr>
            </w:pPr>
          </w:p>
        </w:tc>
        <w:tc>
          <w:tcPr>
            <w:tcW w:w="1080" w:type="dxa"/>
            <w:noWrap w:val="0"/>
            <w:vAlign w:val="top"/>
          </w:tcPr>
          <w:p w14:paraId="7431A519">
            <w:pPr>
              <w:spacing w:line="440" w:lineRule="exact"/>
              <w:jc w:val="center"/>
              <w:rPr>
                <w:rFonts w:ascii="宋体" w:hAnsi="宋体" w:cs="宋体"/>
                <w:color w:val="auto"/>
                <w:sz w:val="24"/>
                <w:highlight w:val="none"/>
              </w:rPr>
            </w:pPr>
          </w:p>
        </w:tc>
        <w:tc>
          <w:tcPr>
            <w:tcW w:w="900" w:type="dxa"/>
            <w:noWrap w:val="0"/>
            <w:vAlign w:val="top"/>
          </w:tcPr>
          <w:p w14:paraId="1F8F1F84">
            <w:pPr>
              <w:spacing w:line="440" w:lineRule="exact"/>
              <w:jc w:val="center"/>
              <w:rPr>
                <w:rFonts w:ascii="宋体" w:hAnsi="宋体" w:cs="宋体"/>
                <w:color w:val="auto"/>
                <w:sz w:val="24"/>
                <w:highlight w:val="none"/>
              </w:rPr>
            </w:pPr>
          </w:p>
        </w:tc>
        <w:tc>
          <w:tcPr>
            <w:tcW w:w="1262" w:type="dxa"/>
            <w:noWrap w:val="0"/>
            <w:vAlign w:val="top"/>
          </w:tcPr>
          <w:p w14:paraId="1BFECE0B">
            <w:pPr>
              <w:spacing w:line="440" w:lineRule="exact"/>
              <w:jc w:val="center"/>
              <w:rPr>
                <w:rFonts w:ascii="宋体" w:hAnsi="宋体" w:cs="宋体"/>
                <w:color w:val="auto"/>
                <w:sz w:val="24"/>
                <w:highlight w:val="none"/>
              </w:rPr>
            </w:pPr>
          </w:p>
        </w:tc>
        <w:tc>
          <w:tcPr>
            <w:tcW w:w="1258" w:type="dxa"/>
            <w:noWrap w:val="0"/>
            <w:vAlign w:val="top"/>
          </w:tcPr>
          <w:p w14:paraId="534D7448">
            <w:pPr>
              <w:spacing w:line="440" w:lineRule="exact"/>
              <w:jc w:val="center"/>
              <w:rPr>
                <w:rFonts w:ascii="宋体" w:hAnsi="宋体" w:cs="宋体"/>
                <w:color w:val="auto"/>
                <w:sz w:val="24"/>
                <w:highlight w:val="none"/>
              </w:rPr>
            </w:pPr>
          </w:p>
        </w:tc>
      </w:tr>
      <w:tr w14:paraId="004D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A37D01D">
            <w:pPr>
              <w:spacing w:line="440" w:lineRule="exact"/>
              <w:jc w:val="center"/>
              <w:rPr>
                <w:rFonts w:ascii="宋体" w:hAnsi="宋体" w:cs="宋体"/>
                <w:color w:val="auto"/>
                <w:sz w:val="24"/>
                <w:highlight w:val="none"/>
              </w:rPr>
            </w:pPr>
          </w:p>
        </w:tc>
        <w:tc>
          <w:tcPr>
            <w:tcW w:w="720" w:type="dxa"/>
            <w:noWrap w:val="0"/>
            <w:vAlign w:val="top"/>
          </w:tcPr>
          <w:p w14:paraId="358C456B">
            <w:pPr>
              <w:spacing w:line="440" w:lineRule="exact"/>
              <w:jc w:val="center"/>
              <w:rPr>
                <w:rFonts w:ascii="宋体" w:hAnsi="宋体" w:cs="宋体"/>
                <w:color w:val="auto"/>
                <w:sz w:val="24"/>
                <w:highlight w:val="none"/>
              </w:rPr>
            </w:pPr>
          </w:p>
        </w:tc>
        <w:tc>
          <w:tcPr>
            <w:tcW w:w="900" w:type="dxa"/>
            <w:noWrap w:val="0"/>
            <w:vAlign w:val="top"/>
          </w:tcPr>
          <w:p w14:paraId="1633227C">
            <w:pPr>
              <w:spacing w:line="440" w:lineRule="exact"/>
              <w:jc w:val="center"/>
              <w:rPr>
                <w:rFonts w:ascii="宋体" w:hAnsi="宋体" w:cs="宋体"/>
                <w:color w:val="auto"/>
                <w:sz w:val="24"/>
                <w:highlight w:val="none"/>
              </w:rPr>
            </w:pPr>
          </w:p>
        </w:tc>
        <w:tc>
          <w:tcPr>
            <w:tcW w:w="1260" w:type="dxa"/>
            <w:noWrap w:val="0"/>
            <w:vAlign w:val="top"/>
          </w:tcPr>
          <w:p w14:paraId="5E71C607">
            <w:pPr>
              <w:spacing w:line="440" w:lineRule="exact"/>
              <w:jc w:val="center"/>
              <w:rPr>
                <w:rFonts w:ascii="宋体" w:hAnsi="宋体" w:cs="宋体"/>
                <w:color w:val="auto"/>
                <w:sz w:val="24"/>
                <w:highlight w:val="none"/>
              </w:rPr>
            </w:pPr>
          </w:p>
        </w:tc>
        <w:tc>
          <w:tcPr>
            <w:tcW w:w="900" w:type="dxa"/>
            <w:noWrap w:val="0"/>
            <w:vAlign w:val="top"/>
          </w:tcPr>
          <w:p w14:paraId="64F45915">
            <w:pPr>
              <w:spacing w:line="440" w:lineRule="exact"/>
              <w:jc w:val="center"/>
              <w:rPr>
                <w:rFonts w:ascii="宋体" w:hAnsi="宋体" w:cs="宋体"/>
                <w:color w:val="auto"/>
                <w:sz w:val="24"/>
                <w:highlight w:val="none"/>
              </w:rPr>
            </w:pPr>
          </w:p>
        </w:tc>
        <w:tc>
          <w:tcPr>
            <w:tcW w:w="1080" w:type="dxa"/>
            <w:noWrap w:val="0"/>
            <w:vAlign w:val="top"/>
          </w:tcPr>
          <w:p w14:paraId="0F434B60">
            <w:pPr>
              <w:spacing w:line="440" w:lineRule="exact"/>
              <w:jc w:val="center"/>
              <w:rPr>
                <w:rFonts w:ascii="宋体" w:hAnsi="宋体" w:cs="宋体"/>
                <w:color w:val="auto"/>
                <w:sz w:val="24"/>
                <w:highlight w:val="none"/>
              </w:rPr>
            </w:pPr>
          </w:p>
        </w:tc>
        <w:tc>
          <w:tcPr>
            <w:tcW w:w="900" w:type="dxa"/>
            <w:noWrap w:val="0"/>
            <w:vAlign w:val="top"/>
          </w:tcPr>
          <w:p w14:paraId="6444197B">
            <w:pPr>
              <w:spacing w:line="440" w:lineRule="exact"/>
              <w:jc w:val="center"/>
              <w:rPr>
                <w:rFonts w:ascii="宋体" w:hAnsi="宋体" w:cs="宋体"/>
                <w:color w:val="auto"/>
                <w:sz w:val="24"/>
                <w:highlight w:val="none"/>
              </w:rPr>
            </w:pPr>
          </w:p>
        </w:tc>
        <w:tc>
          <w:tcPr>
            <w:tcW w:w="1262" w:type="dxa"/>
            <w:noWrap w:val="0"/>
            <w:vAlign w:val="top"/>
          </w:tcPr>
          <w:p w14:paraId="3DA14C5E">
            <w:pPr>
              <w:spacing w:line="440" w:lineRule="exact"/>
              <w:jc w:val="center"/>
              <w:rPr>
                <w:rFonts w:ascii="宋体" w:hAnsi="宋体" w:cs="宋体"/>
                <w:color w:val="auto"/>
                <w:sz w:val="24"/>
                <w:highlight w:val="none"/>
              </w:rPr>
            </w:pPr>
          </w:p>
        </w:tc>
        <w:tc>
          <w:tcPr>
            <w:tcW w:w="1258" w:type="dxa"/>
            <w:noWrap w:val="0"/>
            <w:vAlign w:val="top"/>
          </w:tcPr>
          <w:p w14:paraId="68683C1E">
            <w:pPr>
              <w:spacing w:line="440" w:lineRule="exact"/>
              <w:jc w:val="center"/>
              <w:rPr>
                <w:rFonts w:ascii="宋体" w:hAnsi="宋体" w:cs="宋体"/>
                <w:color w:val="auto"/>
                <w:sz w:val="24"/>
                <w:highlight w:val="none"/>
              </w:rPr>
            </w:pPr>
          </w:p>
        </w:tc>
      </w:tr>
      <w:tr w14:paraId="0E46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0D340087">
            <w:pPr>
              <w:spacing w:line="440" w:lineRule="exact"/>
              <w:jc w:val="center"/>
              <w:rPr>
                <w:rFonts w:ascii="宋体" w:hAnsi="宋体" w:cs="宋体"/>
                <w:color w:val="auto"/>
                <w:sz w:val="24"/>
                <w:highlight w:val="none"/>
              </w:rPr>
            </w:pPr>
          </w:p>
        </w:tc>
        <w:tc>
          <w:tcPr>
            <w:tcW w:w="720" w:type="dxa"/>
            <w:noWrap w:val="0"/>
            <w:vAlign w:val="top"/>
          </w:tcPr>
          <w:p w14:paraId="21349ECB">
            <w:pPr>
              <w:spacing w:line="440" w:lineRule="exact"/>
              <w:jc w:val="center"/>
              <w:rPr>
                <w:rFonts w:ascii="宋体" w:hAnsi="宋体" w:cs="宋体"/>
                <w:color w:val="auto"/>
                <w:sz w:val="24"/>
                <w:highlight w:val="none"/>
              </w:rPr>
            </w:pPr>
          </w:p>
        </w:tc>
        <w:tc>
          <w:tcPr>
            <w:tcW w:w="900" w:type="dxa"/>
            <w:noWrap w:val="0"/>
            <w:vAlign w:val="top"/>
          </w:tcPr>
          <w:p w14:paraId="107BD608">
            <w:pPr>
              <w:spacing w:line="440" w:lineRule="exact"/>
              <w:jc w:val="center"/>
              <w:rPr>
                <w:rFonts w:ascii="宋体" w:hAnsi="宋体" w:cs="宋体"/>
                <w:color w:val="auto"/>
                <w:sz w:val="24"/>
                <w:highlight w:val="none"/>
              </w:rPr>
            </w:pPr>
          </w:p>
        </w:tc>
        <w:tc>
          <w:tcPr>
            <w:tcW w:w="1260" w:type="dxa"/>
            <w:noWrap w:val="0"/>
            <w:vAlign w:val="top"/>
          </w:tcPr>
          <w:p w14:paraId="6292EB48">
            <w:pPr>
              <w:spacing w:line="440" w:lineRule="exact"/>
              <w:jc w:val="center"/>
              <w:rPr>
                <w:rFonts w:ascii="宋体" w:hAnsi="宋体" w:cs="宋体"/>
                <w:color w:val="auto"/>
                <w:sz w:val="24"/>
                <w:highlight w:val="none"/>
              </w:rPr>
            </w:pPr>
          </w:p>
        </w:tc>
        <w:tc>
          <w:tcPr>
            <w:tcW w:w="900" w:type="dxa"/>
            <w:noWrap w:val="0"/>
            <w:vAlign w:val="top"/>
          </w:tcPr>
          <w:p w14:paraId="44FE609F">
            <w:pPr>
              <w:spacing w:line="440" w:lineRule="exact"/>
              <w:jc w:val="center"/>
              <w:rPr>
                <w:rFonts w:ascii="宋体" w:hAnsi="宋体" w:cs="宋体"/>
                <w:color w:val="auto"/>
                <w:sz w:val="24"/>
                <w:highlight w:val="none"/>
              </w:rPr>
            </w:pPr>
          </w:p>
        </w:tc>
        <w:tc>
          <w:tcPr>
            <w:tcW w:w="1080" w:type="dxa"/>
            <w:noWrap w:val="0"/>
            <w:vAlign w:val="top"/>
          </w:tcPr>
          <w:p w14:paraId="3CB07557">
            <w:pPr>
              <w:spacing w:line="440" w:lineRule="exact"/>
              <w:jc w:val="center"/>
              <w:rPr>
                <w:rFonts w:ascii="宋体" w:hAnsi="宋体" w:cs="宋体"/>
                <w:color w:val="auto"/>
                <w:sz w:val="24"/>
                <w:highlight w:val="none"/>
              </w:rPr>
            </w:pPr>
          </w:p>
        </w:tc>
        <w:tc>
          <w:tcPr>
            <w:tcW w:w="900" w:type="dxa"/>
            <w:noWrap w:val="0"/>
            <w:vAlign w:val="top"/>
          </w:tcPr>
          <w:p w14:paraId="125C5963">
            <w:pPr>
              <w:spacing w:line="440" w:lineRule="exact"/>
              <w:jc w:val="center"/>
              <w:rPr>
                <w:rFonts w:ascii="宋体" w:hAnsi="宋体" w:cs="宋体"/>
                <w:color w:val="auto"/>
                <w:sz w:val="24"/>
                <w:highlight w:val="none"/>
              </w:rPr>
            </w:pPr>
          </w:p>
        </w:tc>
        <w:tc>
          <w:tcPr>
            <w:tcW w:w="1262" w:type="dxa"/>
            <w:noWrap w:val="0"/>
            <w:vAlign w:val="top"/>
          </w:tcPr>
          <w:p w14:paraId="77F47739">
            <w:pPr>
              <w:spacing w:line="440" w:lineRule="exact"/>
              <w:jc w:val="center"/>
              <w:rPr>
                <w:rFonts w:ascii="宋体" w:hAnsi="宋体" w:cs="宋体"/>
                <w:color w:val="auto"/>
                <w:sz w:val="24"/>
                <w:highlight w:val="none"/>
              </w:rPr>
            </w:pPr>
          </w:p>
        </w:tc>
        <w:tc>
          <w:tcPr>
            <w:tcW w:w="1258" w:type="dxa"/>
            <w:noWrap w:val="0"/>
            <w:vAlign w:val="top"/>
          </w:tcPr>
          <w:p w14:paraId="1A912B20">
            <w:pPr>
              <w:spacing w:line="440" w:lineRule="exact"/>
              <w:jc w:val="center"/>
              <w:rPr>
                <w:rFonts w:ascii="宋体" w:hAnsi="宋体" w:cs="宋体"/>
                <w:color w:val="auto"/>
                <w:sz w:val="24"/>
                <w:highlight w:val="none"/>
              </w:rPr>
            </w:pPr>
          </w:p>
        </w:tc>
      </w:tr>
      <w:tr w14:paraId="4685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0893FA8">
            <w:pPr>
              <w:spacing w:line="440" w:lineRule="exact"/>
              <w:jc w:val="center"/>
              <w:rPr>
                <w:rFonts w:ascii="宋体" w:hAnsi="宋体" w:cs="宋体"/>
                <w:color w:val="auto"/>
                <w:sz w:val="24"/>
                <w:highlight w:val="none"/>
              </w:rPr>
            </w:pPr>
          </w:p>
        </w:tc>
        <w:tc>
          <w:tcPr>
            <w:tcW w:w="720" w:type="dxa"/>
            <w:noWrap w:val="0"/>
            <w:vAlign w:val="top"/>
          </w:tcPr>
          <w:p w14:paraId="11D67F24">
            <w:pPr>
              <w:spacing w:line="440" w:lineRule="exact"/>
              <w:jc w:val="center"/>
              <w:rPr>
                <w:rFonts w:ascii="宋体" w:hAnsi="宋体" w:cs="宋体"/>
                <w:color w:val="auto"/>
                <w:sz w:val="24"/>
                <w:highlight w:val="none"/>
              </w:rPr>
            </w:pPr>
          </w:p>
        </w:tc>
        <w:tc>
          <w:tcPr>
            <w:tcW w:w="900" w:type="dxa"/>
            <w:noWrap w:val="0"/>
            <w:vAlign w:val="top"/>
          </w:tcPr>
          <w:p w14:paraId="0AC17488">
            <w:pPr>
              <w:spacing w:line="440" w:lineRule="exact"/>
              <w:jc w:val="center"/>
              <w:rPr>
                <w:rFonts w:ascii="宋体" w:hAnsi="宋体" w:cs="宋体"/>
                <w:color w:val="auto"/>
                <w:sz w:val="24"/>
                <w:highlight w:val="none"/>
              </w:rPr>
            </w:pPr>
          </w:p>
        </w:tc>
        <w:tc>
          <w:tcPr>
            <w:tcW w:w="1260" w:type="dxa"/>
            <w:noWrap w:val="0"/>
            <w:vAlign w:val="top"/>
          </w:tcPr>
          <w:p w14:paraId="2913AD09">
            <w:pPr>
              <w:spacing w:line="440" w:lineRule="exact"/>
              <w:jc w:val="center"/>
              <w:rPr>
                <w:rFonts w:ascii="宋体" w:hAnsi="宋体" w:cs="宋体"/>
                <w:color w:val="auto"/>
                <w:sz w:val="24"/>
                <w:highlight w:val="none"/>
              </w:rPr>
            </w:pPr>
          </w:p>
        </w:tc>
        <w:tc>
          <w:tcPr>
            <w:tcW w:w="900" w:type="dxa"/>
            <w:noWrap w:val="0"/>
            <w:vAlign w:val="top"/>
          </w:tcPr>
          <w:p w14:paraId="3826676E">
            <w:pPr>
              <w:spacing w:line="440" w:lineRule="exact"/>
              <w:jc w:val="center"/>
              <w:rPr>
                <w:rFonts w:ascii="宋体" w:hAnsi="宋体" w:cs="宋体"/>
                <w:color w:val="auto"/>
                <w:sz w:val="24"/>
                <w:highlight w:val="none"/>
              </w:rPr>
            </w:pPr>
          </w:p>
        </w:tc>
        <w:tc>
          <w:tcPr>
            <w:tcW w:w="1080" w:type="dxa"/>
            <w:noWrap w:val="0"/>
            <w:vAlign w:val="top"/>
          </w:tcPr>
          <w:p w14:paraId="2619B7DB">
            <w:pPr>
              <w:spacing w:line="440" w:lineRule="exact"/>
              <w:jc w:val="center"/>
              <w:rPr>
                <w:rFonts w:ascii="宋体" w:hAnsi="宋体" w:cs="宋体"/>
                <w:color w:val="auto"/>
                <w:sz w:val="24"/>
                <w:highlight w:val="none"/>
              </w:rPr>
            </w:pPr>
          </w:p>
        </w:tc>
        <w:tc>
          <w:tcPr>
            <w:tcW w:w="900" w:type="dxa"/>
            <w:noWrap w:val="0"/>
            <w:vAlign w:val="top"/>
          </w:tcPr>
          <w:p w14:paraId="1D2C6E6A">
            <w:pPr>
              <w:spacing w:line="440" w:lineRule="exact"/>
              <w:jc w:val="center"/>
              <w:rPr>
                <w:rFonts w:ascii="宋体" w:hAnsi="宋体" w:cs="宋体"/>
                <w:color w:val="auto"/>
                <w:sz w:val="24"/>
                <w:highlight w:val="none"/>
              </w:rPr>
            </w:pPr>
          </w:p>
        </w:tc>
        <w:tc>
          <w:tcPr>
            <w:tcW w:w="1262" w:type="dxa"/>
            <w:noWrap w:val="0"/>
            <w:vAlign w:val="top"/>
          </w:tcPr>
          <w:p w14:paraId="3D3CAFF8">
            <w:pPr>
              <w:spacing w:line="440" w:lineRule="exact"/>
              <w:jc w:val="center"/>
              <w:rPr>
                <w:rFonts w:ascii="宋体" w:hAnsi="宋体" w:cs="宋体"/>
                <w:color w:val="auto"/>
                <w:sz w:val="24"/>
                <w:highlight w:val="none"/>
              </w:rPr>
            </w:pPr>
          </w:p>
        </w:tc>
        <w:tc>
          <w:tcPr>
            <w:tcW w:w="1258" w:type="dxa"/>
            <w:noWrap w:val="0"/>
            <w:vAlign w:val="top"/>
          </w:tcPr>
          <w:p w14:paraId="3CB83F3C">
            <w:pPr>
              <w:spacing w:line="440" w:lineRule="exact"/>
              <w:jc w:val="center"/>
              <w:rPr>
                <w:rFonts w:ascii="宋体" w:hAnsi="宋体" w:cs="宋体"/>
                <w:color w:val="auto"/>
                <w:sz w:val="24"/>
                <w:highlight w:val="none"/>
              </w:rPr>
            </w:pPr>
          </w:p>
        </w:tc>
      </w:tr>
      <w:tr w14:paraId="3B8F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472BA4C">
            <w:pPr>
              <w:spacing w:line="440" w:lineRule="exact"/>
              <w:jc w:val="center"/>
              <w:rPr>
                <w:rFonts w:ascii="宋体" w:hAnsi="宋体" w:cs="宋体"/>
                <w:color w:val="auto"/>
                <w:sz w:val="24"/>
                <w:highlight w:val="none"/>
              </w:rPr>
            </w:pPr>
          </w:p>
        </w:tc>
        <w:tc>
          <w:tcPr>
            <w:tcW w:w="720" w:type="dxa"/>
            <w:noWrap w:val="0"/>
            <w:vAlign w:val="top"/>
          </w:tcPr>
          <w:p w14:paraId="6AE105E5">
            <w:pPr>
              <w:spacing w:line="440" w:lineRule="exact"/>
              <w:jc w:val="center"/>
              <w:rPr>
                <w:rFonts w:ascii="宋体" w:hAnsi="宋体" w:cs="宋体"/>
                <w:color w:val="auto"/>
                <w:sz w:val="24"/>
                <w:highlight w:val="none"/>
              </w:rPr>
            </w:pPr>
          </w:p>
        </w:tc>
        <w:tc>
          <w:tcPr>
            <w:tcW w:w="900" w:type="dxa"/>
            <w:noWrap w:val="0"/>
            <w:vAlign w:val="top"/>
          </w:tcPr>
          <w:p w14:paraId="0275BEC3">
            <w:pPr>
              <w:spacing w:line="440" w:lineRule="exact"/>
              <w:jc w:val="center"/>
              <w:rPr>
                <w:rFonts w:ascii="宋体" w:hAnsi="宋体" w:cs="宋体"/>
                <w:color w:val="auto"/>
                <w:sz w:val="24"/>
                <w:highlight w:val="none"/>
              </w:rPr>
            </w:pPr>
          </w:p>
        </w:tc>
        <w:tc>
          <w:tcPr>
            <w:tcW w:w="1260" w:type="dxa"/>
            <w:noWrap w:val="0"/>
            <w:vAlign w:val="top"/>
          </w:tcPr>
          <w:p w14:paraId="3D901561">
            <w:pPr>
              <w:spacing w:line="440" w:lineRule="exact"/>
              <w:jc w:val="center"/>
              <w:rPr>
                <w:rFonts w:ascii="宋体" w:hAnsi="宋体" w:cs="宋体"/>
                <w:color w:val="auto"/>
                <w:sz w:val="24"/>
                <w:highlight w:val="none"/>
              </w:rPr>
            </w:pPr>
          </w:p>
        </w:tc>
        <w:tc>
          <w:tcPr>
            <w:tcW w:w="900" w:type="dxa"/>
            <w:noWrap w:val="0"/>
            <w:vAlign w:val="top"/>
          </w:tcPr>
          <w:p w14:paraId="441DD2F3">
            <w:pPr>
              <w:spacing w:line="440" w:lineRule="exact"/>
              <w:jc w:val="center"/>
              <w:rPr>
                <w:rFonts w:ascii="宋体" w:hAnsi="宋体" w:cs="宋体"/>
                <w:color w:val="auto"/>
                <w:sz w:val="24"/>
                <w:highlight w:val="none"/>
              </w:rPr>
            </w:pPr>
          </w:p>
        </w:tc>
        <w:tc>
          <w:tcPr>
            <w:tcW w:w="1080" w:type="dxa"/>
            <w:noWrap w:val="0"/>
            <w:vAlign w:val="top"/>
          </w:tcPr>
          <w:p w14:paraId="7E064435">
            <w:pPr>
              <w:spacing w:line="440" w:lineRule="exact"/>
              <w:jc w:val="center"/>
              <w:rPr>
                <w:rFonts w:ascii="宋体" w:hAnsi="宋体" w:cs="宋体"/>
                <w:color w:val="auto"/>
                <w:sz w:val="24"/>
                <w:highlight w:val="none"/>
              </w:rPr>
            </w:pPr>
          </w:p>
        </w:tc>
        <w:tc>
          <w:tcPr>
            <w:tcW w:w="900" w:type="dxa"/>
            <w:noWrap w:val="0"/>
            <w:vAlign w:val="top"/>
          </w:tcPr>
          <w:p w14:paraId="2A70FF31">
            <w:pPr>
              <w:spacing w:line="440" w:lineRule="exact"/>
              <w:jc w:val="center"/>
              <w:rPr>
                <w:rFonts w:ascii="宋体" w:hAnsi="宋体" w:cs="宋体"/>
                <w:color w:val="auto"/>
                <w:sz w:val="24"/>
                <w:highlight w:val="none"/>
              </w:rPr>
            </w:pPr>
          </w:p>
        </w:tc>
        <w:tc>
          <w:tcPr>
            <w:tcW w:w="1262" w:type="dxa"/>
            <w:noWrap w:val="0"/>
            <w:vAlign w:val="top"/>
          </w:tcPr>
          <w:p w14:paraId="6456BB7C">
            <w:pPr>
              <w:spacing w:line="440" w:lineRule="exact"/>
              <w:jc w:val="center"/>
              <w:rPr>
                <w:rFonts w:ascii="宋体" w:hAnsi="宋体" w:cs="宋体"/>
                <w:color w:val="auto"/>
                <w:sz w:val="24"/>
                <w:highlight w:val="none"/>
              </w:rPr>
            </w:pPr>
          </w:p>
        </w:tc>
        <w:tc>
          <w:tcPr>
            <w:tcW w:w="1258" w:type="dxa"/>
            <w:noWrap w:val="0"/>
            <w:vAlign w:val="top"/>
          </w:tcPr>
          <w:p w14:paraId="052C0E89">
            <w:pPr>
              <w:spacing w:line="440" w:lineRule="exact"/>
              <w:jc w:val="center"/>
              <w:rPr>
                <w:rFonts w:ascii="宋体" w:hAnsi="宋体" w:cs="宋体"/>
                <w:color w:val="auto"/>
                <w:sz w:val="24"/>
                <w:highlight w:val="none"/>
              </w:rPr>
            </w:pPr>
          </w:p>
        </w:tc>
      </w:tr>
      <w:tr w14:paraId="2281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D2843B4">
            <w:pPr>
              <w:spacing w:line="440" w:lineRule="exact"/>
              <w:jc w:val="center"/>
              <w:rPr>
                <w:rFonts w:ascii="宋体" w:hAnsi="宋体" w:cs="宋体"/>
                <w:color w:val="auto"/>
                <w:sz w:val="24"/>
                <w:highlight w:val="none"/>
              </w:rPr>
            </w:pPr>
          </w:p>
        </w:tc>
        <w:tc>
          <w:tcPr>
            <w:tcW w:w="720" w:type="dxa"/>
            <w:noWrap w:val="0"/>
            <w:vAlign w:val="top"/>
          </w:tcPr>
          <w:p w14:paraId="61343BB5">
            <w:pPr>
              <w:spacing w:line="440" w:lineRule="exact"/>
              <w:jc w:val="center"/>
              <w:rPr>
                <w:rFonts w:ascii="宋体" w:hAnsi="宋体" w:cs="宋体"/>
                <w:color w:val="auto"/>
                <w:sz w:val="24"/>
                <w:highlight w:val="none"/>
              </w:rPr>
            </w:pPr>
          </w:p>
        </w:tc>
        <w:tc>
          <w:tcPr>
            <w:tcW w:w="900" w:type="dxa"/>
            <w:noWrap w:val="0"/>
            <w:vAlign w:val="top"/>
          </w:tcPr>
          <w:p w14:paraId="4F80C80A">
            <w:pPr>
              <w:spacing w:line="440" w:lineRule="exact"/>
              <w:jc w:val="center"/>
              <w:rPr>
                <w:rFonts w:ascii="宋体" w:hAnsi="宋体" w:cs="宋体"/>
                <w:color w:val="auto"/>
                <w:sz w:val="24"/>
                <w:highlight w:val="none"/>
              </w:rPr>
            </w:pPr>
          </w:p>
        </w:tc>
        <w:tc>
          <w:tcPr>
            <w:tcW w:w="1260" w:type="dxa"/>
            <w:noWrap w:val="0"/>
            <w:vAlign w:val="top"/>
          </w:tcPr>
          <w:p w14:paraId="08F0DA66">
            <w:pPr>
              <w:spacing w:line="440" w:lineRule="exact"/>
              <w:jc w:val="center"/>
              <w:rPr>
                <w:rFonts w:ascii="宋体" w:hAnsi="宋体" w:cs="宋体"/>
                <w:color w:val="auto"/>
                <w:sz w:val="24"/>
                <w:highlight w:val="none"/>
              </w:rPr>
            </w:pPr>
          </w:p>
        </w:tc>
        <w:tc>
          <w:tcPr>
            <w:tcW w:w="900" w:type="dxa"/>
            <w:noWrap w:val="0"/>
            <w:vAlign w:val="top"/>
          </w:tcPr>
          <w:p w14:paraId="3F1E98B2">
            <w:pPr>
              <w:spacing w:line="440" w:lineRule="exact"/>
              <w:jc w:val="center"/>
              <w:rPr>
                <w:rFonts w:ascii="宋体" w:hAnsi="宋体" w:cs="宋体"/>
                <w:color w:val="auto"/>
                <w:sz w:val="24"/>
                <w:highlight w:val="none"/>
              </w:rPr>
            </w:pPr>
          </w:p>
        </w:tc>
        <w:tc>
          <w:tcPr>
            <w:tcW w:w="1080" w:type="dxa"/>
            <w:noWrap w:val="0"/>
            <w:vAlign w:val="top"/>
          </w:tcPr>
          <w:p w14:paraId="6F5C700B">
            <w:pPr>
              <w:spacing w:line="440" w:lineRule="exact"/>
              <w:jc w:val="center"/>
              <w:rPr>
                <w:rFonts w:ascii="宋体" w:hAnsi="宋体" w:cs="宋体"/>
                <w:color w:val="auto"/>
                <w:sz w:val="24"/>
                <w:highlight w:val="none"/>
              </w:rPr>
            </w:pPr>
          </w:p>
        </w:tc>
        <w:tc>
          <w:tcPr>
            <w:tcW w:w="900" w:type="dxa"/>
            <w:noWrap w:val="0"/>
            <w:vAlign w:val="top"/>
          </w:tcPr>
          <w:p w14:paraId="712E81FD">
            <w:pPr>
              <w:spacing w:line="440" w:lineRule="exact"/>
              <w:jc w:val="center"/>
              <w:rPr>
                <w:rFonts w:ascii="宋体" w:hAnsi="宋体" w:cs="宋体"/>
                <w:color w:val="auto"/>
                <w:sz w:val="24"/>
                <w:highlight w:val="none"/>
              </w:rPr>
            </w:pPr>
          </w:p>
        </w:tc>
        <w:tc>
          <w:tcPr>
            <w:tcW w:w="1262" w:type="dxa"/>
            <w:noWrap w:val="0"/>
            <w:vAlign w:val="top"/>
          </w:tcPr>
          <w:p w14:paraId="4D048844">
            <w:pPr>
              <w:spacing w:line="440" w:lineRule="exact"/>
              <w:jc w:val="center"/>
              <w:rPr>
                <w:rFonts w:ascii="宋体" w:hAnsi="宋体" w:cs="宋体"/>
                <w:color w:val="auto"/>
                <w:sz w:val="24"/>
                <w:highlight w:val="none"/>
              </w:rPr>
            </w:pPr>
          </w:p>
        </w:tc>
        <w:tc>
          <w:tcPr>
            <w:tcW w:w="1258" w:type="dxa"/>
            <w:noWrap w:val="0"/>
            <w:vAlign w:val="top"/>
          </w:tcPr>
          <w:p w14:paraId="4061F7A1">
            <w:pPr>
              <w:spacing w:line="440" w:lineRule="exact"/>
              <w:jc w:val="center"/>
              <w:rPr>
                <w:rFonts w:ascii="宋体" w:hAnsi="宋体" w:cs="宋体"/>
                <w:color w:val="auto"/>
                <w:sz w:val="24"/>
                <w:highlight w:val="none"/>
              </w:rPr>
            </w:pPr>
          </w:p>
        </w:tc>
      </w:tr>
      <w:tr w14:paraId="78C6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587659E4">
            <w:pPr>
              <w:spacing w:line="440" w:lineRule="exact"/>
              <w:jc w:val="center"/>
              <w:rPr>
                <w:rFonts w:ascii="宋体" w:hAnsi="宋体" w:cs="宋体"/>
                <w:color w:val="auto"/>
                <w:sz w:val="24"/>
                <w:highlight w:val="none"/>
              </w:rPr>
            </w:pPr>
          </w:p>
        </w:tc>
        <w:tc>
          <w:tcPr>
            <w:tcW w:w="720" w:type="dxa"/>
            <w:noWrap w:val="0"/>
            <w:vAlign w:val="top"/>
          </w:tcPr>
          <w:p w14:paraId="13D85471">
            <w:pPr>
              <w:spacing w:line="440" w:lineRule="exact"/>
              <w:jc w:val="center"/>
              <w:rPr>
                <w:rFonts w:ascii="宋体" w:hAnsi="宋体" w:cs="宋体"/>
                <w:color w:val="auto"/>
                <w:sz w:val="24"/>
                <w:highlight w:val="none"/>
              </w:rPr>
            </w:pPr>
          </w:p>
        </w:tc>
        <w:tc>
          <w:tcPr>
            <w:tcW w:w="900" w:type="dxa"/>
            <w:noWrap w:val="0"/>
            <w:vAlign w:val="top"/>
          </w:tcPr>
          <w:p w14:paraId="3D0FAB16">
            <w:pPr>
              <w:spacing w:line="440" w:lineRule="exact"/>
              <w:jc w:val="center"/>
              <w:rPr>
                <w:rFonts w:ascii="宋体" w:hAnsi="宋体" w:cs="宋体"/>
                <w:color w:val="auto"/>
                <w:sz w:val="24"/>
                <w:highlight w:val="none"/>
              </w:rPr>
            </w:pPr>
          </w:p>
        </w:tc>
        <w:tc>
          <w:tcPr>
            <w:tcW w:w="1260" w:type="dxa"/>
            <w:noWrap w:val="0"/>
            <w:vAlign w:val="top"/>
          </w:tcPr>
          <w:p w14:paraId="456029F5">
            <w:pPr>
              <w:spacing w:line="440" w:lineRule="exact"/>
              <w:jc w:val="center"/>
              <w:rPr>
                <w:rFonts w:ascii="宋体" w:hAnsi="宋体" w:cs="宋体"/>
                <w:color w:val="auto"/>
                <w:sz w:val="24"/>
                <w:highlight w:val="none"/>
              </w:rPr>
            </w:pPr>
          </w:p>
        </w:tc>
        <w:tc>
          <w:tcPr>
            <w:tcW w:w="900" w:type="dxa"/>
            <w:noWrap w:val="0"/>
            <w:vAlign w:val="top"/>
          </w:tcPr>
          <w:p w14:paraId="239FF973">
            <w:pPr>
              <w:spacing w:line="440" w:lineRule="exact"/>
              <w:jc w:val="center"/>
              <w:rPr>
                <w:rFonts w:ascii="宋体" w:hAnsi="宋体" w:cs="宋体"/>
                <w:color w:val="auto"/>
                <w:sz w:val="24"/>
                <w:highlight w:val="none"/>
              </w:rPr>
            </w:pPr>
          </w:p>
        </w:tc>
        <w:tc>
          <w:tcPr>
            <w:tcW w:w="1080" w:type="dxa"/>
            <w:noWrap w:val="0"/>
            <w:vAlign w:val="top"/>
          </w:tcPr>
          <w:p w14:paraId="35EA5C84">
            <w:pPr>
              <w:spacing w:line="440" w:lineRule="exact"/>
              <w:jc w:val="center"/>
              <w:rPr>
                <w:rFonts w:ascii="宋体" w:hAnsi="宋体" w:cs="宋体"/>
                <w:color w:val="auto"/>
                <w:sz w:val="24"/>
                <w:highlight w:val="none"/>
              </w:rPr>
            </w:pPr>
          </w:p>
        </w:tc>
        <w:tc>
          <w:tcPr>
            <w:tcW w:w="900" w:type="dxa"/>
            <w:noWrap w:val="0"/>
            <w:vAlign w:val="top"/>
          </w:tcPr>
          <w:p w14:paraId="6D850B51">
            <w:pPr>
              <w:spacing w:line="440" w:lineRule="exact"/>
              <w:jc w:val="center"/>
              <w:rPr>
                <w:rFonts w:ascii="宋体" w:hAnsi="宋体" w:cs="宋体"/>
                <w:color w:val="auto"/>
                <w:sz w:val="24"/>
                <w:highlight w:val="none"/>
              </w:rPr>
            </w:pPr>
          </w:p>
        </w:tc>
        <w:tc>
          <w:tcPr>
            <w:tcW w:w="1262" w:type="dxa"/>
            <w:noWrap w:val="0"/>
            <w:vAlign w:val="top"/>
          </w:tcPr>
          <w:p w14:paraId="328A528A">
            <w:pPr>
              <w:spacing w:line="440" w:lineRule="exact"/>
              <w:jc w:val="center"/>
              <w:rPr>
                <w:rFonts w:ascii="宋体" w:hAnsi="宋体" w:cs="宋体"/>
                <w:color w:val="auto"/>
                <w:sz w:val="24"/>
                <w:highlight w:val="none"/>
              </w:rPr>
            </w:pPr>
          </w:p>
        </w:tc>
        <w:tc>
          <w:tcPr>
            <w:tcW w:w="1258" w:type="dxa"/>
            <w:noWrap w:val="0"/>
            <w:vAlign w:val="top"/>
          </w:tcPr>
          <w:p w14:paraId="518DE43E">
            <w:pPr>
              <w:spacing w:line="440" w:lineRule="exact"/>
              <w:jc w:val="center"/>
              <w:rPr>
                <w:rFonts w:ascii="宋体" w:hAnsi="宋体" w:cs="宋体"/>
                <w:color w:val="auto"/>
                <w:sz w:val="24"/>
                <w:highlight w:val="none"/>
              </w:rPr>
            </w:pPr>
          </w:p>
        </w:tc>
      </w:tr>
      <w:tr w14:paraId="6455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2E4959A">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5DF98D">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88956BC">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A1F784C">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E8B857B">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FF81145">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3DB0F60">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51486E15">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06B88255">
            <w:pPr>
              <w:spacing w:line="440" w:lineRule="exact"/>
              <w:jc w:val="center"/>
              <w:rPr>
                <w:rFonts w:ascii="宋体" w:hAnsi="宋体" w:cs="宋体"/>
                <w:color w:val="auto"/>
                <w:sz w:val="24"/>
                <w:highlight w:val="none"/>
              </w:rPr>
            </w:pPr>
          </w:p>
        </w:tc>
      </w:tr>
      <w:tr w14:paraId="0F4D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A0561CA">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4A316A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8F8E9CD">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57C5EC8">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0AA2127">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F25C773">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6497FA7">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6D5E42C2">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40A07DC9">
            <w:pPr>
              <w:spacing w:line="440" w:lineRule="exact"/>
              <w:jc w:val="center"/>
              <w:rPr>
                <w:rFonts w:ascii="宋体" w:hAnsi="宋体" w:cs="宋体"/>
                <w:color w:val="auto"/>
                <w:sz w:val="24"/>
                <w:highlight w:val="none"/>
              </w:rPr>
            </w:pPr>
          </w:p>
        </w:tc>
      </w:tr>
      <w:tr w14:paraId="00A9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4A6F974">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E55BBE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E88424B">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0155CCA">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1A245DA">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D1FF050">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0D9A05F">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59A6D695">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5CE8F1D6">
            <w:pPr>
              <w:spacing w:line="440" w:lineRule="exact"/>
              <w:jc w:val="center"/>
              <w:rPr>
                <w:rFonts w:ascii="宋体" w:hAnsi="宋体" w:cs="宋体"/>
                <w:color w:val="auto"/>
                <w:sz w:val="24"/>
                <w:highlight w:val="none"/>
              </w:rPr>
            </w:pPr>
          </w:p>
        </w:tc>
      </w:tr>
      <w:tr w14:paraId="572F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EBA6664">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0D71603">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E921230">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C956246">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3B1D7B9">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44018D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50453A6">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1E5D7436">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41002525">
            <w:pPr>
              <w:spacing w:line="440" w:lineRule="exact"/>
              <w:jc w:val="center"/>
              <w:rPr>
                <w:rFonts w:ascii="宋体" w:hAnsi="宋体" w:cs="宋体"/>
                <w:color w:val="auto"/>
                <w:sz w:val="24"/>
                <w:highlight w:val="none"/>
              </w:rPr>
            </w:pPr>
          </w:p>
        </w:tc>
      </w:tr>
      <w:tr w14:paraId="1FE8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E957091">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65BF0C2">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A0949E2">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DBED4E7">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106F61A">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872E5E7">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74E5750">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9885EFD">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0EFBFA24">
            <w:pPr>
              <w:spacing w:line="440" w:lineRule="exact"/>
              <w:jc w:val="center"/>
              <w:rPr>
                <w:rFonts w:ascii="宋体" w:hAnsi="宋体" w:cs="宋体"/>
                <w:color w:val="auto"/>
                <w:sz w:val="24"/>
                <w:highlight w:val="none"/>
              </w:rPr>
            </w:pPr>
          </w:p>
        </w:tc>
      </w:tr>
      <w:tr w14:paraId="4E32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BCF8957">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9AB7D9B">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B243EFF">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49FFF6A">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E769D40">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1044FDB">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A47CBD6">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A82ACAD">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12056D5F">
            <w:pPr>
              <w:spacing w:line="440" w:lineRule="exact"/>
              <w:jc w:val="center"/>
              <w:rPr>
                <w:rFonts w:ascii="宋体" w:hAnsi="宋体" w:cs="宋体"/>
                <w:color w:val="auto"/>
                <w:sz w:val="24"/>
                <w:highlight w:val="none"/>
              </w:rPr>
            </w:pPr>
          </w:p>
        </w:tc>
      </w:tr>
      <w:tr w14:paraId="7B7C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CC74A43">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1518530">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2ADC909">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F19CFD5">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DA4511A">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D34B109">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04B00FC">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44C1660F">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45B6B51B">
            <w:pPr>
              <w:spacing w:line="440" w:lineRule="exact"/>
              <w:jc w:val="center"/>
              <w:rPr>
                <w:rFonts w:ascii="宋体" w:hAnsi="宋体" w:cs="宋体"/>
                <w:color w:val="auto"/>
                <w:sz w:val="24"/>
                <w:highlight w:val="none"/>
              </w:rPr>
            </w:pPr>
          </w:p>
        </w:tc>
      </w:tr>
      <w:tr w14:paraId="2C7F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9A404A0">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778AEDA">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FB9EECE">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3609F80">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CD191A7">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8B4F68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33979B4">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3A0E860D">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70E52954">
            <w:pPr>
              <w:spacing w:line="440" w:lineRule="exact"/>
              <w:jc w:val="center"/>
              <w:rPr>
                <w:rFonts w:ascii="宋体" w:hAnsi="宋体" w:cs="宋体"/>
                <w:color w:val="auto"/>
                <w:sz w:val="24"/>
                <w:highlight w:val="none"/>
              </w:rPr>
            </w:pPr>
          </w:p>
        </w:tc>
      </w:tr>
      <w:tr w14:paraId="5459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D01BC40">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8BF744F">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02DAE8D">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36FC7A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243AACF">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EC83897">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2DB2D1E">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AA96036">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0330E30F">
            <w:pPr>
              <w:spacing w:line="440" w:lineRule="exact"/>
              <w:jc w:val="center"/>
              <w:rPr>
                <w:rFonts w:ascii="宋体" w:hAnsi="宋体" w:cs="宋体"/>
                <w:color w:val="auto"/>
                <w:sz w:val="24"/>
                <w:highlight w:val="none"/>
              </w:rPr>
            </w:pPr>
          </w:p>
        </w:tc>
      </w:tr>
      <w:tr w14:paraId="0EE4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78AEC43">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19132EC">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1D70AE9">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E9C56EF">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ACB1801">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78F3740">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136AEB8">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19758A14">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4D53CD91">
            <w:pPr>
              <w:spacing w:line="440" w:lineRule="exact"/>
              <w:jc w:val="center"/>
              <w:rPr>
                <w:rFonts w:ascii="宋体" w:hAnsi="宋体" w:cs="宋体"/>
                <w:color w:val="auto"/>
                <w:sz w:val="24"/>
                <w:highlight w:val="none"/>
              </w:rPr>
            </w:pPr>
          </w:p>
        </w:tc>
      </w:tr>
      <w:tr w14:paraId="5F3D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5BF231B">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82D36F8">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2BEBAC8">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E29D363">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06C8BB5">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BB2C35D">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A1991B9">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13C9E77A">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2136E99E">
            <w:pPr>
              <w:spacing w:line="440" w:lineRule="exact"/>
              <w:jc w:val="center"/>
              <w:rPr>
                <w:rFonts w:ascii="宋体" w:hAnsi="宋体" w:cs="宋体"/>
                <w:color w:val="auto"/>
                <w:sz w:val="24"/>
                <w:highlight w:val="none"/>
              </w:rPr>
            </w:pPr>
          </w:p>
        </w:tc>
      </w:tr>
      <w:tr w14:paraId="0A28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E692678">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D8C6615">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8F6B365">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FFC3C85">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2B86574">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DBBF4E6">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E462F00">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037DCD49">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317B4768">
            <w:pPr>
              <w:spacing w:line="440" w:lineRule="exact"/>
              <w:jc w:val="center"/>
              <w:rPr>
                <w:rFonts w:ascii="宋体" w:hAnsi="宋体" w:cs="宋体"/>
                <w:color w:val="auto"/>
                <w:sz w:val="24"/>
                <w:highlight w:val="none"/>
              </w:rPr>
            </w:pPr>
          </w:p>
        </w:tc>
      </w:tr>
      <w:tr w14:paraId="1ED9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FD48BAB">
            <w:pPr>
              <w:spacing w:line="440" w:lineRule="exact"/>
              <w:jc w:val="center"/>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BA6EBE6">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371E1AF">
            <w:pPr>
              <w:spacing w:line="440" w:lineRule="exact"/>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A0071AE">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7ACA072">
            <w:pPr>
              <w:spacing w:line="440" w:lineRule="exact"/>
              <w:jc w:val="center"/>
              <w:rPr>
                <w:rFonts w:ascii="宋体" w:hAnsi="宋体" w:cs="宋体"/>
                <w:color w:val="auto"/>
                <w:sz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08B13D4">
            <w:pPr>
              <w:spacing w:line="440" w:lineRule="exact"/>
              <w:jc w:val="center"/>
              <w:rPr>
                <w:rFonts w:ascii="宋体" w:hAnsi="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C78ED30">
            <w:pPr>
              <w:spacing w:line="440" w:lineRule="exact"/>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noWrap w:val="0"/>
            <w:vAlign w:val="top"/>
          </w:tcPr>
          <w:p w14:paraId="50193837">
            <w:pPr>
              <w:spacing w:line="440" w:lineRule="exact"/>
              <w:jc w:val="center"/>
              <w:rPr>
                <w:rFonts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5126464D">
            <w:pPr>
              <w:spacing w:line="440" w:lineRule="exact"/>
              <w:jc w:val="center"/>
              <w:rPr>
                <w:rFonts w:ascii="宋体" w:hAnsi="宋体" w:cs="宋体"/>
                <w:color w:val="auto"/>
                <w:sz w:val="24"/>
                <w:highlight w:val="none"/>
              </w:rPr>
            </w:pPr>
          </w:p>
        </w:tc>
      </w:tr>
    </w:tbl>
    <w:p w14:paraId="1367E931">
      <w:pPr>
        <w:pStyle w:val="26"/>
        <w:spacing w:line="360" w:lineRule="atLeast"/>
        <w:jc w:val="both"/>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注：本表后</w:t>
      </w:r>
      <w:r>
        <w:rPr>
          <w:rFonts w:hint="eastAsia" w:ascii="宋体" w:hAnsi="宋体" w:eastAsia="宋体" w:cs="宋体"/>
          <w:b/>
          <w:color w:val="auto"/>
          <w:sz w:val="22"/>
          <w:szCs w:val="22"/>
          <w:highlight w:val="none"/>
          <w:lang w:eastAsia="zh-CN"/>
        </w:rPr>
        <w:t>附</w:t>
      </w:r>
      <w:r>
        <w:rPr>
          <w:rFonts w:hint="eastAsia" w:ascii="宋体" w:hAnsi="宋体" w:eastAsia="宋体" w:cs="宋体"/>
          <w:b/>
          <w:color w:val="auto"/>
          <w:sz w:val="22"/>
          <w:szCs w:val="22"/>
          <w:highlight w:val="none"/>
          <w:lang w:val="en-US" w:eastAsia="zh-CN"/>
        </w:rPr>
        <w:t>项目</w:t>
      </w:r>
      <w:r>
        <w:rPr>
          <w:rFonts w:hint="eastAsia" w:ascii="宋体" w:hAnsi="宋体" w:eastAsia="宋体" w:cs="宋体"/>
          <w:b/>
          <w:color w:val="auto"/>
          <w:sz w:val="22"/>
          <w:szCs w:val="22"/>
          <w:highlight w:val="none"/>
          <w:lang w:eastAsia="zh-CN"/>
        </w:rPr>
        <w:t>管理机构人员身份证明及资格证书（</w:t>
      </w:r>
      <w:r>
        <w:rPr>
          <w:rFonts w:hint="eastAsia" w:ascii="宋体" w:hAnsi="宋体" w:eastAsia="宋体" w:cs="宋体"/>
          <w:b/>
          <w:color w:val="auto"/>
          <w:sz w:val="22"/>
          <w:szCs w:val="22"/>
          <w:highlight w:val="none"/>
          <w:lang w:val="en-US" w:eastAsia="zh-CN"/>
        </w:rPr>
        <w:t>至少包含项目经理、技术负责人、</w:t>
      </w:r>
      <w:r>
        <w:rPr>
          <w:rFonts w:hint="eastAsia" w:ascii="宋体" w:hAnsi="宋体" w:cs="宋体"/>
          <w:b/>
          <w:color w:val="auto"/>
          <w:sz w:val="22"/>
          <w:szCs w:val="22"/>
          <w:highlight w:val="none"/>
          <w:lang w:val="en-US" w:eastAsia="zh-CN"/>
        </w:rPr>
        <w:t>专职</w:t>
      </w:r>
      <w:r>
        <w:rPr>
          <w:rFonts w:hint="eastAsia" w:ascii="宋体" w:hAnsi="宋体" w:eastAsia="宋体" w:cs="宋体"/>
          <w:b/>
          <w:color w:val="auto"/>
          <w:sz w:val="22"/>
          <w:szCs w:val="22"/>
          <w:highlight w:val="none"/>
          <w:lang w:val="en-US" w:eastAsia="zh-CN"/>
        </w:rPr>
        <w:t>安全生产管理人员、质量员、造价</w:t>
      </w:r>
      <w:r>
        <w:rPr>
          <w:rFonts w:hint="eastAsia" w:ascii="宋体" w:hAnsi="宋体" w:cs="宋体"/>
          <w:b/>
          <w:color w:val="auto"/>
          <w:sz w:val="22"/>
          <w:szCs w:val="22"/>
          <w:highlight w:val="none"/>
          <w:lang w:val="en-US" w:eastAsia="zh-CN"/>
        </w:rPr>
        <w:t>工程师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并提供社保缴纳证明或劳动合同复印件。</w:t>
      </w:r>
    </w:p>
    <w:p w14:paraId="2E006E34">
      <w:pPr>
        <w:pStyle w:val="26"/>
        <w:spacing w:line="360" w:lineRule="atLeast"/>
        <w:jc w:val="center"/>
        <w:rPr>
          <w:rFonts w:hint="eastAsia" w:ascii="宋体" w:hAnsi="宋体" w:eastAsia="宋体" w:cs="宋体"/>
          <w:b/>
          <w:color w:val="auto"/>
          <w:highlight w:val="none"/>
          <w:lang w:val="en-US" w:eastAsia="zh-CN"/>
        </w:rPr>
        <w:sectPr>
          <w:pgSz w:w="11906" w:h="16838"/>
          <w:pgMar w:top="1701" w:right="1588" w:bottom="1588" w:left="1588" w:header="851" w:footer="1134" w:gutter="0"/>
          <w:pgNumType w:fmt="decimal"/>
          <w:cols w:space="720" w:num="1"/>
          <w:docGrid w:linePitch="312" w:charSpace="0"/>
        </w:sectPr>
      </w:pPr>
    </w:p>
    <w:p w14:paraId="164A236D">
      <w:pPr>
        <w:pStyle w:val="26"/>
        <w:spacing w:line="360" w:lineRule="atLeast"/>
        <w:jc w:val="center"/>
        <w:outlineLvl w:val="0"/>
        <w:rPr>
          <w:rFonts w:hint="eastAsia" w:ascii="宋体" w:hAnsi="宋体" w:eastAsia="宋体" w:cs="宋体"/>
          <w:b/>
          <w:color w:val="auto"/>
          <w:highlight w:val="none"/>
          <w:lang w:val="en-US" w:eastAsia="zh-CN"/>
        </w:rPr>
      </w:pPr>
      <w:bookmarkStart w:id="109" w:name="_Toc11290"/>
      <w:bookmarkStart w:id="110" w:name="_Toc2556"/>
      <w:bookmarkStart w:id="111" w:name="_Toc26439"/>
      <w:bookmarkStart w:id="112" w:name="_Toc4628"/>
      <w:r>
        <w:rPr>
          <w:rFonts w:hint="eastAsia" w:ascii="宋体" w:hAnsi="宋体" w:eastAsia="宋体" w:cs="宋体"/>
          <w:b/>
          <w:color w:val="auto"/>
          <w:highlight w:val="none"/>
          <w:lang w:val="en-US" w:eastAsia="zh-CN"/>
        </w:rPr>
        <w:t>磋商供应商同类型工程表及证明材料</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格式</w:t>
      </w:r>
      <w:r>
        <w:rPr>
          <w:rFonts w:hint="eastAsia" w:ascii="宋体" w:hAnsi="宋体" w:eastAsia="宋体" w:cs="宋体"/>
          <w:b/>
          <w:color w:val="auto"/>
          <w:highlight w:val="none"/>
        </w:rPr>
        <w:t>）</w:t>
      </w:r>
      <w:bookmarkEnd w:id="109"/>
      <w:bookmarkEnd w:id="110"/>
      <w:bookmarkEnd w:id="111"/>
      <w:bookmarkEnd w:id="112"/>
    </w:p>
    <w:tbl>
      <w:tblPr>
        <w:tblStyle w:val="30"/>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14:paraId="276A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noWrap/>
            <w:vAlign w:val="center"/>
          </w:tcPr>
          <w:p w14:paraId="71DE160D">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127" w:type="dxa"/>
            <w:noWrap/>
            <w:vAlign w:val="center"/>
          </w:tcPr>
          <w:p w14:paraId="2509F386">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甲方单位</w:t>
            </w:r>
          </w:p>
        </w:tc>
        <w:tc>
          <w:tcPr>
            <w:tcW w:w="1559" w:type="dxa"/>
            <w:noWrap/>
            <w:vAlign w:val="center"/>
          </w:tcPr>
          <w:p w14:paraId="30A72F00">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项目名称</w:t>
            </w:r>
          </w:p>
        </w:tc>
        <w:tc>
          <w:tcPr>
            <w:tcW w:w="1275" w:type="dxa"/>
            <w:noWrap/>
            <w:vAlign w:val="center"/>
          </w:tcPr>
          <w:p w14:paraId="6B3D4AD2">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合同金额</w:t>
            </w:r>
          </w:p>
        </w:tc>
        <w:tc>
          <w:tcPr>
            <w:tcW w:w="1134" w:type="dxa"/>
            <w:noWrap/>
            <w:vAlign w:val="center"/>
          </w:tcPr>
          <w:p w14:paraId="573B47FC">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合同主要内容</w:t>
            </w:r>
          </w:p>
        </w:tc>
        <w:tc>
          <w:tcPr>
            <w:tcW w:w="1134" w:type="dxa"/>
            <w:noWrap/>
            <w:vAlign w:val="center"/>
          </w:tcPr>
          <w:p w14:paraId="7FAABABA">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合同签订时间</w:t>
            </w:r>
          </w:p>
        </w:tc>
        <w:tc>
          <w:tcPr>
            <w:tcW w:w="993" w:type="dxa"/>
            <w:noWrap/>
            <w:vAlign w:val="center"/>
          </w:tcPr>
          <w:p w14:paraId="63F0FD3C">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甲方联系人</w:t>
            </w:r>
          </w:p>
        </w:tc>
        <w:tc>
          <w:tcPr>
            <w:tcW w:w="1134" w:type="dxa"/>
            <w:noWrap/>
            <w:vAlign w:val="center"/>
          </w:tcPr>
          <w:p w14:paraId="7E980175">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甲方联系电话</w:t>
            </w:r>
          </w:p>
        </w:tc>
      </w:tr>
      <w:tr w14:paraId="7DA5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ign w:val="center"/>
          </w:tcPr>
          <w:p w14:paraId="698423AE">
            <w:pPr>
              <w:jc w:val="center"/>
              <w:rPr>
                <w:rFonts w:hint="eastAsia" w:ascii="宋体" w:hAnsi="宋体" w:eastAsia="宋体" w:cs="宋体"/>
                <w:color w:val="auto"/>
                <w:sz w:val="24"/>
                <w:szCs w:val="24"/>
                <w:highlight w:val="none"/>
              </w:rPr>
            </w:pPr>
          </w:p>
        </w:tc>
        <w:tc>
          <w:tcPr>
            <w:tcW w:w="2127" w:type="dxa"/>
            <w:noWrap/>
            <w:vAlign w:val="center"/>
          </w:tcPr>
          <w:p w14:paraId="0528F22D">
            <w:pPr>
              <w:rPr>
                <w:rFonts w:hint="eastAsia" w:ascii="宋体" w:hAnsi="宋体" w:eastAsia="宋体" w:cs="宋体"/>
                <w:color w:val="auto"/>
                <w:sz w:val="24"/>
                <w:szCs w:val="24"/>
                <w:highlight w:val="none"/>
              </w:rPr>
            </w:pPr>
          </w:p>
        </w:tc>
        <w:tc>
          <w:tcPr>
            <w:tcW w:w="1559" w:type="dxa"/>
            <w:noWrap/>
            <w:vAlign w:val="center"/>
          </w:tcPr>
          <w:p w14:paraId="2BAAE80E">
            <w:pPr>
              <w:rPr>
                <w:rFonts w:hint="eastAsia" w:ascii="宋体" w:hAnsi="宋体" w:eastAsia="宋体" w:cs="宋体"/>
                <w:color w:val="auto"/>
                <w:sz w:val="24"/>
                <w:szCs w:val="24"/>
                <w:highlight w:val="none"/>
              </w:rPr>
            </w:pPr>
          </w:p>
        </w:tc>
        <w:tc>
          <w:tcPr>
            <w:tcW w:w="1275" w:type="dxa"/>
            <w:noWrap/>
            <w:vAlign w:val="center"/>
          </w:tcPr>
          <w:p w14:paraId="35B6772A">
            <w:pPr>
              <w:rPr>
                <w:rFonts w:hint="eastAsia" w:ascii="宋体" w:hAnsi="宋体" w:eastAsia="宋体" w:cs="宋体"/>
                <w:color w:val="auto"/>
                <w:sz w:val="24"/>
                <w:szCs w:val="24"/>
                <w:highlight w:val="none"/>
              </w:rPr>
            </w:pPr>
          </w:p>
        </w:tc>
        <w:tc>
          <w:tcPr>
            <w:tcW w:w="1134" w:type="dxa"/>
            <w:noWrap/>
            <w:vAlign w:val="center"/>
          </w:tcPr>
          <w:p w14:paraId="011FAA35">
            <w:pPr>
              <w:rPr>
                <w:rFonts w:hint="eastAsia" w:ascii="宋体" w:hAnsi="宋体" w:eastAsia="宋体" w:cs="宋体"/>
                <w:color w:val="auto"/>
                <w:sz w:val="24"/>
                <w:szCs w:val="24"/>
                <w:highlight w:val="none"/>
              </w:rPr>
            </w:pPr>
          </w:p>
        </w:tc>
        <w:tc>
          <w:tcPr>
            <w:tcW w:w="1134" w:type="dxa"/>
            <w:noWrap/>
            <w:vAlign w:val="center"/>
          </w:tcPr>
          <w:p w14:paraId="75F2A938">
            <w:pPr>
              <w:rPr>
                <w:rFonts w:hint="eastAsia" w:ascii="宋体" w:hAnsi="宋体" w:eastAsia="宋体" w:cs="宋体"/>
                <w:color w:val="auto"/>
                <w:sz w:val="24"/>
                <w:szCs w:val="24"/>
                <w:highlight w:val="none"/>
              </w:rPr>
            </w:pPr>
          </w:p>
        </w:tc>
        <w:tc>
          <w:tcPr>
            <w:tcW w:w="993" w:type="dxa"/>
            <w:noWrap/>
            <w:vAlign w:val="center"/>
          </w:tcPr>
          <w:p w14:paraId="3ACC1E47">
            <w:pPr>
              <w:rPr>
                <w:rFonts w:hint="eastAsia" w:ascii="宋体" w:hAnsi="宋体" w:eastAsia="宋体" w:cs="宋体"/>
                <w:color w:val="auto"/>
                <w:sz w:val="24"/>
                <w:szCs w:val="24"/>
                <w:highlight w:val="none"/>
              </w:rPr>
            </w:pPr>
          </w:p>
        </w:tc>
        <w:tc>
          <w:tcPr>
            <w:tcW w:w="1134" w:type="dxa"/>
            <w:noWrap/>
            <w:vAlign w:val="center"/>
          </w:tcPr>
          <w:p w14:paraId="3AC2A495">
            <w:pPr>
              <w:rPr>
                <w:rFonts w:hint="eastAsia" w:ascii="宋体" w:hAnsi="宋体" w:eastAsia="宋体" w:cs="宋体"/>
                <w:color w:val="auto"/>
                <w:sz w:val="24"/>
                <w:szCs w:val="24"/>
                <w:highlight w:val="none"/>
              </w:rPr>
            </w:pPr>
          </w:p>
        </w:tc>
      </w:tr>
      <w:tr w14:paraId="200B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43D6707D">
            <w:pPr>
              <w:jc w:val="center"/>
              <w:rPr>
                <w:rFonts w:hint="eastAsia" w:ascii="宋体" w:hAnsi="宋体" w:eastAsia="宋体" w:cs="宋体"/>
                <w:color w:val="auto"/>
                <w:sz w:val="24"/>
                <w:szCs w:val="24"/>
                <w:highlight w:val="none"/>
              </w:rPr>
            </w:pPr>
          </w:p>
        </w:tc>
        <w:tc>
          <w:tcPr>
            <w:tcW w:w="2127" w:type="dxa"/>
            <w:noWrap/>
            <w:vAlign w:val="center"/>
          </w:tcPr>
          <w:p w14:paraId="1C84F9EB">
            <w:pPr>
              <w:rPr>
                <w:rFonts w:hint="eastAsia" w:ascii="宋体" w:hAnsi="宋体" w:eastAsia="宋体" w:cs="宋体"/>
                <w:color w:val="auto"/>
                <w:sz w:val="24"/>
                <w:szCs w:val="24"/>
                <w:highlight w:val="none"/>
              </w:rPr>
            </w:pPr>
          </w:p>
        </w:tc>
        <w:tc>
          <w:tcPr>
            <w:tcW w:w="1559" w:type="dxa"/>
            <w:noWrap/>
            <w:vAlign w:val="center"/>
          </w:tcPr>
          <w:p w14:paraId="042E41C8">
            <w:pPr>
              <w:rPr>
                <w:rFonts w:hint="eastAsia" w:ascii="宋体" w:hAnsi="宋体" w:eastAsia="宋体" w:cs="宋体"/>
                <w:color w:val="auto"/>
                <w:sz w:val="24"/>
                <w:szCs w:val="24"/>
                <w:highlight w:val="none"/>
              </w:rPr>
            </w:pPr>
          </w:p>
        </w:tc>
        <w:tc>
          <w:tcPr>
            <w:tcW w:w="1275" w:type="dxa"/>
            <w:noWrap/>
            <w:vAlign w:val="center"/>
          </w:tcPr>
          <w:p w14:paraId="01E3320F">
            <w:pPr>
              <w:rPr>
                <w:rFonts w:hint="eastAsia" w:ascii="宋体" w:hAnsi="宋体" w:eastAsia="宋体" w:cs="宋体"/>
                <w:color w:val="auto"/>
                <w:sz w:val="24"/>
                <w:szCs w:val="24"/>
                <w:highlight w:val="none"/>
              </w:rPr>
            </w:pPr>
          </w:p>
        </w:tc>
        <w:tc>
          <w:tcPr>
            <w:tcW w:w="1134" w:type="dxa"/>
            <w:noWrap/>
            <w:vAlign w:val="center"/>
          </w:tcPr>
          <w:p w14:paraId="35C9C814">
            <w:pPr>
              <w:rPr>
                <w:rFonts w:hint="eastAsia" w:ascii="宋体" w:hAnsi="宋体" w:eastAsia="宋体" w:cs="宋体"/>
                <w:color w:val="auto"/>
                <w:sz w:val="24"/>
                <w:szCs w:val="24"/>
                <w:highlight w:val="none"/>
              </w:rPr>
            </w:pPr>
          </w:p>
        </w:tc>
        <w:tc>
          <w:tcPr>
            <w:tcW w:w="1134" w:type="dxa"/>
            <w:noWrap/>
            <w:vAlign w:val="center"/>
          </w:tcPr>
          <w:p w14:paraId="36F5CC07">
            <w:pPr>
              <w:rPr>
                <w:rFonts w:hint="eastAsia" w:ascii="宋体" w:hAnsi="宋体" w:eastAsia="宋体" w:cs="宋体"/>
                <w:color w:val="auto"/>
                <w:sz w:val="24"/>
                <w:szCs w:val="24"/>
                <w:highlight w:val="none"/>
              </w:rPr>
            </w:pPr>
          </w:p>
        </w:tc>
        <w:tc>
          <w:tcPr>
            <w:tcW w:w="993" w:type="dxa"/>
            <w:noWrap/>
            <w:vAlign w:val="center"/>
          </w:tcPr>
          <w:p w14:paraId="59CB84DB">
            <w:pPr>
              <w:rPr>
                <w:rFonts w:hint="eastAsia" w:ascii="宋体" w:hAnsi="宋体" w:eastAsia="宋体" w:cs="宋体"/>
                <w:color w:val="auto"/>
                <w:sz w:val="24"/>
                <w:szCs w:val="24"/>
                <w:highlight w:val="none"/>
              </w:rPr>
            </w:pPr>
          </w:p>
        </w:tc>
        <w:tc>
          <w:tcPr>
            <w:tcW w:w="1134" w:type="dxa"/>
            <w:noWrap/>
            <w:vAlign w:val="center"/>
          </w:tcPr>
          <w:p w14:paraId="5A7F8169">
            <w:pPr>
              <w:rPr>
                <w:rFonts w:hint="eastAsia" w:ascii="宋体" w:hAnsi="宋体" w:eastAsia="宋体" w:cs="宋体"/>
                <w:color w:val="auto"/>
                <w:sz w:val="24"/>
                <w:szCs w:val="24"/>
                <w:highlight w:val="none"/>
              </w:rPr>
            </w:pPr>
          </w:p>
        </w:tc>
      </w:tr>
      <w:tr w14:paraId="635C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1A438012">
            <w:pPr>
              <w:jc w:val="center"/>
              <w:rPr>
                <w:rFonts w:hint="eastAsia" w:ascii="宋体" w:hAnsi="宋体" w:eastAsia="宋体" w:cs="宋体"/>
                <w:color w:val="auto"/>
                <w:sz w:val="24"/>
                <w:szCs w:val="24"/>
                <w:highlight w:val="none"/>
              </w:rPr>
            </w:pPr>
          </w:p>
        </w:tc>
        <w:tc>
          <w:tcPr>
            <w:tcW w:w="2127" w:type="dxa"/>
            <w:noWrap/>
            <w:vAlign w:val="center"/>
          </w:tcPr>
          <w:p w14:paraId="48EE68B2">
            <w:pPr>
              <w:rPr>
                <w:rFonts w:hint="eastAsia" w:ascii="宋体" w:hAnsi="宋体" w:eastAsia="宋体" w:cs="宋体"/>
                <w:color w:val="auto"/>
                <w:sz w:val="24"/>
                <w:szCs w:val="24"/>
                <w:highlight w:val="none"/>
              </w:rPr>
            </w:pPr>
          </w:p>
        </w:tc>
        <w:tc>
          <w:tcPr>
            <w:tcW w:w="1559" w:type="dxa"/>
            <w:noWrap/>
            <w:vAlign w:val="center"/>
          </w:tcPr>
          <w:p w14:paraId="3B9FB5F4">
            <w:pPr>
              <w:rPr>
                <w:rFonts w:hint="eastAsia" w:ascii="宋体" w:hAnsi="宋体" w:eastAsia="宋体" w:cs="宋体"/>
                <w:color w:val="auto"/>
                <w:sz w:val="24"/>
                <w:szCs w:val="24"/>
                <w:highlight w:val="none"/>
              </w:rPr>
            </w:pPr>
          </w:p>
        </w:tc>
        <w:tc>
          <w:tcPr>
            <w:tcW w:w="1275" w:type="dxa"/>
            <w:noWrap/>
            <w:vAlign w:val="center"/>
          </w:tcPr>
          <w:p w14:paraId="5299433E">
            <w:pPr>
              <w:rPr>
                <w:rFonts w:hint="eastAsia" w:ascii="宋体" w:hAnsi="宋体" w:eastAsia="宋体" w:cs="宋体"/>
                <w:color w:val="auto"/>
                <w:sz w:val="24"/>
                <w:szCs w:val="24"/>
                <w:highlight w:val="none"/>
              </w:rPr>
            </w:pPr>
          </w:p>
        </w:tc>
        <w:tc>
          <w:tcPr>
            <w:tcW w:w="1134" w:type="dxa"/>
            <w:noWrap/>
            <w:vAlign w:val="center"/>
          </w:tcPr>
          <w:p w14:paraId="2CC62C26">
            <w:pPr>
              <w:rPr>
                <w:rFonts w:hint="eastAsia" w:ascii="宋体" w:hAnsi="宋体" w:eastAsia="宋体" w:cs="宋体"/>
                <w:color w:val="auto"/>
                <w:sz w:val="24"/>
                <w:szCs w:val="24"/>
                <w:highlight w:val="none"/>
              </w:rPr>
            </w:pPr>
          </w:p>
        </w:tc>
        <w:tc>
          <w:tcPr>
            <w:tcW w:w="1134" w:type="dxa"/>
            <w:noWrap/>
            <w:vAlign w:val="center"/>
          </w:tcPr>
          <w:p w14:paraId="74EF134E">
            <w:pPr>
              <w:rPr>
                <w:rFonts w:hint="eastAsia" w:ascii="宋体" w:hAnsi="宋体" w:eastAsia="宋体" w:cs="宋体"/>
                <w:color w:val="auto"/>
                <w:sz w:val="24"/>
                <w:szCs w:val="24"/>
                <w:highlight w:val="none"/>
              </w:rPr>
            </w:pPr>
          </w:p>
        </w:tc>
        <w:tc>
          <w:tcPr>
            <w:tcW w:w="993" w:type="dxa"/>
            <w:noWrap/>
            <w:vAlign w:val="center"/>
          </w:tcPr>
          <w:p w14:paraId="56A230A1">
            <w:pPr>
              <w:rPr>
                <w:rFonts w:hint="eastAsia" w:ascii="宋体" w:hAnsi="宋体" w:eastAsia="宋体" w:cs="宋体"/>
                <w:color w:val="auto"/>
                <w:sz w:val="24"/>
                <w:szCs w:val="24"/>
                <w:highlight w:val="none"/>
              </w:rPr>
            </w:pPr>
          </w:p>
        </w:tc>
        <w:tc>
          <w:tcPr>
            <w:tcW w:w="1134" w:type="dxa"/>
            <w:noWrap/>
            <w:vAlign w:val="center"/>
          </w:tcPr>
          <w:p w14:paraId="7809EE5A">
            <w:pPr>
              <w:rPr>
                <w:rFonts w:hint="eastAsia" w:ascii="宋体" w:hAnsi="宋体" w:eastAsia="宋体" w:cs="宋体"/>
                <w:color w:val="auto"/>
                <w:sz w:val="24"/>
                <w:szCs w:val="24"/>
                <w:highlight w:val="none"/>
              </w:rPr>
            </w:pPr>
          </w:p>
        </w:tc>
      </w:tr>
      <w:tr w14:paraId="4403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030555FA">
            <w:pPr>
              <w:jc w:val="center"/>
              <w:rPr>
                <w:rFonts w:hint="eastAsia" w:ascii="宋体" w:hAnsi="宋体" w:eastAsia="宋体" w:cs="宋体"/>
                <w:color w:val="auto"/>
                <w:sz w:val="24"/>
                <w:szCs w:val="24"/>
                <w:highlight w:val="none"/>
              </w:rPr>
            </w:pPr>
          </w:p>
        </w:tc>
        <w:tc>
          <w:tcPr>
            <w:tcW w:w="2127" w:type="dxa"/>
            <w:noWrap/>
            <w:vAlign w:val="center"/>
          </w:tcPr>
          <w:p w14:paraId="50F8B573">
            <w:pPr>
              <w:rPr>
                <w:rFonts w:hint="eastAsia" w:ascii="宋体" w:hAnsi="宋体" w:eastAsia="宋体" w:cs="宋体"/>
                <w:color w:val="auto"/>
                <w:sz w:val="24"/>
                <w:szCs w:val="24"/>
                <w:highlight w:val="none"/>
              </w:rPr>
            </w:pPr>
          </w:p>
        </w:tc>
        <w:tc>
          <w:tcPr>
            <w:tcW w:w="1559" w:type="dxa"/>
            <w:noWrap/>
            <w:vAlign w:val="center"/>
          </w:tcPr>
          <w:p w14:paraId="4F50BCA4">
            <w:pPr>
              <w:rPr>
                <w:rFonts w:hint="eastAsia" w:ascii="宋体" w:hAnsi="宋体" w:eastAsia="宋体" w:cs="宋体"/>
                <w:color w:val="auto"/>
                <w:sz w:val="24"/>
                <w:szCs w:val="24"/>
                <w:highlight w:val="none"/>
              </w:rPr>
            </w:pPr>
          </w:p>
        </w:tc>
        <w:tc>
          <w:tcPr>
            <w:tcW w:w="1275" w:type="dxa"/>
            <w:noWrap/>
            <w:vAlign w:val="center"/>
          </w:tcPr>
          <w:p w14:paraId="6AA527B0">
            <w:pPr>
              <w:rPr>
                <w:rFonts w:hint="eastAsia" w:ascii="宋体" w:hAnsi="宋体" w:eastAsia="宋体" w:cs="宋体"/>
                <w:color w:val="auto"/>
                <w:sz w:val="24"/>
                <w:szCs w:val="24"/>
                <w:highlight w:val="none"/>
              </w:rPr>
            </w:pPr>
          </w:p>
        </w:tc>
        <w:tc>
          <w:tcPr>
            <w:tcW w:w="1134" w:type="dxa"/>
            <w:noWrap/>
            <w:vAlign w:val="center"/>
          </w:tcPr>
          <w:p w14:paraId="3C9AC6FE">
            <w:pPr>
              <w:rPr>
                <w:rFonts w:hint="eastAsia" w:ascii="宋体" w:hAnsi="宋体" w:eastAsia="宋体" w:cs="宋体"/>
                <w:color w:val="auto"/>
                <w:sz w:val="24"/>
                <w:szCs w:val="24"/>
                <w:highlight w:val="none"/>
              </w:rPr>
            </w:pPr>
          </w:p>
        </w:tc>
        <w:tc>
          <w:tcPr>
            <w:tcW w:w="1134" w:type="dxa"/>
            <w:noWrap/>
            <w:vAlign w:val="center"/>
          </w:tcPr>
          <w:p w14:paraId="42A860E7">
            <w:pPr>
              <w:rPr>
                <w:rFonts w:hint="eastAsia" w:ascii="宋体" w:hAnsi="宋体" w:eastAsia="宋体" w:cs="宋体"/>
                <w:color w:val="auto"/>
                <w:sz w:val="24"/>
                <w:szCs w:val="24"/>
                <w:highlight w:val="none"/>
              </w:rPr>
            </w:pPr>
          </w:p>
        </w:tc>
        <w:tc>
          <w:tcPr>
            <w:tcW w:w="993" w:type="dxa"/>
            <w:noWrap/>
            <w:vAlign w:val="center"/>
          </w:tcPr>
          <w:p w14:paraId="5FE80C2D">
            <w:pPr>
              <w:rPr>
                <w:rFonts w:hint="eastAsia" w:ascii="宋体" w:hAnsi="宋体" w:eastAsia="宋体" w:cs="宋体"/>
                <w:color w:val="auto"/>
                <w:sz w:val="24"/>
                <w:szCs w:val="24"/>
                <w:highlight w:val="none"/>
              </w:rPr>
            </w:pPr>
          </w:p>
        </w:tc>
        <w:tc>
          <w:tcPr>
            <w:tcW w:w="1134" w:type="dxa"/>
            <w:noWrap/>
            <w:vAlign w:val="center"/>
          </w:tcPr>
          <w:p w14:paraId="6C3AE825">
            <w:pPr>
              <w:rPr>
                <w:rFonts w:hint="eastAsia" w:ascii="宋体" w:hAnsi="宋体" w:eastAsia="宋体" w:cs="宋体"/>
                <w:color w:val="auto"/>
                <w:sz w:val="24"/>
                <w:szCs w:val="24"/>
                <w:highlight w:val="none"/>
              </w:rPr>
            </w:pPr>
          </w:p>
        </w:tc>
      </w:tr>
      <w:tr w14:paraId="2464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0F7F9ACE">
            <w:pPr>
              <w:jc w:val="center"/>
              <w:rPr>
                <w:rFonts w:hint="eastAsia" w:ascii="宋体" w:hAnsi="宋体" w:eastAsia="宋体" w:cs="宋体"/>
                <w:color w:val="auto"/>
                <w:sz w:val="24"/>
                <w:szCs w:val="24"/>
                <w:highlight w:val="none"/>
              </w:rPr>
            </w:pPr>
          </w:p>
        </w:tc>
        <w:tc>
          <w:tcPr>
            <w:tcW w:w="2127" w:type="dxa"/>
            <w:noWrap/>
            <w:vAlign w:val="center"/>
          </w:tcPr>
          <w:p w14:paraId="02971573">
            <w:pPr>
              <w:rPr>
                <w:rFonts w:hint="eastAsia" w:ascii="宋体" w:hAnsi="宋体" w:eastAsia="宋体" w:cs="宋体"/>
                <w:color w:val="auto"/>
                <w:sz w:val="24"/>
                <w:szCs w:val="24"/>
                <w:highlight w:val="none"/>
              </w:rPr>
            </w:pPr>
          </w:p>
        </w:tc>
        <w:tc>
          <w:tcPr>
            <w:tcW w:w="1559" w:type="dxa"/>
            <w:noWrap/>
            <w:vAlign w:val="center"/>
          </w:tcPr>
          <w:p w14:paraId="24EC15EF">
            <w:pPr>
              <w:rPr>
                <w:rFonts w:hint="eastAsia" w:ascii="宋体" w:hAnsi="宋体" w:eastAsia="宋体" w:cs="宋体"/>
                <w:color w:val="auto"/>
                <w:sz w:val="24"/>
                <w:szCs w:val="24"/>
                <w:highlight w:val="none"/>
              </w:rPr>
            </w:pPr>
          </w:p>
        </w:tc>
        <w:tc>
          <w:tcPr>
            <w:tcW w:w="1275" w:type="dxa"/>
            <w:noWrap/>
            <w:vAlign w:val="center"/>
          </w:tcPr>
          <w:p w14:paraId="6EA12B60">
            <w:pPr>
              <w:rPr>
                <w:rFonts w:hint="eastAsia" w:ascii="宋体" w:hAnsi="宋体" w:eastAsia="宋体" w:cs="宋体"/>
                <w:color w:val="auto"/>
                <w:sz w:val="24"/>
                <w:szCs w:val="24"/>
                <w:highlight w:val="none"/>
              </w:rPr>
            </w:pPr>
          </w:p>
        </w:tc>
        <w:tc>
          <w:tcPr>
            <w:tcW w:w="1134" w:type="dxa"/>
            <w:noWrap/>
            <w:vAlign w:val="center"/>
          </w:tcPr>
          <w:p w14:paraId="6095651E">
            <w:pPr>
              <w:rPr>
                <w:rFonts w:hint="eastAsia" w:ascii="宋体" w:hAnsi="宋体" w:eastAsia="宋体" w:cs="宋体"/>
                <w:color w:val="auto"/>
                <w:sz w:val="24"/>
                <w:szCs w:val="24"/>
                <w:highlight w:val="none"/>
              </w:rPr>
            </w:pPr>
          </w:p>
        </w:tc>
        <w:tc>
          <w:tcPr>
            <w:tcW w:w="1134" w:type="dxa"/>
            <w:noWrap/>
            <w:vAlign w:val="center"/>
          </w:tcPr>
          <w:p w14:paraId="54D1B252">
            <w:pPr>
              <w:rPr>
                <w:rFonts w:hint="eastAsia" w:ascii="宋体" w:hAnsi="宋体" w:eastAsia="宋体" w:cs="宋体"/>
                <w:color w:val="auto"/>
                <w:sz w:val="24"/>
                <w:szCs w:val="24"/>
                <w:highlight w:val="none"/>
              </w:rPr>
            </w:pPr>
          </w:p>
        </w:tc>
        <w:tc>
          <w:tcPr>
            <w:tcW w:w="993" w:type="dxa"/>
            <w:noWrap/>
            <w:vAlign w:val="center"/>
          </w:tcPr>
          <w:p w14:paraId="7F8F2214">
            <w:pPr>
              <w:rPr>
                <w:rFonts w:hint="eastAsia" w:ascii="宋体" w:hAnsi="宋体" w:eastAsia="宋体" w:cs="宋体"/>
                <w:color w:val="auto"/>
                <w:sz w:val="24"/>
                <w:szCs w:val="24"/>
                <w:highlight w:val="none"/>
              </w:rPr>
            </w:pPr>
          </w:p>
        </w:tc>
        <w:tc>
          <w:tcPr>
            <w:tcW w:w="1134" w:type="dxa"/>
            <w:noWrap/>
            <w:vAlign w:val="center"/>
          </w:tcPr>
          <w:p w14:paraId="3424D37F">
            <w:pPr>
              <w:rPr>
                <w:rFonts w:hint="eastAsia" w:ascii="宋体" w:hAnsi="宋体" w:eastAsia="宋体" w:cs="宋体"/>
                <w:color w:val="auto"/>
                <w:sz w:val="24"/>
                <w:szCs w:val="24"/>
                <w:highlight w:val="none"/>
              </w:rPr>
            </w:pPr>
          </w:p>
        </w:tc>
      </w:tr>
      <w:tr w14:paraId="50D0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2C0DFFEA">
            <w:pPr>
              <w:jc w:val="center"/>
              <w:rPr>
                <w:rFonts w:hint="eastAsia" w:ascii="宋体" w:hAnsi="宋体" w:eastAsia="宋体" w:cs="宋体"/>
                <w:color w:val="auto"/>
                <w:sz w:val="24"/>
                <w:szCs w:val="24"/>
                <w:highlight w:val="none"/>
              </w:rPr>
            </w:pPr>
          </w:p>
        </w:tc>
        <w:tc>
          <w:tcPr>
            <w:tcW w:w="2127" w:type="dxa"/>
            <w:noWrap/>
            <w:vAlign w:val="center"/>
          </w:tcPr>
          <w:p w14:paraId="061AB938">
            <w:pPr>
              <w:rPr>
                <w:rFonts w:hint="eastAsia" w:ascii="宋体" w:hAnsi="宋体" w:eastAsia="宋体" w:cs="宋体"/>
                <w:color w:val="auto"/>
                <w:sz w:val="24"/>
                <w:szCs w:val="24"/>
                <w:highlight w:val="none"/>
              </w:rPr>
            </w:pPr>
          </w:p>
        </w:tc>
        <w:tc>
          <w:tcPr>
            <w:tcW w:w="1559" w:type="dxa"/>
            <w:noWrap/>
            <w:vAlign w:val="center"/>
          </w:tcPr>
          <w:p w14:paraId="02B33848">
            <w:pPr>
              <w:rPr>
                <w:rFonts w:hint="eastAsia" w:ascii="宋体" w:hAnsi="宋体" w:eastAsia="宋体" w:cs="宋体"/>
                <w:color w:val="auto"/>
                <w:sz w:val="24"/>
                <w:szCs w:val="24"/>
                <w:highlight w:val="none"/>
              </w:rPr>
            </w:pPr>
          </w:p>
        </w:tc>
        <w:tc>
          <w:tcPr>
            <w:tcW w:w="1275" w:type="dxa"/>
            <w:noWrap/>
            <w:vAlign w:val="center"/>
          </w:tcPr>
          <w:p w14:paraId="5C42CDC0">
            <w:pPr>
              <w:rPr>
                <w:rFonts w:hint="eastAsia" w:ascii="宋体" w:hAnsi="宋体" w:eastAsia="宋体" w:cs="宋体"/>
                <w:color w:val="auto"/>
                <w:sz w:val="24"/>
                <w:szCs w:val="24"/>
                <w:highlight w:val="none"/>
              </w:rPr>
            </w:pPr>
          </w:p>
        </w:tc>
        <w:tc>
          <w:tcPr>
            <w:tcW w:w="1134" w:type="dxa"/>
            <w:noWrap/>
            <w:vAlign w:val="center"/>
          </w:tcPr>
          <w:p w14:paraId="1298BCEA">
            <w:pPr>
              <w:rPr>
                <w:rFonts w:hint="eastAsia" w:ascii="宋体" w:hAnsi="宋体" w:eastAsia="宋体" w:cs="宋体"/>
                <w:color w:val="auto"/>
                <w:sz w:val="24"/>
                <w:szCs w:val="24"/>
                <w:highlight w:val="none"/>
              </w:rPr>
            </w:pPr>
          </w:p>
        </w:tc>
        <w:tc>
          <w:tcPr>
            <w:tcW w:w="1134" w:type="dxa"/>
            <w:noWrap/>
            <w:vAlign w:val="center"/>
          </w:tcPr>
          <w:p w14:paraId="3B22B9F3">
            <w:pPr>
              <w:rPr>
                <w:rFonts w:hint="eastAsia" w:ascii="宋体" w:hAnsi="宋体" w:eastAsia="宋体" w:cs="宋体"/>
                <w:color w:val="auto"/>
                <w:sz w:val="24"/>
                <w:szCs w:val="24"/>
                <w:highlight w:val="none"/>
              </w:rPr>
            </w:pPr>
          </w:p>
        </w:tc>
        <w:tc>
          <w:tcPr>
            <w:tcW w:w="993" w:type="dxa"/>
            <w:noWrap/>
            <w:vAlign w:val="center"/>
          </w:tcPr>
          <w:p w14:paraId="53C4391B">
            <w:pPr>
              <w:rPr>
                <w:rFonts w:hint="eastAsia" w:ascii="宋体" w:hAnsi="宋体" w:eastAsia="宋体" w:cs="宋体"/>
                <w:color w:val="auto"/>
                <w:sz w:val="24"/>
                <w:szCs w:val="24"/>
                <w:highlight w:val="none"/>
              </w:rPr>
            </w:pPr>
          </w:p>
        </w:tc>
        <w:tc>
          <w:tcPr>
            <w:tcW w:w="1134" w:type="dxa"/>
            <w:noWrap/>
            <w:vAlign w:val="center"/>
          </w:tcPr>
          <w:p w14:paraId="2884D9B7">
            <w:pPr>
              <w:rPr>
                <w:rFonts w:hint="eastAsia" w:ascii="宋体" w:hAnsi="宋体" w:eastAsia="宋体" w:cs="宋体"/>
                <w:color w:val="auto"/>
                <w:sz w:val="24"/>
                <w:szCs w:val="24"/>
                <w:highlight w:val="none"/>
              </w:rPr>
            </w:pPr>
          </w:p>
        </w:tc>
      </w:tr>
      <w:tr w14:paraId="432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noWrap/>
            <w:vAlign w:val="center"/>
          </w:tcPr>
          <w:p w14:paraId="1B182E62">
            <w:pPr>
              <w:jc w:val="center"/>
              <w:rPr>
                <w:rFonts w:hint="eastAsia" w:ascii="宋体" w:hAnsi="宋体" w:eastAsia="宋体" w:cs="宋体"/>
                <w:color w:val="auto"/>
                <w:sz w:val="24"/>
                <w:szCs w:val="24"/>
                <w:highlight w:val="none"/>
              </w:rPr>
            </w:pPr>
          </w:p>
        </w:tc>
        <w:tc>
          <w:tcPr>
            <w:tcW w:w="2127" w:type="dxa"/>
            <w:noWrap/>
            <w:vAlign w:val="center"/>
          </w:tcPr>
          <w:p w14:paraId="6878CC79">
            <w:pPr>
              <w:rPr>
                <w:rFonts w:hint="eastAsia" w:ascii="宋体" w:hAnsi="宋体" w:eastAsia="宋体" w:cs="宋体"/>
                <w:color w:val="auto"/>
                <w:sz w:val="24"/>
                <w:szCs w:val="24"/>
                <w:highlight w:val="none"/>
              </w:rPr>
            </w:pPr>
          </w:p>
        </w:tc>
        <w:tc>
          <w:tcPr>
            <w:tcW w:w="1559" w:type="dxa"/>
            <w:noWrap/>
            <w:vAlign w:val="center"/>
          </w:tcPr>
          <w:p w14:paraId="6FE783F5">
            <w:pPr>
              <w:rPr>
                <w:rFonts w:hint="eastAsia" w:ascii="宋体" w:hAnsi="宋体" w:eastAsia="宋体" w:cs="宋体"/>
                <w:color w:val="auto"/>
                <w:sz w:val="24"/>
                <w:szCs w:val="24"/>
                <w:highlight w:val="none"/>
              </w:rPr>
            </w:pPr>
          </w:p>
        </w:tc>
        <w:tc>
          <w:tcPr>
            <w:tcW w:w="1275" w:type="dxa"/>
            <w:noWrap/>
            <w:vAlign w:val="center"/>
          </w:tcPr>
          <w:p w14:paraId="07D3722E">
            <w:pPr>
              <w:rPr>
                <w:rFonts w:hint="eastAsia" w:ascii="宋体" w:hAnsi="宋体" w:eastAsia="宋体" w:cs="宋体"/>
                <w:color w:val="auto"/>
                <w:sz w:val="24"/>
                <w:szCs w:val="24"/>
                <w:highlight w:val="none"/>
              </w:rPr>
            </w:pPr>
          </w:p>
        </w:tc>
        <w:tc>
          <w:tcPr>
            <w:tcW w:w="1134" w:type="dxa"/>
            <w:noWrap/>
            <w:vAlign w:val="center"/>
          </w:tcPr>
          <w:p w14:paraId="4F6C60ED">
            <w:pPr>
              <w:rPr>
                <w:rFonts w:hint="eastAsia" w:ascii="宋体" w:hAnsi="宋体" w:eastAsia="宋体" w:cs="宋体"/>
                <w:color w:val="auto"/>
                <w:sz w:val="24"/>
                <w:szCs w:val="24"/>
                <w:highlight w:val="none"/>
              </w:rPr>
            </w:pPr>
          </w:p>
        </w:tc>
        <w:tc>
          <w:tcPr>
            <w:tcW w:w="1134" w:type="dxa"/>
            <w:noWrap/>
            <w:vAlign w:val="center"/>
          </w:tcPr>
          <w:p w14:paraId="64DBB225">
            <w:pPr>
              <w:rPr>
                <w:rFonts w:hint="eastAsia" w:ascii="宋体" w:hAnsi="宋体" w:eastAsia="宋体" w:cs="宋体"/>
                <w:color w:val="auto"/>
                <w:sz w:val="24"/>
                <w:szCs w:val="24"/>
                <w:highlight w:val="none"/>
              </w:rPr>
            </w:pPr>
          </w:p>
        </w:tc>
        <w:tc>
          <w:tcPr>
            <w:tcW w:w="993" w:type="dxa"/>
            <w:noWrap/>
            <w:vAlign w:val="center"/>
          </w:tcPr>
          <w:p w14:paraId="435F410C">
            <w:pPr>
              <w:rPr>
                <w:rFonts w:hint="eastAsia" w:ascii="宋体" w:hAnsi="宋体" w:eastAsia="宋体" w:cs="宋体"/>
                <w:color w:val="auto"/>
                <w:sz w:val="24"/>
                <w:szCs w:val="24"/>
                <w:highlight w:val="none"/>
              </w:rPr>
            </w:pPr>
          </w:p>
        </w:tc>
        <w:tc>
          <w:tcPr>
            <w:tcW w:w="1134" w:type="dxa"/>
            <w:noWrap/>
            <w:vAlign w:val="center"/>
          </w:tcPr>
          <w:p w14:paraId="10F580F0">
            <w:pPr>
              <w:rPr>
                <w:rFonts w:hint="eastAsia" w:ascii="宋体" w:hAnsi="宋体" w:eastAsia="宋体" w:cs="宋体"/>
                <w:color w:val="auto"/>
                <w:sz w:val="24"/>
                <w:szCs w:val="24"/>
                <w:highlight w:val="none"/>
              </w:rPr>
            </w:pPr>
          </w:p>
        </w:tc>
      </w:tr>
    </w:tbl>
    <w:p w14:paraId="12F574C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14:paraId="0955A120">
      <w:pPr>
        <w:spacing w:line="360" w:lineRule="auto"/>
        <w:rPr>
          <w:rFonts w:hint="eastAsia" w:ascii="宋体" w:hAnsi="宋体" w:eastAsia="宋体" w:cs="宋体"/>
          <w:b/>
          <w:color w:val="auto"/>
          <w:w w:val="90"/>
          <w:kern w:val="0"/>
          <w:sz w:val="24"/>
          <w:szCs w:val="24"/>
          <w:highlight w:val="none"/>
        </w:rPr>
      </w:pPr>
      <w:r>
        <w:rPr>
          <w:rFonts w:hint="eastAsia" w:ascii="宋体" w:hAnsi="宋体" w:eastAsia="宋体" w:cs="宋体"/>
          <w:b/>
          <w:color w:val="auto"/>
          <w:sz w:val="24"/>
          <w:szCs w:val="24"/>
          <w:highlight w:val="none"/>
        </w:rPr>
        <w:t>（1）后附证明材</w:t>
      </w:r>
      <w:r>
        <w:rPr>
          <w:rFonts w:hint="eastAsia" w:ascii="宋体" w:hAnsi="宋体" w:eastAsia="宋体" w:cs="宋体"/>
          <w:b/>
          <w:color w:val="auto"/>
          <w:kern w:val="0"/>
          <w:sz w:val="24"/>
          <w:szCs w:val="24"/>
          <w:highlight w:val="none"/>
        </w:rPr>
        <w:t>料，证明材料详见评审办法要求。</w:t>
      </w:r>
    </w:p>
    <w:p w14:paraId="46D3712B">
      <w:pPr>
        <w:keepNext w:val="0"/>
        <w:keepLines w:val="0"/>
        <w:pageBreakBefore w:val="0"/>
        <w:widowControl/>
        <w:kinsoku/>
        <w:wordWrap/>
        <w:overflowPunct/>
        <w:topLinePunct w:val="0"/>
        <w:autoSpaceDE/>
        <w:autoSpaceDN/>
        <w:bidi w:val="0"/>
        <w:snapToGrid w:val="0"/>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0"/>
          <w:sz w:val="24"/>
          <w:szCs w:val="24"/>
          <w:highlight w:val="none"/>
        </w:rPr>
        <w:t>（2）没有同类型工程的，此表可以不提供。</w:t>
      </w:r>
    </w:p>
    <w:p w14:paraId="28F1F08D">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004B80AB">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558713B2">
      <w:pPr>
        <w:autoSpaceDE w:val="0"/>
        <w:autoSpaceDN w:val="0"/>
        <w:adjustRightInd w:val="0"/>
        <w:snapToGrid w:val="0"/>
        <w:spacing w:before="25" w:after="25" w:line="360" w:lineRule="auto"/>
        <w:jc w:val="center"/>
        <w:rPr>
          <w:color w:val="auto"/>
          <w:sz w:val="24"/>
          <w:highlight w:val="none"/>
          <w:lang w:val="zh-CN"/>
        </w:rPr>
      </w:pPr>
      <w:r>
        <w:rPr>
          <w:rFonts w:hint="eastAsia"/>
          <w:color w:val="auto"/>
          <w:sz w:val="24"/>
          <w:highlight w:val="none"/>
          <w:lang w:val="en-US" w:eastAsia="zh-CN"/>
        </w:rPr>
        <w:t xml:space="preserve">                              磋商供应商</w:t>
      </w:r>
      <w:r>
        <w:rPr>
          <w:color w:val="auto"/>
          <w:sz w:val="24"/>
          <w:highlight w:val="none"/>
        </w:rPr>
        <w:t>名称（加盖公章）</w:t>
      </w:r>
      <w:r>
        <w:rPr>
          <w:color w:val="auto"/>
          <w:sz w:val="24"/>
          <w:highlight w:val="none"/>
          <w:lang w:val="zh-CN"/>
        </w:rPr>
        <w:t>：____________</w:t>
      </w:r>
    </w:p>
    <w:p w14:paraId="69E69CB7">
      <w:pPr>
        <w:pStyle w:val="2"/>
        <w:rPr>
          <w:rFonts w:hint="eastAsia"/>
          <w:color w:val="auto"/>
          <w:highlight w:val="none"/>
          <w:lang w:val="en-US" w:eastAsia="zh-CN"/>
        </w:rPr>
      </w:pPr>
      <w:r>
        <w:rPr>
          <w:rFonts w:hint="eastAsia"/>
          <w:color w:val="auto"/>
          <w:sz w:val="24"/>
          <w:szCs w:val="20"/>
          <w:highlight w:val="none"/>
          <w:lang w:val="en-US" w:eastAsia="zh-CN"/>
        </w:rPr>
        <w:t xml:space="preserve">                   </w:t>
      </w:r>
      <w:bookmarkStart w:id="113" w:name="_Toc24841"/>
      <w:bookmarkStart w:id="114" w:name="_Toc25294"/>
      <w:bookmarkStart w:id="115" w:name="_Toc18025"/>
      <w:bookmarkStart w:id="116" w:name="_Toc23332"/>
      <w:r>
        <w:rPr>
          <w:b w:val="0"/>
          <w:bCs/>
          <w:color w:val="auto"/>
          <w:sz w:val="24"/>
          <w:szCs w:val="20"/>
          <w:highlight w:val="none"/>
        </w:rPr>
        <w:t>日期：_____年______月______日</w:t>
      </w:r>
      <w:bookmarkEnd w:id="113"/>
      <w:bookmarkEnd w:id="114"/>
      <w:bookmarkEnd w:id="115"/>
      <w:bookmarkEnd w:id="116"/>
      <w:r>
        <w:rPr>
          <w:b w:val="0"/>
          <w:bCs/>
          <w:color w:val="auto"/>
          <w:sz w:val="24"/>
          <w:szCs w:val="20"/>
          <w:highlight w:val="none"/>
        </w:rPr>
        <w:t xml:space="preserve"> </w:t>
      </w:r>
    </w:p>
    <w:p w14:paraId="47B6664F">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5341B25E">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sectPr>
          <w:pgSz w:w="11906" w:h="16838"/>
          <w:pgMar w:top="1701" w:right="1588" w:bottom="1588" w:left="1588" w:header="851" w:footer="1134" w:gutter="0"/>
          <w:pgNumType w:fmt="decimal"/>
          <w:cols w:space="720" w:num="1"/>
          <w:docGrid w:linePitch="312" w:charSpace="0"/>
        </w:sectPr>
      </w:pPr>
    </w:p>
    <w:p w14:paraId="5C38CD36">
      <w:pPr>
        <w:keepNext w:val="0"/>
        <w:keepLines w:val="0"/>
        <w:pageBreakBefore w:val="0"/>
        <w:widowControl/>
        <w:kinsoku/>
        <w:wordWrap/>
        <w:overflowPunct/>
        <w:topLinePunct w:val="0"/>
        <w:autoSpaceDE/>
        <w:autoSpaceDN/>
        <w:bidi w:val="0"/>
        <w:adjustRightInd/>
        <w:snapToGrid w:val="0"/>
        <w:spacing w:after="313" w:afterLines="100" w:line="460" w:lineRule="exact"/>
        <w:jc w:val="center"/>
        <w:textAlignment w:val="auto"/>
        <w:outlineLvl w:val="0"/>
        <w:rPr>
          <w:rFonts w:hint="eastAsia" w:ascii="宋体" w:hAnsi="宋体" w:eastAsia="宋体" w:cs="宋体"/>
          <w:b/>
          <w:bCs/>
          <w:color w:val="auto"/>
          <w:sz w:val="24"/>
          <w:szCs w:val="24"/>
          <w:highlight w:val="none"/>
          <w:lang w:val="en-US" w:eastAsia="zh-CN"/>
        </w:rPr>
      </w:pPr>
      <w:bookmarkStart w:id="117" w:name="_Toc1994"/>
      <w:bookmarkStart w:id="118" w:name="_Toc1946"/>
      <w:bookmarkStart w:id="119" w:name="_Toc25020"/>
      <w:bookmarkStart w:id="120" w:name="_Toc7358"/>
      <w:r>
        <w:rPr>
          <w:rFonts w:hint="eastAsia" w:ascii="宋体" w:hAnsi="宋体" w:eastAsia="宋体" w:cs="宋体"/>
          <w:b/>
          <w:bCs/>
          <w:color w:val="auto"/>
          <w:sz w:val="24"/>
          <w:szCs w:val="24"/>
          <w:highlight w:val="none"/>
          <w:lang w:val="en-US" w:eastAsia="zh-CN"/>
        </w:rPr>
        <w:t>拟派项目经理同类型工程表及证明材料</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格式</w:t>
      </w:r>
      <w:r>
        <w:rPr>
          <w:rFonts w:hint="eastAsia" w:ascii="宋体" w:hAnsi="宋体" w:eastAsia="宋体" w:cs="宋体"/>
          <w:b/>
          <w:bCs/>
          <w:color w:val="auto"/>
          <w:kern w:val="0"/>
          <w:sz w:val="24"/>
          <w:szCs w:val="24"/>
          <w:highlight w:val="none"/>
        </w:rPr>
        <w:t>）</w:t>
      </w:r>
      <w:bookmarkEnd w:id="117"/>
      <w:bookmarkEnd w:id="118"/>
      <w:bookmarkEnd w:id="119"/>
      <w:bookmarkEnd w:id="120"/>
    </w:p>
    <w:tbl>
      <w:tblPr>
        <w:tblStyle w:val="30"/>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14:paraId="3534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noWrap/>
            <w:vAlign w:val="center"/>
          </w:tcPr>
          <w:p w14:paraId="0AF6C338">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127" w:type="dxa"/>
            <w:noWrap/>
            <w:vAlign w:val="center"/>
          </w:tcPr>
          <w:p w14:paraId="2FF18B93">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业主</w:t>
            </w:r>
            <w:r>
              <w:rPr>
                <w:rFonts w:hint="eastAsia" w:ascii="宋体" w:hAnsi="宋体" w:eastAsia="宋体" w:cs="宋体"/>
                <w:b/>
                <w:color w:val="auto"/>
                <w:kern w:val="0"/>
                <w:sz w:val="24"/>
                <w:szCs w:val="24"/>
                <w:highlight w:val="none"/>
              </w:rPr>
              <w:t>单位</w:t>
            </w:r>
          </w:p>
        </w:tc>
        <w:tc>
          <w:tcPr>
            <w:tcW w:w="1559" w:type="dxa"/>
            <w:noWrap/>
            <w:vAlign w:val="center"/>
          </w:tcPr>
          <w:p w14:paraId="59595F17">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项目名称</w:t>
            </w:r>
          </w:p>
        </w:tc>
        <w:tc>
          <w:tcPr>
            <w:tcW w:w="1275" w:type="dxa"/>
            <w:noWrap/>
            <w:vAlign w:val="center"/>
          </w:tcPr>
          <w:p w14:paraId="213AB9D9">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合同金额</w:t>
            </w:r>
          </w:p>
        </w:tc>
        <w:tc>
          <w:tcPr>
            <w:tcW w:w="1134" w:type="dxa"/>
            <w:noWrap/>
            <w:vAlign w:val="center"/>
          </w:tcPr>
          <w:p w14:paraId="297722AB">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合同主要内容</w:t>
            </w:r>
          </w:p>
        </w:tc>
        <w:tc>
          <w:tcPr>
            <w:tcW w:w="1134" w:type="dxa"/>
            <w:noWrap/>
            <w:vAlign w:val="center"/>
          </w:tcPr>
          <w:p w14:paraId="516F7C65">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合同签订时间</w:t>
            </w:r>
          </w:p>
        </w:tc>
        <w:tc>
          <w:tcPr>
            <w:tcW w:w="993" w:type="dxa"/>
            <w:noWrap/>
            <w:vAlign w:val="center"/>
          </w:tcPr>
          <w:p w14:paraId="3D748001">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甲方联系人</w:t>
            </w:r>
          </w:p>
        </w:tc>
        <w:tc>
          <w:tcPr>
            <w:tcW w:w="1134" w:type="dxa"/>
            <w:noWrap/>
            <w:vAlign w:val="center"/>
          </w:tcPr>
          <w:p w14:paraId="6DF62ABE">
            <w:pPr>
              <w:spacing w:line="40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甲方联系电话</w:t>
            </w:r>
          </w:p>
        </w:tc>
      </w:tr>
      <w:tr w14:paraId="2471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ign w:val="center"/>
          </w:tcPr>
          <w:p w14:paraId="585B4432">
            <w:pPr>
              <w:jc w:val="center"/>
              <w:rPr>
                <w:rFonts w:hint="eastAsia" w:ascii="宋体" w:hAnsi="宋体" w:eastAsia="宋体" w:cs="宋体"/>
                <w:color w:val="auto"/>
                <w:sz w:val="24"/>
                <w:szCs w:val="24"/>
                <w:highlight w:val="none"/>
              </w:rPr>
            </w:pPr>
          </w:p>
        </w:tc>
        <w:tc>
          <w:tcPr>
            <w:tcW w:w="2127" w:type="dxa"/>
            <w:noWrap/>
            <w:vAlign w:val="center"/>
          </w:tcPr>
          <w:p w14:paraId="18ABEAC0">
            <w:pPr>
              <w:rPr>
                <w:rFonts w:hint="eastAsia" w:ascii="宋体" w:hAnsi="宋体" w:eastAsia="宋体" w:cs="宋体"/>
                <w:color w:val="auto"/>
                <w:sz w:val="24"/>
                <w:szCs w:val="24"/>
                <w:highlight w:val="none"/>
              </w:rPr>
            </w:pPr>
          </w:p>
        </w:tc>
        <w:tc>
          <w:tcPr>
            <w:tcW w:w="1559" w:type="dxa"/>
            <w:noWrap/>
            <w:vAlign w:val="center"/>
          </w:tcPr>
          <w:p w14:paraId="57295228">
            <w:pPr>
              <w:rPr>
                <w:rFonts w:hint="eastAsia" w:ascii="宋体" w:hAnsi="宋体" w:eastAsia="宋体" w:cs="宋体"/>
                <w:color w:val="auto"/>
                <w:sz w:val="24"/>
                <w:szCs w:val="24"/>
                <w:highlight w:val="none"/>
              </w:rPr>
            </w:pPr>
          </w:p>
        </w:tc>
        <w:tc>
          <w:tcPr>
            <w:tcW w:w="1275" w:type="dxa"/>
            <w:noWrap/>
            <w:vAlign w:val="center"/>
          </w:tcPr>
          <w:p w14:paraId="21B06994">
            <w:pPr>
              <w:rPr>
                <w:rFonts w:hint="eastAsia" w:ascii="宋体" w:hAnsi="宋体" w:eastAsia="宋体" w:cs="宋体"/>
                <w:color w:val="auto"/>
                <w:sz w:val="24"/>
                <w:szCs w:val="24"/>
                <w:highlight w:val="none"/>
              </w:rPr>
            </w:pPr>
          </w:p>
        </w:tc>
        <w:tc>
          <w:tcPr>
            <w:tcW w:w="1134" w:type="dxa"/>
            <w:noWrap/>
            <w:vAlign w:val="center"/>
          </w:tcPr>
          <w:p w14:paraId="7A3D92AB">
            <w:pPr>
              <w:rPr>
                <w:rFonts w:hint="eastAsia" w:ascii="宋体" w:hAnsi="宋体" w:eastAsia="宋体" w:cs="宋体"/>
                <w:color w:val="auto"/>
                <w:sz w:val="24"/>
                <w:szCs w:val="24"/>
                <w:highlight w:val="none"/>
              </w:rPr>
            </w:pPr>
          </w:p>
        </w:tc>
        <w:tc>
          <w:tcPr>
            <w:tcW w:w="1134" w:type="dxa"/>
            <w:noWrap/>
            <w:vAlign w:val="center"/>
          </w:tcPr>
          <w:p w14:paraId="0A2F68C7">
            <w:pPr>
              <w:rPr>
                <w:rFonts w:hint="eastAsia" w:ascii="宋体" w:hAnsi="宋体" w:eastAsia="宋体" w:cs="宋体"/>
                <w:color w:val="auto"/>
                <w:sz w:val="24"/>
                <w:szCs w:val="24"/>
                <w:highlight w:val="none"/>
              </w:rPr>
            </w:pPr>
          </w:p>
        </w:tc>
        <w:tc>
          <w:tcPr>
            <w:tcW w:w="993" w:type="dxa"/>
            <w:noWrap/>
            <w:vAlign w:val="center"/>
          </w:tcPr>
          <w:p w14:paraId="3221BFD6">
            <w:pPr>
              <w:rPr>
                <w:rFonts w:hint="eastAsia" w:ascii="宋体" w:hAnsi="宋体" w:eastAsia="宋体" w:cs="宋体"/>
                <w:color w:val="auto"/>
                <w:sz w:val="24"/>
                <w:szCs w:val="24"/>
                <w:highlight w:val="none"/>
              </w:rPr>
            </w:pPr>
          </w:p>
        </w:tc>
        <w:tc>
          <w:tcPr>
            <w:tcW w:w="1134" w:type="dxa"/>
            <w:noWrap/>
            <w:vAlign w:val="center"/>
          </w:tcPr>
          <w:p w14:paraId="1A19FE98">
            <w:pPr>
              <w:rPr>
                <w:rFonts w:hint="eastAsia" w:ascii="宋体" w:hAnsi="宋体" w:eastAsia="宋体" w:cs="宋体"/>
                <w:color w:val="auto"/>
                <w:sz w:val="24"/>
                <w:szCs w:val="24"/>
                <w:highlight w:val="none"/>
              </w:rPr>
            </w:pPr>
          </w:p>
        </w:tc>
      </w:tr>
      <w:tr w14:paraId="5AFE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1614F850">
            <w:pPr>
              <w:jc w:val="center"/>
              <w:rPr>
                <w:rFonts w:hint="eastAsia" w:ascii="宋体" w:hAnsi="宋体" w:eastAsia="宋体" w:cs="宋体"/>
                <w:color w:val="auto"/>
                <w:sz w:val="24"/>
                <w:szCs w:val="24"/>
                <w:highlight w:val="none"/>
              </w:rPr>
            </w:pPr>
          </w:p>
        </w:tc>
        <w:tc>
          <w:tcPr>
            <w:tcW w:w="2127" w:type="dxa"/>
            <w:noWrap/>
            <w:vAlign w:val="center"/>
          </w:tcPr>
          <w:p w14:paraId="36729273">
            <w:pPr>
              <w:rPr>
                <w:rFonts w:hint="eastAsia" w:ascii="宋体" w:hAnsi="宋体" w:eastAsia="宋体" w:cs="宋体"/>
                <w:color w:val="auto"/>
                <w:sz w:val="24"/>
                <w:szCs w:val="24"/>
                <w:highlight w:val="none"/>
              </w:rPr>
            </w:pPr>
          </w:p>
        </w:tc>
        <w:tc>
          <w:tcPr>
            <w:tcW w:w="1559" w:type="dxa"/>
            <w:noWrap/>
            <w:vAlign w:val="center"/>
          </w:tcPr>
          <w:p w14:paraId="7A6838EA">
            <w:pPr>
              <w:rPr>
                <w:rFonts w:hint="eastAsia" w:ascii="宋体" w:hAnsi="宋体" w:eastAsia="宋体" w:cs="宋体"/>
                <w:color w:val="auto"/>
                <w:sz w:val="24"/>
                <w:szCs w:val="24"/>
                <w:highlight w:val="none"/>
              </w:rPr>
            </w:pPr>
          </w:p>
        </w:tc>
        <w:tc>
          <w:tcPr>
            <w:tcW w:w="1275" w:type="dxa"/>
            <w:noWrap/>
            <w:vAlign w:val="center"/>
          </w:tcPr>
          <w:p w14:paraId="431B5B0A">
            <w:pPr>
              <w:rPr>
                <w:rFonts w:hint="eastAsia" w:ascii="宋体" w:hAnsi="宋体" w:eastAsia="宋体" w:cs="宋体"/>
                <w:color w:val="auto"/>
                <w:sz w:val="24"/>
                <w:szCs w:val="24"/>
                <w:highlight w:val="none"/>
              </w:rPr>
            </w:pPr>
          </w:p>
        </w:tc>
        <w:tc>
          <w:tcPr>
            <w:tcW w:w="1134" w:type="dxa"/>
            <w:noWrap/>
            <w:vAlign w:val="center"/>
          </w:tcPr>
          <w:p w14:paraId="3090A507">
            <w:pPr>
              <w:rPr>
                <w:rFonts w:hint="eastAsia" w:ascii="宋体" w:hAnsi="宋体" w:eastAsia="宋体" w:cs="宋体"/>
                <w:color w:val="auto"/>
                <w:sz w:val="24"/>
                <w:szCs w:val="24"/>
                <w:highlight w:val="none"/>
              </w:rPr>
            </w:pPr>
          </w:p>
        </w:tc>
        <w:tc>
          <w:tcPr>
            <w:tcW w:w="1134" w:type="dxa"/>
            <w:noWrap/>
            <w:vAlign w:val="center"/>
          </w:tcPr>
          <w:p w14:paraId="26582F6A">
            <w:pPr>
              <w:rPr>
                <w:rFonts w:hint="eastAsia" w:ascii="宋体" w:hAnsi="宋体" w:eastAsia="宋体" w:cs="宋体"/>
                <w:color w:val="auto"/>
                <w:sz w:val="24"/>
                <w:szCs w:val="24"/>
                <w:highlight w:val="none"/>
              </w:rPr>
            </w:pPr>
          </w:p>
        </w:tc>
        <w:tc>
          <w:tcPr>
            <w:tcW w:w="993" w:type="dxa"/>
            <w:noWrap/>
            <w:vAlign w:val="center"/>
          </w:tcPr>
          <w:p w14:paraId="7F31AC05">
            <w:pPr>
              <w:rPr>
                <w:rFonts w:hint="eastAsia" w:ascii="宋体" w:hAnsi="宋体" w:eastAsia="宋体" w:cs="宋体"/>
                <w:color w:val="auto"/>
                <w:sz w:val="24"/>
                <w:szCs w:val="24"/>
                <w:highlight w:val="none"/>
              </w:rPr>
            </w:pPr>
          </w:p>
        </w:tc>
        <w:tc>
          <w:tcPr>
            <w:tcW w:w="1134" w:type="dxa"/>
            <w:noWrap/>
            <w:vAlign w:val="center"/>
          </w:tcPr>
          <w:p w14:paraId="379245B4">
            <w:pPr>
              <w:rPr>
                <w:rFonts w:hint="eastAsia" w:ascii="宋体" w:hAnsi="宋体" w:eastAsia="宋体" w:cs="宋体"/>
                <w:color w:val="auto"/>
                <w:sz w:val="24"/>
                <w:szCs w:val="24"/>
                <w:highlight w:val="none"/>
              </w:rPr>
            </w:pPr>
          </w:p>
        </w:tc>
      </w:tr>
      <w:tr w14:paraId="438E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1F3C86E4">
            <w:pPr>
              <w:jc w:val="center"/>
              <w:rPr>
                <w:rFonts w:hint="eastAsia" w:ascii="宋体" w:hAnsi="宋体" w:eastAsia="宋体" w:cs="宋体"/>
                <w:color w:val="auto"/>
                <w:sz w:val="24"/>
                <w:szCs w:val="24"/>
                <w:highlight w:val="none"/>
              </w:rPr>
            </w:pPr>
          </w:p>
        </w:tc>
        <w:tc>
          <w:tcPr>
            <w:tcW w:w="2127" w:type="dxa"/>
            <w:noWrap/>
            <w:vAlign w:val="center"/>
          </w:tcPr>
          <w:p w14:paraId="6B935492">
            <w:pPr>
              <w:rPr>
                <w:rFonts w:hint="eastAsia" w:ascii="宋体" w:hAnsi="宋体" w:eastAsia="宋体" w:cs="宋体"/>
                <w:color w:val="auto"/>
                <w:sz w:val="24"/>
                <w:szCs w:val="24"/>
                <w:highlight w:val="none"/>
              </w:rPr>
            </w:pPr>
          </w:p>
        </w:tc>
        <w:tc>
          <w:tcPr>
            <w:tcW w:w="1559" w:type="dxa"/>
            <w:noWrap/>
            <w:vAlign w:val="center"/>
          </w:tcPr>
          <w:p w14:paraId="34A8AF4B">
            <w:pPr>
              <w:rPr>
                <w:rFonts w:hint="eastAsia" w:ascii="宋体" w:hAnsi="宋体" w:eastAsia="宋体" w:cs="宋体"/>
                <w:color w:val="auto"/>
                <w:sz w:val="24"/>
                <w:szCs w:val="24"/>
                <w:highlight w:val="none"/>
              </w:rPr>
            </w:pPr>
          </w:p>
        </w:tc>
        <w:tc>
          <w:tcPr>
            <w:tcW w:w="1275" w:type="dxa"/>
            <w:noWrap/>
            <w:vAlign w:val="center"/>
          </w:tcPr>
          <w:p w14:paraId="7D2CBD14">
            <w:pPr>
              <w:rPr>
                <w:rFonts w:hint="eastAsia" w:ascii="宋体" w:hAnsi="宋体" w:eastAsia="宋体" w:cs="宋体"/>
                <w:color w:val="auto"/>
                <w:sz w:val="24"/>
                <w:szCs w:val="24"/>
                <w:highlight w:val="none"/>
              </w:rPr>
            </w:pPr>
          </w:p>
        </w:tc>
        <w:tc>
          <w:tcPr>
            <w:tcW w:w="1134" w:type="dxa"/>
            <w:noWrap/>
            <w:vAlign w:val="center"/>
          </w:tcPr>
          <w:p w14:paraId="7B54092E">
            <w:pPr>
              <w:rPr>
                <w:rFonts w:hint="eastAsia" w:ascii="宋体" w:hAnsi="宋体" w:eastAsia="宋体" w:cs="宋体"/>
                <w:color w:val="auto"/>
                <w:sz w:val="24"/>
                <w:szCs w:val="24"/>
                <w:highlight w:val="none"/>
              </w:rPr>
            </w:pPr>
          </w:p>
        </w:tc>
        <w:tc>
          <w:tcPr>
            <w:tcW w:w="1134" w:type="dxa"/>
            <w:noWrap/>
            <w:vAlign w:val="center"/>
          </w:tcPr>
          <w:p w14:paraId="4354183B">
            <w:pPr>
              <w:rPr>
                <w:rFonts w:hint="eastAsia" w:ascii="宋体" w:hAnsi="宋体" w:eastAsia="宋体" w:cs="宋体"/>
                <w:color w:val="auto"/>
                <w:sz w:val="24"/>
                <w:szCs w:val="24"/>
                <w:highlight w:val="none"/>
              </w:rPr>
            </w:pPr>
          </w:p>
        </w:tc>
        <w:tc>
          <w:tcPr>
            <w:tcW w:w="993" w:type="dxa"/>
            <w:noWrap/>
            <w:vAlign w:val="center"/>
          </w:tcPr>
          <w:p w14:paraId="66BDC8CE">
            <w:pPr>
              <w:rPr>
                <w:rFonts w:hint="eastAsia" w:ascii="宋体" w:hAnsi="宋体" w:eastAsia="宋体" w:cs="宋体"/>
                <w:color w:val="auto"/>
                <w:sz w:val="24"/>
                <w:szCs w:val="24"/>
                <w:highlight w:val="none"/>
              </w:rPr>
            </w:pPr>
          </w:p>
        </w:tc>
        <w:tc>
          <w:tcPr>
            <w:tcW w:w="1134" w:type="dxa"/>
            <w:noWrap/>
            <w:vAlign w:val="center"/>
          </w:tcPr>
          <w:p w14:paraId="52F793C6">
            <w:pPr>
              <w:rPr>
                <w:rFonts w:hint="eastAsia" w:ascii="宋体" w:hAnsi="宋体" w:eastAsia="宋体" w:cs="宋体"/>
                <w:color w:val="auto"/>
                <w:sz w:val="24"/>
                <w:szCs w:val="24"/>
                <w:highlight w:val="none"/>
              </w:rPr>
            </w:pPr>
          </w:p>
        </w:tc>
      </w:tr>
      <w:tr w14:paraId="496D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61972C3D">
            <w:pPr>
              <w:jc w:val="center"/>
              <w:rPr>
                <w:rFonts w:hint="eastAsia" w:ascii="宋体" w:hAnsi="宋体" w:eastAsia="宋体" w:cs="宋体"/>
                <w:color w:val="auto"/>
                <w:sz w:val="24"/>
                <w:szCs w:val="24"/>
                <w:highlight w:val="none"/>
              </w:rPr>
            </w:pPr>
          </w:p>
        </w:tc>
        <w:tc>
          <w:tcPr>
            <w:tcW w:w="2127" w:type="dxa"/>
            <w:noWrap/>
            <w:vAlign w:val="center"/>
          </w:tcPr>
          <w:p w14:paraId="49F9D83F">
            <w:pPr>
              <w:rPr>
                <w:rFonts w:hint="eastAsia" w:ascii="宋体" w:hAnsi="宋体" w:eastAsia="宋体" w:cs="宋体"/>
                <w:color w:val="auto"/>
                <w:sz w:val="24"/>
                <w:szCs w:val="24"/>
                <w:highlight w:val="none"/>
              </w:rPr>
            </w:pPr>
          </w:p>
        </w:tc>
        <w:tc>
          <w:tcPr>
            <w:tcW w:w="1559" w:type="dxa"/>
            <w:noWrap/>
            <w:vAlign w:val="center"/>
          </w:tcPr>
          <w:p w14:paraId="190F3DAE">
            <w:pPr>
              <w:rPr>
                <w:rFonts w:hint="eastAsia" w:ascii="宋体" w:hAnsi="宋体" w:eastAsia="宋体" w:cs="宋体"/>
                <w:color w:val="auto"/>
                <w:sz w:val="24"/>
                <w:szCs w:val="24"/>
                <w:highlight w:val="none"/>
              </w:rPr>
            </w:pPr>
          </w:p>
        </w:tc>
        <w:tc>
          <w:tcPr>
            <w:tcW w:w="1275" w:type="dxa"/>
            <w:noWrap/>
            <w:vAlign w:val="center"/>
          </w:tcPr>
          <w:p w14:paraId="7E1B5322">
            <w:pPr>
              <w:rPr>
                <w:rFonts w:hint="eastAsia" w:ascii="宋体" w:hAnsi="宋体" w:eastAsia="宋体" w:cs="宋体"/>
                <w:color w:val="auto"/>
                <w:sz w:val="24"/>
                <w:szCs w:val="24"/>
                <w:highlight w:val="none"/>
              </w:rPr>
            </w:pPr>
          </w:p>
        </w:tc>
        <w:tc>
          <w:tcPr>
            <w:tcW w:w="1134" w:type="dxa"/>
            <w:noWrap/>
            <w:vAlign w:val="center"/>
          </w:tcPr>
          <w:p w14:paraId="21C696CF">
            <w:pPr>
              <w:rPr>
                <w:rFonts w:hint="eastAsia" w:ascii="宋体" w:hAnsi="宋体" w:eastAsia="宋体" w:cs="宋体"/>
                <w:color w:val="auto"/>
                <w:sz w:val="24"/>
                <w:szCs w:val="24"/>
                <w:highlight w:val="none"/>
              </w:rPr>
            </w:pPr>
          </w:p>
        </w:tc>
        <w:tc>
          <w:tcPr>
            <w:tcW w:w="1134" w:type="dxa"/>
            <w:noWrap/>
            <w:vAlign w:val="center"/>
          </w:tcPr>
          <w:p w14:paraId="2AE904C5">
            <w:pPr>
              <w:rPr>
                <w:rFonts w:hint="eastAsia" w:ascii="宋体" w:hAnsi="宋体" w:eastAsia="宋体" w:cs="宋体"/>
                <w:color w:val="auto"/>
                <w:sz w:val="24"/>
                <w:szCs w:val="24"/>
                <w:highlight w:val="none"/>
              </w:rPr>
            </w:pPr>
          </w:p>
        </w:tc>
        <w:tc>
          <w:tcPr>
            <w:tcW w:w="993" w:type="dxa"/>
            <w:noWrap/>
            <w:vAlign w:val="center"/>
          </w:tcPr>
          <w:p w14:paraId="1671EEE3">
            <w:pPr>
              <w:rPr>
                <w:rFonts w:hint="eastAsia" w:ascii="宋体" w:hAnsi="宋体" w:eastAsia="宋体" w:cs="宋体"/>
                <w:color w:val="auto"/>
                <w:sz w:val="24"/>
                <w:szCs w:val="24"/>
                <w:highlight w:val="none"/>
              </w:rPr>
            </w:pPr>
          </w:p>
        </w:tc>
        <w:tc>
          <w:tcPr>
            <w:tcW w:w="1134" w:type="dxa"/>
            <w:noWrap/>
            <w:vAlign w:val="center"/>
          </w:tcPr>
          <w:p w14:paraId="2D40DA8B">
            <w:pPr>
              <w:rPr>
                <w:rFonts w:hint="eastAsia" w:ascii="宋体" w:hAnsi="宋体" w:eastAsia="宋体" w:cs="宋体"/>
                <w:color w:val="auto"/>
                <w:sz w:val="24"/>
                <w:szCs w:val="24"/>
                <w:highlight w:val="none"/>
              </w:rPr>
            </w:pPr>
          </w:p>
        </w:tc>
      </w:tr>
      <w:tr w14:paraId="1A48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033F5C82">
            <w:pPr>
              <w:jc w:val="center"/>
              <w:rPr>
                <w:rFonts w:hint="eastAsia" w:ascii="宋体" w:hAnsi="宋体" w:eastAsia="宋体" w:cs="宋体"/>
                <w:color w:val="auto"/>
                <w:sz w:val="24"/>
                <w:szCs w:val="24"/>
                <w:highlight w:val="none"/>
              </w:rPr>
            </w:pPr>
          </w:p>
        </w:tc>
        <w:tc>
          <w:tcPr>
            <w:tcW w:w="2127" w:type="dxa"/>
            <w:noWrap/>
            <w:vAlign w:val="center"/>
          </w:tcPr>
          <w:p w14:paraId="0298F030">
            <w:pPr>
              <w:rPr>
                <w:rFonts w:hint="eastAsia" w:ascii="宋体" w:hAnsi="宋体" w:eastAsia="宋体" w:cs="宋体"/>
                <w:color w:val="auto"/>
                <w:sz w:val="24"/>
                <w:szCs w:val="24"/>
                <w:highlight w:val="none"/>
              </w:rPr>
            </w:pPr>
          </w:p>
        </w:tc>
        <w:tc>
          <w:tcPr>
            <w:tcW w:w="1559" w:type="dxa"/>
            <w:noWrap/>
            <w:vAlign w:val="center"/>
          </w:tcPr>
          <w:p w14:paraId="481C3EA9">
            <w:pPr>
              <w:rPr>
                <w:rFonts w:hint="eastAsia" w:ascii="宋体" w:hAnsi="宋体" w:eastAsia="宋体" w:cs="宋体"/>
                <w:color w:val="auto"/>
                <w:sz w:val="24"/>
                <w:szCs w:val="24"/>
                <w:highlight w:val="none"/>
              </w:rPr>
            </w:pPr>
          </w:p>
        </w:tc>
        <w:tc>
          <w:tcPr>
            <w:tcW w:w="1275" w:type="dxa"/>
            <w:noWrap/>
            <w:vAlign w:val="center"/>
          </w:tcPr>
          <w:p w14:paraId="7304BE43">
            <w:pPr>
              <w:rPr>
                <w:rFonts w:hint="eastAsia" w:ascii="宋体" w:hAnsi="宋体" w:eastAsia="宋体" w:cs="宋体"/>
                <w:color w:val="auto"/>
                <w:sz w:val="24"/>
                <w:szCs w:val="24"/>
                <w:highlight w:val="none"/>
              </w:rPr>
            </w:pPr>
          </w:p>
        </w:tc>
        <w:tc>
          <w:tcPr>
            <w:tcW w:w="1134" w:type="dxa"/>
            <w:noWrap/>
            <w:vAlign w:val="center"/>
          </w:tcPr>
          <w:p w14:paraId="23590372">
            <w:pPr>
              <w:rPr>
                <w:rFonts w:hint="eastAsia" w:ascii="宋体" w:hAnsi="宋体" w:eastAsia="宋体" w:cs="宋体"/>
                <w:color w:val="auto"/>
                <w:sz w:val="24"/>
                <w:szCs w:val="24"/>
                <w:highlight w:val="none"/>
              </w:rPr>
            </w:pPr>
          </w:p>
        </w:tc>
        <w:tc>
          <w:tcPr>
            <w:tcW w:w="1134" w:type="dxa"/>
            <w:noWrap/>
            <w:vAlign w:val="center"/>
          </w:tcPr>
          <w:p w14:paraId="1C16EBF1">
            <w:pPr>
              <w:rPr>
                <w:rFonts w:hint="eastAsia" w:ascii="宋体" w:hAnsi="宋体" w:eastAsia="宋体" w:cs="宋体"/>
                <w:color w:val="auto"/>
                <w:sz w:val="24"/>
                <w:szCs w:val="24"/>
                <w:highlight w:val="none"/>
              </w:rPr>
            </w:pPr>
          </w:p>
        </w:tc>
        <w:tc>
          <w:tcPr>
            <w:tcW w:w="993" w:type="dxa"/>
            <w:noWrap/>
            <w:vAlign w:val="center"/>
          </w:tcPr>
          <w:p w14:paraId="6C2DFE49">
            <w:pPr>
              <w:rPr>
                <w:rFonts w:hint="eastAsia" w:ascii="宋体" w:hAnsi="宋体" w:eastAsia="宋体" w:cs="宋体"/>
                <w:color w:val="auto"/>
                <w:sz w:val="24"/>
                <w:szCs w:val="24"/>
                <w:highlight w:val="none"/>
              </w:rPr>
            </w:pPr>
          </w:p>
        </w:tc>
        <w:tc>
          <w:tcPr>
            <w:tcW w:w="1134" w:type="dxa"/>
            <w:noWrap/>
            <w:vAlign w:val="center"/>
          </w:tcPr>
          <w:p w14:paraId="2D6E5127">
            <w:pPr>
              <w:rPr>
                <w:rFonts w:hint="eastAsia" w:ascii="宋体" w:hAnsi="宋体" w:eastAsia="宋体" w:cs="宋体"/>
                <w:color w:val="auto"/>
                <w:sz w:val="24"/>
                <w:szCs w:val="24"/>
                <w:highlight w:val="none"/>
              </w:rPr>
            </w:pPr>
          </w:p>
        </w:tc>
      </w:tr>
      <w:tr w14:paraId="52C7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noWrap/>
            <w:vAlign w:val="center"/>
          </w:tcPr>
          <w:p w14:paraId="119AB874">
            <w:pPr>
              <w:jc w:val="center"/>
              <w:rPr>
                <w:rFonts w:hint="eastAsia" w:ascii="宋体" w:hAnsi="宋体" w:eastAsia="宋体" w:cs="宋体"/>
                <w:color w:val="auto"/>
                <w:sz w:val="24"/>
                <w:szCs w:val="24"/>
                <w:highlight w:val="none"/>
              </w:rPr>
            </w:pPr>
          </w:p>
        </w:tc>
        <w:tc>
          <w:tcPr>
            <w:tcW w:w="2127" w:type="dxa"/>
            <w:noWrap/>
            <w:vAlign w:val="center"/>
          </w:tcPr>
          <w:p w14:paraId="7806BB9F">
            <w:pPr>
              <w:rPr>
                <w:rFonts w:hint="eastAsia" w:ascii="宋体" w:hAnsi="宋体" w:eastAsia="宋体" w:cs="宋体"/>
                <w:color w:val="auto"/>
                <w:sz w:val="24"/>
                <w:szCs w:val="24"/>
                <w:highlight w:val="none"/>
              </w:rPr>
            </w:pPr>
          </w:p>
        </w:tc>
        <w:tc>
          <w:tcPr>
            <w:tcW w:w="1559" w:type="dxa"/>
            <w:noWrap/>
            <w:vAlign w:val="center"/>
          </w:tcPr>
          <w:p w14:paraId="38A8D10B">
            <w:pPr>
              <w:rPr>
                <w:rFonts w:hint="eastAsia" w:ascii="宋体" w:hAnsi="宋体" w:eastAsia="宋体" w:cs="宋体"/>
                <w:color w:val="auto"/>
                <w:sz w:val="24"/>
                <w:szCs w:val="24"/>
                <w:highlight w:val="none"/>
              </w:rPr>
            </w:pPr>
          </w:p>
        </w:tc>
        <w:tc>
          <w:tcPr>
            <w:tcW w:w="1275" w:type="dxa"/>
            <w:noWrap/>
            <w:vAlign w:val="center"/>
          </w:tcPr>
          <w:p w14:paraId="310197FF">
            <w:pPr>
              <w:rPr>
                <w:rFonts w:hint="eastAsia" w:ascii="宋体" w:hAnsi="宋体" w:eastAsia="宋体" w:cs="宋体"/>
                <w:color w:val="auto"/>
                <w:sz w:val="24"/>
                <w:szCs w:val="24"/>
                <w:highlight w:val="none"/>
              </w:rPr>
            </w:pPr>
          </w:p>
        </w:tc>
        <w:tc>
          <w:tcPr>
            <w:tcW w:w="1134" w:type="dxa"/>
            <w:noWrap/>
            <w:vAlign w:val="center"/>
          </w:tcPr>
          <w:p w14:paraId="5F8B46D9">
            <w:pPr>
              <w:rPr>
                <w:rFonts w:hint="eastAsia" w:ascii="宋体" w:hAnsi="宋体" w:eastAsia="宋体" w:cs="宋体"/>
                <w:color w:val="auto"/>
                <w:sz w:val="24"/>
                <w:szCs w:val="24"/>
                <w:highlight w:val="none"/>
              </w:rPr>
            </w:pPr>
          </w:p>
        </w:tc>
        <w:tc>
          <w:tcPr>
            <w:tcW w:w="1134" w:type="dxa"/>
            <w:noWrap/>
            <w:vAlign w:val="center"/>
          </w:tcPr>
          <w:p w14:paraId="3C5753AB">
            <w:pPr>
              <w:rPr>
                <w:rFonts w:hint="eastAsia" w:ascii="宋体" w:hAnsi="宋体" w:eastAsia="宋体" w:cs="宋体"/>
                <w:color w:val="auto"/>
                <w:sz w:val="24"/>
                <w:szCs w:val="24"/>
                <w:highlight w:val="none"/>
              </w:rPr>
            </w:pPr>
          </w:p>
        </w:tc>
        <w:tc>
          <w:tcPr>
            <w:tcW w:w="993" w:type="dxa"/>
            <w:noWrap/>
            <w:vAlign w:val="center"/>
          </w:tcPr>
          <w:p w14:paraId="66DE7757">
            <w:pPr>
              <w:rPr>
                <w:rFonts w:hint="eastAsia" w:ascii="宋体" w:hAnsi="宋体" w:eastAsia="宋体" w:cs="宋体"/>
                <w:color w:val="auto"/>
                <w:sz w:val="24"/>
                <w:szCs w:val="24"/>
                <w:highlight w:val="none"/>
              </w:rPr>
            </w:pPr>
          </w:p>
        </w:tc>
        <w:tc>
          <w:tcPr>
            <w:tcW w:w="1134" w:type="dxa"/>
            <w:noWrap/>
            <w:vAlign w:val="center"/>
          </w:tcPr>
          <w:p w14:paraId="389BA72F">
            <w:pPr>
              <w:rPr>
                <w:rFonts w:hint="eastAsia" w:ascii="宋体" w:hAnsi="宋体" w:eastAsia="宋体" w:cs="宋体"/>
                <w:color w:val="auto"/>
                <w:sz w:val="24"/>
                <w:szCs w:val="24"/>
                <w:highlight w:val="none"/>
              </w:rPr>
            </w:pPr>
          </w:p>
        </w:tc>
      </w:tr>
      <w:tr w14:paraId="36C5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noWrap/>
            <w:vAlign w:val="center"/>
          </w:tcPr>
          <w:p w14:paraId="310BD683">
            <w:pPr>
              <w:jc w:val="center"/>
              <w:rPr>
                <w:rFonts w:hint="eastAsia" w:ascii="宋体" w:hAnsi="宋体" w:eastAsia="宋体" w:cs="宋体"/>
                <w:color w:val="auto"/>
                <w:sz w:val="24"/>
                <w:szCs w:val="24"/>
                <w:highlight w:val="none"/>
              </w:rPr>
            </w:pPr>
          </w:p>
        </w:tc>
        <w:tc>
          <w:tcPr>
            <w:tcW w:w="2127" w:type="dxa"/>
            <w:noWrap/>
            <w:vAlign w:val="center"/>
          </w:tcPr>
          <w:p w14:paraId="2BB65F14">
            <w:pPr>
              <w:rPr>
                <w:rFonts w:hint="eastAsia" w:ascii="宋体" w:hAnsi="宋体" w:eastAsia="宋体" w:cs="宋体"/>
                <w:color w:val="auto"/>
                <w:sz w:val="24"/>
                <w:szCs w:val="24"/>
                <w:highlight w:val="none"/>
              </w:rPr>
            </w:pPr>
          </w:p>
        </w:tc>
        <w:tc>
          <w:tcPr>
            <w:tcW w:w="1559" w:type="dxa"/>
            <w:noWrap/>
            <w:vAlign w:val="center"/>
          </w:tcPr>
          <w:p w14:paraId="26C3AA8B">
            <w:pPr>
              <w:rPr>
                <w:rFonts w:hint="eastAsia" w:ascii="宋体" w:hAnsi="宋体" w:eastAsia="宋体" w:cs="宋体"/>
                <w:color w:val="auto"/>
                <w:sz w:val="24"/>
                <w:szCs w:val="24"/>
                <w:highlight w:val="none"/>
              </w:rPr>
            </w:pPr>
          </w:p>
        </w:tc>
        <w:tc>
          <w:tcPr>
            <w:tcW w:w="1275" w:type="dxa"/>
            <w:noWrap/>
            <w:vAlign w:val="center"/>
          </w:tcPr>
          <w:p w14:paraId="0846E031">
            <w:pPr>
              <w:rPr>
                <w:rFonts w:hint="eastAsia" w:ascii="宋体" w:hAnsi="宋体" w:eastAsia="宋体" w:cs="宋体"/>
                <w:color w:val="auto"/>
                <w:sz w:val="24"/>
                <w:szCs w:val="24"/>
                <w:highlight w:val="none"/>
              </w:rPr>
            </w:pPr>
          </w:p>
        </w:tc>
        <w:tc>
          <w:tcPr>
            <w:tcW w:w="1134" w:type="dxa"/>
            <w:noWrap/>
            <w:vAlign w:val="center"/>
          </w:tcPr>
          <w:p w14:paraId="56DA8784">
            <w:pPr>
              <w:rPr>
                <w:rFonts w:hint="eastAsia" w:ascii="宋体" w:hAnsi="宋体" w:eastAsia="宋体" w:cs="宋体"/>
                <w:color w:val="auto"/>
                <w:sz w:val="24"/>
                <w:szCs w:val="24"/>
                <w:highlight w:val="none"/>
              </w:rPr>
            </w:pPr>
          </w:p>
        </w:tc>
        <w:tc>
          <w:tcPr>
            <w:tcW w:w="1134" w:type="dxa"/>
            <w:noWrap/>
            <w:vAlign w:val="center"/>
          </w:tcPr>
          <w:p w14:paraId="75616C31">
            <w:pPr>
              <w:rPr>
                <w:rFonts w:hint="eastAsia" w:ascii="宋体" w:hAnsi="宋体" w:eastAsia="宋体" w:cs="宋体"/>
                <w:color w:val="auto"/>
                <w:sz w:val="24"/>
                <w:szCs w:val="24"/>
                <w:highlight w:val="none"/>
              </w:rPr>
            </w:pPr>
          </w:p>
        </w:tc>
        <w:tc>
          <w:tcPr>
            <w:tcW w:w="993" w:type="dxa"/>
            <w:noWrap/>
            <w:vAlign w:val="center"/>
          </w:tcPr>
          <w:p w14:paraId="4CC3EFD8">
            <w:pPr>
              <w:rPr>
                <w:rFonts w:hint="eastAsia" w:ascii="宋体" w:hAnsi="宋体" w:eastAsia="宋体" w:cs="宋体"/>
                <w:color w:val="auto"/>
                <w:sz w:val="24"/>
                <w:szCs w:val="24"/>
                <w:highlight w:val="none"/>
              </w:rPr>
            </w:pPr>
          </w:p>
        </w:tc>
        <w:tc>
          <w:tcPr>
            <w:tcW w:w="1134" w:type="dxa"/>
            <w:noWrap/>
            <w:vAlign w:val="center"/>
          </w:tcPr>
          <w:p w14:paraId="3E5A019A">
            <w:pPr>
              <w:rPr>
                <w:rFonts w:hint="eastAsia" w:ascii="宋体" w:hAnsi="宋体" w:eastAsia="宋体" w:cs="宋体"/>
                <w:color w:val="auto"/>
                <w:sz w:val="24"/>
                <w:szCs w:val="24"/>
                <w:highlight w:val="none"/>
              </w:rPr>
            </w:pPr>
          </w:p>
        </w:tc>
      </w:tr>
    </w:tbl>
    <w:p w14:paraId="6674121D">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14:paraId="6E5FC452">
      <w:pPr>
        <w:spacing w:line="360" w:lineRule="auto"/>
        <w:rPr>
          <w:rFonts w:hint="eastAsia" w:ascii="宋体" w:hAnsi="宋体" w:eastAsia="宋体" w:cs="宋体"/>
          <w:b/>
          <w:color w:val="auto"/>
          <w:w w:val="90"/>
          <w:kern w:val="0"/>
          <w:sz w:val="24"/>
          <w:szCs w:val="24"/>
          <w:highlight w:val="none"/>
        </w:rPr>
      </w:pPr>
      <w:r>
        <w:rPr>
          <w:rFonts w:hint="eastAsia" w:ascii="宋体" w:hAnsi="宋体" w:eastAsia="宋体" w:cs="宋体"/>
          <w:b/>
          <w:color w:val="auto"/>
          <w:sz w:val="24"/>
          <w:szCs w:val="24"/>
          <w:highlight w:val="none"/>
        </w:rPr>
        <w:t>（1）后附证明材</w:t>
      </w:r>
      <w:r>
        <w:rPr>
          <w:rFonts w:hint="eastAsia" w:ascii="宋体" w:hAnsi="宋体" w:eastAsia="宋体" w:cs="宋体"/>
          <w:b/>
          <w:color w:val="auto"/>
          <w:kern w:val="0"/>
          <w:sz w:val="24"/>
          <w:szCs w:val="24"/>
          <w:highlight w:val="none"/>
        </w:rPr>
        <w:t>料，证明材料详见评审办法要求。</w:t>
      </w:r>
    </w:p>
    <w:p w14:paraId="1D5BDBFA">
      <w:pPr>
        <w:keepNext w:val="0"/>
        <w:keepLines w:val="0"/>
        <w:pageBreakBefore w:val="0"/>
        <w:widowControl/>
        <w:kinsoku/>
        <w:wordWrap/>
        <w:overflowPunct/>
        <w:topLinePunct w:val="0"/>
        <w:autoSpaceDE/>
        <w:autoSpaceDN/>
        <w:bidi w:val="0"/>
        <w:snapToGrid w:val="0"/>
        <w:spacing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0"/>
          <w:sz w:val="24"/>
          <w:szCs w:val="24"/>
          <w:highlight w:val="none"/>
        </w:rPr>
        <w:t>（2）没有同类型工程的，此表可以不提供。</w:t>
      </w:r>
    </w:p>
    <w:p w14:paraId="2386BA79">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56AC193">
      <w:pPr>
        <w:keepNext w:val="0"/>
        <w:keepLines w:val="0"/>
        <w:pageBreakBefore w:val="0"/>
        <w:widowControl/>
        <w:kinsoku/>
        <w:wordWrap/>
        <w:overflowPunct/>
        <w:topLinePunct w:val="0"/>
        <w:autoSpaceDE/>
        <w:autoSpaceDN/>
        <w:bidi w:val="0"/>
        <w:snapToGrid w:val="0"/>
        <w:spacing w:line="4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3277F12">
      <w:pPr>
        <w:autoSpaceDE w:val="0"/>
        <w:autoSpaceDN w:val="0"/>
        <w:adjustRightInd w:val="0"/>
        <w:snapToGrid w:val="0"/>
        <w:spacing w:before="25" w:after="25" w:line="360" w:lineRule="auto"/>
        <w:jc w:val="center"/>
        <w:rPr>
          <w:color w:val="auto"/>
          <w:sz w:val="24"/>
          <w:highlight w:val="none"/>
          <w:lang w:val="zh-CN"/>
        </w:rPr>
      </w:pPr>
      <w:r>
        <w:rPr>
          <w:rFonts w:hint="eastAsia"/>
          <w:color w:val="auto"/>
          <w:sz w:val="24"/>
          <w:highlight w:val="none"/>
          <w:lang w:val="en-US" w:eastAsia="zh-CN"/>
        </w:rPr>
        <w:t xml:space="preserve">              磋商供应商</w:t>
      </w:r>
      <w:r>
        <w:rPr>
          <w:color w:val="auto"/>
          <w:sz w:val="24"/>
          <w:highlight w:val="none"/>
        </w:rPr>
        <w:t>名称（加盖公章）</w:t>
      </w:r>
      <w:r>
        <w:rPr>
          <w:color w:val="auto"/>
          <w:sz w:val="24"/>
          <w:highlight w:val="none"/>
          <w:lang w:val="zh-CN"/>
        </w:rPr>
        <w:t>：____________</w:t>
      </w:r>
    </w:p>
    <w:p w14:paraId="349E25E3">
      <w:pPr>
        <w:pStyle w:val="26"/>
        <w:widowControl w:val="0"/>
        <w:numPr>
          <w:ilvl w:val="0"/>
          <w:numId w:val="0"/>
        </w:numPr>
        <w:spacing w:before="100" w:beforeAutospacing="1" w:after="100" w:afterAutospacing="1" w:line="360" w:lineRule="atLeast"/>
        <w:ind w:right="0" w:rightChars="0"/>
        <w:jc w:val="both"/>
        <w:rPr>
          <w:rFonts w:hint="eastAsia" w:ascii="宋体" w:hAnsi="宋体" w:eastAsia="宋体" w:cs="宋体"/>
          <w:color w:val="auto"/>
          <w:sz w:val="24"/>
          <w:szCs w:val="24"/>
          <w:highlight w:val="none"/>
        </w:rPr>
      </w:pPr>
      <w:r>
        <w:rPr>
          <w:rFonts w:hint="eastAsia"/>
          <w:color w:val="auto"/>
          <w:sz w:val="24"/>
          <w:szCs w:val="20"/>
          <w:highlight w:val="none"/>
          <w:lang w:val="en-US" w:eastAsia="zh-CN"/>
        </w:rPr>
        <w:t xml:space="preserve">                        </w:t>
      </w:r>
      <w:r>
        <w:rPr>
          <w:b w:val="0"/>
          <w:bCs/>
          <w:color w:val="auto"/>
          <w:sz w:val="24"/>
          <w:szCs w:val="20"/>
          <w:highlight w:val="none"/>
        </w:rPr>
        <w:t>日期：_____年______月______日</w:t>
      </w:r>
    </w:p>
    <w:p w14:paraId="64243748">
      <w:pPr>
        <w:pStyle w:val="26"/>
        <w:widowControl w:val="0"/>
        <w:numPr>
          <w:ilvl w:val="0"/>
          <w:numId w:val="0"/>
        </w:numPr>
        <w:spacing w:before="100" w:beforeAutospacing="1" w:after="100" w:afterAutospacing="1" w:line="360" w:lineRule="atLeast"/>
        <w:ind w:right="0" w:rightChars="0"/>
        <w:jc w:val="center"/>
        <w:rPr>
          <w:rFonts w:hint="eastAsia" w:ascii="宋体" w:hAnsi="宋体" w:eastAsia="宋体" w:cs="宋体"/>
          <w:color w:val="auto"/>
          <w:sz w:val="24"/>
          <w:szCs w:val="24"/>
          <w:highlight w:val="none"/>
        </w:rPr>
      </w:pPr>
    </w:p>
    <w:p w14:paraId="03DFD2C9">
      <w:pPr>
        <w:pStyle w:val="26"/>
        <w:widowControl w:val="0"/>
        <w:numPr>
          <w:ilvl w:val="0"/>
          <w:numId w:val="0"/>
        </w:numPr>
        <w:spacing w:before="100" w:beforeAutospacing="1" w:after="100" w:afterAutospacing="1" w:line="360" w:lineRule="atLeast"/>
        <w:ind w:right="0" w:rightChars="0"/>
        <w:jc w:val="center"/>
        <w:rPr>
          <w:rFonts w:hint="eastAsia" w:ascii="宋体" w:hAnsi="宋体" w:eastAsia="宋体" w:cs="宋体"/>
          <w:color w:val="auto"/>
          <w:sz w:val="24"/>
          <w:szCs w:val="24"/>
          <w:highlight w:val="none"/>
        </w:rPr>
      </w:pPr>
    </w:p>
    <w:p w14:paraId="53FE7E00">
      <w:pPr>
        <w:pStyle w:val="26"/>
        <w:widowControl w:val="0"/>
        <w:numPr>
          <w:ilvl w:val="0"/>
          <w:numId w:val="0"/>
        </w:numPr>
        <w:spacing w:before="100" w:beforeAutospacing="1" w:after="100" w:afterAutospacing="1" w:line="360" w:lineRule="atLeast"/>
        <w:ind w:right="0" w:rightChars="0"/>
        <w:jc w:val="center"/>
        <w:rPr>
          <w:rFonts w:hint="eastAsia" w:ascii="宋体" w:hAnsi="宋体" w:eastAsia="宋体" w:cs="宋体"/>
          <w:color w:val="auto"/>
          <w:sz w:val="24"/>
          <w:szCs w:val="24"/>
          <w:highlight w:val="none"/>
          <w:lang w:val="en-US" w:eastAsia="zh-CN"/>
        </w:rPr>
      </w:pPr>
    </w:p>
    <w:p w14:paraId="4E9426F6">
      <w:pPr>
        <w:numPr>
          <w:ilvl w:val="0"/>
          <w:numId w:val="0"/>
        </w:numPr>
        <w:spacing w:line="360" w:lineRule="auto"/>
        <w:jc w:val="center"/>
        <w:rPr>
          <w:rFonts w:hint="eastAsia" w:ascii="宋体" w:hAnsi="宋体" w:eastAsia="宋体" w:cs="宋体"/>
          <w:b/>
          <w:bCs/>
          <w:color w:val="auto"/>
          <w:sz w:val="24"/>
          <w:highlight w:val="none"/>
          <w:lang w:eastAsia="zh-CN"/>
        </w:rPr>
      </w:pPr>
    </w:p>
    <w:p w14:paraId="19A24D5D">
      <w:pPr>
        <w:numPr>
          <w:ilvl w:val="0"/>
          <w:numId w:val="0"/>
        </w:numPr>
        <w:spacing w:line="360" w:lineRule="auto"/>
        <w:ind w:left="0" w:leftChars="0" w:right="0" w:rightChars="0" w:firstLine="0" w:firstLineChars="0"/>
        <w:jc w:val="center"/>
        <w:rPr>
          <w:rFonts w:hint="eastAsia" w:ascii="宋体" w:hAnsi="宋体" w:eastAsia="宋体" w:cs="宋体"/>
          <w:b/>
          <w:color w:val="auto"/>
          <w:kern w:val="0"/>
          <w:sz w:val="24"/>
          <w:highlight w:val="none"/>
          <w:lang w:bidi="ar"/>
        </w:rPr>
        <w:sectPr>
          <w:pgSz w:w="11906" w:h="16838"/>
          <w:pgMar w:top="1440" w:right="1417" w:bottom="1440" w:left="1417" w:header="851" w:footer="992" w:gutter="0"/>
          <w:pgNumType w:fmt="decimal"/>
          <w:cols w:space="720" w:num="1"/>
          <w:docGrid w:type="lines" w:linePitch="312" w:charSpace="0"/>
        </w:sectPr>
      </w:pPr>
    </w:p>
    <w:p w14:paraId="5D804781">
      <w:pPr>
        <w:spacing w:line="500" w:lineRule="exact"/>
        <w:jc w:val="center"/>
        <w:outlineLvl w:val="0"/>
        <w:rPr>
          <w:rFonts w:hint="eastAsia" w:ascii="宋体" w:hAnsi="宋体" w:eastAsia="宋体" w:cs="宋体"/>
          <w:b/>
          <w:bCs/>
          <w:color w:val="auto"/>
          <w:sz w:val="24"/>
          <w:highlight w:val="none"/>
          <w:lang w:eastAsia="zh-CN"/>
        </w:rPr>
      </w:pPr>
      <w:bookmarkStart w:id="121" w:name="_Toc12853"/>
      <w:bookmarkStart w:id="122" w:name="_Toc17323"/>
      <w:bookmarkStart w:id="123" w:name="_Toc31002"/>
      <w:bookmarkStart w:id="124" w:name="_Toc4735"/>
      <w:r>
        <w:rPr>
          <w:rFonts w:hint="eastAsia" w:ascii="宋体" w:hAnsi="宋体" w:eastAsia="宋体" w:cs="宋体"/>
          <w:b/>
          <w:bCs/>
          <w:color w:val="auto"/>
          <w:sz w:val="24"/>
          <w:highlight w:val="none"/>
        </w:rPr>
        <w:t>第一次报价表</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格式</w:t>
      </w:r>
      <w:r>
        <w:rPr>
          <w:rFonts w:hint="eastAsia" w:ascii="宋体" w:hAnsi="宋体" w:eastAsia="宋体" w:cs="宋体"/>
          <w:b/>
          <w:bCs/>
          <w:color w:val="auto"/>
          <w:sz w:val="24"/>
          <w:highlight w:val="none"/>
          <w:lang w:eastAsia="zh-CN"/>
        </w:rPr>
        <w:t>）</w:t>
      </w:r>
      <w:bookmarkEnd w:id="121"/>
      <w:bookmarkEnd w:id="122"/>
      <w:bookmarkEnd w:id="123"/>
      <w:bookmarkEnd w:id="124"/>
    </w:p>
    <w:p w14:paraId="5D159516">
      <w:pPr>
        <w:pStyle w:val="2"/>
        <w:keepNext/>
        <w:keepLines/>
        <w:pageBreakBefore w:val="0"/>
        <w:widowControl w:val="0"/>
        <w:kinsoku/>
        <w:wordWrap/>
        <w:overflowPunct/>
        <w:topLinePunct w:val="0"/>
        <w:autoSpaceDE/>
        <w:autoSpaceDN/>
        <w:bidi w:val="0"/>
        <w:adjustRightInd/>
        <w:snapToGrid/>
        <w:spacing w:before="20" w:after="0"/>
        <w:textAlignment w:val="auto"/>
        <w:rPr>
          <w:rFonts w:hint="default" w:eastAsia="宋体"/>
          <w:color w:val="auto"/>
          <w:highlight w:val="none"/>
          <w:lang w:val="en-US" w:eastAsia="zh-CN"/>
        </w:rPr>
      </w:pPr>
      <w:r>
        <w:rPr>
          <w:rFonts w:hint="eastAsia" w:ascii="宋体" w:hAnsi="宋体" w:cs="宋体"/>
          <w:b w:val="0"/>
          <w:bCs/>
          <w:color w:val="auto"/>
          <w:sz w:val="24"/>
          <w:highlight w:val="none"/>
          <w:lang w:val="en-US" w:eastAsia="zh-CN"/>
        </w:rPr>
        <w:t xml:space="preserve">                                                     </w:t>
      </w:r>
      <w:bookmarkStart w:id="125" w:name="_Toc19577"/>
      <w:bookmarkStart w:id="126" w:name="_Toc16331"/>
      <w:bookmarkStart w:id="127" w:name="_Toc12398"/>
      <w:bookmarkStart w:id="128" w:name="_Toc17769"/>
      <w:r>
        <w:rPr>
          <w:rFonts w:hint="eastAsia" w:ascii="宋体" w:hAnsi="宋体" w:cs="宋体"/>
          <w:b w:val="0"/>
          <w:bCs/>
          <w:color w:val="auto"/>
          <w:sz w:val="24"/>
          <w:highlight w:val="none"/>
          <w:lang w:val="en-US" w:eastAsia="zh-CN"/>
        </w:rPr>
        <w:t>货币：人民币元</w:t>
      </w:r>
      <w:bookmarkEnd w:id="125"/>
      <w:bookmarkEnd w:id="126"/>
      <w:bookmarkEnd w:id="127"/>
      <w:bookmarkEnd w:id="128"/>
    </w:p>
    <w:p w14:paraId="4B51B924">
      <w:pPr>
        <w:rPr>
          <w:rFonts w:hint="eastAsia" w:ascii="宋体" w:hAnsi="宋体" w:eastAsia="宋体" w:cs="宋体"/>
          <w:color w:val="auto"/>
          <w:highlight w:val="none"/>
        </w:rPr>
      </w:pPr>
    </w:p>
    <w:tbl>
      <w:tblPr>
        <w:tblStyle w:val="30"/>
        <w:tblW w:w="91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87"/>
        <w:gridCol w:w="7293"/>
      </w:tblGrid>
      <w:tr w14:paraId="53E51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4" w:hRule="atLeast"/>
          <w:jc w:val="center"/>
        </w:trPr>
        <w:tc>
          <w:tcPr>
            <w:tcW w:w="1887" w:type="dxa"/>
            <w:noWrap w:val="0"/>
            <w:vAlign w:val="center"/>
          </w:tcPr>
          <w:p w14:paraId="7DD33A3F">
            <w:pPr>
              <w:adjustRightInd w:val="0"/>
              <w:spacing w:line="44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项目名称</w:t>
            </w:r>
          </w:p>
        </w:tc>
        <w:tc>
          <w:tcPr>
            <w:tcW w:w="7293" w:type="dxa"/>
            <w:noWrap w:val="0"/>
            <w:vAlign w:val="center"/>
          </w:tcPr>
          <w:p w14:paraId="4FC7E06F">
            <w:pPr>
              <w:adjustRightInd w:val="0"/>
              <w:snapToGrid w:val="0"/>
              <w:ind w:left="-88" w:leftChars="-42"/>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王茅镇区域养老服务中心改扩建项目</w:t>
            </w:r>
          </w:p>
        </w:tc>
      </w:tr>
      <w:tr w14:paraId="2B969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8" w:hRule="atLeast"/>
          <w:jc w:val="center"/>
        </w:trPr>
        <w:tc>
          <w:tcPr>
            <w:tcW w:w="1887" w:type="dxa"/>
            <w:noWrap w:val="0"/>
            <w:vAlign w:val="center"/>
          </w:tcPr>
          <w:p w14:paraId="77272D1F">
            <w:pPr>
              <w:adjustRightInd w:val="0"/>
              <w:snapToGrid w:val="0"/>
              <w:ind w:left="-88" w:leftChars="-42"/>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报价</w:t>
            </w:r>
          </w:p>
        </w:tc>
        <w:tc>
          <w:tcPr>
            <w:tcW w:w="7293" w:type="dxa"/>
            <w:noWrap w:val="0"/>
            <w:vAlign w:val="center"/>
          </w:tcPr>
          <w:p w14:paraId="045456BD">
            <w:pPr>
              <w:tabs>
                <w:tab w:val="left" w:pos="5580"/>
              </w:tabs>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大写</w:t>
            </w:r>
            <w:r>
              <w:rPr>
                <w:rFonts w:hint="eastAsia" w:ascii="宋体" w:hAnsi="宋体" w:eastAsia="宋体" w:cs="宋体"/>
                <w:b/>
                <w:bCs/>
                <w:color w:val="auto"/>
                <w:sz w:val="24"/>
                <w:szCs w:val="24"/>
                <w:highlight w:val="none"/>
                <w:lang w:eastAsia="zh-CN"/>
              </w:rPr>
              <w:t>：</w:t>
            </w:r>
          </w:p>
          <w:p w14:paraId="1B27BF0A">
            <w:pPr>
              <w:pStyle w:val="7"/>
              <w:ind w:left="0" w:leftChars="0"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小写：</w:t>
            </w:r>
          </w:p>
        </w:tc>
      </w:tr>
      <w:tr w14:paraId="0EC47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2" w:hRule="atLeast"/>
          <w:jc w:val="center"/>
        </w:trPr>
        <w:tc>
          <w:tcPr>
            <w:tcW w:w="1887" w:type="dxa"/>
            <w:noWrap w:val="0"/>
            <w:vAlign w:val="center"/>
          </w:tcPr>
          <w:p w14:paraId="79888D4E">
            <w:pPr>
              <w:adjustRightInd w:val="0"/>
              <w:snapToGrid w:val="0"/>
              <w:ind w:left="0" w:leftChars="0" w:right="0" w:rightChars="0" w:firstLine="0" w:firstLine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工期</w:t>
            </w:r>
          </w:p>
        </w:tc>
        <w:tc>
          <w:tcPr>
            <w:tcW w:w="7293" w:type="dxa"/>
            <w:noWrap w:val="0"/>
            <w:vAlign w:val="center"/>
          </w:tcPr>
          <w:p w14:paraId="6649CD0F">
            <w:pPr>
              <w:pStyle w:val="7"/>
              <w:ind w:left="0" w:leftChars="0" w:right="0" w:rightChars="0" w:firstLine="0" w:firstLineChars="0"/>
              <w:jc w:val="center"/>
              <w:rPr>
                <w:rFonts w:hint="eastAsia" w:ascii="宋体" w:hAnsi="宋体" w:eastAsia="宋体" w:cs="宋体"/>
                <w:color w:val="auto"/>
                <w:sz w:val="24"/>
                <w:szCs w:val="24"/>
                <w:highlight w:val="none"/>
                <w:lang w:val="en-US" w:eastAsia="zh-CN"/>
              </w:rPr>
            </w:pPr>
          </w:p>
        </w:tc>
      </w:tr>
      <w:tr w14:paraId="498AD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887" w:type="dxa"/>
            <w:noWrap w:val="0"/>
            <w:vAlign w:val="center"/>
          </w:tcPr>
          <w:p w14:paraId="7BF85F52">
            <w:pPr>
              <w:adjustRightInd w:val="0"/>
              <w:snapToGrid w:val="0"/>
              <w:ind w:left="0" w:leftChars="0" w:right="0" w:rightChars="0" w:firstLine="0" w:firstLine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质量承诺</w:t>
            </w:r>
          </w:p>
        </w:tc>
        <w:tc>
          <w:tcPr>
            <w:tcW w:w="7293" w:type="dxa"/>
            <w:noWrap w:val="0"/>
            <w:vAlign w:val="center"/>
          </w:tcPr>
          <w:p w14:paraId="7EC31C62">
            <w:pPr>
              <w:pStyle w:val="7"/>
              <w:ind w:left="0" w:leftChars="0" w:right="0" w:rightChars="0" w:firstLine="0" w:firstLineChars="0"/>
              <w:jc w:val="center"/>
              <w:rPr>
                <w:rFonts w:hint="eastAsia" w:ascii="宋体" w:hAnsi="宋体" w:eastAsia="宋体" w:cs="宋体"/>
                <w:color w:val="auto"/>
                <w:sz w:val="24"/>
                <w:szCs w:val="24"/>
                <w:highlight w:val="none"/>
              </w:rPr>
            </w:pPr>
          </w:p>
        </w:tc>
      </w:tr>
      <w:tr w14:paraId="2FD10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887" w:type="dxa"/>
            <w:noWrap w:val="0"/>
            <w:vAlign w:val="center"/>
          </w:tcPr>
          <w:p w14:paraId="0C235F2B">
            <w:pPr>
              <w:adjustRightInd w:val="0"/>
              <w:snapToGrid w:val="0"/>
              <w:ind w:left="0" w:leftChars="0" w:right="0" w:rightChars="0" w:firstLine="0" w:firstLine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项目经理</w:t>
            </w:r>
          </w:p>
        </w:tc>
        <w:tc>
          <w:tcPr>
            <w:tcW w:w="7293" w:type="dxa"/>
            <w:noWrap w:val="0"/>
            <w:vAlign w:val="center"/>
          </w:tcPr>
          <w:p w14:paraId="653362F3">
            <w:pPr>
              <w:pStyle w:val="7"/>
              <w:ind w:left="0" w:leftChars="0" w:right="0" w:rightChars="0" w:firstLine="0" w:firstLineChars="0"/>
              <w:jc w:val="center"/>
              <w:rPr>
                <w:rFonts w:hint="eastAsia" w:ascii="宋体" w:hAnsi="宋体" w:eastAsia="宋体" w:cs="宋体"/>
                <w:color w:val="auto"/>
                <w:sz w:val="24"/>
                <w:szCs w:val="24"/>
                <w:highlight w:val="none"/>
              </w:rPr>
            </w:pPr>
          </w:p>
        </w:tc>
      </w:tr>
      <w:tr w14:paraId="1A25F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1887" w:type="dxa"/>
            <w:noWrap w:val="0"/>
            <w:vAlign w:val="center"/>
          </w:tcPr>
          <w:p w14:paraId="0FAA1D62">
            <w:pPr>
              <w:adjustRightInd w:val="0"/>
              <w:snapToGrid w:val="0"/>
              <w:ind w:left="0" w:leftChars="0" w:right="0" w:righ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执业证书信息</w:t>
            </w:r>
          </w:p>
        </w:tc>
        <w:tc>
          <w:tcPr>
            <w:tcW w:w="7293" w:type="dxa"/>
            <w:noWrap w:val="0"/>
            <w:vAlign w:val="center"/>
          </w:tcPr>
          <w:p w14:paraId="0E3C35E9">
            <w:pPr>
              <w:pStyle w:val="7"/>
              <w:ind w:left="0" w:leftChars="0" w:right="0" w:rightChars="0" w:firstLine="0" w:firstLineChars="0"/>
              <w:jc w:val="center"/>
              <w:rPr>
                <w:rFonts w:hint="eastAsia" w:ascii="宋体" w:hAnsi="宋体" w:eastAsia="宋体" w:cs="宋体"/>
                <w:color w:val="auto"/>
                <w:sz w:val="24"/>
                <w:szCs w:val="24"/>
                <w:highlight w:val="none"/>
              </w:rPr>
            </w:pPr>
          </w:p>
        </w:tc>
      </w:tr>
      <w:tr w14:paraId="40DCF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4" w:hRule="atLeast"/>
          <w:jc w:val="center"/>
        </w:trPr>
        <w:tc>
          <w:tcPr>
            <w:tcW w:w="1887" w:type="dxa"/>
            <w:noWrap w:val="0"/>
            <w:vAlign w:val="center"/>
          </w:tcPr>
          <w:p w14:paraId="521B5A03">
            <w:pPr>
              <w:adjustRightInd w:val="0"/>
              <w:snapToGrid w:val="0"/>
              <w:ind w:left="-88" w:leftChars="-4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c>
          <w:tcPr>
            <w:tcW w:w="7293" w:type="dxa"/>
            <w:noWrap w:val="0"/>
            <w:vAlign w:val="top"/>
          </w:tcPr>
          <w:p w14:paraId="56FB135A">
            <w:pPr>
              <w:adjustRightInd w:val="0"/>
              <w:snapToGrid w:val="0"/>
              <w:ind w:left="-88" w:leftChars="-42" w:firstLine="120" w:firstLineChars="50"/>
              <w:rPr>
                <w:rFonts w:hint="eastAsia" w:ascii="宋体" w:hAnsi="宋体" w:eastAsia="宋体" w:cs="宋体"/>
                <w:color w:val="auto"/>
                <w:sz w:val="24"/>
                <w:szCs w:val="24"/>
                <w:highlight w:val="none"/>
              </w:rPr>
            </w:pPr>
          </w:p>
        </w:tc>
      </w:tr>
    </w:tbl>
    <w:p w14:paraId="55E03A40">
      <w:pPr>
        <w:widowControl/>
        <w:tabs>
          <w:tab w:val="left" w:pos="4000"/>
        </w:tabs>
        <w:snapToGrid w:val="0"/>
        <w:spacing w:line="5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67198729">
      <w:pPr>
        <w:widowControl/>
        <w:tabs>
          <w:tab w:val="left" w:pos="4000"/>
        </w:tabs>
        <w:snapToGrid w:val="0"/>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磋商供应商名称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公章</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lang w:val="en-US"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 xml:space="preserve">                                                 </w:t>
      </w:r>
    </w:p>
    <w:p w14:paraId="198B2451">
      <w:pPr>
        <w:widowControl/>
        <w:tabs>
          <w:tab w:val="left" w:pos="4000"/>
        </w:tabs>
        <w:snapToGrid w:val="0"/>
        <w:spacing w:line="480" w:lineRule="auto"/>
        <w:jc w:val="left"/>
        <w:rPr>
          <w:rFonts w:hint="eastAsia" w:ascii="宋体" w:hAnsi="宋体" w:eastAsia="宋体" w:cs="宋体"/>
          <w:bCs/>
          <w:color w:val="auto"/>
          <w:kern w:val="0"/>
          <w:sz w:val="24"/>
          <w:highlight w:val="none"/>
          <w:u w:val="single"/>
        </w:rPr>
      </w:pPr>
      <w:r>
        <w:rPr>
          <w:rFonts w:hint="eastAsia" w:ascii="宋体" w:hAnsi="宋体" w:eastAsia="宋体" w:cs="宋体"/>
          <w:color w:val="auto"/>
          <w:spacing w:val="0"/>
          <w:kern w:val="0"/>
          <w:sz w:val="24"/>
          <w:highlight w:val="none"/>
          <w:lang w:val="en-US" w:eastAsia="zh-CN"/>
        </w:rPr>
        <w:t>法定代表人或</w:t>
      </w:r>
      <w:r>
        <w:rPr>
          <w:rFonts w:hint="eastAsia" w:ascii="宋体" w:hAnsi="宋体" w:eastAsia="宋体" w:cs="宋体"/>
          <w:color w:val="auto"/>
          <w:spacing w:val="0"/>
          <w:kern w:val="0"/>
          <w:sz w:val="24"/>
          <w:highlight w:val="none"/>
        </w:rPr>
        <w:t>授权委托人（签字）</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lang w:val="en-US"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bCs/>
          <w:color w:val="auto"/>
          <w:kern w:val="0"/>
          <w:sz w:val="24"/>
          <w:highlight w:val="none"/>
          <w:u w:val="single"/>
        </w:rPr>
        <w:t xml:space="preserve">      </w:t>
      </w:r>
    </w:p>
    <w:p w14:paraId="12233FF7">
      <w:pPr>
        <w:widowControl/>
        <w:tabs>
          <w:tab w:val="left" w:pos="4000"/>
        </w:tabs>
        <w:snapToGrid w:val="0"/>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日 </w:t>
      </w:r>
    </w:p>
    <w:p w14:paraId="1D5F0A72">
      <w:pPr>
        <w:keepNext w:val="0"/>
        <w:keepLines w:val="0"/>
        <w:pageBreakBefore w:val="0"/>
        <w:widowControl/>
        <w:tabs>
          <w:tab w:val="left" w:pos="4000"/>
        </w:tabs>
        <w:kinsoku/>
        <w:wordWrap/>
        <w:overflowPunct/>
        <w:topLinePunct w:val="0"/>
        <w:autoSpaceDE/>
        <w:autoSpaceDN/>
        <w:bidi w:val="0"/>
        <w:adjustRightInd/>
        <w:snapToGrid w:val="0"/>
        <w:spacing w:line="240" w:lineRule="auto"/>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w:t>
      </w:r>
    </w:p>
    <w:p w14:paraId="2412878E">
      <w:pPr>
        <w:keepNext w:val="0"/>
        <w:keepLines w:val="0"/>
        <w:pageBreakBefore w:val="0"/>
        <w:widowControl/>
        <w:numPr>
          <w:ilvl w:val="0"/>
          <w:numId w:val="14"/>
        </w:numPr>
        <w:tabs>
          <w:tab w:val="left" w:pos="4000"/>
        </w:tabs>
        <w:kinsoku/>
        <w:wordWrap/>
        <w:overflowPunct/>
        <w:topLinePunct w:val="0"/>
        <w:autoSpaceDE/>
        <w:autoSpaceDN/>
        <w:bidi w:val="0"/>
        <w:adjustRightInd/>
        <w:snapToGrid w:val="0"/>
        <w:spacing w:line="500" w:lineRule="exact"/>
        <w:ind w:left="0" w:leftChars="0" w:right="0" w:rightChars="0" w:firstLine="0" w:firstLineChars="0"/>
        <w:jc w:val="left"/>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报价应包括磋商文件所确定的采购范围内的全部费用。</w:t>
      </w:r>
    </w:p>
    <w:p w14:paraId="22FE084A">
      <w:pPr>
        <w:numPr>
          <w:ilvl w:val="0"/>
          <w:numId w:val="0"/>
        </w:numPr>
        <w:spacing w:line="360" w:lineRule="auto"/>
        <w:jc w:val="both"/>
        <w:rPr>
          <w:rFonts w:hint="eastAsia" w:ascii="宋体" w:hAnsi="宋体" w:eastAsia="宋体" w:cs="宋体"/>
          <w:color w:val="auto"/>
          <w:kern w:val="0"/>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本表格式不得自行改动，但行数不够可自行添加。</w:t>
      </w:r>
    </w:p>
    <w:p w14:paraId="146B3ECD">
      <w:pPr>
        <w:pStyle w:val="26"/>
        <w:spacing w:before="0" w:beforeAutospacing="0" w:after="156" w:afterLines="50" w:afterAutospacing="0" w:line="360" w:lineRule="auto"/>
        <w:ind w:left="0" w:leftChars="0" w:right="0" w:rightChars="0" w:firstLine="0" w:firstLineChars="0"/>
        <w:jc w:val="center"/>
        <w:outlineLvl w:val="0"/>
        <w:rPr>
          <w:b/>
          <w:color w:val="auto"/>
          <w:highlight w:val="none"/>
        </w:rPr>
      </w:pPr>
      <w:r>
        <w:rPr>
          <w:rFonts w:hint="eastAsia"/>
          <w:b/>
          <w:color w:val="auto"/>
          <w:highlight w:val="none"/>
          <w:lang w:eastAsia="zh-CN"/>
        </w:rPr>
        <w:t>附件</w:t>
      </w:r>
      <w:r>
        <w:rPr>
          <w:rFonts w:hint="eastAsia"/>
          <w:b/>
          <w:color w:val="auto"/>
          <w:highlight w:val="none"/>
          <w:lang w:val="en-US" w:eastAsia="zh-CN"/>
        </w:rPr>
        <w:t>1：</w:t>
      </w:r>
      <w:r>
        <w:rPr>
          <w:rFonts w:hint="eastAsia"/>
          <w:b/>
          <w:color w:val="auto"/>
          <w:highlight w:val="none"/>
        </w:rPr>
        <w:t>监狱企业证明资料</w:t>
      </w:r>
      <w:r>
        <w:rPr>
          <w:rFonts w:hint="eastAsia"/>
          <w:b/>
          <w:color w:val="auto"/>
          <w:highlight w:val="none"/>
          <w:lang w:eastAsia="zh-CN"/>
        </w:rPr>
        <w:t>（</w:t>
      </w:r>
      <w:r>
        <w:rPr>
          <w:rFonts w:hint="eastAsia"/>
          <w:b/>
          <w:color w:val="auto"/>
          <w:highlight w:val="none"/>
          <w:lang w:val="en-US" w:eastAsia="zh-CN"/>
        </w:rPr>
        <w:t>如有</w:t>
      </w:r>
      <w:r>
        <w:rPr>
          <w:rFonts w:hint="eastAsia"/>
          <w:b/>
          <w:color w:val="auto"/>
          <w:highlight w:val="none"/>
          <w:lang w:eastAsia="zh-CN"/>
        </w:rPr>
        <w:t>）</w:t>
      </w:r>
    </w:p>
    <w:p w14:paraId="5E8AFE37">
      <w:pPr>
        <w:widowControl/>
        <w:adjustRightInd w:val="0"/>
        <w:snapToGrid w:val="0"/>
        <w:spacing w:line="520" w:lineRule="exact"/>
        <w:ind w:firstLine="480" w:firstLineChars="200"/>
        <w:rPr>
          <w:color w:val="auto"/>
          <w:sz w:val="24"/>
          <w:highlight w:val="none"/>
        </w:rPr>
      </w:pPr>
      <w:r>
        <w:rPr>
          <w:rFonts w:hint="eastAsia"/>
          <w:color w:val="auto"/>
          <w:sz w:val="24"/>
          <w:highlight w:val="none"/>
        </w:rPr>
        <w:t>附：监狱管理局、戒毒管理局等主管部门出具的证明文件的复印件，复印件须逐页加盖公章。</w:t>
      </w:r>
    </w:p>
    <w:p w14:paraId="0894F779">
      <w:pPr>
        <w:spacing w:line="360" w:lineRule="auto"/>
        <w:ind w:left="0" w:leftChars="0" w:right="0" w:rightChars="0" w:firstLine="0" w:firstLineChars="0"/>
        <w:jc w:val="center"/>
        <w:outlineLvl w:val="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br w:type="page"/>
      </w:r>
      <w:bookmarkStart w:id="129" w:name="_Toc6286"/>
      <w:bookmarkStart w:id="130" w:name="_Toc15599"/>
      <w:bookmarkStart w:id="131" w:name="_Toc3937"/>
      <w:bookmarkStart w:id="132" w:name="_Toc8568"/>
      <w:bookmarkStart w:id="133" w:name="_Toc20128"/>
      <w:r>
        <w:rPr>
          <w:rFonts w:hint="eastAsia" w:ascii="宋体" w:hAnsi="宋体" w:cs="宋体"/>
          <w:b/>
          <w:color w:val="auto"/>
          <w:kern w:val="0"/>
          <w:sz w:val="24"/>
          <w:szCs w:val="24"/>
          <w:highlight w:val="none"/>
          <w:lang w:eastAsia="zh-CN"/>
        </w:rPr>
        <w:t>附件</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rPr>
        <w:t>残疾人福利性单</w:t>
      </w:r>
      <w:r>
        <w:rPr>
          <w:rFonts w:hint="eastAsia" w:ascii="宋体" w:hAnsi="宋体" w:eastAsia="宋体" w:cs="宋体"/>
          <w:b/>
          <w:color w:val="auto"/>
          <w:kern w:val="0"/>
          <w:sz w:val="24"/>
          <w:szCs w:val="24"/>
          <w:highlight w:val="none"/>
        </w:rPr>
        <w:t>位声明函</w:t>
      </w:r>
      <w:bookmarkEnd w:id="129"/>
      <w:bookmarkEnd w:id="130"/>
      <w:bookmarkEnd w:id="131"/>
      <w:bookmarkEnd w:id="132"/>
      <w:bookmarkEnd w:id="133"/>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如有</w:t>
      </w:r>
      <w:r>
        <w:rPr>
          <w:rFonts w:hint="eastAsia" w:ascii="宋体" w:hAnsi="宋体" w:eastAsia="宋体" w:cs="宋体"/>
          <w:b/>
          <w:color w:val="auto"/>
          <w:kern w:val="0"/>
          <w:sz w:val="24"/>
          <w:szCs w:val="24"/>
          <w:highlight w:val="none"/>
          <w:lang w:eastAsia="zh-CN"/>
        </w:rPr>
        <w:t>）</w:t>
      </w:r>
    </w:p>
    <w:p w14:paraId="1D75C1C4">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rFonts w:hint="eastAsia"/>
          <w:color w:val="auto"/>
          <w:spacing w:val="6"/>
          <w:sz w:val="24"/>
          <w:highlight w:val="none"/>
          <w:lang w:eastAsia="zh-CN"/>
        </w:rPr>
        <w:t>〔2017〕141号</w:t>
      </w:r>
      <w:r>
        <w:rPr>
          <w:color w:val="auto"/>
          <w:spacing w:val="6"/>
          <w:sz w:val="24"/>
          <w:highlight w:val="none"/>
        </w:rPr>
        <w:t>）的规定，本单位</w:t>
      </w:r>
      <w:r>
        <w:rPr>
          <w:b/>
          <w:color w:val="auto"/>
          <w:sz w:val="24"/>
          <w:highlight w:val="none"/>
        </w:rPr>
        <w:t>（请进行勾选）</w:t>
      </w:r>
      <w:r>
        <w:rPr>
          <w:color w:val="auto"/>
          <w:spacing w:val="6"/>
          <w:sz w:val="24"/>
          <w:highlight w:val="none"/>
        </w:rPr>
        <w:t>：</w:t>
      </w:r>
    </w:p>
    <w:p w14:paraId="7D79AC1D">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284E1A01">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A348C26">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0B91D1A9">
      <w:pPr>
        <w:spacing w:line="588" w:lineRule="exact"/>
        <w:ind w:firstLine="504" w:firstLineChars="200"/>
        <w:rPr>
          <w:color w:val="auto"/>
          <w:spacing w:val="6"/>
          <w:sz w:val="24"/>
          <w:highlight w:val="none"/>
        </w:rPr>
      </w:pPr>
    </w:p>
    <w:p w14:paraId="20F427EE">
      <w:pPr>
        <w:spacing w:line="588" w:lineRule="exact"/>
        <w:ind w:firstLine="504" w:firstLineChars="200"/>
        <w:rPr>
          <w:color w:val="auto"/>
          <w:spacing w:val="6"/>
          <w:sz w:val="24"/>
          <w:highlight w:val="none"/>
        </w:rPr>
      </w:pPr>
    </w:p>
    <w:p w14:paraId="71F753A6">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617CDCB9">
      <w:pPr>
        <w:tabs>
          <w:tab w:val="left" w:pos="4860"/>
        </w:tabs>
        <w:spacing w:line="588" w:lineRule="exact"/>
        <w:ind w:right="1560" w:firstLine="504" w:firstLineChars="200"/>
        <w:jc w:val="center"/>
        <w:rPr>
          <w:rFonts w:hint="default" w:ascii="宋体" w:hAnsi="宋体" w:eastAsia="宋体" w:cs="宋体"/>
          <w:color w:val="auto"/>
          <w:kern w:val="0"/>
          <w:sz w:val="28"/>
          <w:szCs w:val="28"/>
          <w:highlight w:val="none"/>
          <w:lang w:val="en-US" w:eastAsia="zh-CN"/>
        </w:rPr>
      </w:pPr>
      <w:r>
        <w:rPr>
          <w:color w:val="auto"/>
          <w:spacing w:val="6"/>
          <w:sz w:val="24"/>
          <w:highlight w:val="none"/>
        </w:rPr>
        <w:t xml:space="preserve">       日  期：</w:t>
      </w:r>
    </w:p>
    <w:p w14:paraId="78607E27">
      <w:pPr>
        <w:numPr>
          <w:ilvl w:val="0"/>
          <w:numId w:val="0"/>
        </w:numPr>
        <w:spacing w:line="360" w:lineRule="auto"/>
        <w:jc w:val="both"/>
        <w:rPr>
          <w:rFonts w:hint="eastAsia" w:ascii="宋体" w:hAnsi="宋体" w:eastAsia="宋体" w:cs="宋体"/>
          <w:color w:val="auto"/>
          <w:kern w:val="0"/>
          <w:sz w:val="24"/>
          <w:highlight w:val="none"/>
          <w:lang w:eastAsia="zh-CN"/>
        </w:rPr>
      </w:pPr>
    </w:p>
    <w:p w14:paraId="50242B61">
      <w:pPr>
        <w:numPr>
          <w:ilvl w:val="0"/>
          <w:numId w:val="0"/>
        </w:numPr>
        <w:spacing w:line="360" w:lineRule="auto"/>
        <w:jc w:val="center"/>
        <w:rPr>
          <w:rFonts w:hint="eastAsia" w:ascii="宋体" w:hAnsi="宋体" w:eastAsia="宋体" w:cs="宋体"/>
          <w:b/>
          <w:bCs/>
          <w:color w:val="auto"/>
          <w:sz w:val="24"/>
          <w:highlight w:val="none"/>
          <w:lang w:eastAsia="zh-CN"/>
        </w:rPr>
      </w:pPr>
    </w:p>
    <w:p w14:paraId="5C9CE3D0">
      <w:pPr>
        <w:numPr>
          <w:ilvl w:val="0"/>
          <w:numId w:val="0"/>
        </w:numPr>
        <w:spacing w:line="360" w:lineRule="auto"/>
        <w:jc w:val="center"/>
        <w:rPr>
          <w:rFonts w:hint="eastAsia" w:ascii="宋体" w:hAnsi="宋体" w:eastAsia="宋体" w:cs="宋体"/>
          <w:b/>
          <w:bCs/>
          <w:color w:val="auto"/>
          <w:sz w:val="24"/>
          <w:highlight w:val="none"/>
          <w:lang w:eastAsia="zh-CN"/>
        </w:rPr>
      </w:pPr>
    </w:p>
    <w:p w14:paraId="6A51916C">
      <w:pPr>
        <w:widowControl/>
        <w:spacing w:line="500" w:lineRule="exact"/>
        <w:jc w:val="both"/>
        <w:rPr>
          <w:rFonts w:hint="eastAsia" w:ascii="宋体" w:hAnsi="宋体" w:eastAsia="宋体" w:cs="宋体"/>
          <w:color w:val="auto"/>
          <w:kern w:val="0"/>
          <w:sz w:val="28"/>
          <w:szCs w:val="28"/>
          <w:highlight w:val="none"/>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KSOF5151000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E3BD">
    <w:pPr>
      <w:pStyle w:val="19"/>
      <w:tabs>
        <w:tab w:val="clear" w:pos="4153"/>
      </w:tabs>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7" name="文本框 47"/>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2FD4C6B3">
                          <w:pPr>
                            <w:snapToGrid w:val="0"/>
                            <w:rPr>
                              <w:rFonts w:hint="eastAsia" w:eastAsia="宋体"/>
                              <w:sz w:val="18"/>
                              <w:lang w:eastAsia="zh-CN"/>
                            </w:rPr>
                          </w:pPr>
                        </w:p>
                      </w:txbxContent>
                    </wps:txbx>
                    <wps:bodyPr wrap="square" lIns="0" tIns="0" rIns="0" bIns="0" upright="0"/>
                  </wps:wsp>
                </a:graphicData>
              </a:graphic>
            </wp:anchor>
          </w:drawing>
        </mc:Choice>
        <mc:Fallback>
          <w:pict>
            <v:shape id="文本框 47" o:spid="_x0000_s1026" o:spt="202" type="#_x0000_t202" style="position:absolute;left:0pt;margin-left:156.25pt;margin-top:0pt;height:23.35pt;width:88.5pt;mso-position-horizontal-relative:margin;z-index:251660288;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QSMTXWAAAABwEAAA8AAAAAAAAAAQAgAAAAIgAAAGRy&#10;cy9kb3ducmV2LnhtbFBLAQIUABQAAAAIAIdO4kDfkoWtzgEAAIsDAAAOAAAAAAAAAAEAIAAAACUB&#10;AABkcnMvZTJvRG9jLnhtbFBLBQYAAAAABgAGAFkBAABlBQAAAAA=&#10;">
              <v:fill on="f" focussize="0,0"/>
              <v:stroke on="f" weight="1.25pt"/>
              <v:imagedata o:title=""/>
              <o:lock v:ext="edit" aspectratio="f"/>
              <v:textbox inset="0mm,0mm,0mm,0mm">
                <w:txbxContent>
                  <w:p w14:paraId="2FD4C6B3">
                    <w:pPr>
                      <w:snapToGrid w:val="0"/>
                      <w:rPr>
                        <w:rFonts w:hint="eastAsia" w:eastAsia="宋体"/>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049E">
    <w:pPr>
      <w:pStyle w:val="19"/>
      <w:tabs>
        <w:tab w:val="clear" w:pos="4153"/>
      </w:tabs>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A2895C">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c1vzrecB&#10;AADKAwAADgAAAAAAAAABACAAAAAiAQAAZHJzL2Uyb0RvYy54bWxQSwUGAAAAAAYABgBZAQAAewUA&#10;AAAA&#10;">
              <v:fill on="f" focussize="0,0"/>
              <v:stroke on="f" weight="1.25pt"/>
              <v:imagedata o:title=""/>
              <o:lock v:ext="edit" aspectratio="f"/>
              <v:textbox inset="0mm,0mm,0mm,0mm" style="mso-fit-shape-to-text:t;">
                <w:txbxContent>
                  <w:p w14:paraId="70A2895C">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9" name="文本框 58"/>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14:paraId="407400FC">
                          <w:pPr>
                            <w:snapToGrid w:val="0"/>
                            <w:rPr>
                              <w:rFonts w:hint="eastAsia" w:eastAsia="宋体"/>
                              <w:sz w:val="18"/>
                              <w:lang w:eastAsia="zh-CN"/>
                            </w:rPr>
                          </w:pPr>
                        </w:p>
                      </w:txbxContent>
                    </wps:txbx>
                    <wps:bodyPr wrap="square" lIns="0" tIns="0" rIns="0" bIns="0" upright="0"/>
                  </wps:wsp>
                </a:graphicData>
              </a:graphic>
            </wp:anchor>
          </w:drawing>
        </mc:Choice>
        <mc:Fallback>
          <w:pict>
            <v:shape id="文本框 58" o:spid="_x0000_s1026" o:spt="202" type="#_x0000_t202" style="position:absolute;left:0pt;margin-left:156.25pt;margin-top:0pt;height:23.35pt;width:88.5pt;mso-position-horizontal-relative:margin;z-index:251662336;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BIxNdYAAAAHAQAADwAAAAAAAAABACAAAAAiAAAAZHJz&#10;L2Rvd25yZXYueG1sUEsBAhQAFAAAAAgAh07iQIGlIjLNAQAAiwMAAA4AAAAAAAAAAQAgAAAAJQEA&#10;AGRycy9lMm9Eb2MueG1sUEsFBgAAAAAGAAYAWQEAAGQFAAAAAA==&#10;">
              <v:fill on="f" focussize="0,0"/>
              <v:stroke on="f" weight="1.25pt"/>
              <v:imagedata o:title=""/>
              <o:lock v:ext="edit" aspectratio="f"/>
              <v:textbox inset="0mm,0mm,0mm,0mm">
                <w:txbxContent>
                  <w:p w14:paraId="407400FC">
                    <w:pPr>
                      <w:snapToGrid w:val="0"/>
                      <w:rPr>
                        <w:rFonts w:hint="eastAsia" w:eastAsia="宋体"/>
                        <w:sz w:val="1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6FC20">
    <w:pP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FF9859">
                          <w:pPr>
                            <w:pStyle w:val="1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3N4x65gEA&#10;AMoDAAAOAAAAAAAAAAEAIAAAACIBAABkcnMvZTJvRG9jLnhtbFBLBQYAAAAABgAGAFkBAAB6BQAA&#10;AAA=&#10;">
              <v:fill on="f" focussize="0,0"/>
              <v:stroke on="f" weight="1.25pt"/>
              <v:imagedata o:title=""/>
              <o:lock v:ext="edit" aspectratio="f"/>
              <v:textbox inset="0mm,0mm,0mm,0mm" style="mso-fit-shape-to-text:t;">
                <w:txbxContent>
                  <w:p w14:paraId="3AFF9859">
                    <w:pPr>
                      <w:pStyle w:val="19"/>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3489325</wp:posOffset>
              </wp:positionH>
              <wp:positionV relativeFrom="paragraph">
                <wp:posOffset>371475</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12059">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文本框 17" o:spid="_x0000_s1026" o:spt="202" type="#_x0000_t202" style="position:absolute;left:0pt;margin-left:274.75pt;margin-top:29.25pt;height:144pt;width:144pt;mso-position-horizontal-relative:margin;mso-wrap-style:none;z-index:251659264;mso-width-relative:page;mso-height-relative:page;" filled="f" stroked="f" coordsize="21600,21600" o:gfxdata="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lj2CNcAAAAKAQAADwAAAAAAAAABACAAAAAiAAAAZHJzL2Rv&#10;d25yZXYueG1sUEsBAhQAFAAAAAgAh07iQHEygYHJAQAAmgMAAA4AAAAAAAAAAQAgAAAAJgEAAGRy&#10;cy9lMm9Eb2MueG1sUEsFBgAAAAAGAAYAWQEAAGEFAAAAAA==&#10;">
              <v:fill on="f" focussize="0,0"/>
              <v:stroke on="f"/>
              <v:imagedata o:title=""/>
              <o:lock v:ext="edit" aspectratio="f"/>
              <v:textbox inset="0mm,0mm,0mm,0mm" style="mso-fit-shape-to-text:t;">
                <w:txbxContent>
                  <w:p w14:paraId="56612059">
                    <w:pPr>
                      <w:snapToGrid w:val="0"/>
                      <w:rPr>
                        <w:rFonts w:hint="eastAsia" w:eastAsia="宋体"/>
                        <w:sz w:val="18"/>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9668">
    <w:pP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80D24FE">
                          <w:pPr>
                            <w:pStyle w:val="19"/>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I4ojFHo&#10;AQAAygMAAA4AAAAAAAAAAQAgAAAAIgEAAGRycy9lMm9Eb2MueG1sUEsFBgAAAAAGAAYAWQEAAHwF&#10;AAAAAA==&#10;">
              <v:fill on="f" focussize="0,0"/>
              <v:stroke on="f" weight="1.25pt"/>
              <v:imagedata o:title=""/>
              <o:lock v:ext="edit" aspectratio="f"/>
              <v:textbox inset="0mm,0mm,0mm,0mm" style="mso-fit-shape-to-text:t;">
                <w:txbxContent>
                  <w:p w14:paraId="780D24FE">
                    <w:pPr>
                      <w:pStyle w:val="19"/>
                    </w:pPr>
                    <w:r>
                      <w:fldChar w:fldCharType="begin"/>
                    </w:r>
                    <w:r>
                      <w:instrText xml:space="preserve"> PAGE  \* MERGEFORMAT </w:instrText>
                    </w:r>
                    <w:r>
                      <w:fldChar w:fldCharType="separate"/>
                    </w:r>
                    <w:r>
                      <w:t>22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3489325</wp:posOffset>
              </wp:positionH>
              <wp:positionV relativeFrom="paragraph">
                <wp:posOffset>371475</wp:posOffset>
              </wp:positionV>
              <wp:extent cx="1828800" cy="182880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BAE65">
                          <w:pPr>
                            <w:snapToGrid w:val="0"/>
                            <w:rPr>
                              <w:rFonts w:hint="eastAsia" w:eastAsia="宋体"/>
                              <w:sz w:val="18"/>
                              <w:lang w:eastAsia="zh-CN"/>
                            </w:rPr>
                          </w:pPr>
                        </w:p>
                      </w:txbxContent>
                    </wps:txbx>
                    <wps:bodyPr wrap="none" lIns="0" tIns="0" rIns="0" bIns="0" upright="0">
                      <a:spAutoFit/>
                    </wps:bodyPr>
                  </wps:wsp>
                </a:graphicData>
              </a:graphic>
            </wp:anchor>
          </w:drawing>
        </mc:Choice>
        <mc:Fallback>
          <w:pict>
            <v:shape id="文本框 17" o:spid="_x0000_s1026" o:spt="202" type="#_x0000_t202" style="position:absolute;left:0pt;margin-left:274.75pt;margin-top:29.25pt;height:144pt;width:144pt;mso-position-horizontal-relative:margin;mso-wrap-style:none;z-index:251661312;mso-width-relative:page;mso-height-relative:page;" filled="f" stroked="f" coordsize="21600,21600" o:gfxdata="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WWPYI1wAAAAoBAAAPAAAAAAAAAAEAIAAAACIAAABkcnMvZG93&#10;bnJldi54bWxQSwECFAAUAAAACACHTuJAScViscgBAACaAwAADgAAAAAAAAABACAAAAAmAQAAZHJz&#10;L2Uyb0RvYy54bWxQSwUGAAAAAAYABgBZAQAAYAUAAAAA&#10;">
              <v:fill on="f" focussize="0,0"/>
              <v:stroke on="f"/>
              <v:imagedata o:title=""/>
              <o:lock v:ext="edit" aspectratio="f"/>
              <v:textbox inset="0mm,0mm,0mm,0mm" style="mso-fit-shape-to-text:t;">
                <w:txbxContent>
                  <w:p w14:paraId="177BAE65">
                    <w:pPr>
                      <w:snapToGrid w:val="0"/>
                      <w:rPr>
                        <w:rFonts w:hint="eastAsia" w:eastAsia="宋体"/>
                        <w:sz w:val="18"/>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B5A5">
    <w:pPr>
      <w:pStyle w:val="1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B1454">
                          <w:pPr>
                            <w:pStyle w:val="1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DB1454">
                    <w:pPr>
                      <w:pStyle w:val="1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CD14B">
    <w:pPr>
      <w:pStyle w:val="20"/>
      <w:pBdr>
        <w:bottom w:val="thinThickMediumGap" w:color="auto" w:sz="18" w:space="0"/>
      </w:pBdr>
      <w:jc w:val="right"/>
      <w:rPr>
        <w:rFonts w:hint="eastAsia"/>
        <w:lang w:eastAsia="zh-CN"/>
      </w:rPr>
    </w:pPr>
    <w:r>
      <w:rPr>
        <w:rFonts w:ascii="宋体" w:hAnsi="宋体" w:cs="宋体"/>
        <w:b/>
        <w:color w:val="auto"/>
        <w:kern w:val="0"/>
        <w:sz w:val="24"/>
      </w:rPr>
      <w:drawing>
        <wp:anchor distT="0" distB="0" distL="114300" distR="114300" simplePos="0" relativeHeight="251667456" behindDoc="1" locked="0" layoutInCell="1" allowOverlap="1">
          <wp:simplePos x="0" y="0"/>
          <wp:positionH relativeFrom="column">
            <wp:posOffset>-40005</wp:posOffset>
          </wp:positionH>
          <wp:positionV relativeFrom="paragraph">
            <wp:posOffset>35560</wp:posOffset>
          </wp:positionV>
          <wp:extent cx="356870" cy="253365"/>
          <wp:effectExtent l="0" t="0" r="5080" b="13335"/>
          <wp:wrapNone/>
          <wp:docPr id="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pic:cNvPicPr>
                    <a:picLocks noChangeAspect="1"/>
                  </pic:cNvPicPr>
                </pic:nvPicPr>
                <pic:blipFill>
                  <a:blip r:embed="rId1"/>
                  <a:stretch>
                    <a:fillRect/>
                  </a:stretch>
                </pic:blipFill>
                <pic:spPr>
                  <a:xfrm>
                    <a:off x="0" y="0"/>
                    <a:ext cx="356870" cy="253365"/>
                  </a:xfrm>
                  <a:prstGeom prst="rect">
                    <a:avLst/>
                  </a:prstGeom>
                  <a:noFill/>
                  <a:ln>
                    <a:noFill/>
                  </a:ln>
                </pic:spPr>
              </pic:pic>
            </a:graphicData>
          </a:graphic>
        </wp:anchor>
      </w:drawing>
    </w:r>
  </w:p>
  <w:p w14:paraId="3BB42C6B">
    <w:pPr>
      <w:pStyle w:val="20"/>
      <w:pBdr>
        <w:bottom w:val="thinThickMediumGap" w:color="auto" w:sz="18" w:space="0"/>
      </w:pBdr>
      <w:jc w:val="right"/>
      <w:rPr>
        <w:b/>
        <w:bCs/>
      </w:rPr>
    </w:pPr>
    <w:bookmarkStart w:id="134" w:name="OLE_LINK26"/>
    <w:bookmarkStart w:id="135" w:name="OLE_LINK61"/>
    <w:r>
      <w:rPr>
        <w:rFonts w:hint="eastAsia"/>
        <w:b/>
        <w:bCs/>
        <w:lang w:eastAsia="zh-CN"/>
      </w:rPr>
      <w:t>王茅镇区域养老服务中心改扩建项目竞争性磋商</w:t>
    </w:r>
    <w:r>
      <w:rPr>
        <w:rFonts w:hint="eastAsia"/>
        <w:b/>
        <w:bCs/>
        <w:lang w:val="en-US" w:eastAsia="zh-CN"/>
      </w:rPr>
      <w:t>文件</w:t>
    </w:r>
    <w:bookmarkEnd w:id="134"/>
    <w:bookmarkEnd w:id="13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177A">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5E910">
    <w:pPr>
      <w:pStyle w:val="20"/>
      <w:pBdr>
        <w:bottom w:val="thinThickSmallGap" w:color="auto" w:sz="24" w:space="1"/>
      </w:pBdr>
      <w:jc w:val="right"/>
      <w:rPr>
        <w:rFonts w:hint="eastAsia" w:ascii="宋体" w:hAnsi="宋体" w:eastAsia="宋体" w:cs="宋体"/>
        <w:b/>
        <w:bCs/>
        <w:color w:val="000000"/>
        <w:sz w:val="18"/>
        <w:szCs w:val="18"/>
        <w:lang w:val="en-US" w:eastAsia="zh-CN"/>
      </w:rPr>
    </w:pPr>
    <w:r>
      <w:rPr>
        <w:rFonts w:ascii="宋体" w:hAnsi="宋体" w:cs="宋体"/>
        <w:b/>
        <w:color w:val="auto"/>
        <w:kern w:val="0"/>
        <w:sz w:val="24"/>
      </w:rPr>
      <w:drawing>
        <wp:anchor distT="0" distB="0" distL="114300" distR="114300" simplePos="0" relativeHeight="251668480" behindDoc="1" locked="0" layoutInCell="1" allowOverlap="1">
          <wp:simplePos x="0" y="0"/>
          <wp:positionH relativeFrom="column">
            <wp:posOffset>-40005</wp:posOffset>
          </wp:positionH>
          <wp:positionV relativeFrom="paragraph">
            <wp:posOffset>35560</wp:posOffset>
          </wp:positionV>
          <wp:extent cx="356870" cy="253365"/>
          <wp:effectExtent l="0" t="0" r="5080" b="13335"/>
          <wp:wrapNone/>
          <wp:docPr id="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pic:cNvPicPr>
                    <a:picLocks noChangeAspect="1"/>
                  </pic:cNvPicPr>
                </pic:nvPicPr>
                <pic:blipFill>
                  <a:blip r:embed="rId1"/>
                  <a:stretch>
                    <a:fillRect/>
                  </a:stretch>
                </pic:blipFill>
                <pic:spPr>
                  <a:xfrm>
                    <a:off x="0" y="0"/>
                    <a:ext cx="356870" cy="253365"/>
                  </a:xfrm>
                  <a:prstGeom prst="rect">
                    <a:avLst/>
                  </a:prstGeom>
                  <a:noFill/>
                  <a:ln>
                    <a:noFill/>
                  </a:ln>
                </pic:spPr>
              </pic:pic>
            </a:graphicData>
          </a:graphic>
        </wp:anchor>
      </w:drawing>
    </w:r>
  </w:p>
  <w:p w14:paraId="61026795">
    <w:pPr>
      <w:pStyle w:val="20"/>
      <w:pBdr>
        <w:bottom w:val="thinThickSmallGap" w:color="auto" w:sz="24" w:space="1"/>
      </w:pBdr>
      <w:jc w:val="right"/>
      <w:rPr>
        <w:rFonts w:hint="eastAsia" w:ascii="隶书" w:eastAsia="隶书"/>
        <w:b/>
      </w:rPr>
    </w:pPr>
    <w:r>
      <w:rPr>
        <w:rFonts w:hint="eastAsia" w:ascii="宋体" w:hAnsi="宋体" w:cs="宋体"/>
        <w:b/>
        <w:bCs/>
        <w:color w:val="000000"/>
        <w:sz w:val="18"/>
        <w:szCs w:val="18"/>
        <w:lang w:val="en-US" w:eastAsia="zh-CN"/>
      </w:rPr>
      <w:t>王茅镇区域养老服务中心改扩建项目</w:t>
    </w:r>
    <w:r>
      <w:rPr>
        <w:rFonts w:hint="eastAsia" w:ascii="宋体" w:hAnsi="宋体" w:eastAsia="宋体" w:cs="宋体"/>
        <w:b/>
        <w:bCs/>
        <w:color w:val="000000"/>
        <w:sz w:val="18"/>
        <w:szCs w:val="18"/>
        <w:lang w:val="en-US" w:eastAsia="zh-CN"/>
      </w:rPr>
      <w:t>竞争性磋商文件</w:t>
    </w:r>
    <w:r>
      <w:rPr>
        <w:rFonts w:hint="eastAsia" w:ascii="隶书" w:hAnsi="宋体" w:eastAsia="隶书"/>
        <w:b/>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AD3A0"/>
    <w:multiLevelType w:val="singleLevel"/>
    <w:tmpl w:val="AB0AD3A0"/>
    <w:lvl w:ilvl="0" w:tentative="0">
      <w:start w:val="1"/>
      <w:numFmt w:val="decimal"/>
      <w:suff w:val="nothing"/>
      <w:lvlText w:val="（%1）"/>
      <w:lvlJc w:val="left"/>
    </w:lvl>
  </w:abstractNum>
  <w:abstractNum w:abstractNumId="1">
    <w:nsid w:val="E99ACB88"/>
    <w:multiLevelType w:val="singleLevel"/>
    <w:tmpl w:val="E99ACB88"/>
    <w:lvl w:ilvl="0" w:tentative="0">
      <w:start w:val="1"/>
      <w:numFmt w:val="decimal"/>
      <w:suff w:val="nothing"/>
      <w:lvlText w:val="（%1）"/>
      <w:lvlJc w:val="left"/>
    </w:lvl>
  </w:abstractNum>
  <w:abstractNum w:abstractNumId="2">
    <w:nsid w:val="02229A03"/>
    <w:multiLevelType w:val="singleLevel"/>
    <w:tmpl w:val="02229A03"/>
    <w:lvl w:ilvl="0" w:tentative="0">
      <w:start w:val="1"/>
      <w:numFmt w:val="decimal"/>
      <w:suff w:val="space"/>
      <w:lvlText w:val="%1."/>
      <w:lvlJc w:val="left"/>
    </w:lvl>
  </w:abstractNum>
  <w:abstractNum w:abstractNumId="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56CBD842"/>
    <w:multiLevelType w:val="singleLevel"/>
    <w:tmpl w:val="56CBD842"/>
    <w:lvl w:ilvl="0" w:tentative="0">
      <w:start w:val="2"/>
      <w:numFmt w:val="chineseCounting"/>
      <w:suff w:val="nothing"/>
      <w:lvlText w:val="%1、"/>
      <w:lvlJc w:val="left"/>
    </w:lvl>
  </w:abstractNum>
  <w:abstractNum w:abstractNumId="5">
    <w:nsid w:val="56CBE842"/>
    <w:multiLevelType w:val="singleLevel"/>
    <w:tmpl w:val="56CBE842"/>
    <w:lvl w:ilvl="0" w:tentative="0">
      <w:start w:val="3"/>
      <w:numFmt w:val="chineseCounting"/>
      <w:suff w:val="nothing"/>
      <w:lvlText w:val="%1、"/>
      <w:lvlJc w:val="left"/>
    </w:lvl>
  </w:abstractNum>
  <w:abstractNum w:abstractNumId="6">
    <w:nsid w:val="56CBFA6A"/>
    <w:multiLevelType w:val="singleLevel"/>
    <w:tmpl w:val="56CBFA6A"/>
    <w:lvl w:ilvl="0" w:tentative="0">
      <w:start w:val="4"/>
      <w:numFmt w:val="chineseCounting"/>
      <w:suff w:val="nothing"/>
      <w:lvlText w:val="%1、"/>
      <w:lvlJc w:val="left"/>
    </w:lvl>
  </w:abstractNum>
  <w:abstractNum w:abstractNumId="7">
    <w:nsid w:val="56CC0D53"/>
    <w:multiLevelType w:val="singleLevel"/>
    <w:tmpl w:val="56CC0D53"/>
    <w:lvl w:ilvl="0" w:tentative="0">
      <w:start w:val="1"/>
      <w:numFmt w:val="chineseCounting"/>
      <w:suff w:val="nothing"/>
      <w:lvlText w:val="%1、"/>
      <w:lvlJc w:val="left"/>
    </w:lvl>
  </w:abstractNum>
  <w:abstractNum w:abstractNumId="8">
    <w:nsid w:val="56CC0E0A"/>
    <w:multiLevelType w:val="singleLevel"/>
    <w:tmpl w:val="56CC0E0A"/>
    <w:lvl w:ilvl="0" w:tentative="0">
      <w:start w:val="1"/>
      <w:numFmt w:val="decimal"/>
      <w:suff w:val="nothing"/>
      <w:lvlText w:val="（%1）"/>
      <w:lvlJc w:val="left"/>
    </w:lvl>
  </w:abstractNum>
  <w:abstractNum w:abstractNumId="9">
    <w:nsid w:val="56CC10B4"/>
    <w:multiLevelType w:val="singleLevel"/>
    <w:tmpl w:val="56CC10B4"/>
    <w:lvl w:ilvl="0" w:tentative="0">
      <w:start w:val="1"/>
      <w:numFmt w:val="decimal"/>
      <w:suff w:val="nothing"/>
      <w:lvlText w:val="（%1）"/>
      <w:lvlJc w:val="left"/>
    </w:lvl>
  </w:abstractNum>
  <w:abstractNum w:abstractNumId="10">
    <w:nsid w:val="56CC1653"/>
    <w:multiLevelType w:val="singleLevel"/>
    <w:tmpl w:val="56CC1653"/>
    <w:lvl w:ilvl="0" w:tentative="0">
      <w:start w:val="2"/>
      <w:numFmt w:val="chineseCounting"/>
      <w:suff w:val="nothing"/>
      <w:lvlText w:val="%1、"/>
      <w:lvlJc w:val="left"/>
    </w:lvl>
  </w:abstractNum>
  <w:abstractNum w:abstractNumId="11">
    <w:nsid w:val="56CC2C1E"/>
    <w:multiLevelType w:val="singleLevel"/>
    <w:tmpl w:val="56CC2C1E"/>
    <w:lvl w:ilvl="0" w:tentative="0">
      <w:start w:val="1"/>
      <w:numFmt w:val="decimal"/>
      <w:suff w:val="nothing"/>
      <w:lvlText w:val="%1."/>
      <w:lvlJc w:val="left"/>
    </w:lvl>
  </w:abstractNum>
  <w:abstractNum w:abstractNumId="12">
    <w:nsid w:val="56CD00D1"/>
    <w:multiLevelType w:val="singleLevel"/>
    <w:tmpl w:val="56CD00D1"/>
    <w:lvl w:ilvl="0" w:tentative="0">
      <w:start w:val="1"/>
      <w:numFmt w:val="decimal"/>
      <w:suff w:val="nothing"/>
      <w:lvlText w:val="%1."/>
      <w:lvlJc w:val="left"/>
    </w:lvl>
  </w:abstractNum>
  <w:abstractNum w:abstractNumId="13">
    <w:nsid w:val="56CD05BD"/>
    <w:multiLevelType w:val="singleLevel"/>
    <w:tmpl w:val="56CD05BD"/>
    <w:lvl w:ilvl="0" w:tentative="0">
      <w:start w:val="1"/>
      <w:numFmt w:val="decimal"/>
      <w:suff w:val="nothing"/>
      <w:lvlText w:val="%1."/>
      <w:lvlJc w:val="left"/>
    </w:lvl>
  </w:abstractNum>
  <w:num w:numId="1">
    <w:abstractNumId w:val="0"/>
  </w:num>
  <w:num w:numId="2">
    <w:abstractNumId w:val="4"/>
  </w:num>
  <w:num w:numId="3">
    <w:abstractNumId w:val="5"/>
  </w:num>
  <w:num w:numId="4">
    <w:abstractNumId w:val="6"/>
  </w:num>
  <w:num w:numId="5">
    <w:abstractNumId w:val="8"/>
  </w:num>
  <w:num w:numId="6">
    <w:abstractNumId w:val="9"/>
  </w:num>
  <w:num w:numId="7">
    <w:abstractNumId w:val="7"/>
  </w:num>
  <w:num w:numId="8">
    <w:abstractNumId w:val="1"/>
  </w:num>
  <w:num w:numId="9">
    <w:abstractNumId w:val="10"/>
  </w:num>
  <w:num w:numId="10">
    <w:abstractNumId w:val="11"/>
  </w:num>
  <w:num w:numId="11">
    <w:abstractNumId w:val="12"/>
  </w:num>
  <w:num w:numId="12">
    <w:abstractNumId w:val="3"/>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YjcwZjNhNTliYTU4MWQyZTdkMTkwZjk0ZGY2NGIifQ=="/>
  </w:docVars>
  <w:rsids>
    <w:rsidRoot w:val="00172A27"/>
    <w:rsid w:val="00003B03"/>
    <w:rsid w:val="00026B94"/>
    <w:rsid w:val="00034787"/>
    <w:rsid w:val="00037F3A"/>
    <w:rsid w:val="00041348"/>
    <w:rsid w:val="000420B1"/>
    <w:rsid w:val="000454DA"/>
    <w:rsid w:val="0005218F"/>
    <w:rsid w:val="00060350"/>
    <w:rsid w:val="00062669"/>
    <w:rsid w:val="0006411D"/>
    <w:rsid w:val="000711FC"/>
    <w:rsid w:val="00077D2A"/>
    <w:rsid w:val="00084986"/>
    <w:rsid w:val="00087C70"/>
    <w:rsid w:val="00087E6E"/>
    <w:rsid w:val="00090F44"/>
    <w:rsid w:val="00097B20"/>
    <w:rsid w:val="000A1C17"/>
    <w:rsid w:val="000A3D79"/>
    <w:rsid w:val="000B1B68"/>
    <w:rsid w:val="000B4181"/>
    <w:rsid w:val="000C4280"/>
    <w:rsid w:val="000C5313"/>
    <w:rsid w:val="000C6BD2"/>
    <w:rsid w:val="000D1EF1"/>
    <w:rsid w:val="000E7184"/>
    <w:rsid w:val="000F08F2"/>
    <w:rsid w:val="000F6722"/>
    <w:rsid w:val="001065F4"/>
    <w:rsid w:val="0010716D"/>
    <w:rsid w:val="00113645"/>
    <w:rsid w:val="00122CD5"/>
    <w:rsid w:val="001235D0"/>
    <w:rsid w:val="001273E6"/>
    <w:rsid w:val="00143330"/>
    <w:rsid w:val="00175382"/>
    <w:rsid w:val="00175DC0"/>
    <w:rsid w:val="00182B53"/>
    <w:rsid w:val="00194BB3"/>
    <w:rsid w:val="001A1852"/>
    <w:rsid w:val="001A276A"/>
    <w:rsid w:val="001A60AF"/>
    <w:rsid w:val="001B518B"/>
    <w:rsid w:val="001C3BE2"/>
    <w:rsid w:val="001C66A4"/>
    <w:rsid w:val="001E7A60"/>
    <w:rsid w:val="001F0BDE"/>
    <w:rsid w:val="001F2EF4"/>
    <w:rsid w:val="00223BB4"/>
    <w:rsid w:val="0023037D"/>
    <w:rsid w:val="002325BB"/>
    <w:rsid w:val="00235C62"/>
    <w:rsid w:val="00253801"/>
    <w:rsid w:val="00261C32"/>
    <w:rsid w:val="002653A5"/>
    <w:rsid w:val="00265B10"/>
    <w:rsid w:val="0026604A"/>
    <w:rsid w:val="0027078D"/>
    <w:rsid w:val="002840BD"/>
    <w:rsid w:val="002A2AE3"/>
    <w:rsid w:val="002A5E11"/>
    <w:rsid w:val="002A6E22"/>
    <w:rsid w:val="002B1435"/>
    <w:rsid w:val="002B3756"/>
    <w:rsid w:val="002B4799"/>
    <w:rsid w:val="002C3E00"/>
    <w:rsid w:val="002C557E"/>
    <w:rsid w:val="002D3A4B"/>
    <w:rsid w:val="002D3AF5"/>
    <w:rsid w:val="002E76B1"/>
    <w:rsid w:val="002E7F37"/>
    <w:rsid w:val="002F6829"/>
    <w:rsid w:val="0030795C"/>
    <w:rsid w:val="00307B1C"/>
    <w:rsid w:val="0031504B"/>
    <w:rsid w:val="00322D99"/>
    <w:rsid w:val="00324F04"/>
    <w:rsid w:val="00356276"/>
    <w:rsid w:val="00362830"/>
    <w:rsid w:val="0036686F"/>
    <w:rsid w:val="00374238"/>
    <w:rsid w:val="003813B3"/>
    <w:rsid w:val="00384B39"/>
    <w:rsid w:val="003869EC"/>
    <w:rsid w:val="00397503"/>
    <w:rsid w:val="003A3D96"/>
    <w:rsid w:val="003C6405"/>
    <w:rsid w:val="003D0546"/>
    <w:rsid w:val="003D0D06"/>
    <w:rsid w:val="003D1162"/>
    <w:rsid w:val="003E0FEA"/>
    <w:rsid w:val="003E26D5"/>
    <w:rsid w:val="003F5F2A"/>
    <w:rsid w:val="003F6938"/>
    <w:rsid w:val="003F73F2"/>
    <w:rsid w:val="00414C28"/>
    <w:rsid w:val="00443B33"/>
    <w:rsid w:val="004904F5"/>
    <w:rsid w:val="00490FF2"/>
    <w:rsid w:val="00493526"/>
    <w:rsid w:val="00495AC7"/>
    <w:rsid w:val="004A4264"/>
    <w:rsid w:val="004A5E53"/>
    <w:rsid w:val="004C32CF"/>
    <w:rsid w:val="004D174B"/>
    <w:rsid w:val="004D3CDE"/>
    <w:rsid w:val="004E1526"/>
    <w:rsid w:val="004E678A"/>
    <w:rsid w:val="0050284E"/>
    <w:rsid w:val="0052032B"/>
    <w:rsid w:val="00521020"/>
    <w:rsid w:val="00525B79"/>
    <w:rsid w:val="00531445"/>
    <w:rsid w:val="00537226"/>
    <w:rsid w:val="00540350"/>
    <w:rsid w:val="005568C2"/>
    <w:rsid w:val="00557E61"/>
    <w:rsid w:val="00574FC3"/>
    <w:rsid w:val="00585F32"/>
    <w:rsid w:val="005A059F"/>
    <w:rsid w:val="005B7F83"/>
    <w:rsid w:val="005C0B87"/>
    <w:rsid w:val="005E504E"/>
    <w:rsid w:val="00610533"/>
    <w:rsid w:val="00611567"/>
    <w:rsid w:val="00621A38"/>
    <w:rsid w:val="006470C4"/>
    <w:rsid w:val="006615D9"/>
    <w:rsid w:val="00691242"/>
    <w:rsid w:val="006943AB"/>
    <w:rsid w:val="006A58BA"/>
    <w:rsid w:val="006B2574"/>
    <w:rsid w:val="006D3659"/>
    <w:rsid w:val="006E6922"/>
    <w:rsid w:val="006E73A8"/>
    <w:rsid w:val="00703432"/>
    <w:rsid w:val="00714F20"/>
    <w:rsid w:val="00737277"/>
    <w:rsid w:val="00751F50"/>
    <w:rsid w:val="00755AC9"/>
    <w:rsid w:val="00755DA3"/>
    <w:rsid w:val="0076491C"/>
    <w:rsid w:val="0077790F"/>
    <w:rsid w:val="00782CEB"/>
    <w:rsid w:val="00792850"/>
    <w:rsid w:val="00794721"/>
    <w:rsid w:val="007A485A"/>
    <w:rsid w:val="007B025A"/>
    <w:rsid w:val="007B15F7"/>
    <w:rsid w:val="007B2454"/>
    <w:rsid w:val="007B4019"/>
    <w:rsid w:val="007B6846"/>
    <w:rsid w:val="007C0257"/>
    <w:rsid w:val="007C18DC"/>
    <w:rsid w:val="007C38A8"/>
    <w:rsid w:val="007F30A2"/>
    <w:rsid w:val="007F6E56"/>
    <w:rsid w:val="008049B7"/>
    <w:rsid w:val="00831C13"/>
    <w:rsid w:val="008410F8"/>
    <w:rsid w:val="00841781"/>
    <w:rsid w:val="00847D9E"/>
    <w:rsid w:val="00865A13"/>
    <w:rsid w:val="0087472A"/>
    <w:rsid w:val="00887AAF"/>
    <w:rsid w:val="00892FBB"/>
    <w:rsid w:val="008949EC"/>
    <w:rsid w:val="008A3FC3"/>
    <w:rsid w:val="008A40F3"/>
    <w:rsid w:val="008B6FCC"/>
    <w:rsid w:val="008E311A"/>
    <w:rsid w:val="008F19FC"/>
    <w:rsid w:val="00906BC0"/>
    <w:rsid w:val="009155CB"/>
    <w:rsid w:val="009256B8"/>
    <w:rsid w:val="00932739"/>
    <w:rsid w:val="00934FF0"/>
    <w:rsid w:val="00941569"/>
    <w:rsid w:val="0094260E"/>
    <w:rsid w:val="00943870"/>
    <w:rsid w:val="0094727C"/>
    <w:rsid w:val="009561D0"/>
    <w:rsid w:val="00957F73"/>
    <w:rsid w:val="00984BEE"/>
    <w:rsid w:val="00991ECD"/>
    <w:rsid w:val="009A19EC"/>
    <w:rsid w:val="009A3210"/>
    <w:rsid w:val="009A78B4"/>
    <w:rsid w:val="009B41CF"/>
    <w:rsid w:val="009B6910"/>
    <w:rsid w:val="009B790B"/>
    <w:rsid w:val="009C3AE7"/>
    <w:rsid w:val="009D03D7"/>
    <w:rsid w:val="009E00C7"/>
    <w:rsid w:val="009F42D6"/>
    <w:rsid w:val="00A05AB5"/>
    <w:rsid w:val="00A14FF0"/>
    <w:rsid w:val="00A156F8"/>
    <w:rsid w:val="00A170E7"/>
    <w:rsid w:val="00A26018"/>
    <w:rsid w:val="00A31B52"/>
    <w:rsid w:val="00A34097"/>
    <w:rsid w:val="00A37373"/>
    <w:rsid w:val="00A375B2"/>
    <w:rsid w:val="00A56A4C"/>
    <w:rsid w:val="00A727AE"/>
    <w:rsid w:val="00A810E8"/>
    <w:rsid w:val="00A854E8"/>
    <w:rsid w:val="00A867BC"/>
    <w:rsid w:val="00AD09EA"/>
    <w:rsid w:val="00AD0AD0"/>
    <w:rsid w:val="00AD6E92"/>
    <w:rsid w:val="00AF06A3"/>
    <w:rsid w:val="00AF2402"/>
    <w:rsid w:val="00AF4C4E"/>
    <w:rsid w:val="00B03B6E"/>
    <w:rsid w:val="00B11868"/>
    <w:rsid w:val="00B14FEA"/>
    <w:rsid w:val="00B15A72"/>
    <w:rsid w:val="00B22909"/>
    <w:rsid w:val="00B24A77"/>
    <w:rsid w:val="00B31FB9"/>
    <w:rsid w:val="00B379DA"/>
    <w:rsid w:val="00B41F70"/>
    <w:rsid w:val="00B4257B"/>
    <w:rsid w:val="00B43742"/>
    <w:rsid w:val="00B43AD2"/>
    <w:rsid w:val="00B53451"/>
    <w:rsid w:val="00B61260"/>
    <w:rsid w:val="00B83C40"/>
    <w:rsid w:val="00B84D41"/>
    <w:rsid w:val="00B86DC9"/>
    <w:rsid w:val="00B95570"/>
    <w:rsid w:val="00B9610D"/>
    <w:rsid w:val="00B97968"/>
    <w:rsid w:val="00BB4912"/>
    <w:rsid w:val="00BC038C"/>
    <w:rsid w:val="00BD1FC2"/>
    <w:rsid w:val="00BD4825"/>
    <w:rsid w:val="00BE1F3A"/>
    <w:rsid w:val="00BF1A01"/>
    <w:rsid w:val="00BF59A0"/>
    <w:rsid w:val="00C0599A"/>
    <w:rsid w:val="00C12925"/>
    <w:rsid w:val="00C12B33"/>
    <w:rsid w:val="00C168A7"/>
    <w:rsid w:val="00C352D0"/>
    <w:rsid w:val="00C42D2E"/>
    <w:rsid w:val="00C46C7A"/>
    <w:rsid w:val="00C53372"/>
    <w:rsid w:val="00C537CC"/>
    <w:rsid w:val="00C55D14"/>
    <w:rsid w:val="00C74AFF"/>
    <w:rsid w:val="00C77CF2"/>
    <w:rsid w:val="00C80BE2"/>
    <w:rsid w:val="00C92215"/>
    <w:rsid w:val="00C9397C"/>
    <w:rsid w:val="00C9546E"/>
    <w:rsid w:val="00C963BF"/>
    <w:rsid w:val="00CA4D5F"/>
    <w:rsid w:val="00CA6FC6"/>
    <w:rsid w:val="00CB286C"/>
    <w:rsid w:val="00CC4846"/>
    <w:rsid w:val="00CC76CB"/>
    <w:rsid w:val="00CE2BFD"/>
    <w:rsid w:val="00CF5C60"/>
    <w:rsid w:val="00D11040"/>
    <w:rsid w:val="00D14D3F"/>
    <w:rsid w:val="00D17BEF"/>
    <w:rsid w:val="00D2553D"/>
    <w:rsid w:val="00D3043E"/>
    <w:rsid w:val="00D37B80"/>
    <w:rsid w:val="00D46D7D"/>
    <w:rsid w:val="00D46F6A"/>
    <w:rsid w:val="00D63AB4"/>
    <w:rsid w:val="00D73354"/>
    <w:rsid w:val="00D75776"/>
    <w:rsid w:val="00D8519C"/>
    <w:rsid w:val="00D90FB2"/>
    <w:rsid w:val="00D953E1"/>
    <w:rsid w:val="00DA0242"/>
    <w:rsid w:val="00DA0D85"/>
    <w:rsid w:val="00DB04BF"/>
    <w:rsid w:val="00DC1A32"/>
    <w:rsid w:val="00DD03B1"/>
    <w:rsid w:val="00DD2902"/>
    <w:rsid w:val="00DD2A71"/>
    <w:rsid w:val="00E039E3"/>
    <w:rsid w:val="00E127A3"/>
    <w:rsid w:val="00E1649A"/>
    <w:rsid w:val="00E25A96"/>
    <w:rsid w:val="00E2735C"/>
    <w:rsid w:val="00E30F4E"/>
    <w:rsid w:val="00E325F9"/>
    <w:rsid w:val="00E35976"/>
    <w:rsid w:val="00E36EEC"/>
    <w:rsid w:val="00E50EDE"/>
    <w:rsid w:val="00E52D48"/>
    <w:rsid w:val="00E57751"/>
    <w:rsid w:val="00E60376"/>
    <w:rsid w:val="00E608F7"/>
    <w:rsid w:val="00E60F12"/>
    <w:rsid w:val="00E746A4"/>
    <w:rsid w:val="00E76D1B"/>
    <w:rsid w:val="00E8328B"/>
    <w:rsid w:val="00E863A7"/>
    <w:rsid w:val="00E86AB6"/>
    <w:rsid w:val="00EA0907"/>
    <w:rsid w:val="00EB264A"/>
    <w:rsid w:val="00EB487B"/>
    <w:rsid w:val="00ED61FC"/>
    <w:rsid w:val="00EE2177"/>
    <w:rsid w:val="00EF2EC5"/>
    <w:rsid w:val="00EF7FB6"/>
    <w:rsid w:val="00F07990"/>
    <w:rsid w:val="00F23F15"/>
    <w:rsid w:val="00F34D9A"/>
    <w:rsid w:val="00F478D9"/>
    <w:rsid w:val="00F819E2"/>
    <w:rsid w:val="00FA22FE"/>
    <w:rsid w:val="00FA6690"/>
    <w:rsid w:val="00FA7243"/>
    <w:rsid w:val="00FD0F2C"/>
    <w:rsid w:val="00FE0CB0"/>
    <w:rsid w:val="00FE5EC3"/>
    <w:rsid w:val="00FF7122"/>
    <w:rsid w:val="00FF75C5"/>
    <w:rsid w:val="01182599"/>
    <w:rsid w:val="01361389"/>
    <w:rsid w:val="015D75F5"/>
    <w:rsid w:val="01617B73"/>
    <w:rsid w:val="027B37ED"/>
    <w:rsid w:val="02A75809"/>
    <w:rsid w:val="02B9709F"/>
    <w:rsid w:val="02E10930"/>
    <w:rsid w:val="030E632B"/>
    <w:rsid w:val="031E448D"/>
    <w:rsid w:val="032A08BF"/>
    <w:rsid w:val="033A2E31"/>
    <w:rsid w:val="03830DC4"/>
    <w:rsid w:val="038926BE"/>
    <w:rsid w:val="03B9218A"/>
    <w:rsid w:val="03EE1902"/>
    <w:rsid w:val="040A3FA4"/>
    <w:rsid w:val="04662A96"/>
    <w:rsid w:val="04700364"/>
    <w:rsid w:val="04854A29"/>
    <w:rsid w:val="04913FC7"/>
    <w:rsid w:val="04CE527E"/>
    <w:rsid w:val="04D24374"/>
    <w:rsid w:val="04DE67C5"/>
    <w:rsid w:val="050E5031"/>
    <w:rsid w:val="054E09BE"/>
    <w:rsid w:val="05545FD4"/>
    <w:rsid w:val="056A18B8"/>
    <w:rsid w:val="058503A6"/>
    <w:rsid w:val="05B306D7"/>
    <w:rsid w:val="062527BC"/>
    <w:rsid w:val="06344057"/>
    <w:rsid w:val="06590AEF"/>
    <w:rsid w:val="06F2022B"/>
    <w:rsid w:val="075169A7"/>
    <w:rsid w:val="07944DAE"/>
    <w:rsid w:val="07C300D3"/>
    <w:rsid w:val="07FE491D"/>
    <w:rsid w:val="087C40AD"/>
    <w:rsid w:val="08823CEF"/>
    <w:rsid w:val="088F1630"/>
    <w:rsid w:val="08903AD9"/>
    <w:rsid w:val="08A208FB"/>
    <w:rsid w:val="08A90D2D"/>
    <w:rsid w:val="08AD3BF6"/>
    <w:rsid w:val="08FD08F0"/>
    <w:rsid w:val="093E6531"/>
    <w:rsid w:val="09650044"/>
    <w:rsid w:val="098D3925"/>
    <w:rsid w:val="09A461D8"/>
    <w:rsid w:val="09A77975"/>
    <w:rsid w:val="09B41F01"/>
    <w:rsid w:val="09E31651"/>
    <w:rsid w:val="09F64C5D"/>
    <w:rsid w:val="0A503A0F"/>
    <w:rsid w:val="0A825530"/>
    <w:rsid w:val="0ACC2AB1"/>
    <w:rsid w:val="0AD66320"/>
    <w:rsid w:val="0B177BA3"/>
    <w:rsid w:val="0B362753"/>
    <w:rsid w:val="0B507BC5"/>
    <w:rsid w:val="0B5C0624"/>
    <w:rsid w:val="0B690270"/>
    <w:rsid w:val="0B9F1E69"/>
    <w:rsid w:val="0BCA597D"/>
    <w:rsid w:val="0BFF490C"/>
    <w:rsid w:val="0C5F47D3"/>
    <w:rsid w:val="0CB30100"/>
    <w:rsid w:val="0CBE275C"/>
    <w:rsid w:val="0D31697A"/>
    <w:rsid w:val="0D3B40DE"/>
    <w:rsid w:val="0D612D34"/>
    <w:rsid w:val="0D702643"/>
    <w:rsid w:val="0DAD6D19"/>
    <w:rsid w:val="0DC65EDD"/>
    <w:rsid w:val="0E2C08E2"/>
    <w:rsid w:val="0E8D3E51"/>
    <w:rsid w:val="0EC11241"/>
    <w:rsid w:val="0F515C3E"/>
    <w:rsid w:val="0F931DEF"/>
    <w:rsid w:val="10327F0C"/>
    <w:rsid w:val="10967AC4"/>
    <w:rsid w:val="109A0013"/>
    <w:rsid w:val="10B83F89"/>
    <w:rsid w:val="10C83D1A"/>
    <w:rsid w:val="10F06230"/>
    <w:rsid w:val="10FD1732"/>
    <w:rsid w:val="1151638B"/>
    <w:rsid w:val="11832922"/>
    <w:rsid w:val="11953500"/>
    <w:rsid w:val="1198380E"/>
    <w:rsid w:val="11993706"/>
    <w:rsid w:val="11AC5584"/>
    <w:rsid w:val="11BF7493"/>
    <w:rsid w:val="11DC537F"/>
    <w:rsid w:val="11E53D93"/>
    <w:rsid w:val="11F07372"/>
    <w:rsid w:val="12193167"/>
    <w:rsid w:val="12524DED"/>
    <w:rsid w:val="1293106B"/>
    <w:rsid w:val="12B5207C"/>
    <w:rsid w:val="12DB4D66"/>
    <w:rsid w:val="12FA7CCB"/>
    <w:rsid w:val="132C3447"/>
    <w:rsid w:val="1356385F"/>
    <w:rsid w:val="13AA5AD0"/>
    <w:rsid w:val="13E778D0"/>
    <w:rsid w:val="13FA7D8F"/>
    <w:rsid w:val="142A6B87"/>
    <w:rsid w:val="146F650C"/>
    <w:rsid w:val="14AE6465"/>
    <w:rsid w:val="14ED523C"/>
    <w:rsid w:val="1528122B"/>
    <w:rsid w:val="152B1DE3"/>
    <w:rsid w:val="15D84ADB"/>
    <w:rsid w:val="16077093"/>
    <w:rsid w:val="160D1F77"/>
    <w:rsid w:val="166D1EF0"/>
    <w:rsid w:val="16AE53D5"/>
    <w:rsid w:val="16C71E88"/>
    <w:rsid w:val="16FA24CB"/>
    <w:rsid w:val="17116915"/>
    <w:rsid w:val="17786B40"/>
    <w:rsid w:val="177A2BDC"/>
    <w:rsid w:val="1795174F"/>
    <w:rsid w:val="179830D6"/>
    <w:rsid w:val="181355E6"/>
    <w:rsid w:val="18270FDE"/>
    <w:rsid w:val="186500A0"/>
    <w:rsid w:val="18862615"/>
    <w:rsid w:val="189D30A1"/>
    <w:rsid w:val="18AB1EAF"/>
    <w:rsid w:val="19732D8C"/>
    <w:rsid w:val="19812E6E"/>
    <w:rsid w:val="198F5E91"/>
    <w:rsid w:val="19DF444F"/>
    <w:rsid w:val="1A9C0296"/>
    <w:rsid w:val="1AC7521D"/>
    <w:rsid w:val="1B0B143C"/>
    <w:rsid w:val="1B1678AB"/>
    <w:rsid w:val="1B64793B"/>
    <w:rsid w:val="1B735112"/>
    <w:rsid w:val="1BAC658A"/>
    <w:rsid w:val="1BE614F8"/>
    <w:rsid w:val="1BEA7699"/>
    <w:rsid w:val="1BEC1A17"/>
    <w:rsid w:val="1C135F20"/>
    <w:rsid w:val="1C222CB7"/>
    <w:rsid w:val="1C2C0AA7"/>
    <w:rsid w:val="1C3E7580"/>
    <w:rsid w:val="1C60574F"/>
    <w:rsid w:val="1C787277"/>
    <w:rsid w:val="1C934EBC"/>
    <w:rsid w:val="1CA6768D"/>
    <w:rsid w:val="1CD1606C"/>
    <w:rsid w:val="1CD90ED8"/>
    <w:rsid w:val="1D232A04"/>
    <w:rsid w:val="1D300B3F"/>
    <w:rsid w:val="1D417CD9"/>
    <w:rsid w:val="1D565690"/>
    <w:rsid w:val="1DCE70CF"/>
    <w:rsid w:val="1DDB60D8"/>
    <w:rsid w:val="1DF63B37"/>
    <w:rsid w:val="1E35221F"/>
    <w:rsid w:val="1E3F19AC"/>
    <w:rsid w:val="1E5E26FA"/>
    <w:rsid w:val="1E83793D"/>
    <w:rsid w:val="1ECC3DBE"/>
    <w:rsid w:val="1F3852D0"/>
    <w:rsid w:val="1F5D45EA"/>
    <w:rsid w:val="1F5F1CED"/>
    <w:rsid w:val="1FC073CB"/>
    <w:rsid w:val="1FD7548F"/>
    <w:rsid w:val="20142E30"/>
    <w:rsid w:val="202E7BC4"/>
    <w:rsid w:val="205713E0"/>
    <w:rsid w:val="208A2D9A"/>
    <w:rsid w:val="208D385C"/>
    <w:rsid w:val="20AE4FA9"/>
    <w:rsid w:val="2165047C"/>
    <w:rsid w:val="2197235B"/>
    <w:rsid w:val="21A12A37"/>
    <w:rsid w:val="21A81702"/>
    <w:rsid w:val="21C22CFE"/>
    <w:rsid w:val="21C92CBA"/>
    <w:rsid w:val="21DF1A08"/>
    <w:rsid w:val="220E70E1"/>
    <w:rsid w:val="22177222"/>
    <w:rsid w:val="222C7168"/>
    <w:rsid w:val="22B67B1A"/>
    <w:rsid w:val="22BD3940"/>
    <w:rsid w:val="22D402FC"/>
    <w:rsid w:val="22E12B27"/>
    <w:rsid w:val="22EB409E"/>
    <w:rsid w:val="233D11E7"/>
    <w:rsid w:val="23674CE4"/>
    <w:rsid w:val="238558DF"/>
    <w:rsid w:val="23B819CC"/>
    <w:rsid w:val="23C87E61"/>
    <w:rsid w:val="23DF164F"/>
    <w:rsid w:val="23FA4EF1"/>
    <w:rsid w:val="24074A3F"/>
    <w:rsid w:val="2414405D"/>
    <w:rsid w:val="248A7312"/>
    <w:rsid w:val="24AB1A65"/>
    <w:rsid w:val="25357B3A"/>
    <w:rsid w:val="253F05F7"/>
    <w:rsid w:val="25444AB3"/>
    <w:rsid w:val="254B7CDD"/>
    <w:rsid w:val="25877D15"/>
    <w:rsid w:val="25A144D6"/>
    <w:rsid w:val="25D87C7A"/>
    <w:rsid w:val="25E067DE"/>
    <w:rsid w:val="26527EB6"/>
    <w:rsid w:val="26996146"/>
    <w:rsid w:val="26A3466F"/>
    <w:rsid w:val="271B2BA4"/>
    <w:rsid w:val="27413CA3"/>
    <w:rsid w:val="27613B3F"/>
    <w:rsid w:val="276B49F8"/>
    <w:rsid w:val="27A16C01"/>
    <w:rsid w:val="27E727D1"/>
    <w:rsid w:val="2809671F"/>
    <w:rsid w:val="28243632"/>
    <w:rsid w:val="282C6C20"/>
    <w:rsid w:val="284E0B51"/>
    <w:rsid w:val="285561CA"/>
    <w:rsid w:val="28587517"/>
    <w:rsid w:val="28801ABA"/>
    <w:rsid w:val="28A17B24"/>
    <w:rsid w:val="28D42E04"/>
    <w:rsid w:val="28E31299"/>
    <w:rsid w:val="28E42F55"/>
    <w:rsid w:val="29017971"/>
    <w:rsid w:val="291908FB"/>
    <w:rsid w:val="293E52B8"/>
    <w:rsid w:val="29527B2F"/>
    <w:rsid w:val="29A6173F"/>
    <w:rsid w:val="29C95FE5"/>
    <w:rsid w:val="29EC2A5C"/>
    <w:rsid w:val="2A5327BE"/>
    <w:rsid w:val="2A5D164E"/>
    <w:rsid w:val="2A8E704F"/>
    <w:rsid w:val="2AB41D6E"/>
    <w:rsid w:val="2AC670C5"/>
    <w:rsid w:val="2AFE4571"/>
    <w:rsid w:val="2B164304"/>
    <w:rsid w:val="2B1973CF"/>
    <w:rsid w:val="2B303692"/>
    <w:rsid w:val="2B895C42"/>
    <w:rsid w:val="2C02412C"/>
    <w:rsid w:val="2C0C4FAB"/>
    <w:rsid w:val="2C24500C"/>
    <w:rsid w:val="2C52191F"/>
    <w:rsid w:val="2C806D1D"/>
    <w:rsid w:val="2C86167A"/>
    <w:rsid w:val="2CCE3D4E"/>
    <w:rsid w:val="2CFD726A"/>
    <w:rsid w:val="2D3835C1"/>
    <w:rsid w:val="2D806488"/>
    <w:rsid w:val="2DA3549B"/>
    <w:rsid w:val="2DB27D05"/>
    <w:rsid w:val="2DD35281"/>
    <w:rsid w:val="2DE81A15"/>
    <w:rsid w:val="2DEA7891"/>
    <w:rsid w:val="2DF50F8B"/>
    <w:rsid w:val="2DF84205"/>
    <w:rsid w:val="2E106C14"/>
    <w:rsid w:val="2E121EB9"/>
    <w:rsid w:val="2E2540B8"/>
    <w:rsid w:val="2E276121"/>
    <w:rsid w:val="2E313AB2"/>
    <w:rsid w:val="2E5477DF"/>
    <w:rsid w:val="2E962B85"/>
    <w:rsid w:val="2E9848D4"/>
    <w:rsid w:val="2EB5407E"/>
    <w:rsid w:val="2EC55425"/>
    <w:rsid w:val="2EED420A"/>
    <w:rsid w:val="2EF303EB"/>
    <w:rsid w:val="2F106C23"/>
    <w:rsid w:val="2F213A34"/>
    <w:rsid w:val="2F3A0EED"/>
    <w:rsid w:val="2F920158"/>
    <w:rsid w:val="2F92106E"/>
    <w:rsid w:val="2FAE2ACB"/>
    <w:rsid w:val="30400DA6"/>
    <w:rsid w:val="30A54C1A"/>
    <w:rsid w:val="3178216D"/>
    <w:rsid w:val="317B42E0"/>
    <w:rsid w:val="31825E59"/>
    <w:rsid w:val="31DE1ECC"/>
    <w:rsid w:val="320A4064"/>
    <w:rsid w:val="32601A8F"/>
    <w:rsid w:val="328A6AF5"/>
    <w:rsid w:val="329544CB"/>
    <w:rsid w:val="32C372DC"/>
    <w:rsid w:val="32C92824"/>
    <w:rsid w:val="33AD2054"/>
    <w:rsid w:val="33AF62C2"/>
    <w:rsid w:val="34B97989"/>
    <w:rsid w:val="34CF76F0"/>
    <w:rsid w:val="34E76F2F"/>
    <w:rsid w:val="35190BA3"/>
    <w:rsid w:val="354E55CE"/>
    <w:rsid w:val="35705D81"/>
    <w:rsid w:val="35FF7E8D"/>
    <w:rsid w:val="36547D1C"/>
    <w:rsid w:val="36836032"/>
    <w:rsid w:val="36890967"/>
    <w:rsid w:val="369E6D99"/>
    <w:rsid w:val="36B61364"/>
    <w:rsid w:val="36DB5CA6"/>
    <w:rsid w:val="37021A0C"/>
    <w:rsid w:val="371B2276"/>
    <w:rsid w:val="373B6744"/>
    <w:rsid w:val="37BD4A9C"/>
    <w:rsid w:val="37CE0D3D"/>
    <w:rsid w:val="382E0620"/>
    <w:rsid w:val="388423BD"/>
    <w:rsid w:val="38A30B59"/>
    <w:rsid w:val="38A96F09"/>
    <w:rsid w:val="38CC54BF"/>
    <w:rsid w:val="38D028A8"/>
    <w:rsid w:val="3932678B"/>
    <w:rsid w:val="39707A55"/>
    <w:rsid w:val="398E6E0B"/>
    <w:rsid w:val="3993188D"/>
    <w:rsid w:val="39F3133F"/>
    <w:rsid w:val="3A083A30"/>
    <w:rsid w:val="3A921EF3"/>
    <w:rsid w:val="3AAB1B64"/>
    <w:rsid w:val="3B146AE4"/>
    <w:rsid w:val="3B5B041A"/>
    <w:rsid w:val="3B831F43"/>
    <w:rsid w:val="3B912B61"/>
    <w:rsid w:val="3BC01DCF"/>
    <w:rsid w:val="3BFC79BF"/>
    <w:rsid w:val="3C1B548E"/>
    <w:rsid w:val="3C334115"/>
    <w:rsid w:val="3C523FED"/>
    <w:rsid w:val="3C7A722F"/>
    <w:rsid w:val="3C920133"/>
    <w:rsid w:val="3CCD13C2"/>
    <w:rsid w:val="3CD64F45"/>
    <w:rsid w:val="3D0D2302"/>
    <w:rsid w:val="3D2B21B1"/>
    <w:rsid w:val="3D4520CB"/>
    <w:rsid w:val="3D7D6B80"/>
    <w:rsid w:val="3D934113"/>
    <w:rsid w:val="3E0E6357"/>
    <w:rsid w:val="3E181EFC"/>
    <w:rsid w:val="3E3208A1"/>
    <w:rsid w:val="3E3A1344"/>
    <w:rsid w:val="3E3D2A34"/>
    <w:rsid w:val="3E6040AE"/>
    <w:rsid w:val="3E8B380E"/>
    <w:rsid w:val="3E9662E8"/>
    <w:rsid w:val="3E9D1BD9"/>
    <w:rsid w:val="3F0B2988"/>
    <w:rsid w:val="3F240C54"/>
    <w:rsid w:val="3F356B28"/>
    <w:rsid w:val="3F543BBF"/>
    <w:rsid w:val="3F581C58"/>
    <w:rsid w:val="3F7D78FA"/>
    <w:rsid w:val="3F8B50E4"/>
    <w:rsid w:val="3F8C5443"/>
    <w:rsid w:val="3F982986"/>
    <w:rsid w:val="3FB84D39"/>
    <w:rsid w:val="3FBB75E8"/>
    <w:rsid w:val="40131F64"/>
    <w:rsid w:val="403C34FF"/>
    <w:rsid w:val="40414437"/>
    <w:rsid w:val="40B0558C"/>
    <w:rsid w:val="40D667EF"/>
    <w:rsid w:val="40F43150"/>
    <w:rsid w:val="410B173A"/>
    <w:rsid w:val="41195708"/>
    <w:rsid w:val="411A2616"/>
    <w:rsid w:val="415223B7"/>
    <w:rsid w:val="41DD0D53"/>
    <w:rsid w:val="41E04E47"/>
    <w:rsid w:val="420A6835"/>
    <w:rsid w:val="421706F6"/>
    <w:rsid w:val="426052B1"/>
    <w:rsid w:val="42613159"/>
    <w:rsid w:val="426A7E88"/>
    <w:rsid w:val="427E2307"/>
    <w:rsid w:val="42D54F09"/>
    <w:rsid w:val="43143D10"/>
    <w:rsid w:val="432939AE"/>
    <w:rsid w:val="43A01236"/>
    <w:rsid w:val="43E6227D"/>
    <w:rsid w:val="449A46EB"/>
    <w:rsid w:val="44A25DBF"/>
    <w:rsid w:val="450616D4"/>
    <w:rsid w:val="45590AAA"/>
    <w:rsid w:val="459E13A0"/>
    <w:rsid w:val="45C56937"/>
    <w:rsid w:val="465806EA"/>
    <w:rsid w:val="467B6B5D"/>
    <w:rsid w:val="46A4478E"/>
    <w:rsid w:val="46E548E7"/>
    <w:rsid w:val="46E85F9F"/>
    <w:rsid w:val="478B2E78"/>
    <w:rsid w:val="47BD4380"/>
    <w:rsid w:val="47C74607"/>
    <w:rsid w:val="47DF0BBA"/>
    <w:rsid w:val="47E25BC5"/>
    <w:rsid w:val="47E44116"/>
    <w:rsid w:val="48002DBD"/>
    <w:rsid w:val="480829B2"/>
    <w:rsid w:val="486A0FA8"/>
    <w:rsid w:val="487F184A"/>
    <w:rsid w:val="4898775C"/>
    <w:rsid w:val="49205101"/>
    <w:rsid w:val="495D774B"/>
    <w:rsid w:val="496C73CB"/>
    <w:rsid w:val="49957602"/>
    <w:rsid w:val="49B63393"/>
    <w:rsid w:val="49D21DB8"/>
    <w:rsid w:val="49F33546"/>
    <w:rsid w:val="4A0D21C2"/>
    <w:rsid w:val="4A120689"/>
    <w:rsid w:val="4A170670"/>
    <w:rsid w:val="4A710EC3"/>
    <w:rsid w:val="4A873D23"/>
    <w:rsid w:val="4A936760"/>
    <w:rsid w:val="4AB81685"/>
    <w:rsid w:val="4B06640E"/>
    <w:rsid w:val="4B512F8E"/>
    <w:rsid w:val="4B532CD7"/>
    <w:rsid w:val="4B5971F6"/>
    <w:rsid w:val="4B8906E7"/>
    <w:rsid w:val="4B917FC0"/>
    <w:rsid w:val="4B9C37FE"/>
    <w:rsid w:val="4BB832D0"/>
    <w:rsid w:val="4C3274BD"/>
    <w:rsid w:val="4C4B340E"/>
    <w:rsid w:val="4CAE30F1"/>
    <w:rsid w:val="4CC102C9"/>
    <w:rsid w:val="4CCB0ED7"/>
    <w:rsid w:val="4D2D5B25"/>
    <w:rsid w:val="4D3D2325"/>
    <w:rsid w:val="4D95601D"/>
    <w:rsid w:val="4E3F70BB"/>
    <w:rsid w:val="4E4168DE"/>
    <w:rsid w:val="4E4C1F44"/>
    <w:rsid w:val="4E564138"/>
    <w:rsid w:val="4E977072"/>
    <w:rsid w:val="4F522ADF"/>
    <w:rsid w:val="4F59296E"/>
    <w:rsid w:val="4F734005"/>
    <w:rsid w:val="4F77219D"/>
    <w:rsid w:val="4F7E4545"/>
    <w:rsid w:val="4FD24DC7"/>
    <w:rsid w:val="50496D46"/>
    <w:rsid w:val="509A3BE9"/>
    <w:rsid w:val="50AC5056"/>
    <w:rsid w:val="512B537E"/>
    <w:rsid w:val="513D2EB0"/>
    <w:rsid w:val="516C5A20"/>
    <w:rsid w:val="51B80015"/>
    <w:rsid w:val="51E72655"/>
    <w:rsid w:val="51EB2DE9"/>
    <w:rsid w:val="52166154"/>
    <w:rsid w:val="52217B36"/>
    <w:rsid w:val="52786B00"/>
    <w:rsid w:val="528565C3"/>
    <w:rsid w:val="52BB0D49"/>
    <w:rsid w:val="52BB4276"/>
    <w:rsid w:val="52CC013B"/>
    <w:rsid w:val="52EC412A"/>
    <w:rsid w:val="53331C8C"/>
    <w:rsid w:val="535D7D17"/>
    <w:rsid w:val="53852532"/>
    <w:rsid w:val="53E04B37"/>
    <w:rsid w:val="542B2990"/>
    <w:rsid w:val="5452655F"/>
    <w:rsid w:val="54532075"/>
    <w:rsid w:val="54624CAD"/>
    <w:rsid w:val="54722618"/>
    <w:rsid w:val="558B6EAE"/>
    <w:rsid w:val="55C80854"/>
    <w:rsid w:val="55E01034"/>
    <w:rsid w:val="55E8347F"/>
    <w:rsid w:val="55FB6C1C"/>
    <w:rsid w:val="56024028"/>
    <w:rsid w:val="564331F3"/>
    <w:rsid w:val="56A51930"/>
    <w:rsid w:val="56B85264"/>
    <w:rsid w:val="56D77A5F"/>
    <w:rsid w:val="56F80AF9"/>
    <w:rsid w:val="571D0D68"/>
    <w:rsid w:val="573368B6"/>
    <w:rsid w:val="58086CFC"/>
    <w:rsid w:val="580C3F1C"/>
    <w:rsid w:val="5848383A"/>
    <w:rsid w:val="58661688"/>
    <w:rsid w:val="5866763F"/>
    <w:rsid w:val="587D0513"/>
    <w:rsid w:val="58934598"/>
    <w:rsid w:val="589A10C5"/>
    <w:rsid w:val="58B7247A"/>
    <w:rsid w:val="58C97019"/>
    <w:rsid w:val="58ED1A20"/>
    <w:rsid w:val="58F53E72"/>
    <w:rsid w:val="590A0228"/>
    <w:rsid w:val="591A562D"/>
    <w:rsid w:val="5954609A"/>
    <w:rsid w:val="5990795A"/>
    <w:rsid w:val="59A15252"/>
    <w:rsid w:val="59B15E58"/>
    <w:rsid w:val="59C91E99"/>
    <w:rsid w:val="59CD1BA3"/>
    <w:rsid w:val="59CF51D8"/>
    <w:rsid w:val="59E15F80"/>
    <w:rsid w:val="5A285D93"/>
    <w:rsid w:val="5A373FE7"/>
    <w:rsid w:val="5A3C7EBE"/>
    <w:rsid w:val="5A410F23"/>
    <w:rsid w:val="5A4D2C4E"/>
    <w:rsid w:val="5A821021"/>
    <w:rsid w:val="5ABA136E"/>
    <w:rsid w:val="5AD10BE3"/>
    <w:rsid w:val="5B1614B1"/>
    <w:rsid w:val="5B210FCE"/>
    <w:rsid w:val="5B2C7C83"/>
    <w:rsid w:val="5B913D4A"/>
    <w:rsid w:val="5B9B1A2B"/>
    <w:rsid w:val="5BA100A8"/>
    <w:rsid w:val="5BEE113C"/>
    <w:rsid w:val="5C216AB1"/>
    <w:rsid w:val="5C732359"/>
    <w:rsid w:val="5CB654CE"/>
    <w:rsid w:val="5CE279A8"/>
    <w:rsid w:val="5D2017F5"/>
    <w:rsid w:val="5D3D353C"/>
    <w:rsid w:val="5D413506"/>
    <w:rsid w:val="5D4841F5"/>
    <w:rsid w:val="5D5932FD"/>
    <w:rsid w:val="5DA273EB"/>
    <w:rsid w:val="5DE408A6"/>
    <w:rsid w:val="5DFE7C00"/>
    <w:rsid w:val="5E2E4F3B"/>
    <w:rsid w:val="5E520A20"/>
    <w:rsid w:val="5E55122B"/>
    <w:rsid w:val="5E656976"/>
    <w:rsid w:val="5EAA3F5C"/>
    <w:rsid w:val="5ECA2293"/>
    <w:rsid w:val="5EF808F3"/>
    <w:rsid w:val="5F200914"/>
    <w:rsid w:val="5F2368B7"/>
    <w:rsid w:val="5F3E29BE"/>
    <w:rsid w:val="5F61574F"/>
    <w:rsid w:val="5F6F12D3"/>
    <w:rsid w:val="5F7D2B69"/>
    <w:rsid w:val="5F910AB9"/>
    <w:rsid w:val="5F92128A"/>
    <w:rsid w:val="5FBB0663"/>
    <w:rsid w:val="5FE031A8"/>
    <w:rsid w:val="5FFA4B83"/>
    <w:rsid w:val="60A42ED8"/>
    <w:rsid w:val="60BA0109"/>
    <w:rsid w:val="60C15D58"/>
    <w:rsid w:val="60E83884"/>
    <w:rsid w:val="615A5E4F"/>
    <w:rsid w:val="61710217"/>
    <w:rsid w:val="61EE770C"/>
    <w:rsid w:val="61F50943"/>
    <w:rsid w:val="62C50E96"/>
    <w:rsid w:val="62F6204D"/>
    <w:rsid w:val="63187747"/>
    <w:rsid w:val="6321424E"/>
    <w:rsid w:val="636A38EE"/>
    <w:rsid w:val="6374559C"/>
    <w:rsid w:val="63902826"/>
    <w:rsid w:val="64155C11"/>
    <w:rsid w:val="64341C94"/>
    <w:rsid w:val="64732848"/>
    <w:rsid w:val="64E54830"/>
    <w:rsid w:val="651031DA"/>
    <w:rsid w:val="65393A14"/>
    <w:rsid w:val="65474D35"/>
    <w:rsid w:val="658547A5"/>
    <w:rsid w:val="658B0713"/>
    <w:rsid w:val="65BA6903"/>
    <w:rsid w:val="66E401AE"/>
    <w:rsid w:val="66EE70F3"/>
    <w:rsid w:val="67595BFB"/>
    <w:rsid w:val="67870B94"/>
    <w:rsid w:val="68182BCD"/>
    <w:rsid w:val="6828018E"/>
    <w:rsid w:val="6865746F"/>
    <w:rsid w:val="68736EDD"/>
    <w:rsid w:val="687F18A6"/>
    <w:rsid w:val="689478DF"/>
    <w:rsid w:val="69465291"/>
    <w:rsid w:val="69517B7E"/>
    <w:rsid w:val="697B1D3F"/>
    <w:rsid w:val="698171D9"/>
    <w:rsid w:val="69A65AA8"/>
    <w:rsid w:val="69C80E5C"/>
    <w:rsid w:val="69D10F2A"/>
    <w:rsid w:val="69EC6F95"/>
    <w:rsid w:val="6A050368"/>
    <w:rsid w:val="6A0875C3"/>
    <w:rsid w:val="6A290048"/>
    <w:rsid w:val="6A5247FE"/>
    <w:rsid w:val="6A8D3B4D"/>
    <w:rsid w:val="6B15282D"/>
    <w:rsid w:val="6B882640"/>
    <w:rsid w:val="6B910F21"/>
    <w:rsid w:val="6BA80C14"/>
    <w:rsid w:val="6BED036B"/>
    <w:rsid w:val="6C0E2555"/>
    <w:rsid w:val="6C7115E8"/>
    <w:rsid w:val="6CC12C6C"/>
    <w:rsid w:val="6CE14731"/>
    <w:rsid w:val="6D357959"/>
    <w:rsid w:val="6D4D7584"/>
    <w:rsid w:val="6D6927AD"/>
    <w:rsid w:val="6DE01AC7"/>
    <w:rsid w:val="6DE15A53"/>
    <w:rsid w:val="6DF72075"/>
    <w:rsid w:val="6DFB66E7"/>
    <w:rsid w:val="6E1D22B5"/>
    <w:rsid w:val="6E292BD7"/>
    <w:rsid w:val="6E491A3D"/>
    <w:rsid w:val="6E4B0C85"/>
    <w:rsid w:val="6E4B4AD0"/>
    <w:rsid w:val="6E696FF9"/>
    <w:rsid w:val="6E6F683C"/>
    <w:rsid w:val="6E7014B5"/>
    <w:rsid w:val="6E74283D"/>
    <w:rsid w:val="6E7A0CE1"/>
    <w:rsid w:val="6E91666F"/>
    <w:rsid w:val="6EA711CA"/>
    <w:rsid w:val="6EC33AA3"/>
    <w:rsid w:val="6F0C55F9"/>
    <w:rsid w:val="6F1439A4"/>
    <w:rsid w:val="6F483FA1"/>
    <w:rsid w:val="6F602510"/>
    <w:rsid w:val="6F6612B3"/>
    <w:rsid w:val="6F8F5725"/>
    <w:rsid w:val="6FAD6539"/>
    <w:rsid w:val="6FDC4FAB"/>
    <w:rsid w:val="700A1F45"/>
    <w:rsid w:val="70192D63"/>
    <w:rsid w:val="70300FF2"/>
    <w:rsid w:val="710010F4"/>
    <w:rsid w:val="716F1667"/>
    <w:rsid w:val="7187036F"/>
    <w:rsid w:val="71A22A51"/>
    <w:rsid w:val="71BA776A"/>
    <w:rsid w:val="71C3370D"/>
    <w:rsid w:val="71DE2CE0"/>
    <w:rsid w:val="71E45A48"/>
    <w:rsid w:val="71E5057C"/>
    <w:rsid w:val="727201B0"/>
    <w:rsid w:val="72A71A90"/>
    <w:rsid w:val="72D85058"/>
    <w:rsid w:val="732B2207"/>
    <w:rsid w:val="735C3151"/>
    <w:rsid w:val="7362505B"/>
    <w:rsid w:val="73E3578D"/>
    <w:rsid w:val="74162F29"/>
    <w:rsid w:val="74722FCD"/>
    <w:rsid w:val="748204D2"/>
    <w:rsid w:val="748C3CE8"/>
    <w:rsid w:val="74D74BE9"/>
    <w:rsid w:val="74DA2707"/>
    <w:rsid w:val="751B1DC5"/>
    <w:rsid w:val="751B3208"/>
    <w:rsid w:val="752175BA"/>
    <w:rsid w:val="75D07C78"/>
    <w:rsid w:val="75E83C04"/>
    <w:rsid w:val="75F43D73"/>
    <w:rsid w:val="763748A9"/>
    <w:rsid w:val="765F3C1E"/>
    <w:rsid w:val="768B65FD"/>
    <w:rsid w:val="76A2766B"/>
    <w:rsid w:val="77926940"/>
    <w:rsid w:val="780309C7"/>
    <w:rsid w:val="781F2487"/>
    <w:rsid w:val="78763384"/>
    <w:rsid w:val="789B7E34"/>
    <w:rsid w:val="78A9040B"/>
    <w:rsid w:val="78BB47EB"/>
    <w:rsid w:val="78C452D5"/>
    <w:rsid w:val="78C67F25"/>
    <w:rsid w:val="79B8249A"/>
    <w:rsid w:val="7A044254"/>
    <w:rsid w:val="7A22766D"/>
    <w:rsid w:val="7ADA6BE5"/>
    <w:rsid w:val="7B354F51"/>
    <w:rsid w:val="7B704E8C"/>
    <w:rsid w:val="7BBB0A40"/>
    <w:rsid w:val="7BC23440"/>
    <w:rsid w:val="7C1758E2"/>
    <w:rsid w:val="7C27055D"/>
    <w:rsid w:val="7C2E751E"/>
    <w:rsid w:val="7C343BD5"/>
    <w:rsid w:val="7C3E69BF"/>
    <w:rsid w:val="7C735804"/>
    <w:rsid w:val="7C760C5C"/>
    <w:rsid w:val="7C7E118B"/>
    <w:rsid w:val="7C9946CD"/>
    <w:rsid w:val="7CD33FF0"/>
    <w:rsid w:val="7D0F70CA"/>
    <w:rsid w:val="7D1D1A0A"/>
    <w:rsid w:val="7D293C05"/>
    <w:rsid w:val="7D6114ED"/>
    <w:rsid w:val="7D6C5632"/>
    <w:rsid w:val="7D951A3F"/>
    <w:rsid w:val="7DD42D99"/>
    <w:rsid w:val="7DD81F1D"/>
    <w:rsid w:val="7E084E94"/>
    <w:rsid w:val="7E304508"/>
    <w:rsid w:val="7EAE2C0D"/>
    <w:rsid w:val="7EB1069E"/>
    <w:rsid w:val="7EBE7960"/>
    <w:rsid w:val="7EC72E52"/>
    <w:rsid w:val="7ED55C0C"/>
    <w:rsid w:val="7EFB6566"/>
    <w:rsid w:val="7F1906E6"/>
    <w:rsid w:val="7F1C5816"/>
    <w:rsid w:val="7F411157"/>
    <w:rsid w:val="7F82181F"/>
    <w:rsid w:val="7FAA31C4"/>
    <w:rsid w:val="7FB03B92"/>
    <w:rsid w:val="7FFA40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autoRedefine/>
    <w:unhideWhenUsed/>
    <w:qFormat/>
    <w:uiPriority w:val="0"/>
    <w:pPr>
      <w:keepNext/>
      <w:keepLines/>
      <w:adjustRightInd w:val="0"/>
      <w:snapToGrid w:val="0"/>
      <w:spacing w:before="120" w:beforeLines="50" w:after="120" w:afterLines="50" w:line="360" w:lineRule="auto"/>
      <w:jc w:val="center"/>
      <w:outlineLvl w:val="1"/>
    </w:pPr>
    <w:rPr>
      <w:rFonts w:ascii="宋体" w:hAnsi="宋体"/>
      <w:b/>
      <w:bCs/>
      <w:sz w:val="32"/>
      <w:szCs w:val="32"/>
    </w:rPr>
  </w:style>
  <w:style w:type="paragraph" w:styleId="4">
    <w:name w:val="heading 3"/>
    <w:basedOn w:val="1"/>
    <w:next w:val="1"/>
    <w:autoRedefine/>
    <w:unhideWhenUsed/>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unhideWhenUsed/>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1"/>
    <w:autoRedefine/>
    <w:unhideWhenUsed/>
    <w:qFormat/>
    <w:uiPriority w:val="0"/>
    <w:pPr>
      <w:keepNext/>
      <w:keepLines/>
      <w:widowControl/>
      <w:spacing w:before="120" w:beforeLines="0" w:after="120" w:afterLines="0" w:line="360" w:lineRule="auto"/>
      <w:ind w:firstLine="499"/>
      <w:jc w:val="left"/>
      <w:outlineLvl w:val="4"/>
    </w:pPr>
    <w:rPr>
      <w:rFonts w:ascii="宋体" w:hAnsi="宋体" w:cs="宋体"/>
      <w:b/>
      <w:kern w:val="0"/>
      <w:sz w:val="24"/>
      <w:szCs w:val="20"/>
    </w:rPr>
  </w:style>
  <w:style w:type="character" w:default="1" w:styleId="32">
    <w:name w:val="Default Paragraph Font"/>
    <w:link w:val="33"/>
    <w:autoRedefine/>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styleId="7">
    <w:name w:val="table of authorities"/>
    <w:basedOn w:val="1"/>
    <w:next w:val="1"/>
    <w:autoRedefine/>
    <w:qFormat/>
    <w:uiPriority w:val="0"/>
    <w:pPr>
      <w:ind w:left="420" w:leftChars="200"/>
    </w:pPr>
    <w:rPr>
      <w:rFonts w:ascii="Times New Roman" w:hAnsi="Times New Roman"/>
    </w:rPr>
  </w:style>
  <w:style w:type="paragraph" w:styleId="8">
    <w:name w:val="Normal Indent"/>
    <w:basedOn w:val="1"/>
    <w:autoRedefine/>
    <w:qFormat/>
    <w:uiPriority w:val="0"/>
    <w:pPr>
      <w:spacing w:line="480" w:lineRule="exact"/>
      <w:ind w:firstLine="420"/>
    </w:pPr>
    <w:rPr>
      <w:sz w:val="28"/>
      <w:szCs w:val="20"/>
    </w:rPr>
  </w:style>
  <w:style w:type="paragraph" w:styleId="9">
    <w:name w:val="toa heading"/>
    <w:basedOn w:val="1"/>
    <w:next w:val="1"/>
    <w:autoRedefine/>
    <w:qFormat/>
    <w:uiPriority w:val="0"/>
    <w:pPr>
      <w:spacing w:before="120" w:beforeLines="0" w:beforeAutospacing="0"/>
    </w:pPr>
    <w:rPr>
      <w:rFonts w:ascii="Arial" w:hAnsi="Arial"/>
      <w:sz w:val="24"/>
    </w:rPr>
  </w:style>
  <w:style w:type="paragraph" w:styleId="10">
    <w:name w:val="Body Text 3"/>
    <w:basedOn w:val="1"/>
    <w:qFormat/>
    <w:uiPriority w:val="0"/>
    <w:pPr>
      <w:spacing w:line="360" w:lineRule="auto"/>
    </w:pPr>
    <w:rPr>
      <w:rFonts w:ascii="宋体"/>
      <w:sz w:val="24"/>
    </w:rPr>
  </w:style>
  <w:style w:type="paragraph" w:styleId="11">
    <w:name w:val="Body Text"/>
    <w:basedOn w:val="1"/>
    <w:next w:val="12"/>
    <w:autoRedefine/>
    <w:qFormat/>
    <w:uiPriority w:val="0"/>
    <w:pPr>
      <w:spacing w:line="0" w:lineRule="atLeast"/>
    </w:pPr>
    <w:rPr>
      <w:sz w:val="30"/>
      <w:szCs w:val="20"/>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
    <w:autoRedefine/>
    <w:qFormat/>
    <w:uiPriority w:val="0"/>
    <w:pPr>
      <w:spacing w:after="120" w:afterLines="0"/>
      <w:ind w:left="420" w:leftChars="200"/>
    </w:pPr>
  </w:style>
  <w:style w:type="paragraph" w:styleId="14">
    <w:name w:val="List 2"/>
    <w:basedOn w:val="1"/>
    <w:autoRedefine/>
    <w:qFormat/>
    <w:uiPriority w:val="0"/>
    <w:pPr>
      <w:ind w:left="100" w:leftChars="200" w:hanging="200" w:hangingChars="200"/>
    </w:pPr>
  </w:style>
  <w:style w:type="paragraph" w:styleId="15">
    <w:name w:val="toc 5"/>
    <w:basedOn w:val="1"/>
    <w:next w:val="1"/>
    <w:autoRedefine/>
    <w:qFormat/>
    <w:uiPriority w:val="0"/>
    <w:pPr>
      <w:widowControl/>
      <w:ind w:left="800"/>
      <w:jc w:val="left"/>
    </w:pPr>
    <w:rPr>
      <w:kern w:val="0"/>
      <w:sz w:val="20"/>
      <w:szCs w:val="21"/>
    </w:rPr>
  </w:style>
  <w:style w:type="paragraph" w:styleId="16">
    <w:name w:val="toc 3"/>
    <w:basedOn w:val="1"/>
    <w:next w:val="1"/>
    <w:autoRedefine/>
    <w:qFormat/>
    <w:uiPriority w:val="0"/>
    <w:pPr>
      <w:ind w:left="840" w:leftChars="400"/>
    </w:pPr>
    <w:rPr>
      <w:rFonts w:ascii="Calibri" w:hAnsi="Calibri"/>
      <w:szCs w:val="22"/>
    </w:rPr>
  </w:style>
  <w:style w:type="paragraph" w:styleId="17">
    <w:name w:val="Plain Text"/>
    <w:basedOn w:val="1"/>
    <w:autoRedefine/>
    <w:qFormat/>
    <w:uiPriority w:val="0"/>
    <w:rPr>
      <w:rFonts w:ascii="宋体" w:hAnsi="Courier New" w:cs="Courier New"/>
      <w:szCs w:val="21"/>
    </w:rPr>
  </w:style>
  <w:style w:type="paragraph" w:styleId="18">
    <w:name w:val="Date"/>
    <w:basedOn w:val="1"/>
    <w:next w:val="1"/>
    <w:autoRedefine/>
    <w:qFormat/>
    <w:uiPriority w:val="0"/>
    <w:rPr>
      <w:sz w:val="24"/>
      <w:szCs w:val="20"/>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val="0"/>
      <w:adjustRightInd w:val="0"/>
      <w:snapToGrid w:val="0"/>
      <w:spacing w:line="240" w:lineRule="auto"/>
      <w:ind w:firstLine="0" w:firstLineChars="0"/>
      <w:jc w:val="center"/>
    </w:pPr>
    <w:rPr>
      <w:rFonts w:ascii="Times New Roman" w:hAnsi="Times New Roman" w:eastAsia="宋体" w:cs="Times New Roman"/>
      <w:b/>
      <w:bCs/>
      <w:caps/>
      <w:kern w:val="2"/>
      <w:sz w:val="32"/>
      <w:szCs w:val="20"/>
      <w:lang w:val="en-US" w:eastAsia="zh-CN" w:bidi="ar-SA"/>
    </w:rPr>
  </w:style>
  <w:style w:type="paragraph" w:styleId="22">
    <w:name w:val="toc 4"/>
    <w:basedOn w:val="1"/>
    <w:next w:val="1"/>
    <w:autoRedefine/>
    <w:qFormat/>
    <w:uiPriority w:val="0"/>
    <w:pPr>
      <w:ind w:left="1260" w:leftChars="600"/>
    </w:pPr>
  </w:style>
  <w:style w:type="paragraph" w:styleId="23">
    <w:name w:val="toc 2"/>
    <w:basedOn w:val="1"/>
    <w:next w:val="1"/>
    <w:autoRedefine/>
    <w:qFormat/>
    <w:uiPriority w:val="0"/>
    <w:pPr>
      <w:ind w:left="420" w:leftChars="200"/>
    </w:pPr>
    <w:rPr>
      <w:rFonts w:ascii="宋体"/>
      <w:b/>
      <w:sz w:val="28"/>
      <w:szCs w:val="20"/>
    </w:rPr>
  </w:style>
  <w:style w:type="paragraph" w:styleId="24">
    <w:name w:val="Body Text 2"/>
    <w:basedOn w:val="1"/>
    <w:next w:val="1"/>
    <w:autoRedefine/>
    <w:qFormat/>
    <w:uiPriority w:val="99"/>
    <w:rPr>
      <w:color w:val="0000FF"/>
    </w:rPr>
  </w:style>
  <w:style w:type="paragraph" w:styleId="2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7">
    <w:name w:val="Title"/>
    <w:basedOn w:val="1"/>
    <w:next w:val="1"/>
    <w:autoRedefine/>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28">
    <w:name w:val="Body Text First Indent"/>
    <w:basedOn w:val="11"/>
    <w:next w:val="29"/>
    <w:autoRedefine/>
    <w:unhideWhenUsed/>
    <w:qFormat/>
    <w:uiPriority w:val="99"/>
    <w:pPr>
      <w:ind w:firstLine="420" w:firstLineChars="100"/>
    </w:pPr>
  </w:style>
  <w:style w:type="paragraph" w:styleId="29">
    <w:name w:val="Body Text First Indent 2"/>
    <w:basedOn w:val="13"/>
    <w:next w:val="28"/>
    <w:autoRedefine/>
    <w:qFormat/>
    <w:uiPriority w:val="0"/>
    <w:pPr>
      <w:widowControl/>
      <w:overflowPunct w:val="0"/>
      <w:autoSpaceDE w:val="0"/>
      <w:autoSpaceDN w:val="0"/>
      <w:adjustRightInd w:val="0"/>
      <w:spacing w:line="360" w:lineRule="auto"/>
      <w:ind w:firstLine="420" w:firstLineChars="200"/>
      <w:jc w:val="both"/>
    </w:pPr>
    <w:rPr>
      <w:rFonts w:ascii="宋体" w:hAnsi="MS Sans Serif" w:eastAsia="宋体" w:cs="Times New Roman"/>
      <w:spacing w:val="12"/>
      <w:kern w:val="0"/>
      <w:sz w:val="24"/>
      <w:szCs w:val="20"/>
      <w:lang w:val="en-US" w:eastAsia="zh-CN" w:bidi="ar-SA"/>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 Char Char Char Char Char Char Char Char Char Char"/>
    <w:basedOn w:val="1"/>
    <w:link w:val="32"/>
    <w:autoRedefine/>
    <w:qFormat/>
    <w:uiPriority w:val="0"/>
  </w:style>
  <w:style w:type="character" w:styleId="34">
    <w:name w:val="Strong"/>
    <w:basedOn w:val="32"/>
    <w:autoRedefine/>
    <w:qFormat/>
    <w:uiPriority w:val="0"/>
    <w:rPr>
      <w:b/>
      <w:sz w:val="24"/>
      <w:szCs w:val="24"/>
    </w:rPr>
  </w:style>
  <w:style w:type="character" w:styleId="35">
    <w:name w:val="page number"/>
    <w:basedOn w:val="32"/>
    <w:autoRedefine/>
    <w:qFormat/>
    <w:uiPriority w:val="0"/>
  </w:style>
  <w:style w:type="character" w:styleId="36">
    <w:name w:val="FollowedHyperlink"/>
    <w:basedOn w:val="32"/>
    <w:autoRedefine/>
    <w:qFormat/>
    <w:uiPriority w:val="0"/>
    <w:rPr>
      <w:color w:val="800080"/>
      <w:u w:val="none"/>
    </w:rPr>
  </w:style>
  <w:style w:type="character" w:styleId="37">
    <w:name w:val="Emphasis"/>
    <w:basedOn w:val="32"/>
    <w:autoRedefine/>
    <w:qFormat/>
    <w:uiPriority w:val="0"/>
    <w:rPr>
      <w:color w:val="CC0000"/>
      <w:sz w:val="24"/>
      <w:szCs w:val="24"/>
    </w:rPr>
  </w:style>
  <w:style w:type="character" w:styleId="38">
    <w:name w:val="Hyperlink"/>
    <w:basedOn w:val="32"/>
    <w:autoRedefine/>
    <w:qFormat/>
    <w:uiPriority w:val="0"/>
    <w:rPr>
      <w:color w:val="0000FF"/>
      <w:u w:val="none"/>
    </w:rPr>
  </w:style>
  <w:style w:type="character" w:styleId="39">
    <w:name w:val="HTML Cite"/>
    <w:basedOn w:val="32"/>
    <w:autoRedefine/>
    <w:qFormat/>
    <w:uiPriority w:val="0"/>
    <w:rPr>
      <w:sz w:val="24"/>
      <w:szCs w:val="24"/>
    </w:rPr>
  </w:style>
  <w:style w:type="character" w:styleId="40">
    <w:name w:val="HTML Sample"/>
    <w:basedOn w:val="32"/>
    <w:autoRedefine/>
    <w:qFormat/>
    <w:uiPriority w:val="0"/>
    <w:rPr>
      <w:rFonts w:ascii="Courier New" w:hAnsi="Courier New"/>
    </w:rPr>
  </w:style>
  <w:style w:type="character" w:customStyle="1" w:styleId="41">
    <w:name w:val="标题 1 Char"/>
    <w:link w:val="2"/>
    <w:autoRedefine/>
    <w:qFormat/>
    <w:uiPriority w:val="9"/>
    <w:rPr>
      <w:rFonts w:ascii="Times New Roman" w:hAnsi="Times New Roman" w:eastAsia="宋体"/>
      <w:b/>
      <w:kern w:val="44"/>
      <w:sz w:val="32"/>
    </w:rPr>
  </w:style>
  <w:style w:type="character" w:customStyle="1" w:styleId="42">
    <w:name w:val="font61"/>
    <w:basedOn w:val="32"/>
    <w:autoRedefine/>
    <w:qFormat/>
    <w:uiPriority w:val="0"/>
    <w:rPr>
      <w:rFonts w:hint="default" w:ascii="楷体_GB2312" w:eastAsia="楷体_GB2312" w:cs="楷体_GB2312"/>
      <w:b/>
      <w:color w:val="000000"/>
      <w:sz w:val="36"/>
      <w:szCs w:val="36"/>
      <w:u w:val="none"/>
    </w:rPr>
  </w:style>
  <w:style w:type="character" w:customStyle="1" w:styleId="43">
    <w:name w:val="spzl"/>
    <w:basedOn w:val="32"/>
    <w:autoRedefine/>
    <w:qFormat/>
    <w:uiPriority w:val="0"/>
    <w:rPr>
      <w:b/>
      <w:color w:val="990000"/>
    </w:rPr>
  </w:style>
  <w:style w:type="character" w:customStyle="1" w:styleId="44">
    <w:name w:val="font11"/>
    <w:basedOn w:val="32"/>
    <w:autoRedefine/>
    <w:qFormat/>
    <w:uiPriority w:val="0"/>
    <w:rPr>
      <w:rFonts w:hint="eastAsia" w:ascii="宋体" w:hAnsi="宋体" w:eastAsia="宋体"/>
      <w:color w:val="000000"/>
      <w:sz w:val="28"/>
      <w:szCs w:val="28"/>
      <w:u w:val="none"/>
    </w:rPr>
  </w:style>
  <w:style w:type="character" w:customStyle="1" w:styleId="45">
    <w:name w:val="spzltpbt"/>
    <w:basedOn w:val="32"/>
    <w:autoRedefine/>
    <w:qFormat/>
    <w:uiPriority w:val="0"/>
  </w:style>
  <w:style w:type="character" w:customStyle="1" w:styleId="46">
    <w:name w:val="font21"/>
    <w:basedOn w:val="32"/>
    <w:autoRedefine/>
    <w:qFormat/>
    <w:uiPriority w:val="0"/>
    <w:rPr>
      <w:rFonts w:hint="eastAsia" w:ascii="仿宋_GB2312" w:eastAsia="仿宋_GB2312"/>
      <w:color w:val="000000"/>
      <w:sz w:val="28"/>
      <w:szCs w:val="28"/>
      <w:u w:val="none"/>
    </w:rPr>
  </w:style>
  <w:style w:type="character" w:customStyle="1" w:styleId="47">
    <w:name w:val="duanluobt"/>
    <w:basedOn w:val="32"/>
    <w:autoRedefine/>
    <w:qFormat/>
    <w:uiPriority w:val="0"/>
    <w:rPr>
      <w:b/>
      <w:sz w:val="27"/>
      <w:szCs w:val="27"/>
    </w:rPr>
  </w:style>
  <w:style w:type="character" w:customStyle="1" w:styleId="48">
    <w:name w:val="font01"/>
    <w:basedOn w:val="32"/>
    <w:autoRedefine/>
    <w:qFormat/>
    <w:uiPriority w:val="0"/>
    <w:rPr>
      <w:rFonts w:hint="default" w:ascii="Arial" w:hAnsi="Arial" w:cs="Arial"/>
      <w:color w:val="000000"/>
      <w:sz w:val="20"/>
      <w:szCs w:val="20"/>
      <w:u w:val="none"/>
    </w:rPr>
  </w:style>
  <w:style w:type="character" w:customStyle="1" w:styleId="49">
    <w:name w:val="selected"/>
    <w:basedOn w:val="32"/>
    <w:autoRedefine/>
    <w:qFormat/>
    <w:uiPriority w:val="0"/>
    <w:rPr>
      <w:shd w:val="clear" w:color="auto" w:fill="B00006"/>
    </w:rPr>
  </w:style>
  <w:style w:type="character" w:customStyle="1" w:styleId="50">
    <w:name w:val="displayarti"/>
    <w:basedOn w:val="32"/>
    <w:autoRedefine/>
    <w:qFormat/>
    <w:uiPriority w:val="0"/>
    <w:rPr>
      <w:color w:val="FFFFFF"/>
      <w:shd w:val="clear" w:color="auto" w:fill="A00000"/>
    </w:rPr>
  </w:style>
  <w:style w:type="character" w:customStyle="1" w:styleId="51">
    <w:name w:val="gpa"/>
    <w:basedOn w:val="32"/>
    <w:autoRedefine/>
    <w:qFormat/>
    <w:uiPriority w:val="0"/>
    <w:rPr>
      <w:rFonts w:ascii="Arial" w:hAnsi="Arial" w:cs="Arial"/>
      <w:sz w:val="15"/>
      <w:szCs w:val="15"/>
    </w:rPr>
  </w:style>
  <w:style w:type="character" w:customStyle="1" w:styleId="52">
    <w:name w:val="NormalCharacter"/>
    <w:autoRedefine/>
    <w:qFormat/>
    <w:uiPriority w:val="0"/>
    <w:rPr>
      <w:rFonts w:ascii="Calibri" w:hAnsi="Calibri"/>
      <w:kern w:val="2"/>
      <w:sz w:val="21"/>
      <w:lang w:val="en-US" w:eastAsia="zh-CN" w:bidi="ar-SA"/>
    </w:rPr>
  </w:style>
  <w:style w:type="character" w:customStyle="1" w:styleId="53">
    <w:name w:val="font41"/>
    <w:basedOn w:val="32"/>
    <w:autoRedefine/>
    <w:qFormat/>
    <w:uiPriority w:val="0"/>
    <w:rPr>
      <w:rFonts w:hint="eastAsia" w:ascii="宋体" w:hAnsi="宋体" w:eastAsia="宋体" w:cs="宋体"/>
      <w:color w:val="000000"/>
      <w:sz w:val="22"/>
      <w:szCs w:val="22"/>
      <w:u w:val="none"/>
      <w:vertAlign w:val="superscript"/>
    </w:rPr>
  </w:style>
  <w:style w:type="character" w:customStyle="1" w:styleId="54">
    <w:name w:val="Char Char4"/>
    <w:autoRedefine/>
    <w:qFormat/>
    <w:uiPriority w:val="0"/>
    <w:rPr>
      <w:rFonts w:ascii="Times New Roman" w:hAnsi="Times New Roman" w:eastAsia="宋体"/>
      <w:bCs/>
      <w:spacing w:val="0"/>
      <w:kern w:val="0"/>
      <w:sz w:val="28"/>
      <w:szCs w:val="28"/>
      <w:lang w:val="en-US" w:eastAsia="zh-CN" w:bidi="ar-SA"/>
    </w:rPr>
  </w:style>
  <w:style w:type="paragraph" w:customStyle="1" w:styleId="55">
    <w:name w:val="文档正文"/>
    <w:basedOn w:val="1"/>
    <w:autoRedefine/>
    <w:qFormat/>
    <w:uiPriority w:val="0"/>
    <w:pPr>
      <w:adjustRightInd w:val="0"/>
      <w:spacing w:line="480" w:lineRule="atLeast"/>
      <w:ind w:firstLine="567"/>
      <w:textAlignment w:val="baseline"/>
    </w:pPr>
    <w:rPr>
      <w:rFonts w:ascii="长城仿宋" w:eastAsia="长城仿宋"/>
      <w:kern w:val="0"/>
      <w:sz w:val="28"/>
      <w:szCs w:val="20"/>
    </w:rPr>
  </w:style>
  <w:style w:type="paragraph" w:styleId="56">
    <w:name w:val="List Paragraph"/>
    <w:basedOn w:val="1"/>
    <w:autoRedefine/>
    <w:unhideWhenUsed/>
    <w:qFormat/>
    <w:uiPriority w:val="99"/>
    <w:pPr>
      <w:ind w:firstLine="420" w:firstLineChars="200"/>
    </w:pPr>
  </w:style>
  <w:style w:type="paragraph" w:customStyle="1" w:styleId="57">
    <w:name w:val="reader-word-layer reader-word-s2-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表格或插图名"/>
    <w:basedOn w:val="1"/>
    <w:autoRedefine/>
    <w:qFormat/>
    <w:uiPriority w:val="0"/>
    <w:pPr>
      <w:spacing w:line="240" w:lineRule="auto"/>
      <w:ind w:firstLine="0" w:firstLineChars="0"/>
      <w:jc w:val="center"/>
    </w:pPr>
    <w:rPr>
      <w:sz w:val="21"/>
    </w:rPr>
  </w:style>
  <w:style w:type="paragraph" w:customStyle="1" w:styleId="59">
    <w:name w:val="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
    <w:name w:val="p0"/>
    <w:basedOn w:val="1"/>
    <w:autoRedefine/>
    <w:qFormat/>
    <w:uiPriority w:val="0"/>
    <w:pPr>
      <w:widowControl/>
    </w:pPr>
    <w:rPr>
      <w:rFonts w:ascii="Times New Roman" w:hAnsi="Times New Roman"/>
      <w:kern w:val="0"/>
      <w:szCs w:val="21"/>
    </w:rPr>
  </w:style>
  <w:style w:type="paragraph" w:customStyle="1" w:styleId="62">
    <w:name w:val=" Char"/>
    <w:basedOn w:val="1"/>
    <w:autoRedefine/>
    <w:qFormat/>
    <w:uiPriority w:val="0"/>
    <w:pPr>
      <w:tabs>
        <w:tab w:val="left" w:pos="432"/>
      </w:tabs>
      <w:spacing w:before="156" w:beforeLines="50" w:after="156" w:afterLines="50"/>
      <w:ind w:left="432" w:hanging="432"/>
    </w:pPr>
    <w:rPr>
      <w:sz w:val="24"/>
    </w:rPr>
  </w:style>
  <w:style w:type="paragraph" w:customStyle="1" w:styleId="63">
    <w:name w:val="首行缩进"/>
    <w:basedOn w:val="1"/>
    <w:autoRedefine/>
    <w:qFormat/>
    <w:uiPriority w:val="0"/>
    <w:pPr>
      <w:spacing w:line="360" w:lineRule="auto"/>
      <w:ind w:firstLine="480" w:firstLineChars="200"/>
    </w:pPr>
    <w:rPr>
      <w:sz w:val="24"/>
      <w:szCs w:val="22"/>
      <w:lang w:val="zh-CN"/>
    </w:rPr>
  </w:style>
  <w:style w:type="paragraph" w:customStyle="1" w:styleId="64">
    <w:name w:val="reader-word-layer reader-word-s5-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reader-word-layer reader-word-s4-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样式1"/>
    <w:basedOn w:val="1"/>
    <w:autoRedefine/>
    <w:qFormat/>
    <w:uiPriority w:val="0"/>
    <w:pPr>
      <w:adjustRightInd w:val="0"/>
    </w:pPr>
    <w:rPr>
      <w:rFonts w:hint="eastAsia" w:ascii="宋体" w:hAnsi="宋体" w:eastAsia="宋体" w:cs="Times New Roman"/>
      <w:kern w:val="0"/>
      <w:szCs w:val="21"/>
    </w:rPr>
  </w:style>
  <w:style w:type="paragraph" w:customStyle="1" w:styleId="67">
    <w:name w:val="reader-word-layer reader-word-s3-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www"/>
    <w:basedOn w:val="1"/>
    <w:autoRedefine/>
    <w:qFormat/>
    <w:uiPriority w:val="0"/>
    <w:pPr>
      <w:adjustRightInd w:val="0"/>
      <w:snapToGrid w:val="0"/>
      <w:spacing w:line="700" w:lineRule="exact"/>
      <w:ind w:firstLine="560" w:firstLineChars="200"/>
    </w:pPr>
    <w:rPr>
      <w:rFonts w:ascii="宋体" w:hAnsi="宋体"/>
      <w:snapToGrid w:val="0"/>
      <w:sz w:val="28"/>
      <w:szCs w:val="28"/>
    </w:rPr>
  </w:style>
  <w:style w:type="paragraph" w:customStyle="1" w:styleId="69">
    <w:name w:val="reader-word-layer reader-word-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0">
    <w:name w:val="reader-word-layer reader-word-s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1">
    <w:name w:val="reader-word-layer reader-word-s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2">
    <w:name w:val="样式"/>
    <w:autoRedefine/>
    <w:qFormat/>
    <w:uiPriority w:val="0"/>
    <w:pPr>
      <w:widowControl w:val="0"/>
      <w:autoSpaceDE w:val="0"/>
      <w:autoSpaceDN w:val="0"/>
      <w:adjustRightInd w:val="0"/>
    </w:pPr>
    <w:rPr>
      <w:rFonts w:ascii="宋体" w:hAnsi="宋体" w:eastAsia="宋体" w:cs="宋体"/>
      <w:sz w:val="24"/>
      <w:szCs w:val="24"/>
      <w:lang w:val="en-US" w:eastAsia="zh-CN" w:bidi="he-IL"/>
    </w:rPr>
  </w:style>
  <w:style w:type="paragraph" w:customStyle="1" w:styleId="73">
    <w:name w:val="_Style 19"/>
    <w:basedOn w:val="1"/>
    <w:next w:val="1"/>
    <w:autoRedefine/>
    <w:qFormat/>
    <w:uiPriority w:val="0"/>
    <w:pPr>
      <w:pBdr>
        <w:bottom w:val="single" w:color="auto" w:sz="6" w:space="1"/>
      </w:pBdr>
      <w:jc w:val="center"/>
    </w:pPr>
    <w:rPr>
      <w:rFonts w:ascii="Arial" w:eastAsia="宋体"/>
      <w:vanish/>
      <w:sz w:val="16"/>
    </w:rPr>
  </w:style>
  <w:style w:type="paragraph" w:customStyle="1" w:styleId="74">
    <w:name w:val="_Style 20"/>
    <w:basedOn w:val="1"/>
    <w:next w:val="1"/>
    <w:autoRedefine/>
    <w:qFormat/>
    <w:uiPriority w:val="0"/>
    <w:pPr>
      <w:pBdr>
        <w:top w:val="single" w:color="auto" w:sz="6" w:space="1"/>
      </w:pBdr>
      <w:jc w:val="center"/>
    </w:pPr>
    <w:rPr>
      <w:rFonts w:ascii="Arial" w:eastAsia="宋体"/>
      <w:vanish/>
      <w:sz w:val="16"/>
    </w:rPr>
  </w:style>
  <w:style w:type="paragraph" w:customStyle="1" w:styleId="75">
    <w:name w:val="我的正文"/>
    <w:autoRedefine/>
    <w:qFormat/>
    <w:uiPriority w:val="0"/>
    <w:pPr>
      <w:widowControl w:val="0"/>
      <w:spacing w:line="560" w:lineRule="exact"/>
      <w:ind w:firstLine="200" w:firstLineChars="200"/>
      <w:jc w:val="both"/>
    </w:pPr>
    <w:rPr>
      <w:rFonts w:ascii="宋体" w:hAnsi="Times New Roman" w:eastAsia="宋体" w:cs="Times New Roman"/>
      <w:sz w:val="28"/>
      <w:lang w:val="en-US" w:eastAsia="zh-CN" w:bidi="ar-SA"/>
    </w:rPr>
  </w:style>
  <w:style w:type="paragraph" w:customStyle="1" w:styleId="76">
    <w:name w:val="reader-word-layer reader-word-s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7">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
    <w:name w:val="reader-word-layer reader-word-s5-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9">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0">
    <w:name w:val="reader-word-layer reader-word-s4-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1">
    <w:name w:val=" Char Char Char"/>
    <w:basedOn w:val="1"/>
    <w:autoRedefine/>
    <w:qFormat/>
    <w:uiPriority w:val="0"/>
    <w:rPr>
      <w:rFonts w:ascii="Tahoma" w:hAnsi="Tahoma"/>
      <w:sz w:val="24"/>
      <w:szCs w:val="20"/>
    </w:rPr>
  </w:style>
  <w:style w:type="paragraph" w:customStyle="1" w:styleId="82">
    <w:name w:val="reader-word-layer reader-word-s5-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3">
    <w:name w:val="reader-word-layer reader-word-s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4">
    <w:name w:val="WPSOffice手动目录 1"/>
    <w:autoRedefine/>
    <w:qFormat/>
    <w:uiPriority w:val="0"/>
    <w:pPr>
      <w:ind w:leftChars="0"/>
    </w:pPr>
    <w:rPr>
      <w:rFonts w:ascii="Times New Roman" w:hAnsi="Times New Roman" w:eastAsia="宋体" w:cs="Times New Roman"/>
      <w:sz w:val="20"/>
      <w:szCs w:val="20"/>
    </w:rPr>
  </w:style>
  <w:style w:type="paragraph" w:customStyle="1" w:styleId="85">
    <w:name w:val="Other|1"/>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20"/>
      <w:szCs w:val="20"/>
      <w:lang w:val="en-US" w:eastAsia="zh-CN" w:bidi="ar"/>
    </w:rPr>
  </w:style>
  <w:style w:type="paragraph" w:customStyle="1" w:styleId="86">
    <w:name w:val="reader-word-layer reader-word-s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列出段落1"/>
    <w:basedOn w:val="1"/>
    <w:autoRedefine/>
    <w:qFormat/>
    <w:uiPriority w:val="34"/>
    <w:pPr>
      <w:ind w:firstLine="420" w:firstLineChars="200"/>
    </w:pPr>
  </w:style>
  <w:style w:type="paragraph" w:customStyle="1" w:styleId="88">
    <w:name w:val="样式 纯文本文章正文 + 左  0 字符"/>
    <w:basedOn w:val="1"/>
    <w:autoRedefine/>
    <w:qFormat/>
    <w:uiPriority w:val="0"/>
    <w:pPr>
      <w:ind w:firstLine="560"/>
    </w:pPr>
    <w:rPr>
      <w:rFonts w:ascii="宋体" w:hAnsi="Courier New"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13667</Words>
  <Characters>14393</Characters>
  <Lines>145</Lines>
  <Paragraphs>40</Paragraphs>
  <TotalTime>132</TotalTime>
  <ScaleCrop>false</ScaleCrop>
  <LinksUpToDate>false</LinksUpToDate>
  <CharactersWithSpaces>15646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2011-01-20T19:03:00Z</dcterms:created>
  <dc:creator>微软用户</dc:creator>
  <cp:lastModifiedBy>Administrator</cp:lastModifiedBy>
  <cp:lastPrinted>2022-07-11T07:48:00Z</cp:lastPrinted>
  <dcterms:modified xsi:type="dcterms:W3CDTF">2026-05-15T10:30:22Z</dcterms:modified>
  <dc:title>汾政采询（2011）1号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6D2389C9E65B4B7595E184CF988DE688_13</vt:lpwstr>
  </property>
  <property fmtid="{D5CDD505-2E9C-101B-9397-08002B2CF9AE}" pid="4" name="KSOTemplateDocerSaveRecord">
    <vt:lpwstr>eyJoZGlkIjoiYTIxMTlhNmU0MmI5Njc2ODA1YWU1ZWVjZDFjMTZiMjEiLCJ1c2VySWQiOiIyNjA0OTk2MjIifQ==</vt:lpwstr>
  </property>
</Properties>
</file>