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CBBB3">
      <w:pPr>
        <w:tabs>
          <w:tab w:val="left" w:pos="2070"/>
          <w:tab w:val="center" w:pos="4365"/>
        </w:tabs>
        <w:snapToGrid w:val="0"/>
        <w:rPr>
          <w:rFonts w:hint="eastAsia" w:ascii="仿宋" w:hAnsi="仿宋" w:eastAsia="仿宋"/>
          <w:sz w:val="30"/>
          <w:szCs w:val="30"/>
        </w:rPr>
      </w:pPr>
    </w:p>
    <w:p w14:paraId="1209B352">
      <w:pPr>
        <w:pStyle w:val="28"/>
        <w:rPr>
          <w:rFonts w:hint="eastAsia" w:ascii="仿宋" w:hAnsi="仿宋" w:eastAsia="仿宋"/>
          <w:sz w:val="30"/>
          <w:szCs w:val="30"/>
        </w:rPr>
      </w:pPr>
    </w:p>
    <w:p w14:paraId="19311CD8">
      <w:pPr>
        <w:pStyle w:val="28"/>
        <w:rPr>
          <w:rFonts w:hint="eastAsia" w:ascii="仿宋" w:hAnsi="仿宋" w:eastAsia="仿宋"/>
          <w:sz w:val="30"/>
          <w:szCs w:val="30"/>
        </w:rPr>
      </w:pPr>
    </w:p>
    <w:p w14:paraId="0C2C4BF6">
      <w:pPr>
        <w:pStyle w:val="28"/>
        <w:rPr>
          <w:rFonts w:hint="eastAsia" w:ascii="仿宋" w:hAnsi="仿宋" w:eastAsia="仿宋"/>
          <w:sz w:val="30"/>
          <w:szCs w:val="30"/>
        </w:rPr>
      </w:pPr>
    </w:p>
    <w:p w14:paraId="1A6AC668">
      <w:pPr>
        <w:pStyle w:val="28"/>
        <w:rPr>
          <w:rFonts w:hint="eastAsia" w:ascii="仿宋" w:hAnsi="仿宋" w:eastAsia="仿宋"/>
          <w:sz w:val="30"/>
          <w:szCs w:val="30"/>
        </w:rPr>
      </w:pPr>
    </w:p>
    <w:p w14:paraId="0D4A3370">
      <w:pPr>
        <w:tabs>
          <w:tab w:val="left" w:pos="2070"/>
          <w:tab w:val="center" w:pos="4365"/>
        </w:tabs>
        <w:snapToGrid w:val="0"/>
        <w:ind w:firstLine="9680" w:firstLineChars="2200"/>
        <w:rPr>
          <w:rFonts w:hint="eastAsia" w:ascii="仿宋" w:hAnsi="仿宋" w:eastAsia="仿宋"/>
          <w:sz w:val="44"/>
          <w:szCs w:val="44"/>
        </w:rPr>
      </w:pPr>
    </w:p>
    <w:p w14:paraId="72A4173E">
      <w:pPr>
        <w:tabs>
          <w:tab w:val="left" w:pos="2070"/>
          <w:tab w:val="center" w:pos="4365"/>
        </w:tabs>
        <w:snapToGrid w:val="0"/>
        <w:rPr>
          <w:rFonts w:hint="eastAsia" w:ascii="仿宋" w:hAnsi="仿宋" w:eastAsia="仿宋"/>
          <w:sz w:val="44"/>
          <w:szCs w:val="44"/>
        </w:rPr>
      </w:pPr>
    </w:p>
    <w:p w14:paraId="1C1C9146">
      <w:pPr>
        <w:tabs>
          <w:tab w:val="left" w:pos="2070"/>
          <w:tab w:val="center" w:pos="4365"/>
        </w:tabs>
        <w:snapToGrid w:val="0"/>
        <w:jc w:val="center"/>
        <w:rPr>
          <w:rFonts w:hint="eastAsia" w:ascii="仿宋" w:hAnsi="仿宋" w:eastAsia="仿宋"/>
          <w:b/>
          <w:sz w:val="96"/>
          <w:szCs w:val="96"/>
        </w:rPr>
      </w:pPr>
      <w:r>
        <w:rPr>
          <w:rFonts w:hint="eastAsia" w:ascii="仿宋" w:hAnsi="仿宋" w:eastAsia="仿宋"/>
          <w:b/>
          <w:sz w:val="96"/>
          <w:szCs w:val="96"/>
        </w:rPr>
        <w:t>公开招标文件</w:t>
      </w:r>
    </w:p>
    <w:p w14:paraId="0EFDE5B4">
      <w:pPr>
        <w:tabs>
          <w:tab w:val="left" w:pos="2070"/>
          <w:tab w:val="center" w:pos="4365"/>
        </w:tabs>
        <w:snapToGrid w:val="0"/>
        <w:jc w:val="center"/>
        <w:rPr>
          <w:rFonts w:hint="eastAsia" w:ascii="仿宋" w:hAnsi="仿宋" w:eastAsia="仿宋"/>
          <w:sz w:val="44"/>
          <w:szCs w:val="44"/>
        </w:rPr>
      </w:pPr>
    </w:p>
    <w:p w14:paraId="3D61D181">
      <w:pPr>
        <w:tabs>
          <w:tab w:val="left" w:pos="2070"/>
          <w:tab w:val="center" w:pos="4365"/>
        </w:tabs>
        <w:snapToGrid w:val="0"/>
        <w:jc w:val="center"/>
        <w:rPr>
          <w:rFonts w:hint="eastAsia" w:ascii="仿宋" w:hAnsi="仿宋" w:eastAsia="仿宋"/>
          <w:sz w:val="44"/>
          <w:szCs w:val="44"/>
        </w:rPr>
      </w:pPr>
    </w:p>
    <w:p w14:paraId="6CAF14A8">
      <w:pPr>
        <w:tabs>
          <w:tab w:val="left" w:pos="2070"/>
          <w:tab w:val="center" w:pos="4365"/>
        </w:tabs>
        <w:snapToGrid w:val="0"/>
        <w:jc w:val="center"/>
        <w:rPr>
          <w:rFonts w:hint="eastAsia" w:ascii="仿宋" w:hAnsi="仿宋" w:eastAsia="仿宋"/>
          <w:sz w:val="44"/>
          <w:szCs w:val="44"/>
        </w:rPr>
      </w:pPr>
    </w:p>
    <w:p w14:paraId="13B86639">
      <w:pPr>
        <w:tabs>
          <w:tab w:val="left" w:pos="2070"/>
          <w:tab w:val="center" w:pos="4365"/>
        </w:tabs>
        <w:snapToGrid w:val="0"/>
        <w:jc w:val="center"/>
        <w:rPr>
          <w:rFonts w:hint="eastAsia" w:ascii="仿宋" w:hAnsi="仿宋" w:eastAsia="仿宋"/>
          <w:sz w:val="44"/>
          <w:szCs w:val="44"/>
        </w:rPr>
      </w:pPr>
    </w:p>
    <w:p w14:paraId="24364F7B">
      <w:pPr>
        <w:tabs>
          <w:tab w:val="left" w:pos="2070"/>
          <w:tab w:val="center" w:pos="4365"/>
        </w:tabs>
        <w:snapToGrid w:val="0"/>
        <w:rPr>
          <w:rFonts w:hint="eastAsia" w:ascii="仿宋" w:hAnsi="仿宋" w:eastAsia="仿宋"/>
          <w:sz w:val="44"/>
          <w:szCs w:val="44"/>
        </w:rPr>
      </w:pPr>
    </w:p>
    <w:p w14:paraId="5293F30E">
      <w:pPr>
        <w:tabs>
          <w:tab w:val="left" w:pos="2070"/>
          <w:tab w:val="center" w:pos="4365"/>
        </w:tabs>
        <w:snapToGrid w:val="0"/>
        <w:spacing w:line="600" w:lineRule="exact"/>
        <w:ind w:firstLine="960" w:firstLineChars="300"/>
        <w:rPr>
          <w:rFonts w:hint="eastAsia" w:ascii="仿宋" w:hAnsi="仿宋" w:eastAsia="仿宋"/>
          <w:sz w:val="32"/>
          <w:szCs w:val="32"/>
        </w:rPr>
      </w:pPr>
      <w:r>
        <w:rPr>
          <w:rFonts w:hint="eastAsia" w:ascii="仿宋" w:hAnsi="仿宋" w:eastAsia="仿宋"/>
          <w:sz w:val="32"/>
          <w:szCs w:val="32"/>
        </w:rPr>
        <w:t>项目名称：长治市出生缺陷防治信息化平台服务采购项目</w:t>
      </w:r>
    </w:p>
    <w:p w14:paraId="10E043F8">
      <w:pPr>
        <w:tabs>
          <w:tab w:val="left" w:pos="2070"/>
          <w:tab w:val="center" w:pos="4365"/>
        </w:tabs>
        <w:snapToGrid w:val="0"/>
        <w:spacing w:line="600" w:lineRule="exact"/>
        <w:ind w:firstLine="960" w:firstLineChars="300"/>
        <w:rPr>
          <w:rFonts w:hint="eastAsia" w:ascii="仿宋" w:hAnsi="仿宋" w:eastAsia="仿宋"/>
          <w:sz w:val="32"/>
          <w:szCs w:val="32"/>
        </w:rPr>
      </w:pPr>
      <w:r>
        <w:rPr>
          <w:rFonts w:hint="eastAsia" w:ascii="仿宋" w:hAnsi="仿宋" w:eastAsia="仿宋"/>
          <w:sz w:val="32"/>
          <w:szCs w:val="32"/>
        </w:rPr>
        <w:t>项目编号：1404992026CGK00142</w:t>
      </w:r>
    </w:p>
    <w:p w14:paraId="069C3972">
      <w:pPr>
        <w:tabs>
          <w:tab w:val="left" w:pos="2070"/>
          <w:tab w:val="center" w:pos="4365"/>
        </w:tabs>
        <w:snapToGrid w:val="0"/>
        <w:spacing w:line="600" w:lineRule="exact"/>
        <w:ind w:firstLine="960" w:firstLineChars="300"/>
        <w:rPr>
          <w:rFonts w:hint="eastAsia" w:ascii="仿宋" w:hAnsi="仿宋" w:eastAsia="仿宋"/>
          <w:sz w:val="32"/>
          <w:szCs w:val="32"/>
        </w:rPr>
      </w:pPr>
      <w:r>
        <w:rPr>
          <w:rFonts w:hint="eastAsia" w:ascii="仿宋" w:hAnsi="仿宋" w:eastAsia="仿宋"/>
          <w:sz w:val="32"/>
          <w:szCs w:val="32"/>
        </w:rPr>
        <w:t>采 购 人：长治市妇幼保健院</w:t>
      </w:r>
    </w:p>
    <w:p w14:paraId="32546E4E">
      <w:pPr>
        <w:tabs>
          <w:tab w:val="left" w:pos="2070"/>
          <w:tab w:val="center" w:pos="4365"/>
        </w:tabs>
        <w:snapToGrid w:val="0"/>
        <w:spacing w:line="360" w:lineRule="auto"/>
        <w:rPr>
          <w:rFonts w:hint="eastAsia" w:ascii="仿宋" w:hAnsi="仿宋" w:eastAsia="仿宋"/>
          <w:sz w:val="32"/>
          <w:szCs w:val="32"/>
        </w:rPr>
      </w:pPr>
    </w:p>
    <w:p w14:paraId="6C188066">
      <w:pPr>
        <w:tabs>
          <w:tab w:val="left" w:pos="2070"/>
          <w:tab w:val="center" w:pos="4365"/>
        </w:tabs>
        <w:snapToGrid w:val="0"/>
        <w:spacing w:line="360" w:lineRule="auto"/>
        <w:rPr>
          <w:rFonts w:hint="eastAsia" w:ascii="仿宋" w:hAnsi="仿宋" w:eastAsia="仿宋"/>
          <w:sz w:val="32"/>
          <w:szCs w:val="32"/>
        </w:rPr>
      </w:pPr>
    </w:p>
    <w:p w14:paraId="0302AFA3">
      <w:pPr>
        <w:tabs>
          <w:tab w:val="left" w:pos="2070"/>
          <w:tab w:val="center" w:pos="4365"/>
        </w:tabs>
        <w:snapToGrid w:val="0"/>
        <w:spacing w:line="360" w:lineRule="auto"/>
        <w:rPr>
          <w:rFonts w:hint="eastAsia" w:ascii="仿宋" w:hAnsi="仿宋" w:eastAsia="仿宋"/>
          <w:sz w:val="32"/>
          <w:szCs w:val="32"/>
        </w:rPr>
      </w:pPr>
    </w:p>
    <w:p w14:paraId="1918A6F5">
      <w:pPr>
        <w:tabs>
          <w:tab w:val="left" w:pos="2070"/>
          <w:tab w:val="center" w:pos="4365"/>
        </w:tabs>
        <w:snapToGrid w:val="0"/>
        <w:spacing w:line="360" w:lineRule="auto"/>
        <w:rPr>
          <w:rFonts w:hint="eastAsia" w:ascii="仿宋" w:hAnsi="仿宋" w:eastAsia="仿宋"/>
          <w:sz w:val="32"/>
          <w:szCs w:val="32"/>
        </w:rPr>
      </w:pPr>
      <w:r>
        <w:rPr>
          <w:rFonts w:hint="eastAsia" w:ascii="仿宋" w:hAnsi="仿宋" w:eastAsia="仿宋"/>
          <w:sz w:val="32"/>
          <w:szCs w:val="32"/>
        </w:rPr>
        <w:t>集中采购机构：长治市公共资源交易中心（长治市政府采购中心）</w:t>
      </w:r>
    </w:p>
    <w:p w14:paraId="61C9B4F5">
      <w:pPr>
        <w:tabs>
          <w:tab w:val="left" w:pos="2070"/>
          <w:tab w:val="center" w:pos="4365"/>
        </w:tabs>
        <w:snapToGrid w:val="0"/>
        <w:rPr>
          <w:rFonts w:hint="eastAsia" w:ascii="仿宋" w:hAnsi="仿宋" w:eastAsia="仿宋"/>
          <w:sz w:val="32"/>
          <w:szCs w:val="32"/>
        </w:rPr>
      </w:pPr>
    </w:p>
    <w:p w14:paraId="12301571">
      <w:pPr>
        <w:tabs>
          <w:tab w:val="left" w:pos="2070"/>
          <w:tab w:val="center" w:pos="4365"/>
        </w:tabs>
        <w:snapToGrid w:val="0"/>
        <w:rPr>
          <w:rFonts w:hint="eastAsia" w:ascii="仿宋" w:hAnsi="仿宋" w:eastAsia="仿宋"/>
          <w:sz w:val="32"/>
          <w:szCs w:val="32"/>
        </w:rPr>
      </w:pPr>
    </w:p>
    <w:p w14:paraId="59B33BE2">
      <w:pPr>
        <w:tabs>
          <w:tab w:val="left" w:pos="2070"/>
          <w:tab w:val="center" w:pos="4365"/>
        </w:tabs>
        <w:snapToGrid w:val="0"/>
        <w:rPr>
          <w:rFonts w:hint="eastAsia" w:ascii="仿宋" w:hAnsi="仿宋" w:eastAsia="仿宋"/>
          <w:sz w:val="32"/>
          <w:szCs w:val="32"/>
        </w:rPr>
      </w:pPr>
    </w:p>
    <w:p w14:paraId="4C0D30E8">
      <w:pPr>
        <w:tabs>
          <w:tab w:val="left" w:pos="2070"/>
          <w:tab w:val="center" w:pos="4365"/>
        </w:tabs>
        <w:snapToGrid w:val="0"/>
        <w:rPr>
          <w:rFonts w:hint="eastAsia" w:ascii="仿宋" w:hAnsi="仿宋" w:eastAsia="仿宋"/>
          <w:sz w:val="32"/>
          <w:szCs w:val="32"/>
        </w:rPr>
      </w:pPr>
    </w:p>
    <w:p w14:paraId="311A0C06">
      <w:pPr>
        <w:tabs>
          <w:tab w:val="left" w:pos="2070"/>
          <w:tab w:val="center" w:pos="4365"/>
        </w:tabs>
        <w:snapToGrid w:val="0"/>
        <w:rPr>
          <w:rFonts w:hint="eastAsia" w:ascii="仿宋" w:hAnsi="仿宋" w:eastAsia="仿宋"/>
          <w:sz w:val="32"/>
          <w:szCs w:val="32"/>
        </w:rPr>
      </w:pPr>
    </w:p>
    <w:p w14:paraId="4F4C108E">
      <w:pPr>
        <w:tabs>
          <w:tab w:val="left" w:pos="2070"/>
          <w:tab w:val="center" w:pos="4365"/>
        </w:tabs>
        <w:snapToGrid w:val="0"/>
        <w:jc w:val="center"/>
        <w:rPr>
          <w:rFonts w:hint="eastAsia" w:ascii="仿宋" w:hAnsi="仿宋" w:eastAsia="仿宋"/>
          <w:sz w:val="32"/>
          <w:szCs w:val="32"/>
        </w:rPr>
        <w:sectPr>
          <w:headerReference r:id="rId3" w:type="default"/>
          <w:pgSz w:w="11906" w:h="16838"/>
          <w:pgMar w:top="1134" w:right="1361" w:bottom="1021" w:left="1531" w:header="851" w:footer="992" w:gutter="0"/>
          <w:pgNumType w:start="1"/>
          <w:cols w:space="720" w:num="1"/>
          <w:docGrid w:type="lines" w:linePitch="312" w:charSpace="0"/>
        </w:sectPr>
      </w:pPr>
    </w:p>
    <w:p w14:paraId="3423F147">
      <w:pPr>
        <w:tabs>
          <w:tab w:val="left" w:pos="2070"/>
          <w:tab w:val="center" w:pos="4365"/>
        </w:tabs>
        <w:snapToGrid w:val="0"/>
        <w:rPr>
          <w:rFonts w:hint="eastAsia" w:ascii="仿宋" w:hAnsi="仿宋" w:eastAsia="仿宋"/>
          <w:b/>
          <w:sz w:val="28"/>
          <w:szCs w:val="28"/>
        </w:rPr>
      </w:pPr>
    </w:p>
    <w:p w14:paraId="61EBF487">
      <w:pPr>
        <w:tabs>
          <w:tab w:val="left" w:pos="2070"/>
          <w:tab w:val="center" w:pos="4365"/>
        </w:tabs>
        <w:snapToGrid w:val="0"/>
        <w:jc w:val="center"/>
        <w:rPr>
          <w:rFonts w:hint="eastAsia" w:ascii="仿宋" w:hAnsi="仿宋" w:eastAsia="仿宋"/>
          <w:b/>
          <w:sz w:val="28"/>
          <w:szCs w:val="28"/>
        </w:rPr>
      </w:pPr>
      <w:r>
        <w:rPr>
          <w:rFonts w:hint="eastAsia" w:ascii="仿宋" w:hAnsi="仿宋" w:eastAsia="仿宋"/>
          <w:b/>
          <w:sz w:val="28"/>
          <w:szCs w:val="28"/>
        </w:rPr>
        <w:t>目      录</w:t>
      </w:r>
    </w:p>
    <w:p w14:paraId="3410C0AD">
      <w:pPr>
        <w:pStyle w:val="30"/>
        <w:tabs>
          <w:tab w:val="right" w:leader="dot" w:pos="9004"/>
        </w:tabs>
        <w:spacing w:line="360" w:lineRule="auto"/>
        <w:rPr>
          <w:rFonts w:hint="eastAsia" w:ascii="仿宋" w:hAnsi="仿宋" w:eastAsia="仿宋"/>
          <w:szCs w:val="22"/>
        </w:rPr>
      </w:pPr>
      <w:r>
        <w:rPr>
          <w:rFonts w:ascii="仿宋" w:hAnsi="仿宋" w:eastAsia="仿宋"/>
        </w:rPr>
        <w:fldChar w:fldCharType="begin"/>
      </w:r>
      <w:r>
        <w:rPr>
          <w:rFonts w:ascii="仿宋" w:hAnsi="仿宋" w:eastAsia="仿宋"/>
        </w:rPr>
        <w:instrText xml:space="preserve"> TOC \o "1-2" \h \z \u </w:instrText>
      </w:r>
      <w:r>
        <w:rPr>
          <w:rFonts w:ascii="仿宋" w:hAnsi="仿宋" w:eastAsia="仿宋"/>
        </w:rPr>
        <w:fldChar w:fldCharType="separate"/>
      </w:r>
      <w:r>
        <w:fldChar w:fldCharType="begin"/>
      </w:r>
      <w:r>
        <w:instrText xml:space="preserve"> HYPERLINK \l "_Toc26881688" </w:instrText>
      </w:r>
      <w:r>
        <w:fldChar w:fldCharType="separate"/>
      </w:r>
      <w:r>
        <w:rPr>
          <w:rStyle w:val="45"/>
          <w:rFonts w:hint="eastAsia" w:ascii="仿宋" w:hAnsi="仿宋" w:eastAsia="仿宋"/>
          <w:color w:val="auto"/>
          <w:spacing w:val="20"/>
        </w:rPr>
        <w:t>第一部分 招标公告</w:t>
      </w:r>
      <w:r>
        <w:rPr>
          <w:rFonts w:ascii="仿宋" w:hAnsi="仿宋" w:eastAsia="仿宋"/>
        </w:rPr>
        <w:tab/>
      </w:r>
      <w:r>
        <w:rPr>
          <w:rFonts w:hint="eastAsia" w:ascii="仿宋" w:hAnsi="仿宋" w:eastAsia="仿宋"/>
        </w:rPr>
        <w:t>1</w:t>
      </w:r>
      <w:r>
        <w:rPr>
          <w:rFonts w:hint="eastAsia" w:ascii="仿宋" w:hAnsi="仿宋" w:eastAsia="仿宋"/>
        </w:rPr>
        <w:fldChar w:fldCharType="end"/>
      </w:r>
    </w:p>
    <w:p w14:paraId="01BC7A54">
      <w:pPr>
        <w:pStyle w:val="30"/>
        <w:tabs>
          <w:tab w:val="right" w:leader="dot" w:pos="9004"/>
        </w:tabs>
        <w:spacing w:line="360" w:lineRule="auto"/>
        <w:rPr>
          <w:rFonts w:hint="eastAsia" w:ascii="仿宋" w:hAnsi="仿宋" w:eastAsia="仿宋"/>
          <w:szCs w:val="22"/>
        </w:rPr>
      </w:pPr>
      <w:r>
        <w:fldChar w:fldCharType="begin"/>
      </w:r>
      <w:r>
        <w:instrText xml:space="preserve"> HYPERLINK \l "_Toc26881689" </w:instrText>
      </w:r>
      <w:r>
        <w:fldChar w:fldCharType="separate"/>
      </w:r>
      <w:r>
        <w:rPr>
          <w:rStyle w:val="45"/>
          <w:rFonts w:hint="eastAsia" w:ascii="仿宋" w:hAnsi="仿宋" w:eastAsia="仿宋"/>
          <w:color w:val="auto"/>
          <w:spacing w:val="20"/>
        </w:rPr>
        <w:t>第二部分 投标人须知前附表</w:t>
      </w:r>
      <w:r>
        <w:rPr>
          <w:rFonts w:ascii="仿宋" w:hAnsi="仿宋" w:eastAsia="仿宋"/>
        </w:rPr>
        <w:tab/>
      </w:r>
      <w:r>
        <w:rPr>
          <w:rFonts w:hint="eastAsia" w:ascii="仿宋" w:hAnsi="仿宋" w:eastAsia="仿宋"/>
        </w:rPr>
        <w:t>5</w:t>
      </w:r>
      <w:r>
        <w:rPr>
          <w:rFonts w:hint="eastAsia" w:ascii="仿宋" w:hAnsi="仿宋" w:eastAsia="仿宋"/>
        </w:rPr>
        <w:fldChar w:fldCharType="end"/>
      </w:r>
    </w:p>
    <w:p w14:paraId="36AD94F3">
      <w:pPr>
        <w:pStyle w:val="30"/>
        <w:tabs>
          <w:tab w:val="right" w:leader="dot" w:pos="9004"/>
        </w:tabs>
        <w:spacing w:line="360" w:lineRule="auto"/>
        <w:rPr>
          <w:rFonts w:hint="eastAsia" w:ascii="仿宋" w:hAnsi="仿宋" w:eastAsia="仿宋"/>
          <w:szCs w:val="22"/>
        </w:rPr>
      </w:pPr>
      <w:r>
        <w:fldChar w:fldCharType="begin"/>
      </w:r>
      <w:r>
        <w:instrText xml:space="preserve"> HYPERLINK \l "_Toc26881690" </w:instrText>
      </w:r>
      <w:r>
        <w:fldChar w:fldCharType="separate"/>
      </w:r>
      <w:r>
        <w:rPr>
          <w:rStyle w:val="45"/>
          <w:rFonts w:hint="eastAsia" w:ascii="仿宋" w:hAnsi="仿宋" w:eastAsia="仿宋"/>
          <w:color w:val="auto"/>
          <w:spacing w:val="20"/>
        </w:rPr>
        <w:t>第三部分 投标人须知</w:t>
      </w:r>
      <w:r>
        <w:rPr>
          <w:rFonts w:ascii="仿宋" w:hAnsi="仿宋" w:eastAsia="仿宋"/>
        </w:rPr>
        <w:tab/>
      </w:r>
      <w:r>
        <w:rPr>
          <w:rFonts w:hint="eastAsia" w:ascii="仿宋" w:hAnsi="仿宋" w:eastAsia="仿宋"/>
        </w:rPr>
        <w:t>6</w:t>
      </w:r>
      <w:r>
        <w:rPr>
          <w:rFonts w:hint="eastAsia" w:ascii="仿宋" w:hAnsi="仿宋" w:eastAsia="仿宋"/>
        </w:rPr>
        <w:fldChar w:fldCharType="end"/>
      </w:r>
    </w:p>
    <w:p w14:paraId="3C37FD1B">
      <w:pPr>
        <w:pStyle w:val="31"/>
        <w:tabs>
          <w:tab w:val="left" w:pos="1260"/>
          <w:tab w:val="right" w:leader="dot" w:pos="9004"/>
        </w:tabs>
        <w:spacing w:line="360" w:lineRule="auto"/>
        <w:rPr>
          <w:rFonts w:hint="eastAsia" w:ascii="仿宋" w:hAnsi="仿宋" w:eastAsia="仿宋"/>
          <w:szCs w:val="22"/>
        </w:rPr>
      </w:pPr>
      <w:r>
        <w:fldChar w:fldCharType="begin"/>
      </w:r>
      <w:r>
        <w:instrText xml:space="preserve"> HYPERLINK \l "_Toc26881691" </w:instrText>
      </w:r>
      <w:r>
        <w:fldChar w:fldCharType="separate"/>
      </w:r>
      <w:r>
        <w:rPr>
          <w:rStyle w:val="45"/>
          <w:rFonts w:hint="eastAsia" w:ascii="仿宋" w:hAnsi="仿宋" w:eastAsia="仿宋"/>
          <w:color w:val="auto"/>
          <w:spacing w:val="10"/>
        </w:rPr>
        <w:t>一、总则</w:t>
      </w:r>
      <w:r>
        <w:rPr>
          <w:rFonts w:ascii="仿宋" w:hAnsi="仿宋" w:eastAsia="仿宋"/>
        </w:rPr>
        <w:tab/>
      </w:r>
      <w:r>
        <w:rPr>
          <w:rFonts w:hint="eastAsia" w:ascii="仿宋" w:hAnsi="仿宋" w:eastAsia="仿宋"/>
        </w:rPr>
        <w:t>7</w:t>
      </w:r>
      <w:r>
        <w:rPr>
          <w:rFonts w:hint="eastAsia" w:ascii="仿宋" w:hAnsi="仿宋" w:eastAsia="仿宋"/>
        </w:rPr>
        <w:fldChar w:fldCharType="end"/>
      </w:r>
    </w:p>
    <w:p w14:paraId="4AF5C295">
      <w:pPr>
        <w:pStyle w:val="31"/>
        <w:tabs>
          <w:tab w:val="right" w:leader="dot" w:pos="9004"/>
        </w:tabs>
        <w:spacing w:line="360" w:lineRule="auto"/>
        <w:rPr>
          <w:rFonts w:hint="eastAsia" w:ascii="仿宋" w:hAnsi="仿宋" w:eastAsia="仿宋"/>
          <w:szCs w:val="22"/>
        </w:rPr>
      </w:pPr>
      <w:r>
        <w:fldChar w:fldCharType="begin"/>
      </w:r>
      <w:r>
        <w:instrText xml:space="preserve"> HYPERLINK \l "_Toc26881692" </w:instrText>
      </w:r>
      <w:r>
        <w:fldChar w:fldCharType="separate"/>
      </w:r>
      <w:r>
        <w:rPr>
          <w:rStyle w:val="45"/>
          <w:rFonts w:hint="eastAsia" w:ascii="仿宋" w:hAnsi="仿宋" w:eastAsia="仿宋"/>
          <w:color w:val="auto"/>
          <w:spacing w:val="10"/>
        </w:rPr>
        <w:t>二、招标文件</w:t>
      </w:r>
      <w:r>
        <w:rPr>
          <w:rFonts w:ascii="仿宋" w:hAnsi="仿宋" w:eastAsia="仿宋"/>
        </w:rPr>
        <w:tab/>
      </w:r>
      <w:r>
        <w:rPr>
          <w:rFonts w:hint="eastAsia" w:ascii="仿宋" w:hAnsi="仿宋" w:eastAsia="仿宋"/>
        </w:rPr>
        <w:t>8</w:t>
      </w:r>
      <w:r>
        <w:rPr>
          <w:rFonts w:hint="eastAsia" w:ascii="仿宋" w:hAnsi="仿宋" w:eastAsia="仿宋"/>
        </w:rPr>
        <w:fldChar w:fldCharType="end"/>
      </w:r>
    </w:p>
    <w:p w14:paraId="5136BCCC">
      <w:pPr>
        <w:pStyle w:val="31"/>
        <w:tabs>
          <w:tab w:val="right" w:leader="dot" w:pos="9004"/>
        </w:tabs>
        <w:spacing w:line="360" w:lineRule="auto"/>
        <w:rPr>
          <w:rFonts w:hint="eastAsia" w:ascii="仿宋" w:hAnsi="仿宋" w:eastAsia="仿宋"/>
          <w:szCs w:val="22"/>
        </w:rPr>
      </w:pPr>
      <w:r>
        <w:fldChar w:fldCharType="begin"/>
      </w:r>
      <w:r>
        <w:instrText xml:space="preserve"> HYPERLINK \l "_Toc26881693" </w:instrText>
      </w:r>
      <w:r>
        <w:fldChar w:fldCharType="separate"/>
      </w:r>
      <w:r>
        <w:rPr>
          <w:rStyle w:val="45"/>
          <w:rFonts w:hint="eastAsia" w:ascii="仿宋" w:hAnsi="仿宋" w:eastAsia="仿宋"/>
          <w:color w:val="auto"/>
          <w:spacing w:val="10"/>
        </w:rPr>
        <w:t>三、投标文件</w:t>
      </w:r>
      <w:r>
        <w:rPr>
          <w:rFonts w:ascii="仿宋" w:hAnsi="仿宋" w:eastAsia="仿宋"/>
        </w:rPr>
        <w:tab/>
      </w:r>
      <w:r>
        <w:rPr>
          <w:rFonts w:hint="eastAsia" w:ascii="仿宋" w:hAnsi="仿宋" w:eastAsia="仿宋"/>
        </w:rPr>
        <w:t>9</w:t>
      </w:r>
      <w:r>
        <w:rPr>
          <w:rFonts w:hint="eastAsia" w:ascii="仿宋" w:hAnsi="仿宋" w:eastAsia="仿宋"/>
        </w:rPr>
        <w:fldChar w:fldCharType="end"/>
      </w:r>
    </w:p>
    <w:p w14:paraId="3BF5C2D0">
      <w:pPr>
        <w:pStyle w:val="31"/>
        <w:tabs>
          <w:tab w:val="right" w:leader="dot" w:pos="9004"/>
        </w:tabs>
        <w:spacing w:line="360" w:lineRule="auto"/>
        <w:rPr>
          <w:rFonts w:hint="eastAsia" w:ascii="仿宋" w:hAnsi="仿宋" w:eastAsia="仿宋"/>
          <w:szCs w:val="22"/>
        </w:rPr>
      </w:pPr>
      <w:r>
        <w:fldChar w:fldCharType="begin"/>
      </w:r>
      <w:r>
        <w:instrText xml:space="preserve"> HYPERLINK \l "_Toc26881694" </w:instrText>
      </w:r>
      <w:r>
        <w:fldChar w:fldCharType="separate"/>
      </w:r>
      <w:r>
        <w:rPr>
          <w:rStyle w:val="45"/>
          <w:rFonts w:hint="eastAsia" w:ascii="仿宋" w:hAnsi="仿宋" w:eastAsia="仿宋"/>
          <w:color w:val="auto"/>
          <w:spacing w:val="10"/>
        </w:rPr>
        <w:t>四、投标文件的递交</w:t>
      </w:r>
      <w:r>
        <w:rPr>
          <w:rFonts w:ascii="仿宋" w:hAnsi="仿宋" w:eastAsia="仿宋"/>
        </w:rPr>
        <w:tab/>
      </w:r>
      <w:r>
        <w:rPr>
          <w:rFonts w:hint="eastAsia" w:ascii="仿宋" w:hAnsi="仿宋" w:eastAsia="仿宋"/>
        </w:rPr>
        <w:t>1</w:t>
      </w:r>
      <w:r>
        <w:rPr>
          <w:rFonts w:hint="eastAsia" w:ascii="仿宋" w:hAnsi="仿宋" w:eastAsia="仿宋"/>
        </w:rPr>
        <w:fldChar w:fldCharType="end"/>
      </w:r>
      <w:r>
        <w:rPr>
          <w:rFonts w:hint="eastAsia" w:ascii="仿宋" w:hAnsi="仿宋" w:eastAsia="仿宋"/>
        </w:rPr>
        <w:t>1</w:t>
      </w:r>
    </w:p>
    <w:p w14:paraId="5E3F8432">
      <w:pPr>
        <w:pStyle w:val="31"/>
        <w:tabs>
          <w:tab w:val="right" w:leader="dot" w:pos="9004"/>
        </w:tabs>
        <w:spacing w:line="360" w:lineRule="auto"/>
        <w:rPr>
          <w:rFonts w:hint="eastAsia" w:ascii="仿宋" w:hAnsi="仿宋" w:eastAsia="仿宋"/>
          <w:szCs w:val="22"/>
        </w:rPr>
      </w:pPr>
      <w:r>
        <w:fldChar w:fldCharType="begin"/>
      </w:r>
      <w:r>
        <w:instrText xml:space="preserve"> HYPERLINK \l "_Toc26881695" </w:instrText>
      </w:r>
      <w:r>
        <w:fldChar w:fldCharType="separate"/>
      </w:r>
      <w:r>
        <w:rPr>
          <w:rStyle w:val="45"/>
          <w:rFonts w:hint="eastAsia" w:ascii="仿宋" w:hAnsi="仿宋" w:eastAsia="仿宋"/>
          <w:color w:val="auto"/>
          <w:spacing w:val="10"/>
        </w:rPr>
        <w:t>五、开标</w:t>
      </w:r>
      <w:r>
        <w:rPr>
          <w:rFonts w:ascii="仿宋" w:hAnsi="仿宋" w:eastAsia="仿宋"/>
        </w:rPr>
        <w:tab/>
      </w:r>
      <w:r>
        <w:rPr>
          <w:rFonts w:ascii="仿宋" w:hAnsi="仿宋" w:eastAsia="仿宋"/>
        </w:rPr>
        <w:fldChar w:fldCharType="begin"/>
      </w:r>
      <w:r>
        <w:rPr>
          <w:rFonts w:ascii="仿宋" w:hAnsi="仿宋" w:eastAsia="仿宋"/>
        </w:rPr>
        <w:instrText xml:space="preserve"> PAGEREF _Toc26881695 \h </w:instrText>
      </w:r>
      <w:r>
        <w:rPr>
          <w:rFonts w:ascii="仿宋" w:hAnsi="仿宋" w:eastAsia="仿宋"/>
        </w:rPr>
        <w:fldChar w:fldCharType="separate"/>
      </w:r>
      <w:r>
        <w:rPr>
          <w:rFonts w:ascii="仿宋" w:hAnsi="仿宋" w:eastAsia="仿宋"/>
        </w:rPr>
        <w:t>12</w:t>
      </w:r>
      <w:r>
        <w:rPr>
          <w:rFonts w:ascii="仿宋" w:hAnsi="仿宋" w:eastAsia="仿宋"/>
        </w:rPr>
        <w:fldChar w:fldCharType="end"/>
      </w:r>
      <w:r>
        <w:rPr>
          <w:rFonts w:ascii="仿宋" w:hAnsi="仿宋" w:eastAsia="仿宋"/>
        </w:rPr>
        <w:fldChar w:fldCharType="end"/>
      </w:r>
    </w:p>
    <w:p w14:paraId="45BF5BD0">
      <w:pPr>
        <w:pStyle w:val="31"/>
        <w:tabs>
          <w:tab w:val="right" w:leader="dot" w:pos="9004"/>
        </w:tabs>
        <w:spacing w:line="360" w:lineRule="auto"/>
        <w:rPr>
          <w:rFonts w:hint="eastAsia" w:ascii="仿宋" w:hAnsi="仿宋" w:eastAsia="仿宋"/>
          <w:szCs w:val="22"/>
        </w:rPr>
      </w:pPr>
      <w:r>
        <w:fldChar w:fldCharType="begin"/>
      </w:r>
      <w:r>
        <w:instrText xml:space="preserve"> HYPERLINK \l "_Toc26881696" </w:instrText>
      </w:r>
      <w:r>
        <w:fldChar w:fldCharType="separate"/>
      </w:r>
      <w:r>
        <w:rPr>
          <w:rStyle w:val="45"/>
          <w:rFonts w:hint="eastAsia" w:ascii="仿宋" w:hAnsi="仿宋" w:eastAsia="仿宋"/>
          <w:color w:val="auto"/>
          <w:spacing w:val="10"/>
        </w:rPr>
        <w:t>六、评标程序和要求</w:t>
      </w:r>
      <w:r>
        <w:rPr>
          <w:rFonts w:ascii="仿宋" w:hAnsi="仿宋" w:eastAsia="仿宋"/>
        </w:rPr>
        <w:tab/>
      </w:r>
      <w:r>
        <w:rPr>
          <w:rFonts w:ascii="仿宋" w:hAnsi="仿宋" w:eastAsia="仿宋"/>
        </w:rPr>
        <w:fldChar w:fldCharType="begin"/>
      </w:r>
      <w:r>
        <w:rPr>
          <w:rFonts w:ascii="仿宋" w:hAnsi="仿宋" w:eastAsia="仿宋"/>
        </w:rPr>
        <w:instrText xml:space="preserve"> PAGEREF _Toc26881696 \h </w:instrText>
      </w:r>
      <w:r>
        <w:rPr>
          <w:rFonts w:ascii="仿宋" w:hAnsi="仿宋" w:eastAsia="仿宋"/>
        </w:rPr>
        <w:fldChar w:fldCharType="separate"/>
      </w:r>
      <w:r>
        <w:rPr>
          <w:rFonts w:ascii="仿宋" w:hAnsi="仿宋" w:eastAsia="仿宋"/>
        </w:rPr>
        <w:t>12</w:t>
      </w:r>
      <w:r>
        <w:rPr>
          <w:rFonts w:ascii="仿宋" w:hAnsi="仿宋" w:eastAsia="仿宋"/>
        </w:rPr>
        <w:fldChar w:fldCharType="end"/>
      </w:r>
      <w:r>
        <w:rPr>
          <w:rFonts w:ascii="仿宋" w:hAnsi="仿宋" w:eastAsia="仿宋"/>
        </w:rPr>
        <w:fldChar w:fldCharType="end"/>
      </w:r>
    </w:p>
    <w:p w14:paraId="593218BF">
      <w:pPr>
        <w:pStyle w:val="31"/>
        <w:tabs>
          <w:tab w:val="right" w:leader="dot" w:pos="9004"/>
        </w:tabs>
        <w:spacing w:line="360" w:lineRule="auto"/>
        <w:rPr>
          <w:rFonts w:hint="eastAsia" w:ascii="仿宋" w:hAnsi="仿宋" w:eastAsia="仿宋"/>
          <w:szCs w:val="22"/>
        </w:rPr>
      </w:pPr>
      <w:r>
        <w:fldChar w:fldCharType="begin"/>
      </w:r>
      <w:r>
        <w:instrText xml:space="preserve"> HYPERLINK \l "_Toc26881697" </w:instrText>
      </w:r>
      <w:r>
        <w:fldChar w:fldCharType="separate"/>
      </w:r>
      <w:r>
        <w:rPr>
          <w:rStyle w:val="45"/>
          <w:rFonts w:hint="eastAsia" w:ascii="仿宋" w:hAnsi="仿宋" w:eastAsia="仿宋"/>
          <w:color w:val="auto"/>
          <w:spacing w:val="10"/>
        </w:rPr>
        <w:t>七、签订合同</w:t>
      </w:r>
      <w:r>
        <w:rPr>
          <w:rFonts w:ascii="仿宋" w:hAnsi="仿宋" w:eastAsia="仿宋"/>
        </w:rPr>
        <w:tab/>
      </w:r>
      <w:r>
        <w:rPr>
          <w:rFonts w:ascii="仿宋" w:hAnsi="仿宋" w:eastAsia="仿宋"/>
        </w:rPr>
        <w:fldChar w:fldCharType="begin"/>
      </w:r>
      <w:r>
        <w:rPr>
          <w:rFonts w:ascii="仿宋" w:hAnsi="仿宋" w:eastAsia="仿宋"/>
        </w:rPr>
        <w:instrText xml:space="preserve"> PAGEREF _Toc26881697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14:paraId="71EC3D96">
      <w:pPr>
        <w:pStyle w:val="31"/>
        <w:tabs>
          <w:tab w:val="right" w:leader="dot" w:pos="9004"/>
        </w:tabs>
        <w:spacing w:line="360" w:lineRule="auto"/>
        <w:rPr>
          <w:rFonts w:hint="eastAsia" w:ascii="仿宋" w:hAnsi="仿宋" w:eastAsia="仿宋"/>
          <w:szCs w:val="22"/>
        </w:rPr>
      </w:pPr>
      <w:r>
        <w:fldChar w:fldCharType="begin"/>
      </w:r>
      <w:r>
        <w:instrText xml:space="preserve"> HYPERLINK \l "_Toc26881698" </w:instrText>
      </w:r>
      <w:r>
        <w:fldChar w:fldCharType="separate"/>
      </w:r>
      <w:r>
        <w:rPr>
          <w:rStyle w:val="45"/>
          <w:rFonts w:hint="eastAsia" w:ascii="仿宋" w:hAnsi="仿宋" w:eastAsia="仿宋"/>
          <w:color w:val="auto"/>
          <w:spacing w:val="10"/>
        </w:rPr>
        <w:t>八、服务费</w:t>
      </w:r>
      <w:r>
        <w:rPr>
          <w:rFonts w:ascii="仿宋" w:hAnsi="仿宋" w:eastAsia="仿宋"/>
        </w:rPr>
        <w:tab/>
      </w:r>
      <w:r>
        <w:rPr>
          <w:rFonts w:hint="eastAsia" w:ascii="仿宋" w:hAnsi="仿宋" w:eastAsia="仿宋"/>
        </w:rPr>
        <w:t>1</w:t>
      </w:r>
      <w:r>
        <w:rPr>
          <w:rFonts w:hint="eastAsia" w:ascii="仿宋" w:hAnsi="仿宋" w:eastAsia="仿宋"/>
        </w:rPr>
        <w:fldChar w:fldCharType="end"/>
      </w:r>
      <w:r>
        <w:rPr>
          <w:rFonts w:hint="eastAsia" w:ascii="仿宋" w:hAnsi="仿宋" w:eastAsia="仿宋"/>
        </w:rPr>
        <w:t>6</w:t>
      </w:r>
    </w:p>
    <w:p w14:paraId="0F039A68">
      <w:pPr>
        <w:pStyle w:val="31"/>
        <w:tabs>
          <w:tab w:val="right" w:leader="dot" w:pos="9004"/>
        </w:tabs>
        <w:spacing w:line="360" w:lineRule="auto"/>
        <w:rPr>
          <w:rFonts w:hint="eastAsia" w:ascii="仿宋" w:hAnsi="仿宋" w:eastAsia="仿宋"/>
          <w:szCs w:val="22"/>
        </w:rPr>
      </w:pPr>
      <w:r>
        <w:fldChar w:fldCharType="begin"/>
      </w:r>
      <w:r>
        <w:instrText xml:space="preserve"> HYPERLINK \l "_Toc26881699" </w:instrText>
      </w:r>
      <w:r>
        <w:fldChar w:fldCharType="separate"/>
      </w:r>
      <w:r>
        <w:rPr>
          <w:rStyle w:val="45"/>
          <w:rFonts w:hint="eastAsia" w:ascii="仿宋" w:hAnsi="仿宋" w:eastAsia="仿宋"/>
          <w:color w:val="auto"/>
          <w:spacing w:val="10"/>
        </w:rPr>
        <w:t>九、保密和披露</w:t>
      </w:r>
      <w:r>
        <w:rPr>
          <w:rFonts w:ascii="仿宋" w:hAnsi="仿宋" w:eastAsia="仿宋"/>
        </w:rPr>
        <w:tab/>
      </w:r>
      <w:r>
        <w:rPr>
          <w:rFonts w:hint="eastAsia" w:ascii="仿宋" w:hAnsi="仿宋" w:eastAsia="仿宋"/>
        </w:rPr>
        <w:t>1</w:t>
      </w:r>
      <w:r>
        <w:rPr>
          <w:rFonts w:hint="eastAsia" w:ascii="仿宋" w:hAnsi="仿宋" w:eastAsia="仿宋"/>
        </w:rPr>
        <w:fldChar w:fldCharType="end"/>
      </w:r>
      <w:r>
        <w:rPr>
          <w:rFonts w:hint="eastAsia" w:ascii="仿宋" w:hAnsi="仿宋" w:eastAsia="仿宋"/>
        </w:rPr>
        <w:t>6</w:t>
      </w:r>
    </w:p>
    <w:p w14:paraId="18474573">
      <w:pPr>
        <w:pStyle w:val="31"/>
        <w:tabs>
          <w:tab w:val="right" w:leader="dot" w:pos="9004"/>
        </w:tabs>
        <w:spacing w:line="360" w:lineRule="auto"/>
        <w:rPr>
          <w:rFonts w:hint="eastAsia" w:ascii="仿宋" w:hAnsi="仿宋" w:eastAsia="仿宋"/>
          <w:szCs w:val="22"/>
        </w:rPr>
      </w:pPr>
      <w:r>
        <w:fldChar w:fldCharType="begin"/>
      </w:r>
      <w:r>
        <w:instrText xml:space="preserve"> HYPERLINK \l "_Toc26881700" </w:instrText>
      </w:r>
      <w:r>
        <w:fldChar w:fldCharType="separate"/>
      </w:r>
      <w:r>
        <w:rPr>
          <w:rStyle w:val="45"/>
          <w:rFonts w:hint="eastAsia" w:ascii="仿宋" w:hAnsi="仿宋" w:eastAsia="仿宋"/>
          <w:color w:val="auto"/>
          <w:spacing w:val="10"/>
        </w:rPr>
        <w:t>十、询问和质疑</w:t>
      </w:r>
      <w:r>
        <w:rPr>
          <w:rFonts w:ascii="仿宋" w:hAnsi="仿宋" w:eastAsia="仿宋"/>
        </w:rPr>
        <w:tab/>
      </w:r>
      <w:r>
        <w:rPr>
          <w:rFonts w:hint="eastAsia" w:ascii="仿宋" w:hAnsi="仿宋" w:eastAsia="仿宋"/>
        </w:rPr>
        <w:t>17</w:t>
      </w:r>
      <w:r>
        <w:rPr>
          <w:rFonts w:hint="eastAsia" w:ascii="仿宋" w:hAnsi="仿宋" w:eastAsia="仿宋"/>
        </w:rPr>
        <w:fldChar w:fldCharType="end"/>
      </w:r>
    </w:p>
    <w:p w14:paraId="01401310">
      <w:pPr>
        <w:pStyle w:val="30"/>
        <w:tabs>
          <w:tab w:val="right" w:leader="dot" w:pos="9004"/>
        </w:tabs>
        <w:spacing w:line="360" w:lineRule="auto"/>
        <w:rPr>
          <w:rFonts w:hint="eastAsia" w:ascii="仿宋" w:hAnsi="仿宋" w:eastAsia="仿宋"/>
          <w:szCs w:val="22"/>
        </w:rPr>
      </w:pPr>
      <w:r>
        <w:fldChar w:fldCharType="begin"/>
      </w:r>
      <w:r>
        <w:instrText xml:space="preserve"> HYPERLINK \l "_Toc26881701" </w:instrText>
      </w:r>
      <w:r>
        <w:fldChar w:fldCharType="separate"/>
      </w:r>
      <w:r>
        <w:rPr>
          <w:rStyle w:val="45"/>
          <w:rFonts w:hint="eastAsia" w:ascii="仿宋" w:hAnsi="仿宋" w:eastAsia="仿宋"/>
          <w:color w:val="auto"/>
          <w:spacing w:val="20"/>
        </w:rPr>
        <w:t>第四部分 采购需求</w:t>
      </w:r>
      <w:r>
        <w:rPr>
          <w:rFonts w:ascii="仿宋" w:hAnsi="仿宋" w:eastAsia="仿宋"/>
        </w:rPr>
        <w:tab/>
      </w:r>
      <w:r>
        <w:rPr>
          <w:rFonts w:hint="eastAsia" w:ascii="仿宋" w:hAnsi="仿宋" w:eastAsia="仿宋"/>
        </w:rPr>
        <w:t>20</w:t>
      </w:r>
      <w:r>
        <w:rPr>
          <w:rFonts w:hint="eastAsia" w:ascii="仿宋" w:hAnsi="仿宋" w:eastAsia="仿宋"/>
        </w:rPr>
        <w:fldChar w:fldCharType="end"/>
      </w:r>
    </w:p>
    <w:p w14:paraId="12280ED4">
      <w:pPr>
        <w:pStyle w:val="30"/>
        <w:tabs>
          <w:tab w:val="right" w:leader="dot" w:pos="9004"/>
        </w:tabs>
        <w:spacing w:line="360" w:lineRule="auto"/>
        <w:rPr>
          <w:rFonts w:hint="eastAsia" w:ascii="仿宋" w:hAnsi="仿宋" w:eastAsia="仿宋"/>
          <w:szCs w:val="22"/>
        </w:rPr>
      </w:pPr>
      <w:r>
        <w:fldChar w:fldCharType="begin"/>
      </w:r>
      <w:r>
        <w:instrText xml:space="preserve"> HYPERLINK \l "_Toc26881702" </w:instrText>
      </w:r>
      <w:r>
        <w:fldChar w:fldCharType="separate"/>
      </w:r>
      <w:r>
        <w:rPr>
          <w:rStyle w:val="45"/>
          <w:rFonts w:hint="eastAsia" w:ascii="仿宋" w:hAnsi="仿宋" w:eastAsia="仿宋"/>
          <w:color w:val="auto"/>
          <w:spacing w:val="20"/>
        </w:rPr>
        <w:t>第五部分 资格审查内容及标准</w:t>
      </w:r>
      <w:r>
        <w:rPr>
          <w:rFonts w:ascii="仿宋" w:hAnsi="仿宋" w:eastAsia="仿宋"/>
        </w:rPr>
        <w:tab/>
      </w:r>
      <w:r>
        <w:rPr>
          <w:rFonts w:ascii="仿宋" w:hAnsi="仿宋" w:eastAsia="仿宋"/>
        </w:rPr>
        <w:fldChar w:fldCharType="end"/>
      </w:r>
      <w:r>
        <w:rPr>
          <w:rFonts w:hint="eastAsia" w:ascii="仿宋" w:hAnsi="仿宋" w:eastAsia="仿宋"/>
        </w:rPr>
        <w:t>23</w:t>
      </w:r>
    </w:p>
    <w:p w14:paraId="25CD8F78">
      <w:pPr>
        <w:pStyle w:val="30"/>
        <w:tabs>
          <w:tab w:val="right" w:leader="dot" w:pos="9004"/>
        </w:tabs>
        <w:spacing w:line="360" w:lineRule="auto"/>
        <w:rPr>
          <w:rFonts w:hint="eastAsia" w:ascii="仿宋" w:hAnsi="仿宋" w:eastAsia="仿宋"/>
          <w:szCs w:val="22"/>
        </w:rPr>
      </w:pPr>
      <w:r>
        <w:fldChar w:fldCharType="begin"/>
      </w:r>
      <w:r>
        <w:instrText xml:space="preserve"> HYPERLINK \l "_Toc26881703" </w:instrText>
      </w:r>
      <w:r>
        <w:fldChar w:fldCharType="separate"/>
      </w:r>
      <w:r>
        <w:rPr>
          <w:rStyle w:val="45"/>
          <w:rFonts w:hint="eastAsia" w:ascii="仿宋" w:hAnsi="仿宋" w:eastAsia="仿宋"/>
          <w:color w:val="auto"/>
          <w:spacing w:val="20"/>
        </w:rPr>
        <w:t>第六部分 评标标准和评标方法</w:t>
      </w:r>
      <w:r>
        <w:rPr>
          <w:rFonts w:ascii="仿宋" w:hAnsi="仿宋" w:eastAsia="仿宋"/>
        </w:rPr>
        <w:tab/>
      </w:r>
      <w:r>
        <w:rPr>
          <w:rFonts w:ascii="仿宋" w:hAnsi="仿宋" w:eastAsia="仿宋"/>
        </w:rPr>
        <w:fldChar w:fldCharType="end"/>
      </w:r>
      <w:r>
        <w:rPr>
          <w:rFonts w:hint="eastAsia" w:ascii="仿宋" w:hAnsi="仿宋" w:eastAsia="仿宋"/>
        </w:rPr>
        <w:t>24</w:t>
      </w:r>
    </w:p>
    <w:p w14:paraId="5A05B344">
      <w:pPr>
        <w:pStyle w:val="30"/>
        <w:tabs>
          <w:tab w:val="right" w:leader="dot" w:pos="9004"/>
        </w:tabs>
        <w:spacing w:line="360" w:lineRule="auto"/>
        <w:rPr>
          <w:rFonts w:hint="eastAsia" w:ascii="仿宋" w:hAnsi="仿宋" w:eastAsia="仿宋"/>
          <w:szCs w:val="22"/>
        </w:rPr>
      </w:pPr>
      <w:r>
        <w:fldChar w:fldCharType="begin"/>
      </w:r>
      <w:r>
        <w:instrText xml:space="preserve"> HYPERLINK \l "_Toc26881704" </w:instrText>
      </w:r>
      <w:r>
        <w:fldChar w:fldCharType="separate"/>
      </w:r>
      <w:r>
        <w:rPr>
          <w:rStyle w:val="45"/>
          <w:rFonts w:hint="eastAsia" w:ascii="仿宋" w:hAnsi="仿宋" w:eastAsia="仿宋"/>
          <w:color w:val="auto"/>
          <w:spacing w:val="20"/>
        </w:rPr>
        <w:t>第七部分 合同文本</w:t>
      </w:r>
      <w:r>
        <w:rPr>
          <w:rFonts w:ascii="仿宋" w:hAnsi="仿宋" w:eastAsia="仿宋"/>
        </w:rPr>
        <w:tab/>
      </w:r>
      <w:r>
        <w:rPr>
          <w:rFonts w:ascii="仿宋" w:hAnsi="仿宋" w:eastAsia="仿宋"/>
        </w:rPr>
        <w:fldChar w:fldCharType="end"/>
      </w:r>
      <w:r>
        <w:rPr>
          <w:rFonts w:hint="eastAsia" w:ascii="仿宋" w:hAnsi="仿宋" w:eastAsia="仿宋"/>
        </w:rPr>
        <w:t>30</w:t>
      </w:r>
    </w:p>
    <w:p w14:paraId="27BB1088">
      <w:pPr>
        <w:pStyle w:val="30"/>
        <w:tabs>
          <w:tab w:val="right" w:leader="dot" w:pos="9004"/>
        </w:tabs>
        <w:spacing w:line="360" w:lineRule="auto"/>
        <w:rPr>
          <w:rFonts w:hint="eastAsia" w:ascii="仿宋" w:hAnsi="仿宋" w:eastAsia="仿宋"/>
          <w:szCs w:val="22"/>
        </w:rPr>
      </w:pPr>
      <w:r>
        <w:fldChar w:fldCharType="begin"/>
      </w:r>
      <w:r>
        <w:instrText xml:space="preserve"> HYPERLINK \l "_Toc26881705" </w:instrText>
      </w:r>
      <w:r>
        <w:fldChar w:fldCharType="separate"/>
      </w:r>
      <w:r>
        <w:rPr>
          <w:rStyle w:val="45"/>
          <w:rFonts w:hint="eastAsia" w:ascii="仿宋" w:hAnsi="仿宋" w:eastAsia="仿宋" w:cs="华文中宋"/>
          <w:color w:val="auto"/>
          <w:spacing w:val="20"/>
          <w:kern w:val="44"/>
        </w:rPr>
        <w:t>第八部分 投标文件内容要求及格式</w:t>
      </w:r>
      <w:r>
        <w:rPr>
          <w:rFonts w:ascii="仿宋" w:hAnsi="仿宋" w:eastAsia="仿宋"/>
        </w:rPr>
        <w:tab/>
      </w:r>
      <w:r>
        <w:rPr>
          <w:rFonts w:ascii="仿宋" w:hAnsi="仿宋" w:eastAsia="仿宋"/>
        </w:rPr>
        <w:fldChar w:fldCharType="end"/>
      </w:r>
      <w:r>
        <w:rPr>
          <w:rFonts w:hint="eastAsia" w:ascii="仿宋" w:hAnsi="仿宋" w:eastAsia="仿宋"/>
        </w:rPr>
        <w:t>32</w:t>
      </w:r>
    </w:p>
    <w:p w14:paraId="4E7604E0">
      <w:pPr>
        <w:spacing w:line="360" w:lineRule="auto"/>
        <w:rPr>
          <w:rFonts w:hint="eastAsia" w:ascii="仿宋" w:hAnsi="仿宋" w:eastAsia="仿宋"/>
        </w:rPr>
        <w:sectPr>
          <w:headerReference r:id="rId4" w:type="default"/>
          <w:pgSz w:w="11906" w:h="16838"/>
          <w:pgMar w:top="1134" w:right="1361" w:bottom="1021" w:left="1531" w:header="851" w:footer="992" w:gutter="0"/>
          <w:pgNumType w:start="1"/>
          <w:cols w:space="720" w:num="1"/>
          <w:docGrid w:type="lines" w:linePitch="312" w:charSpace="0"/>
        </w:sectPr>
      </w:pPr>
      <w:r>
        <w:rPr>
          <w:rFonts w:ascii="仿宋" w:hAnsi="仿宋" w:eastAsia="仿宋"/>
        </w:rPr>
        <w:fldChar w:fldCharType="end"/>
      </w:r>
    </w:p>
    <w:p w14:paraId="20A5EC8E">
      <w:pPr>
        <w:widowControl/>
        <w:spacing w:line="560" w:lineRule="exact"/>
        <w:jc w:val="center"/>
        <w:outlineLvl w:val="0"/>
        <w:rPr>
          <w:rFonts w:hint="eastAsia" w:ascii="仿宋" w:hAnsi="仿宋" w:eastAsia="仿宋" w:cs="Arial"/>
          <w:kern w:val="0"/>
          <w:sz w:val="32"/>
          <w:szCs w:val="32"/>
        </w:rPr>
      </w:pPr>
      <w:bookmarkStart w:id="0" w:name="_Toc26881689"/>
      <w:bookmarkStart w:id="1" w:name="_Toc424378683"/>
      <w:bookmarkStart w:id="2" w:name="_Toc352761928"/>
      <w:r>
        <w:rPr>
          <w:rFonts w:hint="eastAsia" w:ascii="仿宋" w:hAnsi="仿宋" w:eastAsia="仿宋" w:cs="宋体"/>
          <w:kern w:val="0"/>
          <w:sz w:val="32"/>
          <w:szCs w:val="32"/>
        </w:rPr>
        <w:t>第一部分  招标公告</w:t>
      </w:r>
    </w:p>
    <w:p w14:paraId="1870BBA3">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bCs/>
          <w:sz w:val="28"/>
          <w:szCs w:val="28"/>
        </w:rPr>
      </w:pPr>
      <w:r>
        <w:rPr>
          <w:rFonts w:hint="eastAsia" w:ascii="仿宋" w:hAnsi="仿宋" w:eastAsia="仿宋"/>
          <w:bCs/>
          <w:sz w:val="28"/>
          <w:szCs w:val="28"/>
        </w:rPr>
        <w:t>项目概况</w:t>
      </w:r>
    </w:p>
    <w:p w14:paraId="37DB0A99">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olor w:val="auto"/>
          <w:sz w:val="28"/>
          <w:szCs w:val="28"/>
        </w:rPr>
      </w:pPr>
      <w:r>
        <w:rPr>
          <w:rFonts w:hint="eastAsia" w:ascii="仿宋" w:hAnsi="仿宋" w:eastAsia="仿宋"/>
          <w:bCs/>
          <w:color w:val="auto"/>
          <w:sz w:val="28"/>
          <w:szCs w:val="28"/>
        </w:rPr>
        <w:t>长治市妇幼保健院长治市出生缺陷防治信息化平台服务采购项目的潜在投标人应在山西政府采购平台获取招标文件，并于2026年</w:t>
      </w:r>
      <w:r>
        <w:rPr>
          <w:rFonts w:hint="eastAsia" w:ascii="仿宋" w:hAnsi="仿宋" w:eastAsia="仿宋"/>
          <w:bCs/>
          <w:color w:val="auto"/>
          <w:sz w:val="28"/>
          <w:szCs w:val="28"/>
          <w:lang w:val="en-US" w:eastAsia="zh-CN"/>
        </w:rPr>
        <w:t>6</w:t>
      </w:r>
      <w:r>
        <w:rPr>
          <w:rFonts w:hint="eastAsia" w:ascii="仿宋" w:hAnsi="仿宋" w:eastAsia="仿宋"/>
          <w:bCs/>
          <w:color w:val="auto"/>
          <w:sz w:val="28"/>
          <w:szCs w:val="28"/>
        </w:rPr>
        <w:t>月</w:t>
      </w:r>
      <w:r>
        <w:rPr>
          <w:rFonts w:hint="eastAsia" w:ascii="仿宋" w:hAnsi="仿宋" w:eastAsia="仿宋"/>
          <w:bCs/>
          <w:color w:val="auto"/>
          <w:sz w:val="28"/>
          <w:szCs w:val="28"/>
          <w:lang w:val="en-US" w:eastAsia="zh-CN"/>
        </w:rPr>
        <w:t>16</w:t>
      </w:r>
      <w:r>
        <w:rPr>
          <w:rFonts w:hint="eastAsia" w:ascii="仿宋" w:hAnsi="仿宋" w:eastAsia="仿宋"/>
          <w:bCs/>
          <w:color w:val="auto"/>
          <w:sz w:val="28"/>
          <w:szCs w:val="28"/>
        </w:rPr>
        <w:t>日9点30分前递交投标文件。</w:t>
      </w:r>
    </w:p>
    <w:p w14:paraId="693253C4">
      <w:pPr>
        <w:spacing w:line="520" w:lineRule="exact"/>
        <w:ind w:firstLine="562" w:firstLineChars="200"/>
        <w:rPr>
          <w:rFonts w:hint="eastAsia" w:ascii="仿宋" w:hAnsi="仿宋" w:eastAsia="仿宋"/>
          <w:b/>
          <w:bCs/>
          <w:color w:val="auto"/>
          <w:sz w:val="28"/>
          <w:szCs w:val="28"/>
        </w:rPr>
      </w:pPr>
      <w:bookmarkStart w:id="3" w:name="_Toc35393621"/>
      <w:bookmarkStart w:id="4" w:name="_Toc35393790"/>
      <w:bookmarkStart w:id="5" w:name="_Toc28359079"/>
      <w:bookmarkStart w:id="6" w:name="_Toc28359002"/>
      <w:bookmarkStart w:id="7" w:name="_Hlk24379207"/>
      <w:r>
        <w:rPr>
          <w:rFonts w:hint="eastAsia" w:ascii="仿宋" w:hAnsi="仿宋" w:eastAsia="仿宋"/>
          <w:b/>
          <w:bCs/>
          <w:color w:val="auto"/>
          <w:sz w:val="28"/>
          <w:szCs w:val="28"/>
        </w:rPr>
        <w:t>一、项目基本情况</w:t>
      </w:r>
      <w:bookmarkEnd w:id="3"/>
      <w:bookmarkEnd w:id="4"/>
      <w:bookmarkEnd w:id="5"/>
      <w:bookmarkEnd w:id="6"/>
    </w:p>
    <w:p w14:paraId="4AC46B48">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1.项目编号：1404992026CGK00142</w:t>
      </w:r>
    </w:p>
    <w:p w14:paraId="6C548444">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2.项目名称：</w:t>
      </w:r>
      <w:r>
        <w:rPr>
          <w:rFonts w:hint="eastAsia" w:ascii="仿宋" w:hAnsi="仿宋" w:eastAsia="仿宋"/>
          <w:bCs/>
          <w:color w:val="auto"/>
          <w:sz w:val="28"/>
          <w:szCs w:val="28"/>
        </w:rPr>
        <w:t>长治市出生缺陷防治信息化平台服务采购项目</w:t>
      </w:r>
    </w:p>
    <w:bookmarkEnd w:id="7"/>
    <w:p w14:paraId="0163201D">
      <w:pPr>
        <w:spacing w:line="4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3.采购方式：公开招标</w:t>
      </w:r>
    </w:p>
    <w:p w14:paraId="52D3B24E">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 xml:space="preserve">4.预算金额：964.91万元   </w:t>
      </w:r>
    </w:p>
    <w:p w14:paraId="1E6C35E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5.采购需求：</w:t>
      </w:r>
    </w:p>
    <w:p w14:paraId="385C9C8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（1）本次公开招标共一包。</w:t>
      </w:r>
    </w:p>
    <w:p w14:paraId="53ED0CE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所投包内容必须完全响应本招标文件所列示内容。未特别标注为“进口产品”字样的，均必须采购国产产品；所采购的货物、服务必须符合国家强制性标准。</w:t>
      </w:r>
    </w:p>
    <w:p w14:paraId="4814E66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采购内容：</w:t>
      </w:r>
    </w:p>
    <w:tbl>
      <w:tblPr>
        <w:tblStyle w:val="39"/>
        <w:tblW w:w="4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2395"/>
      </w:tblGrid>
      <w:tr w14:paraId="5A24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5" w:type="pct"/>
            <w:vAlign w:val="center"/>
          </w:tcPr>
          <w:p w14:paraId="64D84AF2">
            <w:pPr>
              <w:jc w:val="center"/>
              <w:rPr>
                <w:rFonts w:hint="eastAsia" w:ascii="仿宋" w:hAnsi="仿宋" w:eastAsia="仿宋"/>
                <w:color w:val="auto"/>
                <w:sz w:val="28"/>
                <w:szCs w:val="28"/>
              </w:rPr>
            </w:pPr>
            <w:r>
              <w:rPr>
                <w:rFonts w:hint="eastAsia" w:ascii="仿宋" w:hAnsi="仿宋" w:eastAsia="仿宋"/>
                <w:color w:val="auto"/>
                <w:sz w:val="28"/>
                <w:szCs w:val="28"/>
              </w:rPr>
              <w:t>采购内容</w:t>
            </w:r>
          </w:p>
        </w:tc>
        <w:tc>
          <w:tcPr>
            <w:tcW w:w="1574" w:type="pct"/>
            <w:vAlign w:val="center"/>
          </w:tcPr>
          <w:p w14:paraId="58C008F8">
            <w:pPr>
              <w:jc w:val="center"/>
              <w:rPr>
                <w:rFonts w:hint="eastAsia" w:ascii="仿宋" w:hAnsi="仿宋" w:eastAsia="仿宋"/>
                <w:color w:val="auto"/>
                <w:sz w:val="28"/>
                <w:szCs w:val="28"/>
              </w:rPr>
            </w:pPr>
            <w:r>
              <w:rPr>
                <w:rFonts w:hint="eastAsia" w:ascii="仿宋" w:hAnsi="仿宋" w:eastAsia="仿宋"/>
                <w:color w:val="auto"/>
                <w:sz w:val="28"/>
                <w:szCs w:val="28"/>
              </w:rPr>
              <w:t>服务期限</w:t>
            </w:r>
          </w:p>
        </w:tc>
      </w:tr>
      <w:tr w14:paraId="74E2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5" w:type="pct"/>
            <w:vAlign w:val="center"/>
          </w:tcPr>
          <w:p w14:paraId="5639B8F6">
            <w:pPr>
              <w:rPr>
                <w:rFonts w:hint="eastAsia" w:ascii="仿宋" w:hAnsi="仿宋" w:eastAsia="仿宋" w:cs="Helvetica"/>
                <w:color w:val="auto"/>
                <w:kern w:val="0"/>
                <w:sz w:val="28"/>
                <w:szCs w:val="28"/>
              </w:rPr>
            </w:pPr>
            <w:r>
              <w:rPr>
                <w:rFonts w:hint="eastAsia" w:ascii="仿宋" w:hAnsi="仿宋" w:eastAsia="仿宋"/>
                <w:bCs/>
                <w:color w:val="auto"/>
                <w:sz w:val="28"/>
                <w:szCs w:val="28"/>
              </w:rPr>
              <w:t>长治市出生缺陷防治信息化平台服务</w:t>
            </w:r>
            <w:r>
              <w:rPr>
                <w:rFonts w:hint="eastAsia" w:ascii="仿宋" w:hAnsi="仿宋" w:eastAsia="仿宋" w:cs="Helvetica"/>
                <w:color w:val="auto"/>
                <w:kern w:val="0"/>
                <w:sz w:val="28"/>
                <w:szCs w:val="28"/>
              </w:rPr>
              <w:t xml:space="preserve"> </w:t>
            </w:r>
          </w:p>
        </w:tc>
        <w:tc>
          <w:tcPr>
            <w:tcW w:w="1574" w:type="pct"/>
            <w:vAlign w:val="center"/>
          </w:tcPr>
          <w:p w14:paraId="7F798B4E">
            <w:pPr>
              <w:rPr>
                <w:rFonts w:hint="eastAsia" w:ascii="仿宋" w:hAnsi="仿宋" w:eastAsia="仿宋"/>
                <w:color w:val="auto"/>
                <w:sz w:val="28"/>
                <w:szCs w:val="28"/>
              </w:rPr>
            </w:pPr>
            <w:r>
              <w:rPr>
                <w:rFonts w:hint="eastAsia" w:ascii="仿宋" w:hAnsi="仿宋" w:eastAsia="仿宋"/>
                <w:color w:val="auto"/>
                <w:szCs w:val="21"/>
              </w:rPr>
              <w:t>自合同签订之日起30日完成系统开发调试并交付使用（含货物），云资源租赁及专线租赁服务期三年。</w:t>
            </w:r>
          </w:p>
        </w:tc>
      </w:tr>
    </w:tbl>
    <w:p w14:paraId="263D9C5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具体要求详见本招标文件第四部分。</w:t>
      </w:r>
    </w:p>
    <w:p w14:paraId="24A2E4E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（2）本项目不接受联合体投标</w:t>
      </w:r>
      <w:bookmarkStart w:id="8" w:name="_Toc28359080"/>
      <w:bookmarkStart w:id="9" w:name="_Toc28359003"/>
      <w:bookmarkStart w:id="10" w:name="_Toc35393622"/>
      <w:bookmarkStart w:id="11" w:name="_Toc35393791"/>
      <w:r>
        <w:rPr>
          <w:rFonts w:hint="eastAsia" w:ascii="仿宋" w:hAnsi="仿宋" w:eastAsia="仿宋"/>
          <w:sz w:val="28"/>
          <w:szCs w:val="28"/>
        </w:rPr>
        <w:t>。</w:t>
      </w:r>
    </w:p>
    <w:p w14:paraId="1834806F">
      <w:pPr>
        <w:spacing w:line="52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二、申请人的资格要求：</w:t>
      </w:r>
      <w:bookmarkEnd w:id="8"/>
      <w:bookmarkEnd w:id="9"/>
      <w:bookmarkEnd w:id="10"/>
      <w:bookmarkEnd w:id="11"/>
    </w:p>
    <w:p w14:paraId="312FE83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14:paraId="15ED0B55">
      <w:pPr>
        <w:spacing w:line="520" w:lineRule="exact"/>
        <w:ind w:firstLine="560" w:firstLineChars="200"/>
        <w:rPr>
          <w:rFonts w:eastAsia="仿宋"/>
          <w:sz w:val="28"/>
          <w:szCs w:val="28"/>
        </w:rPr>
      </w:pPr>
      <w:bookmarkStart w:id="12" w:name="_Toc28359081"/>
      <w:bookmarkStart w:id="13" w:name="_Toc28359004"/>
      <w:r>
        <w:rPr>
          <w:rFonts w:ascii="仿宋" w:hAnsi="仿宋" w:eastAsia="仿宋"/>
          <w:sz w:val="28"/>
          <w:szCs w:val="28"/>
        </w:rPr>
        <w:t>2</w:t>
      </w:r>
      <w:r>
        <w:rPr>
          <w:rFonts w:hint="eastAsia" w:ascii="仿宋" w:hAnsi="仿宋" w:eastAsia="仿宋"/>
          <w:sz w:val="28"/>
          <w:szCs w:val="28"/>
        </w:rPr>
        <w:t>.落实政府采购政策需满足的资格要求：本项目不属于专门面向中小企业采购的项目；</w:t>
      </w:r>
    </w:p>
    <w:p w14:paraId="41D884E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3.通过“信用中国（www.creditchina.gov.cn）”、中国政府采购网（www.ccgp.gov.cn）等渠道查询，未被列入失信被执行人、重大税收违法失信主体、政府采购严重违法失信行为记录等名单；</w:t>
      </w:r>
    </w:p>
    <w:p w14:paraId="2A70A27C">
      <w:pPr>
        <w:spacing w:line="520" w:lineRule="exact"/>
        <w:ind w:firstLine="560" w:firstLineChars="200"/>
        <w:rPr>
          <w:rFonts w:hint="eastAsia" w:ascii="仿宋" w:hAnsi="仿宋" w:eastAsia="仿宋"/>
          <w:color w:val="auto"/>
          <w:sz w:val="28"/>
          <w:szCs w:val="28"/>
        </w:rPr>
      </w:pPr>
      <w:r>
        <w:rPr>
          <w:rFonts w:hint="eastAsia" w:ascii="仿宋" w:hAnsi="仿宋" w:eastAsia="仿宋"/>
          <w:sz w:val="28"/>
          <w:szCs w:val="28"/>
        </w:rPr>
        <w:t>4.本项目的特定资格要求：</w:t>
      </w:r>
      <w:bookmarkStart w:id="14" w:name="_Toc35393792"/>
      <w:bookmarkStart w:id="15" w:name="_Toc35393623"/>
      <w:r>
        <w:rPr>
          <w:rFonts w:hint="eastAsia" w:ascii="仿宋" w:hAnsi="仿宋" w:eastAsia="仿宋"/>
          <w:sz w:val="28"/>
          <w:szCs w:val="28"/>
        </w:rPr>
        <w:t>供应商属于医疗器械生产企业直接参加投标的，所投产品属于二类医疗器械的须提供生产企业许可证、经营备案凭证、医疗器械注册证（生产商在其住所或者生产地址销售其注册、备案的医疗器械，无需提供）；供应商属于医疗器械经营企业参加投标的，所投产</w:t>
      </w:r>
      <w:r>
        <w:rPr>
          <w:rFonts w:hint="eastAsia" w:ascii="仿宋" w:hAnsi="仿宋" w:eastAsia="仿宋"/>
          <w:color w:val="auto"/>
          <w:sz w:val="28"/>
          <w:szCs w:val="28"/>
        </w:rPr>
        <w:t>品属于二类医疗器械的须提供经营备案凭证、医疗器械注册证。</w:t>
      </w:r>
    </w:p>
    <w:p w14:paraId="3E164AD6">
      <w:pPr>
        <w:spacing w:line="520" w:lineRule="exact"/>
        <w:ind w:firstLine="562" w:firstLineChars="200"/>
        <w:outlineLvl w:val="3"/>
        <w:rPr>
          <w:rFonts w:hint="eastAsia" w:ascii="仿宋" w:hAnsi="仿宋" w:eastAsia="仿宋" w:cs="宋体"/>
          <w:b/>
          <w:color w:val="auto"/>
          <w:sz w:val="28"/>
          <w:szCs w:val="28"/>
        </w:rPr>
      </w:pPr>
      <w:r>
        <w:rPr>
          <w:rFonts w:hint="eastAsia" w:ascii="仿宋" w:hAnsi="仿宋" w:eastAsia="仿宋" w:cs="宋体"/>
          <w:b/>
          <w:color w:val="auto"/>
          <w:sz w:val="28"/>
          <w:szCs w:val="28"/>
        </w:rPr>
        <w:t>三、获取招标文件</w:t>
      </w:r>
      <w:bookmarkEnd w:id="12"/>
      <w:bookmarkEnd w:id="13"/>
      <w:bookmarkEnd w:id="14"/>
      <w:bookmarkEnd w:id="15"/>
    </w:p>
    <w:p w14:paraId="7841BAC5">
      <w:pPr>
        <w:spacing w:line="520" w:lineRule="exact"/>
        <w:ind w:firstLine="540"/>
        <w:rPr>
          <w:rFonts w:hint="eastAsia" w:ascii="仿宋" w:hAnsi="仿宋" w:eastAsia="仿宋" w:cs="宋体"/>
          <w:color w:val="auto"/>
          <w:sz w:val="28"/>
          <w:szCs w:val="28"/>
        </w:rPr>
      </w:pPr>
      <w:r>
        <w:rPr>
          <w:rFonts w:hint="eastAsia" w:ascii="仿宋" w:hAnsi="仿宋" w:eastAsia="仿宋" w:cs="宋体"/>
          <w:color w:val="auto"/>
          <w:sz w:val="28"/>
          <w:szCs w:val="28"/>
        </w:rPr>
        <w:t>时间：2026年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月2</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日0点00分至2026年</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15</w:t>
      </w:r>
      <w:r>
        <w:rPr>
          <w:rFonts w:hint="eastAsia" w:ascii="仿宋" w:hAnsi="仿宋" w:eastAsia="仿宋" w:cs="宋体"/>
          <w:color w:val="auto"/>
          <w:sz w:val="28"/>
          <w:szCs w:val="28"/>
        </w:rPr>
        <w:t>日24点00分。</w:t>
      </w:r>
    </w:p>
    <w:p w14:paraId="0CA71F44">
      <w:pPr>
        <w:spacing w:line="520" w:lineRule="exact"/>
        <w:ind w:firstLine="540"/>
        <w:rPr>
          <w:rFonts w:hint="eastAsia" w:ascii="仿宋" w:hAnsi="仿宋" w:eastAsia="仿宋" w:cs="宋体"/>
          <w:color w:val="auto"/>
          <w:sz w:val="28"/>
          <w:szCs w:val="28"/>
        </w:rPr>
      </w:pPr>
      <w:r>
        <w:rPr>
          <w:rFonts w:hint="eastAsia" w:ascii="仿宋" w:hAnsi="仿宋" w:eastAsia="仿宋" w:cs="宋体"/>
          <w:color w:val="auto"/>
          <w:sz w:val="28"/>
          <w:szCs w:val="28"/>
        </w:rPr>
        <w:t>地点：山西政府采购平台</w:t>
      </w:r>
    </w:p>
    <w:p w14:paraId="02672562">
      <w:pPr>
        <w:spacing w:line="520" w:lineRule="exact"/>
        <w:ind w:firstLine="540"/>
        <w:rPr>
          <w:rFonts w:hint="eastAsia" w:ascii="仿宋" w:hAnsi="仿宋" w:eastAsia="仿宋" w:cs="宋体"/>
          <w:color w:val="auto"/>
          <w:sz w:val="28"/>
          <w:szCs w:val="28"/>
        </w:rPr>
      </w:pPr>
      <w:r>
        <w:rPr>
          <w:rFonts w:hint="eastAsia" w:ascii="仿宋" w:hAnsi="仿宋" w:eastAsia="仿宋" w:cs="宋体"/>
          <w:color w:val="auto"/>
          <w:sz w:val="28"/>
          <w:szCs w:val="28"/>
        </w:rPr>
        <w:t>方式：供应商登陆山西省政府采购网-山西政府采购平台（http://www.ccgp-shanxi.gov.cn/home.html）线上获取招标文件。</w:t>
      </w:r>
    </w:p>
    <w:p w14:paraId="4A11E47C">
      <w:pPr>
        <w:spacing w:line="520" w:lineRule="exact"/>
        <w:ind w:firstLine="540"/>
        <w:rPr>
          <w:rFonts w:hint="eastAsia" w:ascii="仿宋" w:hAnsi="仿宋" w:eastAsia="仿宋" w:cs="宋体"/>
          <w:color w:val="auto"/>
          <w:sz w:val="28"/>
          <w:szCs w:val="28"/>
        </w:rPr>
      </w:pPr>
      <w:r>
        <w:rPr>
          <w:rFonts w:hint="eastAsia" w:ascii="仿宋" w:hAnsi="仿宋" w:eastAsia="仿宋" w:cs="宋体"/>
          <w:color w:val="auto"/>
          <w:sz w:val="28"/>
          <w:szCs w:val="28"/>
        </w:rPr>
        <w:t>售价：免费提供。</w:t>
      </w:r>
      <w:bookmarkStart w:id="16" w:name="_Toc28359005"/>
      <w:bookmarkStart w:id="17" w:name="_Toc28359082"/>
      <w:bookmarkStart w:id="18" w:name="_Toc35393624"/>
      <w:bookmarkStart w:id="19" w:name="_Toc35393793"/>
    </w:p>
    <w:p w14:paraId="2B77589E">
      <w:pPr>
        <w:spacing w:line="520" w:lineRule="exact"/>
        <w:ind w:firstLine="540"/>
        <w:rPr>
          <w:rFonts w:hint="eastAsia" w:ascii="仿宋" w:hAnsi="仿宋" w:eastAsia="仿宋" w:cs="宋体"/>
          <w:b/>
          <w:bCs/>
          <w:color w:val="auto"/>
          <w:sz w:val="28"/>
          <w:szCs w:val="28"/>
        </w:rPr>
      </w:pPr>
      <w:r>
        <w:rPr>
          <w:rFonts w:hint="eastAsia" w:ascii="仿宋" w:hAnsi="仿宋" w:eastAsia="仿宋" w:cs="宋体"/>
          <w:b/>
          <w:bCs/>
          <w:color w:val="auto"/>
          <w:sz w:val="28"/>
          <w:szCs w:val="28"/>
        </w:rPr>
        <w:t>四、提交投标文件</w:t>
      </w:r>
      <w:bookmarkEnd w:id="16"/>
      <w:bookmarkEnd w:id="17"/>
      <w:r>
        <w:rPr>
          <w:rFonts w:hint="eastAsia" w:ascii="仿宋" w:hAnsi="仿宋" w:eastAsia="仿宋" w:cs="宋体"/>
          <w:b/>
          <w:bCs/>
          <w:color w:val="auto"/>
          <w:sz w:val="28"/>
          <w:szCs w:val="28"/>
        </w:rPr>
        <w:t>截止时间、开标时间和地点</w:t>
      </w:r>
      <w:bookmarkEnd w:id="18"/>
      <w:bookmarkEnd w:id="19"/>
    </w:p>
    <w:p w14:paraId="1C8F81A3">
      <w:pPr>
        <w:spacing w:line="52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时间：2026年</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16</w:t>
      </w:r>
      <w:r>
        <w:rPr>
          <w:rFonts w:hint="eastAsia" w:ascii="仿宋" w:hAnsi="仿宋" w:eastAsia="仿宋" w:cs="宋体"/>
          <w:color w:val="auto"/>
          <w:sz w:val="28"/>
          <w:szCs w:val="28"/>
        </w:rPr>
        <w:t>日9点30分。</w:t>
      </w:r>
    </w:p>
    <w:p w14:paraId="486D14B2">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地点：山西政府采购平台</w:t>
      </w:r>
    </w:p>
    <w:p w14:paraId="1BBFB946">
      <w:pPr>
        <w:spacing w:line="520" w:lineRule="exact"/>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本项目采用在线投标方式进行，供应商通过山西政府采购平台电子投标客户端提交投标文件。</w:t>
      </w:r>
    </w:p>
    <w:p w14:paraId="25336648">
      <w:pPr>
        <w:pStyle w:val="3"/>
        <w:spacing w:before="0" w:after="0" w:line="520" w:lineRule="exact"/>
        <w:ind w:left="720" w:firstLine="0"/>
        <w:rPr>
          <w:rFonts w:hint="eastAsia" w:ascii="仿宋" w:hAnsi="仿宋" w:eastAsia="仿宋" w:cs="宋体"/>
          <w:bCs w:val="0"/>
          <w:color w:val="auto"/>
          <w:sz w:val="28"/>
          <w:szCs w:val="28"/>
        </w:rPr>
      </w:pPr>
      <w:bookmarkStart w:id="20" w:name="_Toc28359084"/>
      <w:bookmarkStart w:id="21" w:name="_Toc35393794"/>
      <w:bookmarkStart w:id="22" w:name="_Toc28359007"/>
      <w:bookmarkStart w:id="23" w:name="_Toc35393625"/>
      <w:r>
        <w:rPr>
          <w:rFonts w:hint="eastAsia" w:ascii="仿宋" w:hAnsi="仿宋" w:eastAsia="仿宋" w:cs="宋体"/>
          <w:bCs w:val="0"/>
          <w:color w:val="auto"/>
          <w:sz w:val="28"/>
          <w:szCs w:val="28"/>
        </w:rPr>
        <w:t>五、公告期限</w:t>
      </w:r>
      <w:bookmarkEnd w:id="20"/>
      <w:bookmarkEnd w:id="21"/>
      <w:bookmarkEnd w:id="22"/>
      <w:bookmarkEnd w:id="23"/>
    </w:p>
    <w:p w14:paraId="3FE7A64F">
      <w:pPr>
        <w:pStyle w:val="3"/>
        <w:spacing w:before="0" w:after="0" w:line="520" w:lineRule="exact"/>
        <w:rPr>
          <w:rFonts w:hint="eastAsia" w:ascii="仿宋" w:hAnsi="仿宋" w:eastAsia="仿宋"/>
          <w:b w:val="0"/>
          <w:bCs w:val="0"/>
          <w:kern w:val="2"/>
          <w:sz w:val="28"/>
          <w:szCs w:val="28"/>
        </w:rPr>
      </w:pPr>
      <w:r>
        <w:rPr>
          <w:rFonts w:hint="eastAsia" w:ascii="仿宋" w:hAnsi="仿宋" w:eastAsia="仿宋"/>
          <w:b w:val="0"/>
          <w:bCs w:val="0"/>
          <w:kern w:val="2"/>
          <w:sz w:val="28"/>
          <w:szCs w:val="28"/>
        </w:rPr>
        <w:t>自本公告发布之日起5个工作日。</w:t>
      </w:r>
    </w:p>
    <w:p w14:paraId="34E3E97C">
      <w:pPr>
        <w:pStyle w:val="3"/>
        <w:spacing w:before="0" w:after="0" w:line="520" w:lineRule="exact"/>
        <w:ind w:left="720" w:firstLine="0"/>
        <w:rPr>
          <w:rFonts w:hint="eastAsia" w:ascii="仿宋" w:hAnsi="仿宋" w:eastAsia="仿宋" w:cs="宋体"/>
          <w:bCs w:val="0"/>
          <w:sz w:val="28"/>
          <w:szCs w:val="28"/>
        </w:rPr>
      </w:pPr>
      <w:bookmarkStart w:id="24" w:name="_Toc35393626"/>
      <w:bookmarkStart w:id="25" w:name="_Toc35393795"/>
      <w:r>
        <w:rPr>
          <w:rFonts w:hint="eastAsia" w:ascii="仿宋" w:hAnsi="仿宋" w:eastAsia="仿宋" w:cs="宋体"/>
          <w:bCs w:val="0"/>
          <w:sz w:val="28"/>
          <w:szCs w:val="28"/>
        </w:rPr>
        <w:t>六、其他补充事宜</w:t>
      </w:r>
      <w:bookmarkEnd w:id="24"/>
      <w:bookmarkEnd w:id="25"/>
    </w:p>
    <w:p w14:paraId="26810A2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1.本项目采用电子化交易；电子化交易流程操作指南：“山西省政府采购网&gt;办事指南&gt;下载专区”获取；</w:t>
      </w:r>
    </w:p>
    <w:p w14:paraId="3F6F0DF3">
      <w:pPr>
        <w:spacing w:line="520" w:lineRule="exact"/>
        <w:ind w:firstLine="560" w:firstLineChars="200"/>
        <w:outlineLvl w:val="2"/>
        <w:rPr>
          <w:rFonts w:hint="eastAsia" w:ascii="仿宋" w:hAnsi="仿宋" w:eastAsia="仿宋"/>
          <w:sz w:val="28"/>
          <w:szCs w:val="28"/>
        </w:rPr>
      </w:pPr>
      <w:r>
        <w:rPr>
          <w:rFonts w:hint="eastAsia" w:ascii="仿宋" w:hAnsi="仿宋" w:eastAsia="仿宋"/>
          <w:sz w:val="28"/>
          <w:szCs w:val="28"/>
        </w:rPr>
        <w:t>2.供应商在提交投标文件前完成CA数字证书办理；</w:t>
      </w:r>
    </w:p>
    <w:p w14:paraId="2276FB5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CA数字证书办理咨询电话：0355-2090058（山西CA）；0355-2136789（北京CA）。</w:t>
      </w:r>
    </w:p>
    <w:p w14:paraId="49943CA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3.供应商应安装“山西政府采购平台电子投标客户端”，山西省政府采购网&gt;办事指南&gt;下载专区”获取；</w:t>
      </w:r>
    </w:p>
    <w:p w14:paraId="56E8820D">
      <w:pPr>
        <w:spacing w:line="520" w:lineRule="exact"/>
        <w:ind w:firstLine="560" w:firstLineChars="200"/>
        <w:outlineLvl w:val="2"/>
        <w:rPr>
          <w:rFonts w:hint="eastAsia" w:ascii="仿宋" w:hAnsi="仿宋" w:eastAsia="仿宋"/>
          <w:sz w:val="28"/>
          <w:szCs w:val="28"/>
        </w:rPr>
      </w:pPr>
      <w:r>
        <w:rPr>
          <w:rFonts w:hint="eastAsia" w:ascii="仿宋" w:hAnsi="仿宋" w:eastAsia="仿宋"/>
          <w:sz w:val="28"/>
          <w:szCs w:val="28"/>
        </w:rPr>
        <w:t>4.山西政府采购平台技术支持热线：400-881-7190；</w:t>
      </w:r>
    </w:p>
    <w:p w14:paraId="30D2185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5.开标时间起30分钟内供应商登陆“山西政府采购平台”，在项目采购-开标评标模块对投标文件进行在线解密。在规定时间内投标文件无法解密或解密失败的，视为无效投标；</w:t>
      </w:r>
    </w:p>
    <w:p w14:paraId="06FBD557">
      <w:pPr>
        <w:spacing w:line="520" w:lineRule="exact"/>
        <w:ind w:firstLine="560" w:firstLineChars="200"/>
        <w:outlineLvl w:val="2"/>
        <w:rPr>
          <w:rFonts w:hint="eastAsia" w:ascii="仿宋" w:hAnsi="仿宋" w:eastAsia="仿宋"/>
          <w:sz w:val="28"/>
          <w:szCs w:val="28"/>
        </w:rPr>
      </w:pPr>
      <w:r>
        <w:rPr>
          <w:rFonts w:hint="eastAsia" w:ascii="仿宋" w:hAnsi="仿宋" w:eastAsia="仿宋"/>
          <w:sz w:val="28"/>
          <w:szCs w:val="28"/>
        </w:rPr>
        <w:t>6. 本采购文件所表述的时间均为北京时间。</w:t>
      </w:r>
    </w:p>
    <w:p w14:paraId="06340C07">
      <w:pPr>
        <w:pStyle w:val="3"/>
        <w:spacing w:before="0" w:after="0" w:line="520" w:lineRule="exact"/>
        <w:ind w:left="720" w:firstLine="0"/>
        <w:rPr>
          <w:rFonts w:hint="eastAsia" w:ascii="仿宋" w:hAnsi="仿宋" w:eastAsia="仿宋" w:cs="宋体"/>
          <w:bCs w:val="0"/>
          <w:sz w:val="28"/>
          <w:szCs w:val="28"/>
        </w:rPr>
      </w:pPr>
      <w:bookmarkStart w:id="26" w:name="_Toc35393627"/>
      <w:bookmarkStart w:id="27" w:name="_Toc28359085"/>
      <w:bookmarkStart w:id="28" w:name="_Toc28359008"/>
      <w:bookmarkStart w:id="29" w:name="_Toc35393796"/>
      <w:r>
        <w:rPr>
          <w:rFonts w:hint="eastAsia" w:ascii="仿宋" w:hAnsi="仿宋" w:eastAsia="仿宋" w:cs="宋体"/>
          <w:bCs w:val="0"/>
          <w:sz w:val="28"/>
          <w:szCs w:val="28"/>
        </w:rPr>
        <w:t>七、对本次招标提出询问，请按</w:t>
      </w:r>
      <w:r>
        <w:rPr>
          <w:rFonts w:ascii="仿宋" w:hAnsi="仿宋" w:eastAsia="仿宋" w:cs="宋体"/>
          <w:bCs w:val="0"/>
          <w:sz w:val="28"/>
          <w:szCs w:val="28"/>
        </w:rPr>
        <w:t>以下方式</w:t>
      </w:r>
      <w:r>
        <w:rPr>
          <w:rFonts w:hint="eastAsia" w:ascii="仿宋" w:hAnsi="仿宋" w:eastAsia="仿宋" w:cs="宋体"/>
          <w:bCs w:val="0"/>
          <w:sz w:val="28"/>
          <w:szCs w:val="28"/>
        </w:rPr>
        <w:t>联系</w:t>
      </w:r>
      <w:bookmarkEnd w:id="26"/>
      <w:bookmarkEnd w:id="27"/>
      <w:bookmarkEnd w:id="28"/>
      <w:bookmarkEnd w:id="29"/>
    </w:p>
    <w:p w14:paraId="15BE1C79">
      <w:pPr>
        <w:widowControl/>
        <w:spacing w:line="520" w:lineRule="exact"/>
        <w:jc w:val="left"/>
        <w:outlineLvl w:val="2"/>
        <w:rPr>
          <w:rFonts w:hint="eastAsia" w:ascii="仿宋" w:hAnsi="仿宋" w:eastAsia="仿宋" w:cs="宋体"/>
          <w:bCs/>
          <w:kern w:val="0"/>
          <w:sz w:val="28"/>
          <w:szCs w:val="28"/>
        </w:rPr>
      </w:pPr>
      <w:r>
        <w:rPr>
          <w:rFonts w:hint="eastAsia" w:ascii="仿宋" w:hAnsi="仿宋" w:eastAsia="仿宋" w:cs="宋体"/>
          <w:sz w:val="28"/>
          <w:szCs w:val="28"/>
        </w:rPr>
        <w:t>　　　</w:t>
      </w:r>
      <w:r>
        <w:rPr>
          <w:rFonts w:hint="eastAsia" w:ascii="仿宋" w:hAnsi="仿宋" w:eastAsia="仿宋" w:cs="宋体"/>
          <w:bCs/>
          <w:kern w:val="0"/>
          <w:sz w:val="28"/>
          <w:szCs w:val="28"/>
        </w:rPr>
        <w:t>1.采购人信息</w:t>
      </w:r>
    </w:p>
    <w:p w14:paraId="3956FCB7">
      <w:pPr>
        <w:spacing w:line="520" w:lineRule="exact"/>
        <w:ind w:left="1129" w:leftChars="371" w:hanging="350" w:hangingChars="125"/>
        <w:jc w:val="left"/>
        <w:rPr>
          <w:rFonts w:hint="eastAsia" w:ascii="仿宋" w:hAnsi="仿宋" w:eastAsia="仿宋" w:cs="宋体"/>
          <w:bCs/>
          <w:kern w:val="0"/>
          <w:sz w:val="28"/>
          <w:szCs w:val="28"/>
        </w:rPr>
      </w:pPr>
      <w:r>
        <w:rPr>
          <w:rFonts w:hint="eastAsia" w:ascii="仿宋" w:hAnsi="仿宋" w:eastAsia="仿宋" w:cs="宋体"/>
          <w:bCs/>
          <w:kern w:val="0"/>
          <w:sz w:val="28"/>
          <w:szCs w:val="28"/>
        </w:rPr>
        <w:t>名 称：长治市妇幼保健院</w:t>
      </w:r>
    </w:p>
    <w:p w14:paraId="5929B924">
      <w:pPr>
        <w:spacing w:line="520" w:lineRule="exact"/>
        <w:ind w:left="1129" w:leftChars="371" w:hanging="350" w:hangingChars="125"/>
        <w:jc w:val="left"/>
        <w:rPr>
          <w:rFonts w:hint="eastAsia" w:ascii="仿宋" w:hAnsi="仿宋" w:eastAsia="仿宋" w:cs="宋体"/>
          <w:bCs/>
          <w:kern w:val="0"/>
          <w:sz w:val="28"/>
          <w:szCs w:val="28"/>
        </w:rPr>
      </w:pPr>
      <w:r>
        <w:rPr>
          <w:rFonts w:hint="eastAsia" w:ascii="仿宋" w:hAnsi="仿宋" w:eastAsia="仿宋" w:cs="宋体"/>
          <w:bCs/>
          <w:kern w:val="0"/>
          <w:sz w:val="28"/>
          <w:szCs w:val="28"/>
        </w:rPr>
        <w:t>地 址：长治市威远门中路22号</w:t>
      </w:r>
    </w:p>
    <w:p w14:paraId="30B090EA">
      <w:pPr>
        <w:spacing w:line="520" w:lineRule="exact"/>
        <w:ind w:left="1129" w:leftChars="371" w:hanging="350" w:hangingChars="125"/>
        <w:jc w:val="left"/>
        <w:rPr>
          <w:rFonts w:hint="eastAsia" w:ascii="仿宋" w:hAnsi="仿宋" w:eastAsia="仿宋" w:cs="宋体"/>
          <w:bCs/>
          <w:kern w:val="0"/>
          <w:sz w:val="28"/>
          <w:szCs w:val="28"/>
        </w:rPr>
      </w:pPr>
      <w:r>
        <w:rPr>
          <w:rFonts w:hint="eastAsia" w:ascii="仿宋" w:hAnsi="仿宋" w:eastAsia="仿宋" w:cs="宋体"/>
          <w:bCs/>
          <w:kern w:val="0"/>
          <w:sz w:val="28"/>
          <w:szCs w:val="28"/>
        </w:rPr>
        <w:t>项目联系人：</w:t>
      </w:r>
      <w:bookmarkStart w:id="30" w:name="OLE_LINK2"/>
      <w:bookmarkStart w:id="31" w:name="OLE_LINK1"/>
      <w:r>
        <w:rPr>
          <w:rFonts w:hint="eastAsia" w:ascii="仿宋" w:hAnsi="仿宋" w:eastAsia="仿宋" w:cs="宋体"/>
          <w:bCs/>
          <w:kern w:val="0"/>
          <w:sz w:val="28"/>
          <w:szCs w:val="28"/>
        </w:rPr>
        <w:t>李先生</w:t>
      </w:r>
      <w:bookmarkEnd w:id="30"/>
      <w:bookmarkEnd w:id="31"/>
    </w:p>
    <w:p w14:paraId="00B43DFF">
      <w:pPr>
        <w:spacing w:line="520" w:lineRule="exact"/>
        <w:ind w:left="1129" w:leftChars="371" w:hanging="350" w:hangingChars="125"/>
        <w:jc w:val="left"/>
        <w:rPr>
          <w:rFonts w:hint="eastAsia" w:ascii="仿宋" w:hAnsi="仿宋" w:eastAsia="仿宋" w:cs="宋体"/>
          <w:bCs/>
          <w:kern w:val="0"/>
          <w:sz w:val="28"/>
          <w:szCs w:val="28"/>
        </w:rPr>
      </w:pPr>
      <w:r>
        <w:rPr>
          <w:rFonts w:hint="eastAsia" w:ascii="仿宋" w:hAnsi="仿宋" w:eastAsia="仿宋" w:cs="宋体"/>
          <w:bCs/>
          <w:kern w:val="0"/>
          <w:sz w:val="28"/>
          <w:szCs w:val="28"/>
        </w:rPr>
        <w:t>项目联系方式：</w:t>
      </w:r>
      <w:bookmarkStart w:id="32" w:name="_Toc28359009"/>
      <w:bookmarkStart w:id="33" w:name="_Toc28359086"/>
      <w:r>
        <w:rPr>
          <w:rFonts w:hint="eastAsia" w:ascii="仿宋" w:hAnsi="仿宋" w:eastAsia="仿宋" w:cs="宋体"/>
          <w:bCs/>
          <w:kern w:val="0"/>
          <w:sz w:val="28"/>
          <w:szCs w:val="28"/>
        </w:rPr>
        <w:t>0355-2051035</w:t>
      </w:r>
    </w:p>
    <w:p w14:paraId="1DBB2313">
      <w:pPr>
        <w:spacing w:line="520" w:lineRule="exact"/>
        <w:ind w:left="1129" w:leftChars="371" w:hanging="350" w:hangingChars="125"/>
        <w:jc w:val="left"/>
        <w:outlineLvl w:val="2"/>
        <w:rPr>
          <w:rFonts w:hint="eastAsia" w:ascii="仿宋" w:hAnsi="仿宋" w:eastAsia="仿宋" w:cs="宋体"/>
          <w:bCs/>
          <w:kern w:val="0"/>
          <w:sz w:val="28"/>
          <w:szCs w:val="28"/>
        </w:rPr>
      </w:pPr>
      <w:r>
        <w:rPr>
          <w:rFonts w:hint="eastAsia" w:ascii="仿宋" w:hAnsi="仿宋" w:eastAsia="仿宋" w:cs="宋体"/>
          <w:bCs/>
          <w:kern w:val="0"/>
          <w:sz w:val="28"/>
          <w:szCs w:val="28"/>
        </w:rPr>
        <w:t>2.采购代理机构信息</w:t>
      </w:r>
      <w:bookmarkEnd w:id="32"/>
      <w:bookmarkEnd w:id="33"/>
    </w:p>
    <w:p w14:paraId="2F3D55AA">
      <w:pPr>
        <w:spacing w:line="520" w:lineRule="exact"/>
        <w:ind w:firstLine="840" w:firstLineChars="300"/>
        <w:rPr>
          <w:rFonts w:hint="eastAsia" w:ascii="仿宋" w:hAnsi="仿宋" w:eastAsia="仿宋" w:cs="宋体"/>
          <w:bCs/>
          <w:kern w:val="0"/>
          <w:sz w:val="28"/>
          <w:szCs w:val="28"/>
        </w:rPr>
      </w:pPr>
      <w:r>
        <w:rPr>
          <w:rFonts w:hint="eastAsia" w:ascii="仿宋" w:hAnsi="仿宋" w:eastAsia="仿宋" w:cs="宋体"/>
          <w:bCs/>
          <w:kern w:val="0"/>
          <w:sz w:val="28"/>
          <w:szCs w:val="28"/>
        </w:rPr>
        <w:t>名 称：长治市公共资源交易中心（长治市政府采购中心）　　</w:t>
      </w:r>
    </w:p>
    <w:p w14:paraId="5F0C1DDB">
      <w:pPr>
        <w:spacing w:line="520" w:lineRule="exact"/>
        <w:ind w:firstLine="840" w:firstLineChars="300"/>
        <w:rPr>
          <w:rFonts w:hint="eastAsia" w:ascii="仿宋" w:hAnsi="仿宋" w:eastAsia="仿宋" w:cs="宋体"/>
          <w:bCs/>
          <w:kern w:val="0"/>
          <w:sz w:val="28"/>
          <w:szCs w:val="28"/>
        </w:rPr>
      </w:pPr>
      <w:r>
        <w:rPr>
          <w:rFonts w:hint="eastAsia" w:ascii="仿宋" w:hAnsi="仿宋" w:eastAsia="仿宋" w:cs="宋体"/>
          <w:bCs/>
          <w:kern w:val="0"/>
          <w:sz w:val="28"/>
          <w:szCs w:val="28"/>
        </w:rPr>
        <w:t>地　址：长治市潞州区太行西街406号</w:t>
      </w:r>
    </w:p>
    <w:p w14:paraId="6EE23A80">
      <w:pPr>
        <w:spacing w:line="520" w:lineRule="exact"/>
        <w:ind w:firstLine="840" w:firstLineChars="300"/>
        <w:rPr>
          <w:rFonts w:hint="eastAsia" w:ascii="仿宋" w:hAnsi="仿宋" w:eastAsia="仿宋" w:cs="宋体"/>
          <w:bCs/>
          <w:kern w:val="0"/>
          <w:sz w:val="28"/>
          <w:szCs w:val="28"/>
        </w:rPr>
      </w:pPr>
      <w:r>
        <w:rPr>
          <w:rFonts w:hint="eastAsia" w:ascii="仿宋" w:hAnsi="仿宋" w:eastAsia="仿宋" w:cs="宋体"/>
          <w:bCs/>
          <w:kern w:val="0"/>
          <w:sz w:val="28"/>
          <w:szCs w:val="28"/>
        </w:rPr>
        <w:t>项目联系人：牛先生</w:t>
      </w:r>
    </w:p>
    <w:p w14:paraId="77EB4439">
      <w:pPr>
        <w:spacing w:line="520" w:lineRule="exact"/>
        <w:ind w:firstLine="840" w:firstLineChars="300"/>
        <w:rPr>
          <w:rFonts w:hint="eastAsia" w:ascii="仿宋" w:hAnsi="仿宋" w:eastAsia="仿宋" w:cs="宋体"/>
          <w:bCs/>
          <w:kern w:val="0"/>
          <w:sz w:val="28"/>
          <w:szCs w:val="28"/>
        </w:rPr>
      </w:pPr>
      <w:r>
        <w:rPr>
          <w:rFonts w:hint="eastAsia" w:ascii="仿宋" w:hAnsi="仿宋" w:eastAsia="仿宋" w:cs="宋体"/>
          <w:bCs/>
          <w:kern w:val="0"/>
          <w:sz w:val="28"/>
          <w:szCs w:val="28"/>
        </w:rPr>
        <w:t>项目联系方式：</w:t>
      </w:r>
      <w:bookmarkStart w:id="34" w:name="_Toc28359087"/>
      <w:bookmarkStart w:id="35" w:name="_Toc28359010"/>
      <w:r>
        <w:rPr>
          <w:rFonts w:hint="eastAsia" w:ascii="仿宋" w:hAnsi="仿宋" w:eastAsia="仿宋" w:cs="宋体"/>
          <w:bCs/>
          <w:kern w:val="0"/>
          <w:sz w:val="28"/>
          <w:szCs w:val="28"/>
        </w:rPr>
        <w:t>0355-208003</w:t>
      </w:r>
      <w:bookmarkEnd w:id="34"/>
      <w:bookmarkEnd w:id="35"/>
      <w:r>
        <w:rPr>
          <w:rFonts w:hint="eastAsia" w:ascii="仿宋" w:hAnsi="仿宋" w:eastAsia="仿宋" w:cs="宋体"/>
          <w:bCs/>
          <w:kern w:val="0"/>
          <w:sz w:val="28"/>
          <w:szCs w:val="28"/>
        </w:rPr>
        <w:t>7</w:t>
      </w:r>
    </w:p>
    <w:p w14:paraId="17A52523">
      <w:pPr>
        <w:spacing w:line="560" w:lineRule="atLeast"/>
        <w:rPr>
          <w:rFonts w:hint="eastAsia" w:ascii="仿宋" w:hAnsi="仿宋" w:eastAsia="仿宋"/>
          <w:sz w:val="32"/>
          <w:szCs w:val="32"/>
        </w:rPr>
      </w:pPr>
    </w:p>
    <w:p w14:paraId="358E6EE1">
      <w:pPr>
        <w:spacing w:line="560" w:lineRule="atLeast"/>
        <w:rPr>
          <w:rFonts w:hint="eastAsia" w:ascii="仿宋" w:hAnsi="仿宋" w:eastAsia="仿宋"/>
          <w:sz w:val="32"/>
          <w:szCs w:val="32"/>
        </w:rPr>
      </w:pPr>
    </w:p>
    <w:p w14:paraId="34408C4C">
      <w:pPr>
        <w:spacing w:line="560" w:lineRule="atLeast"/>
        <w:rPr>
          <w:rFonts w:hint="eastAsia" w:ascii="仿宋" w:hAnsi="仿宋" w:eastAsia="仿宋"/>
          <w:sz w:val="32"/>
          <w:szCs w:val="32"/>
        </w:rPr>
      </w:pPr>
    </w:p>
    <w:p w14:paraId="2B53224B">
      <w:pPr>
        <w:widowControl/>
        <w:jc w:val="left"/>
        <w:rPr>
          <w:rFonts w:hint="eastAsia" w:ascii="仿宋" w:hAnsi="仿宋" w:eastAsia="仿宋" w:cs="宋体"/>
          <w:b/>
          <w:bCs/>
          <w:spacing w:val="20"/>
          <w:kern w:val="44"/>
          <w:sz w:val="28"/>
          <w:szCs w:val="28"/>
        </w:rPr>
      </w:pPr>
      <w:r>
        <w:rPr>
          <w:rFonts w:ascii="仿宋" w:hAnsi="仿宋" w:eastAsia="仿宋"/>
          <w:spacing w:val="20"/>
          <w:szCs w:val="28"/>
        </w:rPr>
        <w:br w:type="page"/>
      </w:r>
    </w:p>
    <w:p w14:paraId="2F575331">
      <w:pPr>
        <w:pStyle w:val="76"/>
        <w:snapToGrid w:val="0"/>
        <w:spacing w:before="0" w:after="0"/>
        <w:ind w:left="0" w:firstLine="0"/>
        <w:rPr>
          <w:rFonts w:hint="eastAsia" w:ascii="仿宋" w:hAnsi="仿宋" w:eastAsia="仿宋"/>
          <w:spacing w:val="20"/>
          <w:szCs w:val="28"/>
        </w:rPr>
      </w:pPr>
      <w:r>
        <w:rPr>
          <w:rFonts w:hint="eastAsia" w:ascii="仿宋" w:hAnsi="仿宋" w:eastAsia="仿宋"/>
          <w:spacing w:val="20"/>
          <w:szCs w:val="28"/>
        </w:rPr>
        <w:t>第二部分  投标人须知前附表</w:t>
      </w:r>
      <w:bookmarkEnd w:id="0"/>
      <w:bookmarkEnd w:id="1"/>
      <w:bookmarkEnd w:id="2"/>
    </w:p>
    <w:tbl>
      <w:tblPr>
        <w:tblStyle w:val="3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5E47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441F3E44">
            <w:pPr>
              <w:snapToGrid w:val="0"/>
              <w:spacing w:line="390" w:lineRule="exact"/>
              <w:jc w:val="center"/>
              <w:rPr>
                <w:rFonts w:hint="eastAsia" w:ascii="仿宋" w:hAnsi="仿宋" w:eastAsia="仿宋"/>
                <w:b/>
                <w:szCs w:val="21"/>
              </w:rPr>
            </w:pPr>
            <w:r>
              <w:rPr>
                <w:rFonts w:ascii="仿宋" w:hAnsi="仿宋" w:eastAsia="仿宋"/>
                <w:b/>
                <w:szCs w:val="21"/>
              </w:rPr>
              <w:t>序号</w:t>
            </w:r>
          </w:p>
        </w:tc>
        <w:tc>
          <w:tcPr>
            <w:tcW w:w="1799" w:type="dxa"/>
            <w:vAlign w:val="center"/>
          </w:tcPr>
          <w:p w14:paraId="7DA48AC5">
            <w:pPr>
              <w:snapToGrid w:val="0"/>
              <w:spacing w:line="390" w:lineRule="exact"/>
              <w:jc w:val="center"/>
              <w:rPr>
                <w:rFonts w:hint="eastAsia" w:ascii="仿宋" w:hAnsi="仿宋" w:eastAsia="仿宋"/>
                <w:b/>
                <w:szCs w:val="21"/>
              </w:rPr>
            </w:pPr>
            <w:r>
              <w:rPr>
                <w:rFonts w:ascii="仿宋" w:hAnsi="仿宋" w:eastAsia="仿宋"/>
                <w:b/>
                <w:szCs w:val="21"/>
              </w:rPr>
              <w:t>内  容</w:t>
            </w:r>
          </w:p>
        </w:tc>
        <w:tc>
          <w:tcPr>
            <w:tcW w:w="6660" w:type="dxa"/>
            <w:vAlign w:val="center"/>
          </w:tcPr>
          <w:p w14:paraId="2C6CA021">
            <w:pPr>
              <w:pStyle w:val="25"/>
              <w:snapToGrid w:val="0"/>
              <w:spacing w:line="390" w:lineRule="exact"/>
              <w:jc w:val="center"/>
              <w:rPr>
                <w:rFonts w:hint="eastAsia" w:ascii="仿宋" w:hAnsi="仿宋" w:eastAsia="仿宋"/>
                <w:b/>
              </w:rPr>
            </w:pPr>
            <w:r>
              <w:rPr>
                <w:rFonts w:ascii="仿宋" w:hAnsi="仿宋" w:eastAsia="仿宋"/>
                <w:b/>
                <w:kern w:val="0"/>
              </w:rPr>
              <w:t>说明与要求</w:t>
            </w:r>
          </w:p>
        </w:tc>
      </w:tr>
      <w:tr w14:paraId="08F5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9" w:type="dxa"/>
            <w:vAlign w:val="center"/>
          </w:tcPr>
          <w:p w14:paraId="03F06694">
            <w:pPr>
              <w:snapToGrid w:val="0"/>
              <w:spacing w:line="390" w:lineRule="exact"/>
              <w:jc w:val="center"/>
              <w:rPr>
                <w:rFonts w:hint="eastAsia" w:ascii="仿宋" w:hAnsi="仿宋" w:eastAsia="仿宋"/>
                <w:b/>
                <w:szCs w:val="21"/>
              </w:rPr>
            </w:pPr>
            <w:r>
              <w:rPr>
                <w:rFonts w:ascii="仿宋" w:hAnsi="仿宋" w:eastAsia="仿宋"/>
                <w:b/>
                <w:szCs w:val="21"/>
              </w:rPr>
              <w:t>1</w:t>
            </w:r>
          </w:p>
        </w:tc>
        <w:tc>
          <w:tcPr>
            <w:tcW w:w="1799" w:type="dxa"/>
            <w:vAlign w:val="center"/>
          </w:tcPr>
          <w:p w14:paraId="389BDFA8">
            <w:pPr>
              <w:pStyle w:val="77"/>
              <w:tabs>
                <w:tab w:val="clear" w:pos="2880"/>
              </w:tabs>
              <w:snapToGrid w:val="0"/>
              <w:spacing w:line="390" w:lineRule="exact"/>
              <w:ind w:left="721" w:hanging="721" w:hangingChars="342"/>
              <w:jc w:val="center"/>
              <w:rPr>
                <w:rFonts w:hint="eastAsia" w:ascii="仿宋" w:hAnsi="仿宋" w:eastAsia="仿宋"/>
                <w:sz w:val="21"/>
                <w:szCs w:val="21"/>
              </w:rPr>
            </w:pPr>
            <w:r>
              <w:rPr>
                <w:rFonts w:ascii="仿宋" w:hAnsi="仿宋" w:eastAsia="仿宋"/>
                <w:sz w:val="21"/>
                <w:szCs w:val="21"/>
              </w:rPr>
              <w:t>投标人应具备的</w:t>
            </w:r>
          </w:p>
          <w:p w14:paraId="4EE00A18">
            <w:pPr>
              <w:pStyle w:val="77"/>
              <w:tabs>
                <w:tab w:val="clear" w:pos="2880"/>
              </w:tabs>
              <w:snapToGrid w:val="0"/>
              <w:spacing w:line="390" w:lineRule="exact"/>
              <w:ind w:left="721" w:hanging="721" w:hangingChars="342"/>
              <w:jc w:val="center"/>
              <w:rPr>
                <w:rFonts w:hint="eastAsia" w:ascii="仿宋" w:hAnsi="仿宋" w:eastAsia="仿宋"/>
                <w:sz w:val="21"/>
                <w:szCs w:val="21"/>
              </w:rPr>
            </w:pPr>
            <w:r>
              <w:rPr>
                <w:rFonts w:ascii="仿宋" w:hAnsi="仿宋" w:eastAsia="仿宋"/>
                <w:sz w:val="21"/>
                <w:szCs w:val="21"/>
              </w:rPr>
              <w:t>特定资格要求</w:t>
            </w:r>
          </w:p>
        </w:tc>
        <w:tc>
          <w:tcPr>
            <w:tcW w:w="6660" w:type="dxa"/>
            <w:vAlign w:val="center"/>
          </w:tcPr>
          <w:p w14:paraId="03F0214D">
            <w:pPr>
              <w:spacing w:line="360" w:lineRule="exact"/>
              <w:jc w:val="left"/>
              <w:rPr>
                <w:rFonts w:hint="eastAsia" w:ascii="仿宋" w:hAnsi="仿宋" w:eastAsia="仿宋"/>
                <w:bCs/>
                <w:color w:val="auto"/>
                <w:szCs w:val="21"/>
                <w:highlight w:val="none"/>
                <w:shd w:val="clear" w:color="auto" w:fill="auto"/>
              </w:rPr>
            </w:pPr>
            <w:r>
              <w:rPr>
                <w:rFonts w:ascii="仿宋" w:hAnsi="仿宋" w:eastAsia="仿宋"/>
                <w:bCs/>
                <w:color w:val="auto"/>
                <w:szCs w:val="21"/>
                <w:highlight w:val="none"/>
                <w:shd w:val="clear" w:color="auto" w:fill="auto"/>
              </w:rPr>
              <w:t>本项目其他特定资格条件：详见招标公告“申请人的资格要求”</w:t>
            </w:r>
          </w:p>
          <w:p w14:paraId="2E3A2DA3">
            <w:pPr>
              <w:spacing w:line="360" w:lineRule="exact"/>
              <w:jc w:val="left"/>
              <w:rPr>
                <w:rFonts w:hint="eastAsia" w:ascii="仿宋" w:hAnsi="仿宋" w:eastAsia="仿宋"/>
                <w:bCs/>
                <w:szCs w:val="21"/>
              </w:rPr>
            </w:pPr>
            <w:r>
              <w:rPr>
                <w:rFonts w:ascii="仿宋" w:hAnsi="仿宋" w:eastAsia="仿宋"/>
                <w:bCs/>
                <w:color w:val="auto"/>
                <w:szCs w:val="21"/>
                <w:highlight w:val="none"/>
                <w:shd w:val="clear" w:color="auto" w:fill="auto"/>
              </w:rPr>
              <w:t>本次招标不接受联合体参加投标。</w:t>
            </w:r>
          </w:p>
        </w:tc>
      </w:tr>
      <w:tr w14:paraId="0AB8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0779CDD">
            <w:pPr>
              <w:snapToGrid w:val="0"/>
              <w:spacing w:line="390" w:lineRule="exact"/>
              <w:jc w:val="center"/>
              <w:rPr>
                <w:rFonts w:hint="eastAsia" w:ascii="仿宋" w:hAnsi="仿宋" w:eastAsia="仿宋"/>
                <w:b/>
                <w:szCs w:val="21"/>
              </w:rPr>
            </w:pPr>
            <w:r>
              <w:rPr>
                <w:rFonts w:ascii="仿宋" w:hAnsi="仿宋" w:eastAsia="仿宋"/>
                <w:b/>
                <w:szCs w:val="21"/>
              </w:rPr>
              <w:t>2</w:t>
            </w:r>
          </w:p>
        </w:tc>
        <w:tc>
          <w:tcPr>
            <w:tcW w:w="1799" w:type="dxa"/>
            <w:vAlign w:val="center"/>
          </w:tcPr>
          <w:p w14:paraId="17C9A52D">
            <w:pPr>
              <w:snapToGrid w:val="0"/>
              <w:spacing w:line="390" w:lineRule="exact"/>
              <w:ind w:firstLine="105" w:firstLineChars="50"/>
              <w:jc w:val="center"/>
              <w:rPr>
                <w:rFonts w:hint="eastAsia" w:ascii="仿宋" w:hAnsi="仿宋" w:eastAsia="仿宋"/>
                <w:b/>
                <w:szCs w:val="21"/>
              </w:rPr>
            </w:pPr>
            <w:r>
              <w:rPr>
                <w:rFonts w:ascii="仿宋" w:hAnsi="仿宋" w:eastAsia="仿宋"/>
                <w:b/>
                <w:szCs w:val="21"/>
              </w:rPr>
              <w:t>投标文件</w:t>
            </w:r>
          </w:p>
          <w:p w14:paraId="2DD26F7D">
            <w:pPr>
              <w:snapToGrid w:val="0"/>
              <w:spacing w:line="390" w:lineRule="exact"/>
              <w:jc w:val="center"/>
              <w:rPr>
                <w:rFonts w:hint="eastAsia" w:ascii="仿宋" w:hAnsi="仿宋" w:eastAsia="仿宋"/>
                <w:b/>
                <w:szCs w:val="21"/>
              </w:rPr>
            </w:pPr>
            <w:r>
              <w:rPr>
                <w:rFonts w:ascii="仿宋" w:hAnsi="仿宋" w:eastAsia="仿宋"/>
                <w:b/>
                <w:szCs w:val="21"/>
              </w:rPr>
              <w:t>（资格证明文件）</w:t>
            </w:r>
          </w:p>
        </w:tc>
        <w:tc>
          <w:tcPr>
            <w:tcW w:w="6660" w:type="dxa"/>
            <w:vAlign w:val="center"/>
          </w:tcPr>
          <w:p w14:paraId="7D0BD477">
            <w:pPr>
              <w:spacing w:line="320" w:lineRule="exact"/>
              <w:ind w:firstLine="420" w:firstLineChars="200"/>
              <w:rPr>
                <w:rFonts w:hint="eastAsia" w:ascii="仿宋" w:hAnsi="仿宋" w:eastAsia="仿宋"/>
                <w:szCs w:val="21"/>
              </w:rPr>
            </w:pPr>
            <w:r>
              <w:rPr>
                <w:rFonts w:ascii="仿宋" w:hAnsi="仿宋" w:eastAsia="仿宋"/>
                <w:szCs w:val="21"/>
              </w:rPr>
              <w:t>1.</w:t>
            </w:r>
            <w:r>
              <w:rPr>
                <w:rFonts w:hint="eastAsia" w:ascii="仿宋" w:hAnsi="仿宋" w:eastAsia="仿宋"/>
                <w:szCs w:val="21"/>
              </w:rPr>
              <w:t>《中华人民共和国政府采购法》第二十二条 供应商参加政府采购活动应当具备下列条件：</w:t>
            </w:r>
          </w:p>
          <w:p w14:paraId="49E2D310">
            <w:pPr>
              <w:pStyle w:val="74"/>
              <w:ind w:firstLine="420"/>
              <w:rPr>
                <w:rFonts w:hint="eastAsia"/>
                <w:b w:val="0"/>
              </w:rPr>
            </w:pPr>
            <w:r>
              <w:rPr>
                <w:b w:val="0"/>
              </w:rPr>
              <w:t>（1）具有独立承担民事责任的能力</w:t>
            </w:r>
          </w:p>
          <w:p w14:paraId="1DC7F424">
            <w:pPr>
              <w:spacing w:line="320" w:lineRule="exact"/>
              <w:ind w:firstLine="420" w:firstLineChars="200"/>
              <w:rPr>
                <w:rFonts w:hint="eastAsia" w:ascii="仿宋" w:hAnsi="仿宋" w:eastAsia="仿宋"/>
                <w:szCs w:val="21"/>
              </w:rPr>
            </w:pPr>
            <w:r>
              <w:rPr>
                <w:rFonts w:ascii="仿宋" w:hAnsi="仿宋" w:eastAsia="仿宋"/>
                <w:szCs w:val="21"/>
              </w:rPr>
              <w:t>（2）具有良好的商业信誉和健全的财务会计制度；</w:t>
            </w:r>
          </w:p>
          <w:p w14:paraId="1AEDCF10">
            <w:pPr>
              <w:spacing w:line="320" w:lineRule="exact"/>
              <w:ind w:firstLine="420" w:firstLineChars="200"/>
              <w:rPr>
                <w:rFonts w:hint="eastAsia" w:ascii="仿宋" w:hAnsi="仿宋" w:eastAsia="仿宋"/>
                <w:szCs w:val="21"/>
              </w:rPr>
            </w:pPr>
            <w:r>
              <w:rPr>
                <w:rFonts w:ascii="仿宋" w:hAnsi="仿宋" w:eastAsia="仿宋"/>
                <w:szCs w:val="21"/>
              </w:rPr>
              <w:t>（3）具有履行合同所必需的设备和专业技术能力；</w:t>
            </w:r>
          </w:p>
          <w:p w14:paraId="302D6551">
            <w:pPr>
              <w:spacing w:line="320" w:lineRule="exact"/>
              <w:ind w:firstLine="420" w:firstLineChars="200"/>
              <w:rPr>
                <w:rFonts w:hint="eastAsia" w:ascii="仿宋" w:hAnsi="仿宋" w:eastAsia="仿宋"/>
                <w:szCs w:val="21"/>
              </w:rPr>
            </w:pPr>
            <w:r>
              <w:rPr>
                <w:rFonts w:ascii="仿宋" w:hAnsi="仿宋" w:eastAsia="仿宋"/>
                <w:szCs w:val="21"/>
              </w:rPr>
              <w:t>（4）有依法缴纳税收和社会保障资金的良好记录；</w:t>
            </w:r>
          </w:p>
          <w:p w14:paraId="5894995C">
            <w:pPr>
              <w:spacing w:line="320" w:lineRule="exact"/>
              <w:ind w:left="945" w:leftChars="200" w:hanging="525" w:hangingChars="250"/>
              <w:rPr>
                <w:rFonts w:hint="eastAsia" w:ascii="仿宋" w:hAnsi="仿宋" w:eastAsia="仿宋"/>
                <w:szCs w:val="21"/>
              </w:rPr>
            </w:pPr>
            <w:r>
              <w:rPr>
                <w:rFonts w:ascii="仿宋" w:hAnsi="仿宋" w:eastAsia="仿宋"/>
                <w:szCs w:val="21"/>
              </w:rPr>
              <w:t>（5）参加政府采购活动前三年内，在经营活动中没有重大违法记录；</w:t>
            </w:r>
          </w:p>
          <w:p w14:paraId="57CC3C75">
            <w:pPr>
              <w:spacing w:line="320" w:lineRule="exact"/>
              <w:ind w:firstLine="420" w:firstLineChars="200"/>
              <w:rPr>
                <w:rFonts w:hint="eastAsia" w:ascii="仿宋" w:hAnsi="仿宋" w:eastAsia="仿宋"/>
                <w:szCs w:val="21"/>
              </w:rPr>
            </w:pPr>
            <w:r>
              <w:rPr>
                <w:rFonts w:ascii="仿宋" w:hAnsi="仿宋" w:eastAsia="仿宋"/>
                <w:szCs w:val="21"/>
              </w:rPr>
              <w:t>（6）法律、行政法规规定的其他条件。</w:t>
            </w:r>
          </w:p>
          <w:p w14:paraId="51382CC5">
            <w:pPr>
              <w:spacing w:line="320" w:lineRule="exact"/>
              <w:ind w:firstLine="422" w:firstLineChars="200"/>
              <w:rPr>
                <w:rFonts w:hint="eastAsia" w:ascii="仿宋" w:hAnsi="仿宋" w:eastAsia="仿宋"/>
                <w:b/>
                <w:szCs w:val="21"/>
              </w:rPr>
            </w:pPr>
            <w:r>
              <w:rPr>
                <w:rFonts w:hint="eastAsia" w:ascii="仿宋" w:hAnsi="仿宋" w:eastAsia="仿宋"/>
                <w:b/>
                <w:szCs w:val="21"/>
              </w:rPr>
              <w:t>以上</w:t>
            </w:r>
            <w:r>
              <w:rPr>
                <w:rFonts w:ascii="仿宋" w:hAnsi="仿宋" w:eastAsia="仿宋"/>
                <w:b/>
                <w:szCs w:val="21"/>
              </w:rPr>
              <w:t>6条仅需提供《长治市政府采购供应商信用承诺函》；</w:t>
            </w:r>
          </w:p>
          <w:p w14:paraId="731A5A5B">
            <w:pPr>
              <w:spacing w:line="320" w:lineRule="exact"/>
              <w:ind w:firstLine="420" w:firstLineChars="200"/>
              <w:rPr>
                <w:rFonts w:hint="eastAsia" w:ascii="仿宋" w:hAnsi="仿宋" w:eastAsia="仿宋"/>
                <w:szCs w:val="21"/>
              </w:rPr>
            </w:pPr>
            <w:r>
              <w:rPr>
                <w:rFonts w:ascii="仿宋" w:hAnsi="仿宋" w:eastAsia="仿宋"/>
                <w:szCs w:val="21"/>
              </w:rPr>
              <w:t>2.中小企业资格证明（若涉及）</w:t>
            </w:r>
          </w:p>
          <w:p w14:paraId="55093843">
            <w:pPr>
              <w:spacing w:line="320" w:lineRule="exact"/>
              <w:ind w:firstLine="420" w:firstLineChars="200"/>
              <w:rPr>
                <w:rFonts w:hint="eastAsia" w:ascii="仿宋" w:hAnsi="仿宋" w:eastAsia="仿宋"/>
                <w:szCs w:val="21"/>
              </w:rPr>
            </w:pPr>
            <w:r>
              <w:rPr>
                <w:rFonts w:ascii="仿宋" w:hAnsi="仿宋" w:eastAsia="仿宋"/>
                <w:szCs w:val="21"/>
              </w:rPr>
              <w:t>提供以下任意一项：</w:t>
            </w:r>
          </w:p>
          <w:p w14:paraId="5DC04F0F">
            <w:pPr>
              <w:spacing w:line="320" w:lineRule="exact"/>
              <w:ind w:firstLine="420" w:firstLineChars="200"/>
              <w:rPr>
                <w:rFonts w:hint="eastAsia" w:ascii="仿宋" w:hAnsi="仿宋" w:eastAsia="仿宋"/>
                <w:szCs w:val="21"/>
              </w:rPr>
            </w:pPr>
            <w:r>
              <w:rPr>
                <w:rFonts w:ascii="仿宋" w:hAnsi="仿宋" w:eastAsia="仿宋"/>
                <w:szCs w:val="21"/>
              </w:rPr>
              <w:t>（1）中小企业声明函；</w:t>
            </w:r>
          </w:p>
          <w:p w14:paraId="35A5E1CB">
            <w:pPr>
              <w:spacing w:line="320" w:lineRule="exact"/>
              <w:ind w:firstLine="420" w:firstLineChars="200"/>
              <w:rPr>
                <w:rFonts w:hint="eastAsia" w:ascii="仿宋" w:hAnsi="仿宋" w:eastAsia="仿宋"/>
                <w:szCs w:val="21"/>
              </w:rPr>
            </w:pPr>
            <w:r>
              <w:rPr>
                <w:rFonts w:ascii="仿宋" w:hAnsi="仿宋" w:eastAsia="仿宋"/>
                <w:szCs w:val="21"/>
              </w:rPr>
              <w:t>（2）残疾人福利性单位声明函；</w:t>
            </w:r>
          </w:p>
          <w:p w14:paraId="37D3FF70">
            <w:pPr>
              <w:spacing w:line="320" w:lineRule="exact"/>
              <w:ind w:firstLine="420" w:firstLineChars="200"/>
              <w:rPr>
                <w:rFonts w:hint="eastAsia" w:ascii="仿宋" w:hAnsi="仿宋" w:eastAsia="仿宋"/>
                <w:szCs w:val="21"/>
              </w:rPr>
            </w:pPr>
            <w:r>
              <w:rPr>
                <w:rFonts w:ascii="仿宋" w:hAnsi="仿宋" w:eastAsia="仿宋"/>
                <w:szCs w:val="21"/>
              </w:rPr>
              <w:t>（3）监狱企业证明文件。</w:t>
            </w:r>
          </w:p>
          <w:p w14:paraId="5AFB4B98">
            <w:pPr>
              <w:spacing w:line="320" w:lineRule="exact"/>
              <w:ind w:firstLine="420" w:firstLineChars="200"/>
              <w:rPr>
                <w:rFonts w:hint="eastAsia" w:ascii="仿宋" w:hAnsi="仿宋" w:eastAsia="仿宋"/>
                <w:szCs w:val="21"/>
              </w:rPr>
            </w:pPr>
            <w:r>
              <w:rPr>
                <w:rFonts w:ascii="仿宋" w:hAnsi="仿宋" w:eastAsia="仿宋"/>
                <w:szCs w:val="21"/>
              </w:rPr>
              <w:t>3.本项目其他特定资格条件；</w:t>
            </w:r>
          </w:p>
          <w:p w14:paraId="758FF33D">
            <w:pPr>
              <w:spacing w:line="320" w:lineRule="exact"/>
              <w:ind w:firstLine="420" w:firstLineChars="200"/>
              <w:rPr>
                <w:rFonts w:hint="eastAsia" w:ascii="仿宋" w:hAnsi="仿宋" w:eastAsia="仿宋"/>
                <w:szCs w:val="21"/>
              </w:rPr>
            </w:pPr>
            <w:r>
              <w:rPr>
                <w:rFonts w:ascii="仿宋" w:hAnsi="仿宋" w:eastAsia="仿宋"/>
                <w:szCs w:val="21"/>
              </w:rPr>
              <w:t>按照本部分序号1“其他特定资质条件”规定提交相关证明文件。</w:t>
            </w:r>
          </w:p>
          <w:p w14:paraId="2E735004">
            <w:pPr>
              <w:spacing w:line="320" w:lineRule="exact"/>
              <w:ind w:firstLine="420" w:firstLineChars="200"/>
              <w:rPr>
                <w:rFonts w:hint="eastAsia" w:ascii="仿宋" w:hAnsi="仿宋" w:eastAsia="仿宋"/>
                <w:szCs w:val="21"/>
              </w:rPr>
            </w:pPr>
            <w:r>
              <w:rPr>
                <w:rFonts w:ascii="仿宋" w:hAnsi="仿宋" w:eastAsia="仿宋"/>
                <w:szCs w:val="21"/>
              </w:rPr>
              <w:t>4.投标保证金的交纳情况及开户许可证（若涉及）；</w:t>
            </w:r>
          </w:p>
          <w:p w14:paraId="18D16FD0">
            <w:pPr>
              <w:spacing w:line="320" w:lineRule="exact"/>
              <w:ind w:firstLine="420" w:firstLineChars="200"/>
              <w:rPr>
                <w:rFonts w:hint="eastAsia" w:ascii="仿宋" w:hAnsi="仿宋" w:eastAsia="仿宋"/>
                <w:szCs w:val="21"/>
              </w:rPr>
            </w:pPr>
            <w:r>
              <w:rPr>
                <w:rFonts w:ascii="仿宋" w:hAnsi="仿宋" w:eastAsia="仿宋"/>
                <w:szCs w:val="21"/>
              </w:rPr>
              <w:t>若本项目收取投标保证金，须提供投标人基本存款账户开户许可证（已取消企业银行账户许可的提供银行证明或提供取消企业银行账户许可的相关公告）扫描件及投标保证金交纳回单（或回执）。</w:t>
            </w:r>
          </w:p>
          <w:p w14:paraId="35BB478B">
            <w:pPr>
              <w:spacing w:line="320" w:lineRule="exact"/>
              <w:ind w:firstLine="420" w:firstLineChars="200"/>
              <w:rPr>
                <w:rFonts w:hint="eastAsia" w:ascii="仿宋" w:hAnsi="仿宋" w:eastAsia="仿宋"/>
                <w:szCs w:val="21"/>
              </w:rPr>
            </w:pPr>
            <w:r>
              <w:rPr>
                <w:rFonts w:ascii="仿宋" w:hAnsi="仿宋" w:eastAsia="仿宋"/>
                <w:szCs w:val="21"/>
              </w:rPr>
              <w:t>5.联合体投标（若涉及）。</w:t>
            </w:r>
          </w:p>
          <w:p w14:paraId="6CB47630">
            <w:pPr>
              <w:spacing w:line="320" w:lineRule="exact"/>
              <w:ind w:firstLine="420" w:firstLineChars="200"/>
              <w:rPr>
                <w:rFonts w:hint="eastAsia" w:ascii="仿宋" w:hAnsi="仿宋" w:eastAsia="仿宋"/>
                <w:szCs w:val="21"/>
              </w:rPr>
            </w:pPr>
            <w:r>
              <w:rPr>
                <w:rFonts w:ascii="仿宋" w:hAnsi="仿宋" w:eastAsia="仿宋"/>
                <w:szCs w:val="21"/>
              </w:rPr>
              <w:t>若本项目允许联合体参加投标，须提供联合体各方签订的《联合投标协议书》。</w:t>
            </w:r>
          </w:p>
          <w:p w14:paraId="6226EF58">
            <w:pPr>
              <w:spacing w:line="320" w:lineRule="exact"/>
              <w:ind w:firstLine="420" w:firstLineChars="200"/>
              <w:rPr>
                <w:rFonts w:hint="eastAsia" w:ascii="仿宋" w:hAnsi="仿宋" w:eastAsia="仿宋"/>
                <w:b/>
                <w:szCs w:val="21"/>
              </w:rPr>
            </w:pPr>
            <w:r>
              <w:rPr>
                <w:rFonts w:ascii="仿宋" w:hAnsi="仿宋" w:eastAsia="仿宋"/>
                <w:szCs w:val="21"/>
              </w:rPr>
              <w:t>说明：以上内容涉及的格式资料详见第八部分。本项目将根据投标人提供的上述文件进行资格审查，具体检查的内容标准详见本招标文件“第五部分 资格审查内容及标准”。</w:t>
            </w:r>
          </w:p>
        </w:tc>
      </w:tr>
      <w:tr w14:paraId="206A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3DBA1C3">
            <w:pPr>
              <w:snapToGrid w:val="0"/>
              <w:spacing w:line="390" w:lineRule="exact"/>
              <w:jc w:val="center"/>
              <w:rPr>
                <w:rFonts w:hint="eastAsia" w:ascii="仿宋" w:hAnsi="仿宋" w:eastAsia="仿宋"/>
                <w:b/>
                <w:szCs w:val="21"/>
              </w:rPr>
            </w:pPr>
            <w:r>
              <w:rPr>
                <w:rFonts w:ascii="仿宋" w:hAnsi="仿宋" w:eastAsia="仿宋"/>
                <w:b/>
                <w:szCs w:val="21"/>
              </w:rPr>
              <w:t>3</w:t>
            </w:r>
          </w:p>
        </w:tc>
        <w:tc>
          <w:tcPr>
            <w:tcW w:w="1799" w:type="dxa"/>
            <w:vAlign w:val="center"/>
          </w:tcPr>
          <w:p w14:paraId="4BD9A269">
            <w:pPr>
              <w:snapToGrid w:val="0"/>
              <w:spacing w:line="390" w:lineRule="exact"/>
              <w:ind w:firstLine="105" w:firstLineChars="50"/>
              <w:jc w:val="center"/>
              <w:rPr>
                <w:rFonts w:hint="eastAsia" w:ascii="仿宋" w:hAnsi="仿宋" w:eastAsia="仿宋"/>
                <w:b/>
                <w:szCs w:val="21"/>
              </w:rPr>
            </w:pPr>
            <w:r>
              <w:rPr>
                <w:rFonts w:ascii="仿宋" w:hAnsi="仿宋" w:eastAsia="仿宋"/>
                <w:b/>
                <w:szCs w:val="21"/>
              </w:rPr>
              <w:t>投标文件</w:t>
            </w:r>
          </w:p>
          <w:p w14:paraId="773877A0">
            <w:pPr>
              <w:snapToGrid w:val="0"/>
              <w:spacing w:line="390" w:lineRule="exact"/>
              <w:rPr>
                <w:rFonts w:hint="eastAsia" w:ascii="仿宋" w:hAnsi="仿宋" w:eastAsia="仿宋"/>
                <w:b/>
                <w:szCs w:val="21"/>
              </w:rPr>
            </w:pPr>
            <w:r>
              <w:rPr>
                <w:rFonts w:ascii="仿宋" w:hAnsi="仿宋" w:eastAsia="仿宋"/>
                <w:b/>
                <w:szCs w:val="21"/>
              </w:rPr>
              <w:t>（商务</w:t>
            </w:r>
            <w:r>
              <w:rPr>
                <w:rFonts w:hint="eastAsia" w:ascii="仿宋" w:hAnsi="仿宋" w:eastAsia="仿宋"/>
                <w:b/>
                <w:szCs w:val="21"/>
              </w:rPr>
              <w:t>技术</w:t>
            </w:r>
            <w:r>
              <w:rPr>
                <w:rFonts w:ascii="仿宋" w:hAnsi="仿宋" w:eastAsia="仿宋"/>
                <w:b/>
                <w:szCs w:val="21"/>
              </w:rPr>
              <w:t>文件）</w:t>
            </w:r>
          </w:p>
        </w:tc>
        <w:tc>
          <w:tcPr>
            <w:tcW w:w="6660" w:type="dxa"/>
            <w:vAlign w:val="center"/>
          </w:tcPr>
          <w:p w14:paraId="4C521B07">
            <w:pPr>
              <w:spacing w:line="320" w:lineRule="exact"/>
              <w:ind w:firstLine="420" w:firstLineChars="200"/>
              <w:rPr>
                <w:rFonts w:hint="eastAsia" w:ascii="仿宋" w:hAnsi="仿宋" w:eastAsia="仿宋"/>
                <w:szCs w:val="21"/>
              </w:rPr>
            </w:pPr>
            <w:r>
              <w:rPr>
                <w:rFonts w:ascii="仿宋" w:hAnsi="仿宋" w:eastAsia="仿宋"/>
                <w:szCs w:val="21"/>
              </w:rPr>
              <w:t>1.投标人代表的证明</w:t>
            </w:r>
          </w:p>
          <w:p w14:paraId="04E3B696">
            <w:pPr>
              <w:spacing w:line="320" w:lineRule="exact"/>
              <w:ind w:firstLine="420" w:firstLineChars="200"/>
              <w:rPr>
                <w:rFonts w:hint="eastAsia" w:ascii="仿宋" w:hAnsi="仿宋" w:eastAsia="仿宋"/>
                <w:szCs w:val="21"/>
              </w:rPr>
            </w:pPr>
            <w:r>
              <w:rPr>
                <w:rFonts w:ascii="仿宋" w:hAnsi="仿宋" w:eastAsia="仿宋"/>
                <w:szCs w:val="21"/>
              </w:rPr>
              <w:t>（1）法定代表人参加投标的，提供“法定代表人身份证明书”；</w:t>
            </w:r>
          </w:p>
          <w:p w14:paraId="2EE04035">
            <w:pPr>
              <w:spacing w:line="320" w:lineRule="exact"/>
              <w:ind w:firstLine="420" w:firstLineChars="200"/>
              <w:rPr>
                <w:rFonts w:hint="eastAsia" w:ascii="仿宋" w:hAnsi="仿宋" w:eastAsia="仿宋"/>
                <w:szCs w:val="21"/>
              </w:rPr>
            </w:pPr>
            <w:r>
              <w:rPr>
                <w:rFonts w:ascii="仿宋" w:hAnsi="仿宋" w:eastAsia="仿宋"/>
                <w:szCs w:val="21"/>
              </w:rPr>
              <w:t>（2）委托代理人参加投标的，提供“法定代表人授权委托书”；</w:t>
            </w:r>
          </w:p>
          <w:p w14:paraId="6C0BEF11">
            <w:pPr>
              <w:spacing w:line="320" w:lineRule="exact"/>
              <w:ind w:firstLine="420" w:firstLineChars="200"/>
              <w:rPr>
                <w:rFonts w:hint="eastAsia" w:ascii="仿宋" w:hAnsi="仿宋" w:eastAsia="仿宋"/>
                <w:szCs w:val="21"/>
              </w:rPr>
            </w:pPr>
            <w:r>
              <w:rPr>
                <w:rFonts w:ascii="仿宋" w:hAnsi="仿宋" w:eastAsia="仿宋"/>
                <w:szCs w:val="21"/>
              </w:rPr>
              <w:t>（3）自然人参加投标的，提供个人身份证明扫描件；</w:t>
            </w:r>
          </w:p>
          <w:p w14:paraId="20DF59C3">
            <w:pPr>
              <w:spacing w:line="320" w:lineRule="exact"/>
              <w:ind w:firstLine="420" w:firstLineChars="200"/>
              <w:rPr>
                <w:rFonts w:hint="eastAsia" w:ascii="仿宋" w:hAnsi="仿宋" w:eastAsia="仿宋"/>
                <w:szCs w:val="21"/>
              </w:rPr>
            </w:pPr>
            <w:r>
              <w:rPr>
                <w:rFonts w:ascii="仿宋" w:hAnsi="仿宋" w:eastAsia="仿宋"/>
                <w:szCs w:val="21"/>
              </w:rPr>
              <w:t>2.投标函</w:t>
            </w:r>
          </w:p>
          <w:p w14:paraId="3383479C">
            <w:pPr>
              <w:spacing w:line="320" w:lineRule="exact"/>
              <w:ind w:firstLine="420" w:firstLineChars="200"/>
              <w:rPr>
                <w:rFonts w:hint="eastAsia" w:ascii="仿宋" w:hAnsi="仿宋" w:eastAsia="仿宋"/>
                <w:szCs w:val="21"/>
              </w:rPr>
            </w:pPr>
            <w:r>
              <w:rPr>
                <w:rFonts w:ascii="仿宋" w:hAnsi="仿宋" w:eastAsia="仿宋"/>
                <w:szCs w:val="21"/>
              </w:rPr>
              <w:t>3.对商务要求的响应内容</w:t>
            </w:r>
          </w:p>
          <w:p w14:paraId="4E5F073C">
            <w:pPr>
              <w:spacing w:line="320" w:lineRule="exact"/>
              <w:ind w:firstLine="420" w:firstLineChars="200"/>
              <w:rPr>
                <w:rFonts w:hint="eastAsia" w:ascii="仿宋" w:hAnsi="仿宋" w:eastAsia="仿宋"/>
                <w:szCs w:val="21"/>
                <w:lang w:eastAsia="zh-CN"/>
              </w:rPr>
            </w:pPr>
            <w:r>
              <w:rPr>
                <w:rFonts w:hint="eastAsia" w:ascii="仿宋" w:hAnsi="仿宋" w:eastAsia="仿宋"/>
                <w:szCs w:val="21"/>
              </w:rPr>
              <w:t>以本采购文件第四部分采购需求要求自行响应，格式自拟</w:t>
            </w:r>
            <w:r>
              <w:rPr>
                <w:rFonts w:hint="eastAsia" w:ascii="仿宋" w:hAnsi="仿宋" w:eastAsia="仿宋"/>
                <w:szCs w:val="21"/>
                <w:lang w:eastAsia="zh-CN"/>
              </w:rPr>
              <w:t>；</w:t>
            </w:r>
          </w:p>
          <w:p w14:paraId="2EA5614A">
            <w:pPr>
              <w:spacing w:line="320" w:lineRule="exact"/>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.对</w:t>
            </w:r>
            <w:r>
              <w:rPr>
                <w:rFonts w:hint="eastAsia" w:ascii="仿宋" w:hAnsi="仿宋" w:eastAsia="仿宋"/>
                <w:szCs w:val="21"/>
              </w:rPr>
              <w:t>服务</w:t>
            </w:r>
            <w:r>
              <w:rPr>
                <w:rFonts w:ascii="仿宋" w:hAnsi="仿宋" w:eastAsia="仿宋"/>
                <w:szCs w:val="21"/>
              </w:rPr>
              <w:t>要求的响应内容</w:t>
            </w:r>
          </w:p>
          <w:p w14:paraId="19921B38">
            <w:pPr>
              <w:spacing w:line="320" w:lineRule="exact"/>
              <w:ind w:firstLine="420" w:firstLineChars="200"/>
              <w:rPr>
                <w:rFonts w:hint="eastAsia" w:ascii="仿宋" w:hAnsi="仿宋" w:eastAsia="仿宋"/>
                <w:szCs w:val="21"/>
                <w:lang w:eastAsia="zh-CN"/>
              </w:rPr>
            </w:pPr>
            <w:r>
              <w:rPr>
                <w:rFonts w:hint="eastAsia" w:ascii="仿宋" w:hAnsi="仿宋" w:eastAsia="仿宋"/>
                <w:szCs w:val="21"/>
              </w:rPr>
              <w:t>以本采购文件第四部分采购需求要求自行响应，格式自拟</w:t>
            </w:r>
            <w:r>
              <w:rPr>
                <w:rFonts w:hint="eastAsia" w:ascii="仿宋" w:hAnsi="仿宋" w:eastAsia="仿宋"/>
                <w:szCs w:val="21"/>
                <w:lang w:eastAsia="zh-CN"/>
              </w:rPr>
              <w:t>；</w:t>
            </w:r>
          </w:p>
          <w:p w14:paraId="152AE3D3">
            <w:pPr>
              <w:spacing w:line="320" w:lineRule="exact"/>
              <w:ind w:firstLine="420" w:firstLineChars="200"/>
              <w:rPr>
                <w:rFonts w:hint="eastAsia" w:ascii="仿宋" w:hAnsi="仿宋" w:eastAsia="仿宋"/>
                <w:szCs w:val="21"/>
              </w:rPr>
            </w:pPr>
            <w:r>
              <w:rPr>
                <w:rFonts w:hint="eastAsia" w:ascii="仿宋" w:hAnsi="仿宋" w:eastAsia="仿宋"/>
                <w:szCs w:val="21"/>
              </w:rPr>
              <w:t>5.政府采购政策（若涉及）</w:t>
            </w:r>
          </w:p>
          <w:p w14:paraId="06CB78EA">
            <w:pPr>
              <w:rPr>
                <w:rFonts w:hint="eastAsia" w:ascii="仿宋" w:hAnsi="仿宋" w:eastAsia="仿宋" w:cs="Times New Roman"/>
                <w:color w:val="auto"/>
                <w:lang w:eastAsia="zh-CN"/>
              </w:rPr>
            </w:pPr>
            <w:r>
              <w:rPr>
                <w:rFonts w:hint="eastAsia" w:ascii="仿宋" w:hAnsi="仿宋" w:eastAsia="仿宋"/>
                <w:color w:val="auto"/>
                <w:szCs w:val="21"/>
              </w:rPr>
              <w:t>《中小企业声明函》或《残疾人福利性单位声明函》</w:t>
            </w:r>
            <w:r>
              <w:rPr>
                <w:rFonts w:hint="eastAsia" w:ascii="仿宋" w:hAnsi="仿宋" w:eastAsia="仿宋"/>
                <w:color w:val="auto"/>
                <w:szCs w:val="21"/>
                <w:lang w:eastAsia="zh-CN"/>
              </w:rPr>
              <w:t>、</w:t>
            </w:r>
            <w:r>
              <w:rPr>
                <w:rFonts w:ascii="仿宋" w:hAnsi="仿宋" w:eastAsia="仿宋"/>
                <w:color w:val="auto"/>
                <w:szCs w:val="21"/>
              </w:rPr>
              <w:t>监狱企业证明文件</w:t>
            </w:r>
            <w:r>
              <w:rPr>
                <w:rFonts w:hint="eastAsia" w:ascii="仿宋" w:hAnsi="仿宋" w:eastAsia="仿宋"/>
                <w:color w:val="auto"/>
                <w:szCs w:val="21"/>
                <w:lang w:eastAsia="zh-CN"/>
              </w:rPr>
              <w:t>；</w:t>
            </w:r>
            <w:r>
              <w:rPr>
                <w:rFonts w:hint="eastAsia" w:ascii="仿宋" w:hAnsi="仿宋" w:eastAsia="仿宋" w:cs="Times New Roman"/>
                <w:color w:val="auto"/>
              </w:rPr>
              <w:t>关于符合本国产品标准的声明函</w:t>
            </w:r>
            <w:r>
              <w:rPr>
                <w:rFonts w:hint="eastAsia" w:ascii="仿宋" w:hAnsi="仿宋" w:eastAsia="仿宋" w:cs="Times New Roman"/>
                <w:color w:val="auto"/>
                <w:lang w:eastAsia="zh-CN"/>
              </w:rPr>
              <w:t>；</w:t>
            </w:r>
            <w:r>
              <w:rPr>
                <w:rFonts w:hint="eastAsia" w:ascii="仿宋" w:hAnsi="仿宋" w:eastAsia="仿宋" w:cs="Times New Roman"/>
                <w:color w:val="auto"/>
              </w:rPr>
              <w:t>政府采购绿色产品明细表</w:t>
            </w:r>
            <w:r>
              <w:rPr>
                <w:rFonts w:hint="eastAsia" w:ascii="仿宋" w:hAnsi="仿宋" w:eastAsia="仿宋" w:cs="Times New Roman"/>
                <w:color w:val="auto"/>
                <w:lang w:eastAsia="zh-CN"/>
              </w:rPr>
              <w:t>；</w:t>
            </w:r>
          </w:p>
          <w:p w14:paraId="369A4622">
            <w:pPr>
              <w:spacing w:line="320" w:lineRule="exact"/>
              <w:ind w:firstLine="420" w:firstLineChars="200"/>
              <w:rPr>
                <w:rFonts w:hint="eastAsia" w:ascii="仿宋" w:hAnsi="仿宋" w:eastAsia="仿宋"/>
                <w:szCs w:val="21"/>
              </w:rPr>
            </w:pPr>
            <w:r>
              <w:rPr>
                <w:rFonts w:ascii="仿宋" w:hAnsi="仿宋" w:eastAsia="仿宋"/>
                <w:szCs w:val="21"/>
              </w:rPr>
              <w:t>注：本项目落实政府采购政策的相关要求详见“第六部分 评标标准和评标方法 二、落实政府采购政策性要求的评审内容及标准”。</w:t>
            </w:r>
          </w:p>
          <w:p w14:paraId="57814597">
            <w:pPr>
              <w:spacing w:line="320" w:lineRule="exact"/>
              <w:ind w:firstLine="420" w:firstLineChars="200"/>
              <w:rPr>
                <w:rFonts w:hint="eastAsia" w:ascii="仿宋" w:hAnsi="仿宋" w:eastAsia="仿宋"/>
                <w:szCs w:val="21"/>
              </w:rPr>
            </w:pPr>
            <w:r>
              <w:rPr>
                <w:rFonts w:hint="eastAsia" w:ascii="仿宋" w:hAnsi="仿宋" w:eastAsia="仿宋"/>
                <w:szCs w:val="21"/>
              </w:rPr>
              <w:t>6</w:t>
            </w:r>
            <w:r>
              <w:rPr>
                <w:rFonts w:ascii="仿宋" w:hAnsi="仿宋" w:eastAsia="仿宋"/>
                <w:szCs w:val="21"/>
              </w:rPr>
              <w:t>.招标文件要求或投标人认为需要提供的其他商务技术材料/文件</w:t>
            </w:r>
          </w:p>
          <w:p w14:paraId="15579763">
            <w:pPr>
              <w:spacing w:line="320" w:lineRule="exact"/>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.开标一览表报价明细表</w:t>
            </w:r>
          </w:p>
          <w:p w14:paraId="5C576929">
            <w:pPr>
              <w:spacing w:line="320" w:lineRule="exact"/>
              <w:ind w:firstLine="420" w:firstLineChars="200"/>
              <w:rPr>
                <w:rFonts w:hint="eastAsia" w:ascii="仿宋" w:hAnsi="仿宋" w:eastAsia="仿宋"/>
                <w:szCs w:val="21"/>
              </w:rPr>
            </w:pPr>
            <w:r>
              <w:rPr>
                <w:rFonts w:ascii="仿宋" w:hAnsi="仿宋" w:eastAsia="仿宋"/>
                <w:szCs w:val="21"/>
              </w:rPr>
              <w:t>说明：以上内容涉及的格式资料详见第八部分。以上涉及相关要求的内容见本文件第四部分及采购需求明细表相对应内容。本项目将根据投标人提供的上述文件进行符合性审查，具体检查的内容标准详见本招标文件“第六部分 评标标准和评标方法”。</w:t>
            </w:r>
          </w:p>
        </w:tc>
      </w:tr>
      <w:tr w14:paraId="2F75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43CE5B6">
            <w:pPr>
              <w:snapToGrid w:val="0"/>
              <w:spacing w:line="390" w:lineRule="exact"/>
              <w:jc w:val="center"/>
              <w:rPr>
                <w:rFonts w:hint="eastAsia" w:ascii="仿宋" w:hAnsi="仿宋" w:eastAsia="仿宋"/>
                <w:b/>
                <w:szCs w:val="21"/>
              </w:rPr>
            </w:pPr>
            <w:r>
              <w:rPr>
                <w:rFonts w:ascii="仿宋" w:hAnsi="仿宋" w:eastAsia="仿宋"/>
                <w:b/>
                <w:szCs w:val="21"/>
              </w:rPr>
              <w:t>4</w:t>
            </w:r>
          </w:p>
        </w:tc>
        <w:tc>
          <w:tcPr>
            <w:tcW w:w="1799" w:type="dxa"/>
            <w:vAlign w:val="center"/>
          </w:tcPr>
          <w:p w14:paraId="4F453695">
            <w:pPr>
              <w:snapToGrid w:val="0"/>
              <w:spacing w:line="390" w:lineRule="exact"/>
              <w:ind w:firstLine="105" w:firstLineChars="50"/>
              <w:rPr>
                <w:rFonts w:hint="eastAsia" w:ascii="仿宋" w:hAnsi="仿宋" w:eastAsia="仿宋"/>
                <w:b/>
                <w:szCs w:val="21"/>
              </w:rPr>
            </w:pPr>
            <w:r>
              <w:rPr>
                <w:rFonts w:ascii="仿宋" w:hAnsi="仿宋" w:eastAsia="仿宋"/>
                <w:b/>
                <w:szCs w:val="21"/>
              </w:rPr>
              <w:t>投标保证金</w:t>
            </w:r>
          </w:p>
        </w:tc>
        <w:tc>
          <w:tcPr>
            <w:tcW w:w="6660" w:type="dxa"/>
            <w:vAlign w:val="center"/>
          </w:tcPr>
          <w:p w14:paraId="2D4BC633">
            <w:pPr>
              <w:pStyle w:val="25"/>
              <w:snapToGrid w:val="0"/>
              <w:spacing w:line="390" w:lineRule="exact"/>
              <w:rPr>
                <w:rFonts w:hint="eastAsia" w:ascii="仿宋" w:hAnsi="仿宋" w:eastAsia="仿宋"/>
              </w:rPr>
            </w:pPr>
            <w:r>
              <w:rPr>
                <w:rFonts w:ascii="仿宋" w:hAnsi="仿宋" w:eastAsia="仿宋"/>
              </w:rPr>
              <w:t>本项目不要求提交投标保证金。</w:t>
            </w:r>
          </w:p>
          <w:p w14:paraId="4EFF64B9">
            <w:pPr>
              <w:pStyle w:val="25"/>
              <w:snapToGrid w:val="0"/>
              <w:spacing w:line="390" w:lineRule="exact"/>
              <w:rPr>
                <w:rFonts w:hint="eastAsia" w:ascii="仿宋" w:hAnsi="仿宋" w:eastAsia="仿宋"/>
              </w:rPr>
            </w:pPr>
            <w:r>
              <w:rPr>
                <w:rFonts w:ascii="仿宋" w:hAnsi="仿宋" w:eastAsia="仿宋"/>
              </w:rPr>
              <w:t>履约保证金：</w:t>
            </w:r>
            <w:r>
              <w:rPr>
                <w:rFonts w:hint="eastAsia" w:ascii="仿宋" w:hAnsi="仿宋" w:eastAsia="仿宋"/>
              </w:rPr>
              <w:t>详见采购需求</w:t>
            </w:r>
            <w:r>
              <w:rPr>
                <w:rFonts w:ascii="仿宋" w:hAnsi="仿宋" w:eastAsia="仿宋"/>
              </w:rPr>
              <w:t>。</w:t>
            </w:r>
          </w:p>
          <w:p w14:paraId="36C7F103">
            <w:pPr>
              <w:pStyle w:val="25"/>
              <w:snapToGrid w:val="0"/>
              <w:spacing w:line="390" w:lineRule="exact"/>
              <w:rPr>
                <w:rFonts w:hint="eastAsia" w:ascii="仿宋" w:hAnsi="仿宋" w:eastAsia="仿宋"/>
                <w:spacing w:val="10"/>
                <w:kern w:val="0"/>
              </w:rPr>
            </w:pPr>
            <w:r>
              <w:rPr>
                <w:rFonts w:ascii="仿宋" w:hAnsi="仿宋" w:eastAsia="仿宋"/>
              </w:rPr>
              <w:t xml:space="preserve">( </w:t>
            </w:r>
            <w:r>
              <w:rPr>
                <w:rFonts w:ascii="仿宋" w:hAnsi="仿宋" w:eastAsia="仿宋"/>
                <w:b/>
              </w:rPr>
              <w:t>保证金的提交、退还规定，请详细阅读投标人须知第9.2条</w:t>
            </w:r>
            <w:r>
              <w:rPr>
                <w:rFonts w:ascii="仿宋" w:hAnsi="仿宋" w:eastAsia="仿宋"/>
              </w:rPr>
              <w:t>)</w:t>
            </w:r>
          </w:p>
        </w:tc>
      </w:tr>
      <w:tr w14:paraId="1562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6E5D4C1">
            <w:pPr>
              <w:snapToGrid w:val="0"/>
              <w:spacing w:line="390" w:lineRule="exact"/>
              <w:jc w:val="center"/>
              <w:rPr>
                <w:rFonts w:hint="eastAsia" w:ascii="仿宋" w:hAnsi="仿宋" w:eastAsia="仿宋"/>
                <w:b/>
                <w:szCs w:val="21"/>
              </w:rPr>
            </w:pPr>
            <w:r>
              <w:rPr>
                <w:rFonts w:ascii="仿宋" w:hAnsi="仿宋" w:eastAsia="仿宋"/>
                <w:b/>
                <w:szCs w:val="21"/>
              </w:rPr>
              <w:t>5</w:t>
            </w:r>
          </w:p>
        </w:tc>
        <w:tc>
          <w:tcPr>
            <w:tcW w:w="1799" w:type="dxa"/>
            <w:vAlign w:val="center"/>
          </w:tcPr>
          <w:p w14:paraId="4A1FC9CD">
            <w:pPr>
              <w:snapToGrid w:val="0"/>
              <w:spacing w:line="390" w:lineRule="exact"/>
              <w:rPr>
                <w:rFonts w:hint="eastAsia" w:ascii="仿宋" w:hAnsi="仿宋" w:eastAsia="仿宋" w:cs="宋体"/>
                <w:b/>
                <w:bCs/>
                <w:szCs w:val="21"/>
              </w:rPr>
            </w:pPr>
            <w:r>
              <w:rPr>
                <w:rFonts w:ascii="仿宋" w:hAnsi="仿宋" w:eastAsia="仿宋"/>
                <w:b/>
                <w:szCs w:val="21"/>
              </w:rPr>
              <w:t>投标文件有效期</w:t>
            </w:r>
          </w:p>
        </w:tc>
        <w:tc>
          <w:tcPr>
            <w:tcW w:w="6660" w:type="dxa"/>
            <w:vAlign w:val="center"/>
          </w:tcPr>
          <w:p w14:paraId="408DA792">
            <w:pPr>
              <w:spacing w:line="320" w:lineRule="exact"/>
              <w:ind w:firstLine="420" w:firstLineChars="200"/>
              <w:rPr>
                <w:rFonts w:hint="eastAsia" w:ascii="仿宋" w:hAnsi="仿宋" w:eastAsia="仿宋"/>
                <w:szCs w:val="21"/>
              </w:rPr>
            </w:pPr>
            <w:r>
              <w:rPr>
                <w:rFonts w:ascii="仿宋" w:hAnsi="仿宋" w:eastAsia="仿宋"/>
                <w:szCs w:val="21"/>
              </w:rPr>
              <w:t>90个日历天（自递交投标文件之日起计算）</w:t>
            </w:r>
          </w:p>
        </w:tc>
      </w:tr>
      <w:tr w14:paraId="22A1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C162CF5">
            <w:pPr>
              <w:snapToGrid w:val="0"/>
              <w:spacing w:line="390" w:lineRule="exact"/>
              <w:jc w:val="center"/>
              <w:rPr>
                <w:rFonts w:hint="eastAsia" w:ascii="仿宋" w:hAnsi="仿宋" w:eastAsia="仿宋"/>
                <w:b/>
                <w:szCs w:val="21"/>
              </w:rPr>
            </w:pPr>
            <w:r>
              <w:rPr>
                <w:rFonts w:ascii="仿宋" w:hAnsi="仿宋" w:eastAsia="仿宋"/>
                <w:b/>
                <w:szCs w:val="21"/>
              </w:rPr>
              <w:t>6</w:t>
            </w:r>
          </w:p>
        </w:tc>
        <w:tc>
          <w:tcPr>
            <w:tcW w:w="1799" w:type="dxa"/>
            <w:vAlign w:val="center"/>
          </w:tcPr>
          <w:p w14:paraId="79C7AC29">
            <w:pPr>
              <w:pStyle w:val="78"/>
              <w:keepNext w:val="0"/>
              <w:keepLines w:val="0"/>
              <w:spacing w:before="0" w:after="0" w:line="360" w:lineRule="exact"/>
              <w:jc w:val="both"/>
              <w:rPr>
                <w:rFonts w:hint="eastAsia" w:ascii="仿宋" w:hAnsi="仿宋" w:eastAsia="仿宋"/>
                <w:bCs w:val="0"/>
                <w:szCs w:val="21"/>
              </w:rPr>
            </w:pPr>
            <w:r>
              <w:rPr>
                <w:rFonts w:ascii="仿宋" w:hAnsi="仿宋" w:eastAsia="仿宋"/>
                <w:bCs w:val="0"/>
                <w:szCs w:val="21"/>
              </w:rPr>
              <w:t>本项目预算金额</w:t>
            </w:r>
          </w:p>
        </w:tc>
        <w:tc>
          <w:tcPr>
            <w:tcW w:w="6660" w:type="dxa"/>
            <w:vAlign w:val="center"/>
          </w:tcPr>
          <w:p w14:paraId="7C249627">
            <w:pPr>
              <w:spacing w:line="320" w:lineRule="exact"/>
              <w:ind w:firstLine="422" w:firstLineChars="200"/>
              <w:rPr>
                <w:rFonts w:hint="eastAsia" w:ascii="仿宋" w:hAnsi="仿宋" w:eastAsia="仿宋"/>
                <w:szCs w:val="21"/>
              </w:rPr>
            </w:pPr>
            <w:r>
              <w:rPr>
                <w:rFonts w:hint="eastAsia" w:ascii="仿宋" w:hAnsi="仿宋" w:eastAsia="仿宋"/>
                <w:b/>
                <w:bCs/>
                <w:szCs w:val="21"/>
              </w:rPr>
              <w:t>964.91万元</w:t>
            </w:r>
          </w:p>
        </w:tc>
      </w:tr>
      <w:tr w14:paraId="4979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407FA6A">
            <w:pPr>
              <w:snapToGrid w:val="0"/>
              <w:spacing w:line="390" w:lineRule="exact"/>
              <w:jc w:val="center"/>
              <w:rPr>
                <w:rFonts w:hint="eastAsia" w:ascii="仿宋" w:hAnsi="仿宋" w:eastAsia="仿宋"/>
                <w:b/>
                <w:szCs w:val="21"/>
              </w:rPr>
            </w:pPr>
            <w:r>
              <w:rPr>
                <w:rFonts w:ascii="仿宋" w:hAnsi="仿宋" w:eastAsia="仿宋"/>
                <w:b/>
                <w:szCs w:val="21"/>
              </w:rPr>
              <w:t>7</w:t>
            </w:r>
          </w:p>
        </w:tc>
        <w:tc>
          <w:tcPr>
            <w:tcW w:w="1799" w:type="dxa"/>
            <w:vAlign w:val="center"/>
          </w:tcPr>
          <w:p w14:paraId="611E753F">
            <w:pPr>
              <w:pStyle w:val="78"/>
              <w:keepNext w:val="0"/>
              <w:keepLines w:val="0"/>
              <w:spacing w:before="0" w:after="0" w:line="360" w:lineRule="exact"/>
              <w:ind w:firstLine="316" w:firstLineChars="150"/>
              <w:jc w:val="both"/>
              <w:rPr>
                <w:rFonts w:hint="eastAsia" w:ascii="仿宋" w:hAnsi="仿宋" w:eastAsia="仿宋"/>
                <w:szCs w:val="21"/>
              </w:rPr>
            </w:pPr>
            <w:r>
              <w:rPr>
                <w:rFonts w:ascii="仿宋" w:hAnsi="仿宋" w:eastAsia="仿宋"/>
                <w:szCs w:val="21"/>
              </w:rPr>
              <w:t>现场勘查</w:t>
            </w:r>
          </w:p>
          <w:p w14:paraId="6884C953">
            <w:pPr>
              <w:pStyle w:val="78"/>
              <w:keepNext w:val="0"/>
              <w:keepLines w:val="0"/>
              <w:spacing w:before="0" w:after="0" w:line="360" w:lineRule="exact"/>
              <w:jc w:val="both"/>
              <w:rPr>
                <w:rFonts w:hint="eastAsia" w:ascii="仿宋" w:hAnsi="仿宋" w:eastAsia="仿宋"/>
                <w:bCs w:val="0"/>
                <w:szCs w:val="21"/>
              </w:rPr>
            </w:pPr>
            <w:r>
              <w:rPr>
                <w:rFonts w:ascii="仿宋" w:hAnsi="仿宋" w:eastAsia="仿宋"/>
                <w:szCs w:val="21"/>
              </w:rPr>
              <w:t>（或标前答疑会）</w:t>
            </w:r>
          </w:p>
        </w:tc>
        <w:tc>
          <w:tcPr>
            <w:tcW w:w="6660" w:type="dxa"/>
            <w:vAlign w:val="center"/>
          </w:tcPr>
          <w:p w14:paraId="492C7461">
            <w:pPr>
              <w:spacing w:line="360" w:lineRule="exact"/>
              <w:ind w:left="315" w:hanging="315" w:hangingChars="150"/>
              <w:rPr>
                <w:rFonts w:hint="eastAsia" w:ascii="仿宋" w:hAnsi="仿宋" w:eastAsia="仿宋" w:cs="华文中宋"/>
                <w:b/>
                <w:szCs w:val="21"/>
              </w:rPr>
            </w:pPr>
            <w:r>
              <w:rPr>
                <w:rFonts w:ascii="仿宋" w:hAnsi="仿宋" w:eastAsia="仿宋" w:cs="华文中宋"/>
                <w:szCs w:val="21"/>
              </w:rPr>
              <w:t>本项目不组织。</w:t>
            </w:r>
          </w:p>
        </w:tc>
      </w:tr>
      <w:tr w14:paraId="735C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8B27FBE">
            <w:pPr>
              <w:snapToGrid w:val="0"/>
              <w:spacing w:line="390" w:lineRule="exact"/>
              <w:jc w:val="center"/>
              <w:rPr>
                <w:rFonts w:hint="eastAsia" w:ascii="仿宋" w:hAnsi="仿宋" w:eastAsia="仿宋"/>
                <w:b/>
                <w:szCs w:val="21"/>
              </w:rPr>
            </w:pPr>
            <w:r>
              <w:rPr>
                <w:rFonts w:ascii="仿宋" w:hAnsi="仿宋" w:eastAsia="仿宋"/>
                <w:b/>
                <w:szCs w:val="21"/>
              </w:rPr>
              <w:t>8</w:t>
            </w:r>
          </w:p>
        </w:tc>
        <w:tc>
          <w:tcPr>
            <w:tcW w:w="1799" w:type="dxa"/>
            <w:vAlign w:val="center"/>
          </w:tcPr>
          <w:p w14:paraId="52DB8BBE">
            <w:pPr>
              <w:pStyle w:val="78"/>
              <w:keepNext w:val="0"/>
              <w:keepLines w:val="0"/>
              <w:spacing w:before="0" w:after="0" w:line="360" w:lineRule="exact"/>
              <w:jc w:val="both"/>
              <w:rPr>
                <w:rFonts w:hint="eastAsia" w:ascii="仿宋" w:hAnsi="仿宋" w:eastAsia="仿宋"/>
                <w:szCs w:val="21"/>
              </w:rPr>
            </w:pPr>
            <w:r>
              <w:rPr>
                <w:rFonts w:ascii="仿宋" w:hAnsi="仿宋" w:eastAsia="仿宋"/>
                <w:szCs w:val="21"/>
              </w:rPr>
              <w:t>接收质疑函的方式（如有的话）</w:t>
            </w:r>
          </w:p>
        </w:tc>
        <w:tc>
          <w:tcPr>
            <w:tcW w:w="6660" w:type="dxa"/>
            <w:vAlign w:val="center"/>
          </w:tcPr>
          <w:p w14:paraId="4B8CCB32">
            <w:pPr>
              <w:spacing w:line="320" w:lineRule="exact"/>
              <w:rPr>
                <w:rFonts w:hint="eastAsia" w:ascii="仿宋" w:hAnsi="仿宋" w:eastAsia="仿宋"/>
                <w:szCs w:val="21"/>
              </w:rPr>
            </w:pPr>
            <w:r>
              <w:rPr>
                <w:rFonts w:ascii="仿宋" w:hAnsi="仿宋" w:eastAsia="仿宋" w:cs="华文中宋"/>
                <w:szCs w:val="21"/>
              </w:rPr>
              <w:t>通过山西省政府采购平台进入“项目质疑管理”栏目在线提起质疑。</w:t>
            </w:r>
          </w:p>
        </w:tc>
      </w:tr>
      <w:tr w14:paraId="4E8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CBDAC20">
            <w:pPr>
              <w:snapToGrid w:val="0"/>
              <w:spacing w:line="400" w:lineRule="exact"/>
              <w:jc w:val="center"/>
              <w:rPr>
                <w:rFonts w:hint="eastAsia" w:ascii="仿宋" w:hAnsi="仿宋" w:eastAsia="仿宋"/>
                <w:b/>
                <w:bCs/>
                <w:kern w:val="0"/>
                <w:szCs w:val="21"/>
              </w:rPr>
            </w:pPr>
            <w:r>
              <w:rPr>
                <w:rFonts w:hint="eastAsia" w:ascii="仿宋" w:hAnsi="仿宋" w:eastAsia="仿宋"/>
                <w:b/>
                <w:bCs/>
                <w:kern w:val="0"/>
                <w:szCs w:val="21"/>
              </w:rPr>
              <w:t>9</w:t>
            </w:r>
          </w:p>
        </w:tc>
        <w:tc>
          <w:tcPr>
            <w:tcW w:w="1799" w:type="dxa"/>
            <w:vAlign w:val="center"/>
          </w:tcPr>
          <w:p w14:paraId="03811AE0">
            <w:pPr>
              <w:pStyle w:val="78"/>
              <w:keepNext w:val="0"/>
              <w:keepLines w:val="0"/>
              <w:spacing w:before="0" w:after="0" w:line="400" w:lineRule="exact"/>
              <w:jc w:val="center"/>
              <w:rPr>
                <w:rFonts w:hint="eastAsia" w:ascii="仿宋" w:hAnsi="仿宋" w:eastAsia="仿宋"/>
                <w:szCs w:val="21"/>
              </w:rPr>
            </w:pPr>
            <w:r>
              <w:rPr>
                <w:rFonts w:hint="eastAsia" w:ascii="仿宋" w:hAnsi="仿宋" w:eastAsia="仿宋"/>
                <w:szCs w:val="21"/>
              </w:rPr>
              <w:t xml:space="preserve">采购标的对应中小企业划分标准所属行业 </w:t>
            </w:r>
          </w:p>
        </w:tc>
        <w:tc>
          <w:tcPr>
            <w:tcW w:w="6660" w:type="dxa"/>
            <w:vAlign w:val="center"/>
          </w:tcPr>
          <w:p w14:paraId="0AF0AF49">
            <w:pPr>
              <w:spacing w:line="400" w:lineRule="exact"/>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软件和信息技术服务业</w:t>
            </w:r>
          </w:p>
        </w:tc>
      </w:tr>
    </w:tbl>
    <w:p w14:paraId="50B14915">
      <w:pPr>
        <w:snapToGrid w:val="0"/>
        <w:rPr>
          <w:rFonts w:hint="eastAsia" w:ascii="仿宋" w:hAnsi="仿宋" w:eastAsia="仿宋"/>
          <w:szCs w:val="21"/>
        </w:rPr>
      </w:pPr>
      <w:r>
        <w:rPr>
          <w:rFonts w:hint="eastAsia" w:ascii="仿宋" w:hAnsi="仿宋" w:eastAsia="仿宋"/>
          <w:szCs w:val="21"/>
        </w:rPr>
        <w:t>注：本表内容与投标人须知内容不一致的，以本表内容为准。</w:t>
      </w:r>
    </w:p>
    <w:p w14:paraId="3C4D7961">
      <w:pPr>
        <w:rPr>
          <w:rFonts w:hint="eastAsia" w:ascii="仿宋" w:hAnsi="仿宋" w:eastAsia="仿宋"/>
        </w:rPr>
      </w:pPr>
      <w:r>
        <w:rPr>
          <w:rFonts w:ascii="仿宋" w:hAnsi="仿宋" w:eastAsia="仿宋"/>
        </w:rPr>
        <w:br w:type="page"/>
      </w:r>
    </w:p>
    <w:p w14:paraId="03365469">
      <w:pPr>
        <w:pStyle w:val="76"/>
        <w:snapToGrid w:val="0"/>
        <w:spacing w:before="0" w:after="0"/>
        <w:ind w:left="0" w:firstLine="0"/>
        <w:rPr>
          <w:rFonts w:hint="eastAsia" w:ascii="仿宋" w:hAnsi="仿宋" w:eastAsia="仿宋"/>
          <w:spacing w:val="20"/>
          <w:szCs w:val="28"/>
        </w:rPr>
      </w:pPr>
      <w:bookmarkStart w:id="36" w:name="_Toc26881690"/>
      <w:bookmarkStart w:id="37" w:name="_Toc352761929"/>
      <w:bookmarkStart w:id="38" w:name="_Toc424378684"/>
      <w:r>
        <w:rPr>
          <w:rFonts w:hint="eastAsia" w:ascii="仿宋" w:hAnsi="仿宋" w:eastAsia="仿宋"/>
          <w:spacing w:val="20"/>
          <w:szCs w:val="28"/>
        </w:rPr>
        <w:t>第三部分  投标人须知</w:t>
      </w:r>
      <w:bookmarkEnd w:id="36"/>
      <w:bookmarkEnd w:id="37"/>
      <w:bookmarkEnd w:id="38"/>
    </w:p>
    <w:p w14:paraId="5650EF46">
      <w:pPr>
        <w:pStyle w:val="3"/>
        <w:numPr>
          <w:ilvl w:val="0"/>
          <w:numId w:val="1"/>
        </w:numPr>
        <w:spacing w:before="31" w:beforeLines="10" w:after="31" w:afterLines="10" w:line="500" w:lineRule="exact"/>
        <w:jc w:val="both"/>
        <w:rPr>
          <w:rFonts w:hint="eastAsia" w:ascii="仿宋" w:hAnsi="仿宋" w:eastAsia="仿宋"/>
          <w:spacing w:val="10"/>
          <w:sz w:val="24"/>
          <w:szCs w:val="24"/>
        </w:rPr>
      </w:pPr>
      <w:bookmarkStart w:id="39" w:name="_Toc26881691"/>
      <w:bookmarkStart w:id="40" w:name="_Toc352761930"/>
      <w:bookmarkStart w:id="41" w:name="_Toc424378685"/>
      <w:r>
        <w:rPr>
          <w:rFonts w:hint="eastAsia" w:ascii="仿宋" w:hAnsi="仿宋" w:eastAsia="仿宋"/>
          <w:spacing w:val="10"/>
          <w:sz w:val="24"/>
          <w:szCs w:val="24"/>
        </w:rPr>
        <w:t>总则</w:t>
      </w:r>
      <w:bookmarkEnd w:id="39"/>
      <w:bookmarkEnd w:id="40"/>
      <w:bookmarkEnd w:id="41"/>
    </w:p>
    <w:p w14:paraId="79F833EF">
      <w:pPr>
        <w:pStyle w:val="79"/>
        <w:snapToGrid w:val="0"/>
        <w:spacing w:line="500" w:lineRule="exact"/>
        <w:ind w:firstLine="462" w:firstLineChars="200"/>
        <w:textAlignment w:val="auto"/>
        <w:outlineLvl w:val="2"/>
        <w:rPr>
          <w:rFonts w:hint="eastAsia" w:ascii="仿宋" w:hAnsi="仿宋" w:eastAsia="仿宋"/>
          <w:b/>
          <w:spacing w:val="10"/>
        </w:rPr>
      </w:pPr>
      <w:r>
        <w:rPr>
          <w:rFonts w:hint="eastAsia" w:ascii="仿宋" w:hAnsi="仿宋" w:eastAsia="仿宋"/>
          <w:b/>
          <w:spacing w:val="10"/>
        </w:rPr>
        <w:t>1. 适用范围</w:t>
      </w:r>
    </w:p>
    <w:p w14:paraId="41ED510F">
      <w:pPr>
        <w:pStyle w:val="79"/>
        <w:snapToGrid w:val="0"/>
        <w:spacing w:line="500" w:lineRule="exact"/>
        <w:ind w:firstLine="420" w:firstLineChars="200"/>
        <w:textAlignment w:val="auto"/>
        <w:rPr>
          <w:rFonts w:hint="eastAsia" w:ascii="仿宋" w:hAnsi="仿宋" w:eastAsia="仿宋"/>
          <w:b/>
          <w:spacing w:val="10"/>
        </w:rPr>
      </w:pPr>
      <w:r>
        <w:rPr>
          <w:rFonts w:hint="eastAsia" w:ascii="仿宋" w:hAnsi="仿宋" w:eastAsia="仿宋"/>
        </w:rPr>
        <w:t>本招标文件仅适用于本次招投标活动。</w:t>
      </w:r>
    </w:p>
    <w:p w14:paraId="484B8264">
      <w:pPr>
        <w:pStyle w:val="79"/>
        <w:tabs>
          <w:tab w:val="left" w:pos="0"/>
        </w:tabs>
        <w:snapToGrid w:val="0"/>
        <w:spacing w:line="500" w:lineRule="exact"/>
        <w:ind w:left="473" w:leftChars="225"/>
        <w:textAlignment w:val="auto"/>
        <w:outlineLvl w:val="2"/>
        <w:rPr>
          <w:rFonts w:hint="eastAsia" w:ascii="仿宋" w:hAnsi="仿宋" w:eastAsia="仿宋"/>
          <w:b/>
          <w:spacing w:val="10"/>
        </w:rPr>
      </w:pPr>
      <w:r>
        <w:rPr>
          <w:rFonts w:hint="eastAsia" w:ascii="仿宋" w:hAnsi="仿宋" w:eastAsia="仿宋"/>
          <w:b/>
          <w:spacing w:val="10"/>
        </w:rPr>
        <w:t>2. 定义</w:t>
      </w:r>
    </w:p>
    <w:p w14:paraId="13D61D48">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2.1 “采购人”指本次招标活动的采购单位。</w:t>
      </w:r>
    </w:p>
    <w:p w14:paraId="182E1CAA">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2.2 “集中采购机构”指组织本次招标活动的执行机构，即“</w:t>
      </w:r>
      <w:r>
        <w:rPr>
          <w:rFonts w:hint="eastAsia" w:ascii="仿宋" w:hAnsi="仿宋" w:eastAsia="仿宋" w:cs="仿宋"/>
        </w:rPr>
        <w:t>长治市公共资源交易中心（长治市政府采购中心）</w:t>
      </w:r>
      <w:r>
        <w:rPr>
          <w:rFonts w:hint="eastAsia" w:ascii="仿宋" w:hAnsi="仿宋" w:eastAsia="仿宋"/>
        </w:rPr>
        <w:t>”。</w:t>
      </w:r>
    </w:p>
    <w:p w14:paraId="3C0E608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2.3 “投标人”指符合本招标文件规定并向集中采购机构提交投标文件的供应商。</w:t>
      </w:r>
    </w:p>
    <w:p w14:paraId="0E98F7ED">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2.4 “货物”指供应商按招标文件的规定，须向采购人提供的各种形态和种类的物品及其他有关技术资料和材料。</w:t>
      </w:r>
    </w:p>
    <w:p w14:paraId="1D6C086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2.5 “服务”指招标文件所表述的投标人须向采购人提供的服务和应当履行的承诺和义务。</w:t>
      </w:r>
    </w:p>
    <w:p w14:paraId="548A3D70">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rPr>
        <w:t xml:space="preserve">2.6 </w:t>
      </w:r>
      <w:r>
        <w:rPr>
          <w:rFonts w:hint="eastAsia" w:ascii="仿宋" w:hAnsi="仿宋" w:eastAsia="仿宋" w:cs="华文中宋"/>
        </w:rPr>
        <w:t>“电子签章”指可通过山西政府采购平台正确读取签章信息的电子签章，电子签章包含供应商电子公章、法定代表人电子签章、供应商的授权代表电子签章、自然人电子签章。</w:t>
      </w:r>
    </w:p>
    <w:p w14:paraId="5663E77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cs="华文中宋"/>
        </w:rPr>
        <w:t>2.7</w:t>
      </w:r>
      <w:r>
        <w:rPr>
          <w:rFonts w:hint="eastAsia" w:ascii="仿宋" w:hAnsi="仿宋" w:eastAsia="仿宋"/>
        </w:rPr>
        <w:t>本招标文件各部分规定的期间以时、日、月、年计算。期间开始的时和日，不计算在期间内。</w:t>
      </w:r>
    </w:p>
    <w:p w14:paraId="51B3FB7A">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w:t>
      </w:r>
      <w:r>
        <w:rPr>
          <w:rFonts w:hint="eastAsia" w:ascii="仿宋" w:hAnsi="仿宋" w:eastAsia="仿宋" w:cs="华文中宋"/>
        </w:rPr>
        <w:t>8</w:t>
      </w:r>
      <w:r>
        <w:rPr>
          <w:rFonts w:hint="eastAsia" w:ascii="仿宋" w:hAnsi="仿宋" w:eastAsia="仿宋"/>
        </w:rPr>
        <w:t>本须知中单独对货物所描述的要求，只针对涉及采购货物。</w:t>
      </w:r>
    </w:p>
    <w:p w14:paraId="00C34E17">
      <w:pPr>
        <w:pStyle w:val="79"/>
        <w:tabs>
          <w:tab w:val="left" w:pos="0"/>
        </w:tabs>
        <w:snapToGrid w:val="0"/>
        <w:spacing w:line="500" w:lineRule="exact"/>
        <w:ind w:left="473" w:leftChars="225"/>
        <w:textAlignment w:val="auto"/>
        <w:outlineLvl w:val="2"/>
        <w:rPr>
          <w:rFonts w:hint="eastAsia" w:ascii="仿宋" w:hAnsi="仿宋" w:eastAsia="仿宋"/>
          <w:b/>
          <w:spacing w:val="10"/>
        </w:rPr>
      </w:pPr>
      <w:r>
        <w:rPr>
          <w:rFonts w:hint="eastAsia" w:ascii="仿宋" w:hAnsi="仿宋" w:eastAsia="仿宋"/>
          <w:b/>
          <w:spacing w:val="10"/>
        </w:rPr>
        <w:t>3. 合格的投标人</w:t>
      </w:r>
    </w:p>
    <w:p w14:paraId="5F9788DE">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3.1 具有本项目生产、制造、供应及/或实施能力，符合、承认并承诺履行本招标文件各项规定的国内供应商。</w:t>
      </w:r>
    </w:p>
    <w:p w14:paraId="536A958C">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3.2 投标人必须是已在中国境内依法登记注册，并持有符合法律法规规定的有效证件的供应商。</w:t>
      </w:r>
    </w:p>
    <w:p w14:paraId="3AF80C8D">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2的要求。</w:t>
      </w:r>
    </w:p>
    <w:p w14:paraId="59065E4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3.4 本次招标是否允许代理商参加投标，详见投标人须知前附表序号1的规定。</w:t>
      </w:r>
    </w:p>
    <w:p w14:paraId="645AC61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96D6DF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3.6 本次招标是否允许由两个以上供应商组成一个联合体以一个投标人身份共同参加投标，详见投标人须知前附表序号1的规定。</w:t>
      </w:r>
    </w:p>
    <w:p w14:paraId="461F826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3.6.1 联合体各方均应当符合《政府采购法》第二十二条规定的条件，联合体各方均应按照本部分3.3条的要求提供相关材料。</w:t>
      </w:r>
    </w:p>
    <w:p w14:paraId="41D9962F">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536365D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3.6.3 联合体各方之间应当签订联合投标协议，明确约定联合体各方承担的工作和相应的责任，并将联合投标协议连同投标文件一并提交，联合投标协议格式见本招标文件第八部分。</w:t>
      </w:r>
    </w:p>
    <w:p w14:paraId="274697A3">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4. 投标费用</w:t>
      </w:r>
    </w:p>
    <w:p w14:paraId="5A341A5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投标人应当承担所有与准备和参加投标有关的费用，集中采购机构和采购人在任何情况下均无义务和责任承担这些费用。</w:t>
      </w:r>
    </w:p>
    <w:p w14:paraId="1BE33215">
      <w:pPr>
        <w:pStyle w:val="79"/>
        <w:snapToGrid w:val="0"/>
        <w:spacing w:line="500" w:lineRule="exact"/>
        <w:textAlignment w:val="auto"/>
        <w:outlineLvl w:val="2"/>
        <w:rPr>
          <w:rFonts w:hint="eastAsia" w:ascii="仿宋" w:hAnsi="仿宋" w:eastAsia="仿宋"/>
          <w:b/>
          <w:spacing w:val="10"/>
        </w:rPr>
      </w:pPr>
      <w:r>
        <w:rPr>
          <w:rFonts w:hint="eastAsia" w:ascii="仿宋" w:hAnsi="仿宋" w:eastAsia="仿宋"/>
          <w:b/>
          <w:spacing w:val="10"/>
        </w:rPr>
        <w:t xml:space="preserve">    5. 通知</w:t>
      </w:r>
      <w:r>
        <w:rPr>
          <w:rFonts w:hint="eastAsia" w:ascii="仿宋" w:hAnsi="仿宋" w:eastAsia="仿宋" w:cs="华文中宋"/>
          <w:b/>
          <w:spacing w:val="10"/>
        </w:rPr>
        <w:t>的告知及获取</w:t>
      </w:r>
    </w:p>
    <w:p w14:paraId="76050520">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cs="华文中宋"/>
        </w:rPr>
        <w:t>5.1通知的告知</w:t>
      </w:r>
    </w:p>
    <w:p w14:paraId="39A290FD">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rPr>
        <w:t>对与本项目有关的通知，集中采购机构将以在本次招标公告刊登的媒体上发布公告的形式告知所有已</w:t>
      </w:r>
      <w:r>
        <w:rPr>
          <w:rFonts w:hint="eastAsia" w:ascii="仿宋" w:hAnsi="仿宋" w:eastAsia="仿宋" w:cs="华文中宋"/>
        </w:rPr>
        <w:t>获取</w:t>
      </w:r>
      <w:r>
        <w:rPr>
          <w:rFonts w:hint="eastAsia" w:ascii="仿宋" w:hAnsi="仿宋" w:eastAsia="仿宋"/>
        </w:rPr>
        <w:t>了招标文件的投标人</w:t>
      </w:r>
      <w:r>
        <w:rPr>
          <w:rFonts w:hint="eastAsia" w:ascii="仿宋" w:hAnsi="仿宋" w:eastAsia="仿宋" w:cs="华文中宋"/>
        </w:rPr>
        <w:t>及潜在</w:t>
      </w:r>
      <w:r>
        <w:rPr>
          <w:rFonts w:hint="eastAsia" w:ascii="仿宋" w:hAnsi="仿宋" w:eastAsia="仿宋"/>
        </w:rPr>
        <w:t>投标人</w:t>
      </w:r>
      <w:r>
        <w:rPr>
          <w:rFonts w:hint="eastAsia" w:ascii="仿宋" w:hAnsi="仿宋" w:eastAsia="仿宋" w:cs="华文中宋"/>
        </w:rPr>
        <w:t>。</w:t>
      </w:r>
    </w:p>
    <w:p w14:paraId="2CA11733">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cs="华文中宋"/>
        </w:rPr>
        <w:t>5.2通知的获取</w:t>
      </w:r>
    </w:p>
    <w:p w14:paraId="3B03B879">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rPr>
        <w:t>投标人</w:t>
      </w:r>
      <w:r>
        <w:rPr>
          <w:rFonts w:hint="eastAsia" w:ascii="仿宋" w:hAnsi="仿宋" w:eastAsia="仿宋" w:cs="华文中宋"/>
        </w:rPr>
        <w:t>可在本次招标公告刊登的媒体上查看获取已发布的通知。</w:t>
      </w:r>
    </w:p>
    <w:p w14:paraId="18C8D59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cs="华文中宋"/>
        </w:rPr>
        <w:t>因</w:t>
      </w:r>
      <w:r>
        <w:rPr>
          <w:rFonts w:hint="eastAsia" w:ascii="仿宋" w:hAnsi="仿宋" w:eastAsia="仿宋"/>
        </w:rPr>
        <w:t>线路故障导致通知延迟</w:t>
      </w:r>
      <w:r>
        <w:rPr>
          <w:rFonts w:hint="eastAsia" w:ascii="仿宋" w:hAnsi="仿宋" w:eastAsia="仿宋" w:cs="华文中宋"/>
        </w:rPr>
        <w:t>获取</w:t>
      </w:r>
      <w:r>
        <w:rPr>
          <w:rFonts w:hint="eastAsia" w:ascii="仿宋" w:hAnsi="仿宋" w:eastAsia="仿宋"/>
        </w:rPr>
        <w:t>或无法</w:t>
      </w:r>
      <w:r>
        <w:rPr>
          <w:rFonts w:hint="eastAsia" w:ascii="仿宋" w:hAnsi="仿宋" w:eastAsia="仿宋" w:cs="华文中宋"/>
        </w:rPr>
        <w:t>获取</w:t>
      </w:r>
      <w:r>
        <w:rPr>
          <w:rFonts w:hint="eastAsia" w:ascii="仿宋" w:hAnsi="仿宋" w:eastAsia="仿宋"/>
        </w:rPr>
        <w:t>，集中采购机构不因此承担任何责任，有关的招标活动可以继续有效地进行。</w:t>
      </w:r>
    </w:p>
    <w:p w14:paraId="6BB707AD">
      <w:pPr>
        <w:pStyle w:val="3"/>
        <w:spacing w:before="31" w:beforeLines="10" w:after="31" w:afterLines="10" w:line="500" w:lineRule="exact"/>
        <w:ind w:left="539" w:firstLine="0"/>
        <w:jc w:val="both"/>
        <w:rPr>
          <w:rFonts w:hint="eastAsia" w:ascii="仿宋" w:hAnsi="仿宋" w:eastAsia="仿宋"/>
          <w:spacing w:val="10"/>
          <w:sz w:val="24"/>
          <w:szCs w:val="24"/>
        </w:rPr>
      </w:pPr>
      <w:bookmarkStart w:id="42" w:name="_Toc26881692"/>
      <w:bookmarkStart w:id="43" w:name="_Toc424378686"/>
      <w:bookmarkStart w:id="44" w:name="_Toc352761931"/>
      <w:bookmarkStart w:id="45" w:name="_Toc24133"/>
      <w:r>
        <w:rPr>
          <w:rFonts w:hint="eastAsia" w:ascii="仿宋" w:hAnsi="仿宋" w:eastAsia="仿宋"/>
          <w:spacing w:val="10"/>
          <w:sz w:val="24"/>
          <w:szCs w:val="24"/>
        </w:rPr>
        <w:t>二、招标文件</w:t>
      </w:r>
      <w:bookmarkEnd w:id="42"/>
      <w:bookmarkEnd w:id="43"/>
      <w:bookmarkEnd w:id="44"/>
      <w:bookmarkEnd w:id="45"/>
    </w:p>
    <w:p w14:paraId="67AE616B">
      <w:pPr>
        <w:pStyle w:val="79"/>
        <w:snapToGrid w:val="0"/>
        <w:spacing w:line="500" w:lineRule="exact"/>
        <w:ind w:firstLine="462" w:firstLineChars="200"/>
        <w:textAlignment w:val="auto"/>
        <w:outlineLvl w:val="2"/>
        <w:rPr>
          <w:rFonts w:hint="eastAsia" w:ascii="仿宋" w:hAnsi="仿宋" w:eastAsia="仿宋"/>
          <w:b/>
          <w:spacing w:val="10"/>
        </w:rPr>
      </w:pPr>
      <w:r>
        <w:rPr>
          <w:rFonts w:hint="eastAsia" w:ascii="仿宋" w:hAnsi="仿宋" w:eastAsia="仿宋"/>
          <w:b/>
          <w:spacing w:val="10"/>
        </w:rPr>
        <w:t>6. 招标文件的内容</w:t>
      </w:r>
    </w:p>
    <w:p w14:paraId="27DC4387">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6.1 招标文件由下列八部分内容组成：</w:t>
      </w:r>
    </w:p>
    <w:p w14:paraId="48175CF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第一部分 招标公告；</w:t>
      </w:r>
    </w:p>
    <w:p w14:paraId="4356888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第二部分 投标人须知前附表;</w:t>
      </w:r>
    </w:p>
    <w:p w14:paraId="69BFCB13">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第三部分 投标人须知；</w:t>
      </w:r>
    </w:p>
    <w:p w14:paraId="7DDE8EA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第四部分 采购需求；</w:t>
      </w:r>
    </w:p>
    <w:p w14:paraId="5E13E5C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第五部分 资格审查内容及标准；</w:t>
      </w:r>
    </w:p>
    <w:p w14:paraId="3C62CADA">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第六部分 评标标准和评分方法；</w:t>
      </w:r>
    </w:p>
    <w:p w14:paraId="350CD294">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第七部分 合同文本；</w:t>
      </w:r>
    </w:p>
    <w:p w14:paraId="47F7593F">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第八部分 投标文件</w:t>
      </w:r>
      <w:r>
        <w:rPr>
          <w:rFonts w:hint="eastAsia" w:ascii="仿宋" w:hAnsi="仿宋" w:eastAsia="仿宋" w:cs="华文中宋"/>
        </w:rPr>
        <w:t>内容要求及</w:t>
      </w:r>
      <w:r>
        <w:rPr>
          <w:rFonts w:hint="eastAsia" w:ascii="仿宋" w:hAnsi="仿宋" w:eastAsia="仿宋"/>
        </w:rPr>
        <w:t>格式</w:t>
      </w:r>
    </w:p>
    <w:p w14:paraId="7727ABC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6.2 招标文件中落实政府采购政策的相关要求详见“第六部分 评标标准和评标方法 二、落实政府采购政策性要求的评审内容及标准”。</w:t>
      </w:r>
    </w:p>
    <w:p w14:paraId="47F63F6C">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6.3除非特殊要求，招标文件不单独提供招标项目使用地的自然环境、气候条件、公用设施情况，投标人被视为熟悉上述与履行合同有关的一切情况。</w:t>
      </w:r>
    </w:p>
    <w:p w14:paraId="4CEBE06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6.4 招标文件的解释权归集中采购机构所有。当对一个问题有多种解释时以集中采购机构解释为准。</w:t>
      </w:r>
    </w:p>
    <w:p w14:paraId="100BFAC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6.5招标文件未作须知明示，而又有法律、法规规定的，集中采购机构将依据法律法规的规定进行解释。</w:t>
      </w:r>
    </w:p>
    <w:p w14:paraId="369F67D9">
      <w:pPr>
        <w:pStyle w:val="79"/>
        <w:snapToGrid w:val="0"/>
        <w:spacing w:line="500" w:lineRule="exact"/>
        <w:ind w:firstLine="462" w:firstLineChars="200"/>
        <w:textAlignment w:val="auto"/>
        <w:outlineLvl w:val="2"/>
        <w:rPr>
          <w:rFonts w:hint="eastAsia" w:ascii="仿宋" w:hAnsi="仿宋" w:eastAsia="仿宋"/>
          <w:b/>
          <w:spacing w:val="10"/>
        </w:rPr>
      </w:pPr>
      <w:r>
        <w:rPr>
          <w:rFonts w:hint="eastAsia" w:ascii="仿宋" w:hAnsi="仿宋" w:eastAsia="仿宋"/>
          <w:b/>
          <w:spacing w:val="10"/>
        </w:rPr>
        <w:t>7. 招标文件的澄清和修改</w:t>
      </w:r>
    </w:p>
    <w:p w14:paraId="1C5FD058">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7.1 投标人对招标文件有疑问的，可向集中采购机构、采购人提出询问。</w:t>
      </w:r>
    </w:p>
    <w:p w14:paraId="22C871A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7.2采购人或集中采购机构可主动地或在解答投标人提出的问题时对招标文件进行澄清与修改，澄清或者修改在原公告发布媒体上发布澄清公告。澄清或者修改的内容为招标文件的组成部分，对所有投标人均具有约束作用。投标人应主动上网查询。集中采购机构不承担投标人未及时关注相关信息引发的相关责任。</w:t>
      </w:r>
    </w:p>
    <w:p w14:paraId="7EBCB130">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7.3澄清或者修改的内容可能影响投标文件编制的，集中采购机构在投标截止时间至少15日前，以发布公告的形式通知所有获取招标文件的潜在投标人；不足15日的，顺延提交投标文件的截止时间。</w:t>
      </w:r>
    </w:p>
    <w:p w14:paraId="27E66E02">
      <w:pPr>
        <w:pStyle w:val="79"/>
        <w:snapToGrid w:val="0"/>
        <w:spacing w:line="500" w:lineRule="exact"/>
        <w:ind w:firstLine="420" w:firstLineChars="200"/>
        <w:rPr>
          <w:rFonts w:hint="eastAsia" w:ascii="仿宋" w:hAnsi="仿宋" w:eastAsia="仿宋"/>
        </w:rPr>
      </w:pPr>
      <w:r>
        <w:rPr>
          <w:rFonts w:hint="eastAsia" w:ascii="仿宋" w:hAnsi="仿宋" w:eastAsia="仿宋"/>
        </w:rPr>
        <w:t>7.4任何人或任何组织向投标人提供的任何书面或口头资料，未经集中采购机构在网上发布或书面通知，均作无效处理，不得作为招标文件的组成部分。集中采购机构对投标人由此而做出的推论、理解和结论概不负责。</w:t>
      </w:r>
    </w:p>
    <w:p w14:paraId="4E17080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7.5对于没有提出疑问又参与了本项目投标的投标人将被视为完全认同本招标文件（含澄清或修改的内容）。</w:t>
      </w:r>
    </w:p>
    <w:p w14:paraId="649C1BC8">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7.6集中采购机构将视情况确定是否进行现场勘查或召开标前答疑会，详细内容见第二部分投标人须知前附表序号7的要求。</w:t>
      </w:r>
    </w:p>
    <w:p w14:paraId="53E2B1AE">
      <w:pPr>
        <w:pStyle w:val="3"/>
        <w:spacing w:before="31" w:beforeLines="10" w:after="31" w:afterLines="10" w:line="500" w:lineRule="exact"/>
        <w:ind w:left="539" w:firstLine="0"/>
        <w:jc w:val="both"/>
        <w:rPr>
          <w:rFonts w:hint="eastAsia" w:ascii="仿宋" w:hAnsi="仿宋" w:eastAsia="仿宋"/>
          <w:spacing w:val="10"/>
          <w:sz w:val="24"/>
          <w:szCs w:val="24"/>
        </w:rPr>
      </w:pPr>
      <w:bookmarkStart w:id="46" w:name="_Toc352761932"/>
      <w:bookmarkStart w:id="47" w:name="_Toc12041"/>
      <w:bookmarkStart w:id="48" w:name="_Toc424378687"/>
      <w:bookmarkStart w:id="49" w:name="_Toc26881693"/>
      <w:r>
        <w:rPr>
          <w:rFonts w:hint="eastAsia" w:ascii="仿宋" w:hAnsi="仿宋" w:eastAsia="仿宋"/>
          <w:spacing w:val="10"/>
          <w:sz w:val="24"/>
          <w:szCs w:val="24"/>
        </w:rPr>
        <w:t>三、投标文件</w:t>
      </w:r>
      <w:bookmarkEnd w:id="46"/>
      <w:bookmarkEnd w:id="47"/>
      <w:bookmarkEnd w:id="48"/>
      <w:bookmarkEnd w:id="49"/>
    </w:p>
    <w:p w14:paraId="3AC73AE0">
      <w:pPr>
        <w:pStyle w:val="79"/>
        <w:snapToGrid w:val="0"/>
        <w:spacing w:line="500" w:lineRule="exact"/>
        <w:ind w:firstLine="462" w:firstLineChars="200"/>
        <w:textAlignment w:val="auto"/>
        <w:outlineLvl w:val="2"/>
        <w:rPr>
          <w:rFonts w:hint="eastAsia" w:ascii="仿宋" w:hAnsi="仿宋" w:eastAsia="仿宋"/>
          <w:b/>
          <w:spacing w:val="10"/>
        </w:rPr>
      </w:pPr>
      <w:r>
        <w:rPr>
          <w:rFonts w:hint="eastAsia" w:ascii="仿宋" w:hAnsi="仿宋" w:eastAsia="仿宋"/>
          <w:b/>
          <w:spacing w:val="10"/>
        </w:rPr>
        <w:t>8. 投标文件的语言和计量单位</w:t>
      </w:r>
    </w:p>
    <w:p w14:paraId="082A74FA">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8.1 投标人提交的投标文件（包括技术文件和资料、图纸中的说明）以及投标人与集中采购机构就有关投标的所有来往函电均应使用中文简体字。外文资料必须提供中文译文，并保持与原文一致，否则，产生的不利后果由投标人承担。</w:t>
      </w:r>
    </w:p>
    <w:p w14:paraId="5FD646E0">
      <w:pPr>
        <w:pStyle w:val="79"/>
        <w:tabs>
          <w:tab w:val="left" w:pos="7050"/>
        </w:tabs>
        <w:snapToGrid w:val="0"/>
        <w:spacing w:line="500" w:lineRule="exact"/>
        <w:ind w:firstLine="432" w:firstLineChars="206"/>
        <w:textAlignment w:val="auto"/>
        <w:rPr>
          <w:rFonts w:hint="eastAsia" w:ascii="仿宋" w:hAnsi="仿宋" w:eastAsia="仿宋"/>
          <w:spacing w:val="10"/>
        </w:rPr>
      </w:pPr>
      <w:r>
        <w:rPr>
          <w:rFonts w:hint="eastAsia" w:ascii="仿宋" w:hAnsi="仿宋" w:eastAsia="仿宋"/>
        </w:rPr>
        <w:t>8.2 投标文件所使用的计量单位，必须使用国家法定计量单位。</w:t>
      </w:r>
    </w:p>
    <w:p w14:paraId="3A69F816">
      <w:pPr>
        <w:pStyle w:val="79"/>
        <w:snapToGrid w:val="0"/>
        <w:spacing w:line="500" w:lineRule="exact"/>
        <w:ind w:firstLine="462" w:firstLineChars="200"/>
        <w:textAlignment w:val="auto"/>
        <w:outlineLvl w:val="2"/>
        <w:rPr>
          <w:rFonts w:hint="eastAsia" w:ascii="仿宋" w:hAnsi="仿宋" w:eastAsia="仿宋"/>
          <w:b/>
          <w:spacing w:val="10"/>
        </w:rPr>
      </w:pPr>
      <w:r>
        <w:rPr>
          <w:rFonts w:hint="eastAsia" w:ascii="仿宋" w:hAnsi="仿宋" w:eastAsia="仿宋"/>
          <w:b/>
          <w:spacing w:val="10"/>
        </w:rPr>
        <w:t>9. 投标文件的组成及相关要求</w:t>
      </w:r>
    </w:p>
    <w:p w14:paraId="0E5F2F60">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cs="华文中宋"/>
        </w:rPr>
        <w:t>9.1 投标文件分为资格文件、商务技术文件。</w:t>
      </w:r>
    </w:p>
    <w:p w14:paraId="74A91F02">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cs="华文中宋"/>
        </w:rPr>
        <w:t>9.1.1 投标文件使用山西政采云电子投标客户端进行编制（</w:t>
      </w:r>
      <w:r>
        <w:rPr>
          <w:rFonts w:hint="eastAsia" w:ascii="仿宋" w:hAnsi="仿宋" w:eastAsia="仿宋"/>
          <w:bCs/>
        </w:rPr>
        <w:t>山西省政府采购网&lt;办事指南&gt;下载专区”获取</w:t>
      </w:r>
      <w:r>
        <w:rPr>
          <w:rFonts w:hint="eastAsia" w:ascii="仿宋" w:hAnsi="仿宋" w:eastAsia="仿宋" w:cs="华文中宋"/>
        </w:rPr>
        <w:t>）。</w:t>
      </w:r>
    </w:p>
    <w:p w14:paraId="17178538">
      <w:pPr>
        <w:pStyle w:val="79"/>
        <w:snapToGrid w:val="0"/>
        <w:spacing w:line="500" w:lineRule="exact"/>
        <w:ind w:firstLine="420" w:firstLineChars="200"/>
        <w:textAlignment w:val="auto"/>
        <w:rPr>
          <w:rFonts w:hint="eastAsia" w:ascii="仿宋" w:hAnsi="仿宋" w:eastAsia="仿宋" w:cs="华文中宋"/>
        </w:rPr>
      </w:pPr>
      <w:r>
        <w:rPr>
          <w:rFonts w:hint="eastAsia" w:ascii="仿宋" w:hAnsi="仿宋" w:eastAsia="仿宋" w:cs="华文中宋"/>
        </w:rPr>
        <w:t>9.1.2 相关资质证明证书材料提供扫描件。</w:t>
      </w:r>
    </w:p>
    <w:p w14:paraId="7C5E619F">
      <w:pPr>
        <w:pStyle w:val="79"/>
        <w:snapToGrid w:val="0"/>
        <w:spacing w:line="500" w:lineRule="exact"/>
        <w:ind w:firstLine="432" w:firstLineChars="206"/>
        <w:textAlignment w:val="auto"/>
        <w:rPr>
          <w:rFonts w:hint="eastAsia" w:ascii="仿宋" w:hAnsi="仿宋" w:eastAsia="仿宋" w:cs="华文中宋"/>
        </w:rPr>
      </w:pPr>
      <w:r>
        <w:rPr>
          <w:rFonts w:hint="eastAsia" w:ascii="仿宋" w:hAnsi="仿宋" w:eastAsia="仿宋"/>
        </w:rPr>
        <w:t>9.2 投标保证金</w:t>
      </w:r>
    </w:p>
    <w:p w14:paraId="4BD41E60">
      <w:pPr>
        <w:spacing w:line="500" w:lineRule="exact"/>
        <w:ind w:firstLine="420"/>
        <w:rPr>
          <w:rFonts w:hint="eastAsia" w:ascii="仿宋" w:hAnsi="仿宋" w:eastAsia="仿宋"/>
          <w:szCs w:val="21"/>
        </w:rPr>
      </w:pPr>
      <w:r>
        <w:rPr>
          <w:rFonts w:hint="eastAsia" w:ascii="仿宋" w:hAnsi="仿宋" w:eastAsia="仿宋"/>
        </w:rPr>
        <w:t>9.2.1 本项目是否要求投标人提交保证金，及要求投标人应提交的投标保证金金额详见投标人须知前附表序号4的相关规定。</w:t>
      </w:r>
    </w:p>
    <w:p w14:paraId="239E2E68">
      <w:pPr>
        <w:spacing w:line="500" w:lineRule="exact"/>
        <w:rPr>
          <w:rFonts w:hint="eastAsia" w:ascii="仿宋" w:hAnsi="仿宋" w:eastAsia="仿宋"/>
          <w:szCs w:val="21"/>
        </w:rPr>
      </w:pPr>
      <w:r>
        <w:rPr>
          <w:rFonts w:hint="eastAsia" w:ascii="仿宋" w:hAnsi="仿宋" w:eastAsia="仿宋"/>
          <w:szCs w:val="21"/>
        </w:rPr>
        <w:t xml:space="preserve">    9.2.1.1投标保证金按下列提交方式提交：投标人须在投标文件</w:t>
      </w:r>
      <w:r>
        <w:rPr>
          <w:rFonts w:hint="eastAsia" w:ascii="仿宋" w:hAnsi="仿宋" w:eastAsia="仿宋" w:cs="华文中宋"/>
          <w:szCs w:val="21"/>
        </w:rPr>
        <w:t>解密/</w:t>
      </w:r>
      <w:r>
        <w:rPr>
          <w:rFonts w:hint="eastAsia" w:ascii="仿宋" w:hAnsi="仿宋" w:eastAsia="仿宋"/>
          <w:szCs w:val="21"/>
        </w:rPr>
        <w:t>递交之前将本项目投标保证金从自己的基本存款账户交纳到长治市公共资源交易中心（长治市政府采购中心）专用存款账户上（账户详细信息见本文件的第二部分 投标人须知前附表 序号4投标保证金）。</w:t>
      </w:r>
    </w:p>
    <w:p w14:paraId="066703FB">
      <w:pPr>
        <w:spacing w:line="500" w:lineRule="exact"/>
        <w:rPr>
          <w:rFonts w:hint="eastAsia" w:ascii="仿宋" w:hAnsi="仿宋" w:eastAsia="仿宋"/>
          <w:szCs w:val="21"/>
        </w:rPr>
      </w:pPr>
      <w:r>
        <w:rPr>
          <w:rFonts w:hint="eastAsia" w:ascii="仿宋" w:hAnsi="仿宋" w:eastAsia="仿宋"/>
          <w:szCs w:val="21"/>
        </w:rPr>
        <w:t xml:space="preserve">    9.2.2 未按上述要求提交投标保证金或提交的投标保证金金额不足的，其投标无效。</w:t>
      </w:r>
    </w:p>
    <w:p w14:paraId="39107080">
      <w:pPr>
        <w:pStyle w:val="79"/>
        <w:snapToGrid w:val="0"/>
        <w:spacing w:line="500" w:lineRule="exact"/>
        <w:ind w:firstLine="420" w:firstLineChars="200"/>
        <w:rPr>
          <w:rFonts w:hint="eastAsia" w:ascii="仿宋" w:hAnsi="仿宋" w:eastAsia="仿宋"/>
        </w:rPr>
      </w:pPr>
      <w:r>
        <w:rPr>
          <w:rFonts w:hint="eastAsia" w:ascii="仿宋" w:hAnsi="仿宋" w:eastAsia="仿宋"/>
        </w:rPr>
        <w:t>9.2.3前次采购失败的，集中采购机构将退还投标人的投标保证金。</w:t>
      </w:r>
    </w:p>
    <w:p w14:paraId="46B8C0CE">
      <w:pPr>
        <w:pStyle w:val="79"/>
        <w:snapToGrid w:val="0"/>
        <w:spacing w:line="500" w:lineRule="exact"/>
        <w:ind w:firstLine="420" w:firstLineChars="200"/>
        <w:rPr>
          <w:rFonts w:hint="eastAsia" w:ascii="仿宋" w:hAnsi="仿宋" w:eastAsia="仿宋"/>
        </w:rPr>
      </w:pPr>
      <w:r>
        <w:rPr>
          <w:rFonts w:hint="eastAsia" w:ascii="仿宋" w:hAnsi="仿宋" w:eastAsia="仿宋"/>
        </w:rPr>
        <w:t>9.2.4集中采购机构投标保证金缴纳账号采用动态虚拟账号（分包项目每一个包别对应一个账号），项目采购失败后，投标保证金缴纳账号将会发生变化，请投标人参与后续采购时，注意勿将投标保证金错交至其他项目虚拟账号或前次公告账号。</w:t>
      </w:r>
    </w:p>
    <w:p w14:paraId="38C984AA">
      <w:pPr>
        <w:pStyle w:val="79"/>
        <w:snapToGrid w:val="0"/>
        <w:spacing w:line="500" w:lineRule="exact"/>
        <w:ind w:firstLine="420" w:firstLineChars="200"/>
        <w:rPr>
          <w:rFonts w:hint="eastAsia" w:ascii="仿宋" w:hAnsi="仿宋" w:eastAsia="仿宋"/>
        </w:rPr>
      </w:pPr>
      <w:r>
        <w:rPr>
          <w:rFonts w:hint="eastAsia" w:ascii="仿宋" w:hAnsi="仿宋" w:eastAsia="仿宋"/>
        </w:rPr>
        <w:t>9.2.5凡转账到其他项目虚拟账号或本项目前次公告账号的，投标保证金无效。</w:t>
      </w:r>
    </w:p>
    <w:p w14:paraId="25F341D4">
      <w:pPr>
        <w:pStyle w:val="79"/>
        <w:snapToGrid w:val="0"/>
        <w:spacing w:line="500" w:lineRule="exact"/>
        <w:ind w:firstLine="420" w:firstLineChars="200"/>
        <w:rPr>
          <w:rFonts w:hint="eastAsia" w:ascii="仿宋" w:hAnsi="仿宋" w:eastAsia="仿宋"/>
        </w:rPr>
      </w:pPr>
      <w:r>
        <w:rPr>
          <w:rFonts w:hint="eastAsia" w:ascii="仿宋" w:hAnsi="仿宋" w:eastAsia="仿宋"/>
        </w:rPr>
        <w:t>9.2.6有下列情形之一的，投标保证金不予退还：</w:t>
      </w:r>
    </w:p>
    <w:p w14:paraId="00313437">
      <w:pPr>
        <w:pStyle w:val="79"/>
        <w:snapToGrid w:val="0"/>
        <w:spacing w:line="500" w:lineRule="exact"/>
        <w:ind w:firstLine="420" w:firstLineChars="200"/>
        <w:rPr>
          <w:rFonts w:hint="eastAsia" w:ascii="仿宋" w:hAnsi="仿宋" w:eastAsia="仿宋"/>
        </w:rPr>
      </w:pPr>
      <w:r>
        <w:rPr>
          <w:rFonts w:hint="eastAsia" w:ascii="仿宋" w:hAnsi="仿宋" w:eastAsia="仿宋"/>
        </w:rPr>
        <w:t>（1）投标人在投标截止时间后撤销投标文件的；</w:t>
      </w:r>
    </w:p>
    <w:p w14:paraId="7AACDF6B">
      <w:pPr>
        <w:pStyle w:val="79"/>
        <w:snapToGrid w:val="0"/>
        <w:spacing w:line="500" w:lineRule="exact"/>
        <w:ind w:firstLine="420" w:firstLineChars="200"/>
        <w:rPr>
          <w:rFonts w:hint="eastAsia" w:ascii="仿宋" w:hAnsi="仿宋" w:eastAsia="仿宋"/>
        </w:rPr>
      </w:pPr>
      <w:r>
        <w:rPr>
          <w:rFonts w:hint="eastAsia" w:ascii="仿宋" w:hAnsi="仿宋" w:eastAsia="仿宋"/>
        </w:rPr>
        <w:t>（2）投标人在投标文件中提供虚假材料的；</w:t>
      </w:r>
    </w:p>
    <w:p w14:paraId="550409FA">
      <w:pPr>
        <w:pStyle w:val="79"/>
        <w:snapToGrid w:val="0"/>
        <w:spacing w:line="500" w:lineRule="exact"/>
        <w:ind w:firstLine="420" w:firstLineChars="200"/>
        <w:rPr>
          <w:rFonts w:hint="eastAsia" w:ascii="仿宋" w:hAnsi="仿宋" w:eastAsia="仿宋"/>
          <w:sz w:val="36"/>
          <w:szCs w:val="36"/>
        </w:rPr>
      </w:pPr>
      <w:r>
        <w:rPr>
          <w:rFonts w:hint="eastAsia" w:ascii="仿宋" w:hAnsi="仿宋" w:eastAsia="仿宋"/>
        </w:rPr>
        <w:t>（3）除因不可抗力或招标文件认可的情形以外，中标人不与采购人签订合同的；</w:t>
      </w:r>
      <w:r>
        <w:rPr>
          <w:rFonts w:ascii="仿宋" w:hAnsi="仿宋" w:eastAsia="仿宋"/>
          <w:sz w:val="36"/>
          <w:szCs w:val="36"/>
        </w:rPr>
        <w:t xml:space="preserve"> </w:t>
      </w:r>
    </w:p>
    <w:p w14:paraId="16FF98A9">
      <w:pPr>
        <w:pStyle w:val="79"/>
        <w:snapToGrid w:val="0"/>
        <w:spacing w:line="500" w:lineRule="exact"/>
        <w:ind w:firstLine="420" w:firstLineChars="200"/>
        <w:rPr>
          <w:rFonts w:hint="eastAsia" w:ascii="仿宋" w:hAnsi="仿宋" w:eastAsia="仿宋"/>
        </w:rPr>
      </w:pPr>
      <w:r>
        <w:rPr>
          <w:rFonts w:hint="eastAsia" w:ascii="仿宋" w:hAnsi="仿宋" w:eastAsia="仿宋"/>
        </w:rPr>
        <w:t>（4）投标人与采购人、其他投标人或者集中采购机构恶意串通的；</w:t>
      </w:r>
    </w:p>
    <w:p w14:paraId="669040E4">
      <w:pPr>
        <w:pStyle w:val="79"/>
        <w:snapToGrid w:val="0"/>
        <w:spacing w:line="500" w:lineRule="exact"/>
        <w:ind w:firstLine="420" w:firstLineChars="200"/>
        <w:rPr>
          <w:rFonts w:hint="eastAsia" w:ascii="仿宋" w:hAnsi="仿宋" w:eastAsia="仿宋"/>
        </w:rPr>
      </w:pPr>
      <w:r>
        <w:rPr>
          <w:rFonts w:hint="eastAsia" w:ascii="仿宋" w:hAnsi="仿宋" w:eastAsia="仿宋"/>
        </w:rPr>
        <w:t>（5）投标人在投标有效期内撤销投标文件的。</w:t>
      </w:r>
    </w:p>
    <w:p w14:paraId="47165F3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9.3 投标报价</w:t>
      </w:r>
    </w:p>
    <w:p w14:paraId="404EB803">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9.3.1 所有投标报价均以人民币元为计算单位。只要投报了一个确定数额的总价，无论分项价格是否全部填报了相应的金额或免费字样，报价均被视为已经包含了但并不限于各项购买货物/服务及其运送、安装、调试、验收、保险、税金和相关服务等的费用。在其它情况下，由于分项报价填报不完整、不清楚或存在其它任何失误，所导致的任何不利后果均应当由投标人自行承担。</w:t>
      </w:r>
    </w:p>
    <w:p w14:paraId="26F6236F">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9.3.2 投标人投报多包的，应对每包分别报价并分别填报开标一览表报价明细表。投标人报出的总价为货物/服务全部完成交付的最终价格。</w:t>
      </w:r>
    </w:p>
    <w:p w14:paraId="4BBA12B8">
      <w:pPr>
        <w:spacing w:line="500" w:lineRule="exact"/>
        <w:ind w:firstLine="420" w:firstLineChars="200"/>
        <w:rPr>
          <w:rFonts w:hint="eastAsia" w:ascii="仿宋" w:hAnsi="仿宋" w:eastAsia="仿宋"/>
          <w:szCs w:val="21"/>
        </w:rPr>
      </w:pPr>
      <w:r>
        <w:rPr>
          <w:rFonts w:hint="eastAsia" w:ascii="仿宋" w:hAnsi="仿宋" w:eastAsia="仿宋"/>
          <w:szCs w:val="21"/>
        </w:rPr>
        <w:t>9.3.3投标人必须整包进行投标，不得拆包分项投标。</w:t>
      </w:r>
    </w:p>
    <w:p w14:paraId="3C6CFBEE">
      <w:pPr>
        <w:spacing w:line="500" w:lineRule="exact"/>
        <w:ind w:firstLine="420" w:firstLineChars="200"/>
        <w:rPr>
          <w:rFonts w:hint="eastAsia" w:ascii="仿宋" w:hAnsi="仿宋" w:eastAsia="仿宋"/>
          <w:szCs w:val="21"/>
        </w:rPr>
      </w:pPr>
      <w:r>
        <w:rPr>
          <w:rFonts w:hint="eastAsia" w:ascii="仿宋" w:hAnsi="仿宋" w:eastAsia="仿宋"/>
          <w:szCs w:val="21"/>
        </w:rPr>
        <w:t>9.3.4 本次招标不接受可选择或可调整的投标和报价。</w:t>
      </w:r>
    </w:p>
    <w:p w14:paraId="3C09A032">
      <w:pPr>
        <w:spacing w:line="500" w:lineRule="exact"/>
        <w:ind w:firstLine="420" w:firstLineChars="200"/>
        <w:rPr>
          <w:rFonts w:hint="eastAsia" w:ascii="仿宋" w:hAnsi="仿宋" w:eastAsia="仿宋"/>
          <w:szCs w:val="21"/>
        </w:rPr>
      </w:pPr>
      <w:r>
        <w:rPr>
          <w:rFonts w:hint="eastAsia" w:ascii="仿宋" w:hAnsi="仿宋" w:eastAsia="仿宋"/>
          <w:szCs w:val="21"/>
        </w:rPr>
        <w:t>9.3.5 投标人应提供货物/服务的单价（包括</w:t>
      </w:r>
      <w:r>
        <w:rPr>
          <w:rFonts w:hint="eastAsia" w:ascii="仿宋" w:hAnsi="仿宋" w:eastAsia="仿宋"/>
          <w:szCs w:val="21"/>
          <w:u w:val="single"/>
        </w:rPr>
        <w:t>货物报价、装箱、包装、包装物料、送货、安装调试费、保险费用及其他应有的费用</w:t>
      </w:r>
      <w:r>
        <w:rPr>
          <w:rFonts w:hint="eastAsia" w:ascii="仿宋" w:hAnsi="仿宋" w:eastAsia="仿宋"/>
          <w:szCs w:val="21"/>
        </w:rPr>
        <w:t>）、总价及其他事项。</w:t>
      </w:r>
    </w:p>
    <w:p w14:paraId="5853639F">
      <w:pPr>
        <w:pStyle w:val="79"/>
        <w:snapToGrid w:val="0"/>
        <w:spacing w:line="500" w:lineRule="exact"/>
        <w:ind w:firstLine="420" w:firstLineChars="200"/>
        <w:textAlignment w:val="auto"/>
        <w:rPr>
          <w:rFonts w:hint="eastAsia" w:ascii="仿宋" w:hAnsi="仿宋" w:eastAsia="仿宋"/>
          <w:sz w:val="32"/>
          <w:szCs w:val="32"/>
        </w:rPr>
      </w:pPr>
      <w:r>
        <w:rPr>
          <w:rFonts w:hint="eastAsia" w:ascii="仿宋" w:hAnsi="仿宋" w:eastAsia="仿宋"/>
        </w:rPr>
        <w:t>9.3.6 任何超出招标文件要求而额外赠送的货物、服务等其他形式的优惠，在评标时将不作为价格折算的必备条件。</w:t>
      </w:r>
    </w:p>
    <w:p w14:paraId="1221B337">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9.3.7项目实施过程中需要主要辅材的项目，投标人自行设计表格，填写主要辅材清单，注明品牌、型号、产地、单价、数量等内容。</w:t>
      </w:r>
    </w:p>
    <w:p w14:paraId="31E50066">
      <w:pPr>
        <w:pStyle w:val="79"/>
        <w:snapToGrid w:val="0"/>
        <w:spacing w:line="500" w:lineRule="exact"/>
        <w:ind w:firstLine="434" w:firstLineChars="206"/>
        <w:textAlignment w:val="auto"/>
        <w:outlineLvl w:val="2"/>
        <w:rPr>
          <w:rFonts w:hint="eastAsia" w:ascii="仿宋" w:hAnsi="仿宋" w:eastAsia="仿宋"/>
          <w:b/>
        </w:rPr>
      </w:pPr>
      <w:r>
        <w:rPr>
          <w:rFonts w:hint="eastAsia" w:ascii="仿宋" w:hAnsi="仿宋" w:eastAsia="仿宋"/>
          <w:b/>
        </w:rPr>
        <w:t>10. 投标内容填写说明</w:t>
      </w:r>
    </w:p>
    <w:p w14:paraId="394D2478">
      <w:pPr>
        <w:spacing w:line="500" w:lineRule="exact"/>
        <w:ind w:firstLine="432" w:firstLineChars="206"/>
        <w:rPr>
          <w:rFonts w:hint="eastAsia" w:ascii="仿宋" w:hAnsi="仿宋" w:eastAsia="仿宋"/>
          <w:b/>
          <w:szCs w:val="21"/>
        </w:rPr>
      </w:pPr>
      <w:r>
        <w:rPr>
          <w:rFonts w:hint="eastAsia" w:ascii="仿宋" w:hAnsi="仿宋" w:eastAsia="仿宋"/>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5F7CDA25">
      <w:pPr>
        <w:spacing w:line="500" w:lineRule="exact"/>
        <w:ind w:firstLine="432" w:firstLineChars="206"/>
        <w:rPr>
          <w:rFonts w:hint="eastAsia" w:ascii="仿宋" w:hAnsi="仿宋" w:eastAsia="仿宋"/>
        </w:rPr>
      </w:pPr>
      <w:r>
        <w:rPr>
          <w:rFonts w:hint="eastAsia" w:ascii="仿宋" w:hAnsi="仿宋" w:eastAsia="仿宋"/>
        </w:rPr>
        <w:t>10.2  投标文件有固定格式要求的须按第八部分提供的统一格式逐项填写；无相应内容可填的项填写“无”、“未测试”、“没有相应指标”、“/”等明确的回答。</w:t>
      </w:r>
    </w:p>
    <w:p w14:paraId="53C9B361">
      <w:pPr>
        <w:spacing w:line="500" w:lineRule="exact"/>
        <w:ind w:firstLine="432" w:firstLineChars="206"/>
        <w:rPr>
          <w:rFonts w:hint="eastAsia" w:ascii="仿宋" w:hAnsi="仿宋" w:eastAsia="仿宋"/>
          <w:szCs w:val="21"/>
        </w:rPr>
      </w:pPr>
      <w:r>
        <w:rPr>
          <w:rFonts w:hint="eastAsia" w:ascii="仿宋" w:hAnsi="仿宋" w:eastAsia="仿宋"/>
          <w:szCs w:val="21"/>
        </w:rPr>
        <w:t>10.3开标一览表报价明细表要求按格式统一填写</w:t>
      </w:r>
      <w:r>
        <w:rPr>
          <w:rFonts w:hint="eastAsia" w:ascii="仿宋" w:hAnsi="仿宋" w:eastAsia="仿宋"/>
        </w:rPr>
        <w:t>，不得自行增减内容</w:t>
      </w:r>
      <w:r>
        <w:rPr>
          <w:rFonts w:hint="eastAsia" w:ascii="仿宋" w:hAnsi="仿宋" w:eastAsia="仿宋"/>
          <w:szCs w:val="21"/>
        </w:rPr>
        <w:t>。</w:t>
      </w:r>
    </w:p>
    <w:p w14:paraId="7BF36654">
      <w:pPr>
        <w:spacing w:line="500" w:lineRule="exact"/>
        <w:ind w:firstLine="432" w:firstLineChars="206"/>
        <w:rPr>
          <w:rFonts w:hint="eastAsia" w:ascii="仿宋" w:hAnsi="仿宋" w:eastAsia="仿宋"/>
          <w:szCs w:val="21"/>
        </w:rPr>
      </w:pPr>
      <w:r>
        <w:rPr>
          <w:rFonts w:hint="eastAsia" w:ascii="仿宋" w:hAnsi="仿宋" w:eastAsia="仿宋"/>
          <w:szCs w:val="21"/>
        </w:rPr>
        <w:t>10.4投标人必须保证投标文件所提供的全部资料真实</w:t>
      </w:r>
      <w:r>
        <w:rPr>
          <w:rFonts w:hint="eastAsia" w:ascii="仿宋" w:hAnsi="仿宋" w:eastAsia="仿宋"/>
        </w:rPr>
        <w:t>有效</w:t>
      </w:r>
      <w:r>
        <w:rPr>
          <w:rFonts w:hint="eastAsia" w:ascii="仿宋" w:hAnsi="仿宋" w:eastAsia="仿宋"/>
          <w:szCs w:val="21"/>
        </w:rPr>
        <w:t>，并接受评标委员会对其中任何资料进一步审查的要求，</w:t>
      </w:r>
      <w:r>
        <w:rPr>
          <w:rFonts w:hint="eastAsia" w:ascii="仿宋" w:hAnsi="仿宋" w:eastAsia="仿宋"/>
        </w:rPr>
        <w:t>且承担相应的法律责任。</w:t>
      </w:r>
    </w:p>
    <w:p w14:paraId="43A99967">
      <w:pPr>
        <w:spacing w:line="500" w:lineRule="exact"/>
        <w:ind w:firstLine="432" w:firstLineChars="206"/>
        <w:rPr>
          <w:rFonts w:hint="eastAsia" w:ascii="仿宋" w:hAnsi="仿宋" w:eastAsia="仿宋"/>
          <w:szCs w:val="21"/>
        </w:rPr>
      </w:pPr>
      <w:r>
        <w:rPr>
          <w:rFonts w:hint="eastAsia" w:ascii="仿宋" w:hAnsi="仿宋" w:eastAsia="仿宋"/>
        </w:rPr>
        <w:t>1</w:t>
      </w:r>
      <w:r>
        <w:rPr>
          <w:rFonts w:hint="eastAsia" w:ascii="仿宋" w:hAnsi="仿宋" w:eastAsia="仿宋"/>
          <w:szCs w:val="21"/>
        </w:rPr>
        <w:t>0.5因投标文件字迹潦草、提交资料不清晰或表达不清楚所引起的不利后果由投标人承担。</w:t>
      </w:r>
    </w:p>
    <w:p w14:paraId="5C6EEC0B">
      <w:pPr>
        <w:spacing w:line="500" w:lineRule="exact"/>
        <w:ind w:firstLine="434" w:firstLineChars="206"/>
        <w:outlineLvl w:val="2"/>
        <w:rPr>
          <w:rFonts w:hint="eastAsia" w:ascii="仿宋" w:hAnsi="仿宋" w:eastAsia="仿宋"/>
          <w:b/>
          <w:szCs w:val="21"/>
        </w:rPr>
      </w:pPr>
      <w:r>
        <w:rPr>
          <w:rFonts w:hint="eastAsia" w:ascii="仿宋" w:hAnsi="仿宋" w:eastAsia="仿宋"/>
          <w:b/>
          <w:szCs w:val="21"/>
        </w:rPr>
        <w:t>11.投标文件的有效期限</w:t>
      </w:r>
    </w:p>
    <w:p w14:paraId="266243DB">
      <w:pPr>
        <w:pStyle w:val="79"/>
        <w:snapToGrid w:val="0"/>
        <w:spacing w:line="500" w:lineRule="exact"/>
        <w:ind w:firstLine="432" w:firstLineChars="206"/>
        <w:textAlignment w:val="auto"/>
        <w:rPr>
          <w:rFonts w:hint="eastAsia" w:ascii="仿宋" w:hAnsi="仿宋" w:eastAsia="仿宋"/>
        </w:rPr>
      </w:pPr>
      <w:r>
        <w:rPr>
          <w:rFonts w:hint="eastAsia" w:ascii="仿宋" w:hAnsi="仿宋" w:eastAsia="仿宋"/>
        </w:rPr>
        <w:t>本项目投标文件的有效期见投标人须知前附表序号5的规定。</w:t>
      </w:r>
    </w:p>
    <w:p w14:paraId="22D1E494">
      <w:pPr>
        <w:spacing w:line="500" w:lineRule="exact"/>
        <w:ind w:firstLine="434" w:firstLineChars="206"/>
        <w:outlineLvl w:val="2"/>
        <w:rPr>
          <w:rFonts w:hint="eastAsia" w:ascii="仿宋" w:hAnsi="仿宋" w:eastAsia="仿宋"/>
          <w:b/>
          <w:szCs w:val="21"/>
        </w:rPr>
      </w:pPr>
      <w:r>
        <w:rPr>
          <w:rFonts w:hint="eastAsia" w:ascii="仿宋" w:hAnsi="仿宋" w:eastAsia="仿宋"/>
          <w:b/>
          <w:szCs w:val="21"/>
        </w:rPr>
        <w:t>12.投标文件的签署</w:t>
      </w:r>
    </w:p>
    <w:p w14:paraId="693AC83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12.1 组成投标文件的各种文件均应遵守本条规定。</w:t>
      </w:r>
    </w:p>
    <w:p w14:paraId="0F1F1C7B">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12.2 投标人在</w:t>
      </w:r>
      <w:r>
        <w:rPr>
          <w:rFonts w:hint="eastAsia" w:ascii="仿宋" w:hAnsi="仿宋" w:eastAsia="仿宋" w:cs="华文中宋"/>
        </w:rPr>
        <w:t>电子</w:t>
      </w:r>
      <w:r>
        <w:rPr>
          <w:rFonts w:hint="eastAsia" w:ascii="仿宋" w:hAnsi="仿宋" w:eastAsia="仿宋"/>
        </w:rPr>
        <w:t>投标文件及相关文件的签订、履行、通知等事项中的“盖章”、“印章”、“公章”等处均仅指与投标人名称全称相一致的标准公章的电子签章，不得使用其它（如带有“专用章”等字样）的印章。</w:t>
      </w:r>
    </w:p>
    <w:p w14:paraId="379446E4">
      <w:pPr>
        <w:pStyle w:val="3"/>
        <w:spacing w:before="31" w:beforeLines="10" w:after="31" w:afterLines="10" w:line="500" w:lineRule="exact"/>
        <w:ind w:left="539" w:firstLine="0"/>
        <w:jc w:val="both"/>
        <w:rPr>
          <w:rFonts w:hint="eastAsia" w:ascii="仿宋" w:hAnsi="仿宋" w:eastAsia="仿宋"/>
          <w:spacing w:val="10"/>
          <w:sz w:val="24"/>
          <w:szCs w:val="24"/>
        </w:rPr>
      </w:pPr>
      <w:bookmarkStart w:id="50" w:name="_Toc26881694"/>
      <w:bookmarkStart w:id="51" w:name="_Toc27187"/>
      <w:bookmarkStart w:id="52" w:name="_Toc424378688"/>
      <w:r>
        <w:rPr>
          <w:rFonts w:hint="eastAsia" w:ascii="仿宋" w:hAnsi="仿宋" w:eastAsia="仿宋"/>
          <w:spacing w:val="10"/>
          <w:sz w:val="24"/>
          <w:szCs w:val="24"/>
        </w:rPr>
        <w:t>四、投标文件的递交</w:t>
      </w:r>
      <w:bookmarkEnd w:id="50"/>
      <w:bookmarkEnd w:id="51"/>
      <w:bookmarkEnd w:id="52"/>
    </w:p>
    <w:p w14:paraId="4E70791C">
      <w:pPr>
        <w:spacing w:line="500" w:lineRule="exact"/>
        <w:ind w:firstLine="434" w:firstLineChars="206"/>
        <w:outlineLvl w:val="2"/>
        <w:rPr>
          <w:rFonts w:hint="eastAsia" w:ascii="仿宋" w:hAnsi="仿宋" w:eastAsia="仿宋"/>
          <w:b/>
          <w:szCs w:val="21"/>
        </w:rPr>
      </w:pPr>
      <w:r>
        <w:rPr>
          <w:rFonts w:hint="eastAsia" w:ascii="仿宋" w:hAnsi="仿宋" w:eastAsia="仿宋"/>
          <w:b/>
          <w:szCs w:val="21"/>
        </w:rPr>
        <w:t>13 . 投标文件的上传</w:t>
      </w:r>
    </w:p>
    <w:p w14:paraId="4BE310AC">
      <w:pPr>
        <w:spacing w:line="500" w:lineRule="exact"/>
        <w:ind w:firstLine="432" w:firstLineChars="206"/>
        <w:rPr>
          <w:rFonts w:hint="eastAsia" w:ascii="仿宋" w:hAnsi="仿宋" w:eastAsia="仿宋"/>
          <w:kern w:val="0"/>
          <w:szCs w:val="21"/>
        </w:rPr>
      </w:pPr>
      <w:r>
        <w:rPr>
          <w:rFonts w:hint="eastAsia" w:ascii="仿宋" w:hAnsi="仿宋" w:eastAsia="仿宋"/>
          <w:kern w:val="0"/>
          <w:szCs w:val="21"/>
        </w:rPr>
        <w:t>本项目采用在线投标方式。投标人须在投标文件提交截止时间前，使用CA数字证书登陆“山西政府采购平台”在线提交电子投标文件，投标截止时间后将无法上传投标文件。</w:t>
      </w:r>
    </w:p>
    <w:p w14:paraId="610366BB">
      <w:pPr>
        <w:spacing w:line="500" w:lineRule="exact"/>
        <w:ind w:firstLine="434" w:firstLineChars="206"/>
        <w:outlineLvl w:val="2"/>
        <w:rPr>
          <w:rFonts w:hint="eastAsia" w:ascii="仿宋" w:hAnsi="仿宋" w:eastAsia="仿宋"/>
          <w:b/>
          <w:kern w:val="0"/>
          <w:szCs w:val="21"/>
        </w:rPr>
      </w:pPr>
      <w:r>
        <w:rPr>
          <w:rFonts w:hint="eastAsia" w:ascii="仿宋" w:hAnsi="仿宋" w:eastAsia="仿宋"/>
          <w:b/>
          <w:kern w:val="0"/>
          <w:szCs w:val="21"/>
        </w:rPr>
        <w:t>14．投标截止时间和在线解密</w:t>
      </w:r>
    </w:p>
    <w:p w14:paraId="5A890260">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14.1 投标人须按照本招标文件第一部分招标公告中规定的时间登陆“山西政府采购平台”，在项目采购-开标评标模块对投标文件进行在线解密。在规定时间内投标文件无法解密或解密失败的，视为无效投标。</w:t>
      </w:r>
    </w:p>
    <w:p w14:paraId="552D130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14.2 集中采购机构根据本须知的规定，通过修改招标文件或自行决定延长投标截止日期的，采购人和投标人受投标截止日期制约的所有权利和义务均延长至新的截止日期。</w:t>
      </w:r>
    </w:p>
    <w:p w14:paraId="3D402B45">
      <w:pPr>
        <w:spacing w:line="500" w:lineRule="exact"/>
        <w:ind w:firstLine="434" w:firstLineChars="206"/>
        <w:outlineLvl w:val="2"/>
        <w:rPr>
          <w:rFonts w:hint="eastAsia" w:ascii="仿宋" w:hAnsi="仿宋" w:eastAsia="仿宋"/>
          <w:b/>
          <w:kern w:val="0"/>
          <w:szCs w:val="21"/>
        </w:rPr>
      </w:pPr>
      <w:r>
        <w:rPr>
          <w:rFonts w:hint="eastAsia" w:ascii="仿宋" w:hAnsi="仿宋" w:eastAsia="仿宋"/>
          <w:b/>
          <w:kern w:val="0"/>
          <w:szCs w:val="21"/>
        </w:rPr>
        <w:t>15．投标文件的补充、修改和撤回</w:t>
      </w:r>
    </w:p>
    <w:p w14:paraId="61C8B83A">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15.1投标人在投标文件提交截止时间前，可对投标文件进行补充、修改或者撤回。</w:t>
      </w:r>
    </w:p>
    <w:p w14:paraId="6C5071D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15.2投标人对电子投标文件的补充、修改应在电子投标文件上进行，修改完成后重新上传。</w:t>
      </w:r>
    </w:p>
    <w:p w14:paraId="652B5C94">
      <w:pPr>
        <w:pStyle w:val="79"/>
        <w:snapToGrid w:val="0"/>
        <w:spacing w:line="500" w:lineRule="exact"/>
        <w:ind w:firstLine="420" w:firstLineChars="200"/>
        <w:textAlignment w:val="auto"/>
        <w:rPr>
          <w:rFonts w:hint="eastAsia" w:ascii="仿宋" w:hAnsi="仿宋" w:eastAsia="仿宋"/>
          <w:sz w:val="36"/>
          <w:szCs w:val="36"/>
        </w:rPr>
      </w:pPr>
      <w:r>
        <w:rPr>
          <w:rFonts w:hint="eastAsia" w:ascii="仿宋" w:hAnsi="仿宋" w:eastAsia="仿宋"/>
        </w:rPr>
        <w:t>15.3在招标文件规定的投标文件提交截止时间之后，投标人不得对其投标文件进行补充、修改或撤销。</w:t>
      </w:r>
    </w:p>
    <w:p w14:paraId="4B8B8B22">
      <w:pPr>
        <w:pStyle w:val="79"/>
        <w:snapToGrid w:val="0"/>
        <w:spacing w:line="500" w:lineRule="exact"/>
        <w:ind w:firstLine="522" w:firstLineChars="200"/>
        <w:textAlignment w:val="auto"/>
        <w:outlineLvl w:val="1"/>
        <w:rPr>
          <w:rFonts w:hint="eastAsia" w:ascii="仿宋" w:hAnsi="仿宋" w:eastAsia="仿宋"/>
          <w:b/>
          <w:bCs/>
          <w:spacing w:val="10"/>
          <w:sz w:val="24"/>
          <w:szCs w:val="24"/>
        </w:rPr>
      </w:pPr>
      <w:bookmarkStart w:id="53" w:name="_Toc352761934"/>
      <w:bookmarkStart w:id="54" w:name="_Toc26881695"/>
      <w:bookmarkStart w:id="55" w:name="_Toc829"/>
      <w:bookmarkStart w:id="56" w:name="_Toc424378689"/>
      <w:r>
        <w:rPr>
          <w:rFonts w:hint="eastAsia" w:ascii="仿宋" w:hAnsi="仿宋" w:eastAsia="仿宋"/>
          <w:b/>
          <w:bCs/>
          <w:spacing w:val="10"/>
          <w:sz w:val="24"/>
          <w:szCs w:val="24"/>
        </w:rPr>
        <w:t>五、开标</w:t>
      </w:r>
      <w:bookmarkEnd w:id="53"/>
      <w:bookmarkEnd w:id="54"/>
      <w:bookmarkEnd w:id="55"/>
      <w:bookmarkEnd w:id="56"/>
    </w:p>
    <w:p w14:paraId="43656A5F">
      <w:pPr>
        <w:spacing w:line="500" w:lineRule="exact"/>
        <w:ind w:firstLine="474" w:firstLineChars="226"/>
        <w:outlineLvl w:val="2"/>
        <w:rPr>
          <w:rFonts w:hint="eastAsia" w:ascii="仿宋" w:hAnsi="仿宋" w:eastAsia="仿宋"/>
          <w:kern w:val="0"/>
          <w:szCs w:val="21"/>
        </w:rPr>
      </w:pPr>
      <w:r>
        <w:rPr>
          <w:rFonts w:hint="eastAsia" w:ascii="仿宋" w:hAnsi="仿宋" w:eastAsia="仿宋"/>
          <w:kern w:val="0"/>
          <w:szCs w:val="21"/>
        </w:rPr>
        <w:t>16. 开标及其有关事项</w:t>
      </w:r>
    </w:p>
    <w:p w14:paraId="24AEA23E">
      <w:pPr>
        <w:pStyle w:val="79"/>
        <w:snapToGrid w:val="0"/>
        <w:spacing w:line="500" w:lineRule="exact"/>
        <w:ind w:firstLine="474" w:firstLineChars="226"/>
        <w:textAlignment w:val="auto"/>
        <w:rPr>
          <w:rFonts w:hint="eastAsia" w:ascii="仿宋" w:hAnsi="仿宋" w:eastAsia="仿宋"/>
        </w:rPr>
      </w:pPr>
      <w:bookmarkStart w:id="57" w:name="_Toc352761935"/>
      <w:bookmarkStart w:id="58" w:name="_Toc424378690"/>
      <w:r>
        <w:rPr>
          <w:rFonts w:hint="eastAsia" w:ascii="仿宋" w:hAnsi="仿宋" w:eastAsia="仿宋"/>
        </w:rPr>
        <w:t>16.1投标人不足三家的，不得开标。</w:t>
      </w:r>
      <w:bookmarkStart w:id="59" w:name="_Toc8119"/>
      <w:bookmarkStart w:id="60" w:name="_Toc26881696"/>
    </w:p>
    <w:p w14:paraId="5A92F54B">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16.2集中采购机构按招标文件规定的时间、地点主持进行公开开标，采购人代表及有关工作人员参加。</w:t>
      </w:r>
    </w:p>
    <w:p w14:paraId="52D9371B">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16.3集中采购机构将通过网上开标系统公布开标结果，公布内容包括投标人名称、投标价格及招标文件规定的内容。</w:t>
      </w:r>
    </w:p>
    <w:p w14:paraId="7223E01F">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16.4各投标人需在规定时间内进行唱标确认。</w:t>
      </w:r>
    </w:p>
    <w:p w14:paraId="6559F2E1">
      <w:pPr>
        <w:pStyle w:val="79"/>
        <w:snapToGrid w:val="0"/>
        <w:spacing w:line="500" w:lineRule="exact"/>
        <w:ind w:firstLine="590" w:firstLineChars="226"/>
        <w:textAlignment w:val="auto"/>
        <w:outlineLvl w:val="1"/>
        <w:rPr>
          <w:rFonts w:hint="eastAsia" w:ascii="仿宋" w:hAnsi="仿宋" w:eastAsia="仿宋"/>
          <w:b/>
          <w:bCs/>
          <w:spacing w:val="10"/>
          <w:sz w:val="24"/>
          <w:szCs w:val="24"/>
        </w:rPr>
      </w:pPr>
      <w:r>
        <w:rPr>
          <w:rFonts w:hint="eastAsia" w:ascii="仿宋" w:hAnsi="仿宋" w:eastAsia="仿宋"/>
          <w:b/>
          <w:bCs/>
          <w:spacing w:val="10"/>
          <w:sz w:val="24"/>
          <w:szCs w:val="24"/>
        </w:rPr>
        <w:t>六、评标程序和要求</w:t>
      </w:r>
      <w:bookmarkEnd w:id="57"/>
      <w:bookmarkEnd w:id="58"/>
      <w:bookmarkEnd w:id="59"/>
      <w:bookmarkEnd w:id="60"/>
    </w:p>
    <w:p w14:paraId="46C7980D">
      <w:pPr>
        <w:pStyle w:val="79"/>
        <w:snapToGrid w:val="0"/>
        <w:spacing w:line="500" w:lineRule="exact"/>
        <w:ind w:firstLine="476" w:firstLineChars="226"/>
        <w:textAlignment w:val="auto"/>
        <w:outlineLvl w:val="2"/>
        <w:rPr>
          <w:rFonts w:hint="eastAsia" w:ascii="仿宋" w:hAnsi="仿宋" w:eastAsia="仿宋"/>
          <w:b/>
        </w:rPr>
      </w:pPr>
      <w:r>
        <w:rPr>
          <w:rFonts w:hint="eastAsia" w:ascii="仿宋" w:hAnsi="仿宋" w:eastAsia="仿宋"/>
          <w:b/>
        </w:rPr>
        <w:t>17.项目组织</w:t>
      </w:r>
    </w:p>
    <w:p w14:paraId="7220FD4A">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17.1集中采购机构负责组织评标工作并履行相关职责。</w:t>
      </w:r>
    </w:p>
    <w:p w14:paraId="76A20687">
      <w:pPr>
        <w:pStyle w:val="79"/>
        <w:snapToGrid w:val="0"/>
        <w:spacing w:line="500" w:lineRule="exact"/>
        <w:ind w:firstLine="476" w:firstLineChars="226"/>
        <w:textAlignment w:val="auto"/>
        <w:outlineLvl w:val="2"/>
        <w:rPr>
          <w:rFonts w:hint="eastAsia" w:ascii="仿宋" w:hAnsi="仿宋" w:eastAsia="仿宋"/>
          <w:b/>
        </w:rPr>
      </w:pPr>
      <w:r>
        <w:rPr>
          <w:rFonts w:hint="eastAsia" w:ascii="仿宋" w:hAnsi="仿宋" w:eastAsia="仿宋"/>
          <w:b/>
        </w:rPr>
        <w:t>18. 投标人资格审查</w:t>
      </w:r>
    </w:p>
    <w:p w14:paraId="40E1529E">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18.1公开招标采购项目解密结束后，采购人依据法律法规并按照本招标文件第五部分中资格审查的内容及标准对投标人提交的投标文件（资格证明文件）进行资格审查，以确定投标人是否具备投标资格。审查后合格投标人不足3家的不得评标。</w:t>
      </w:r>
    </w:p>
    <w:p w14:paraId="1F2B4EB1">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18.2采购人对投标人的信用信息进行查询，查询渠道为信用中国网（http://www.creditchina.gov.cn）和中国政府采购网（http://www.ccgp.gov.cn）；截止时间为开标当日；查询内容为信用中国网的失信黑名单记录情况和中国政府采购网上的政府采购严重违法失信行为信息记录情况；查询结果予以记录，查询证据存档，查询后存在问题的对投标文件做无效投标处理。在本招标文件规定的查询时间之外，网站信息发生的任何变更均不作为资格审查依据。投标人自行提供的与网站信息不一致的其他证明材料亦不作为资格审查依据。</w:t>
      </w:r>
    </w:p>
    <w:p w14:paraId="5B76A73A">
      <w:pPr>
        <w:pStyle w:val="79"/>
        <w:snapToGrid w:val="0"/>
        <w:spacing w:line="500" w:lineRule="exact"/>
        <w:ind w:firstLine="476" w:firstLineChars="226"/>
        <w:textAlignment w:val="auto"/>
        <w:outlineLvl w:val="2"/>
        <w:rPr>
          <w:rFonts w:hint="eastAsia" w:ascii="仿宋" w:hAnsi="仿宋" w:eastAsia="仿宋"/>
          <w:b/>
        </w:rPr>
      </w:pPr>
      <w:r>
        <w:rPr>
          <w:rFonts w:hint="eastAsia" w:ascii="仿宋" w:hAnsi="仿宋" w:eastAsia="仿宋"/>
          <w:b/>
        </w:rPr>
        <w:t>19. 组建评标委员会</w:t>
      </w:r>
    </w:p>
    <w:p w14:paraId="71FA4E7C">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19.1 集中采购机构根据政府采购有关法律法规和本招标文件的规定，结合本招标项目的特点组建评标委员会，评标委员会由五人以上单数组成。</w:t>
      </w:r>
    </w:p>
    <w:p w14:paraId="2AA1D2E6">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19.2 评标委员会负责对符合资格的投标人的投标文件（商务技术文件）进行符合性审查以及商务、技术、价格部分的评标事务，出具经评标委员会签字的评标报告。</w:t>
      </w:r>
    </w:p>
    <w:p w14:paraId="1D24921B">
      <w:pPr>
        <w:pStyle w:val="79"/>
        <w:snapToGrid w:val="0"/>
        <w:spacing w:line="500" w:lineRule="exact"/>
        <w:ind w:firstLine="476" w:firstLineChars="226"/>
        <w:textAlignment w:val="auto"/>
        <w:outlineLvl w:val="2"/>
        <w:rPr>
          <w:rFonts w:hint="eastAsia" w:ascii="仿宋" w:hAnsi="仿宋" w:eastAsia="仿宋"/>
          <w:b/>
        </w:rPr>
      </w:pPr>
      <w:r>
        <w:rPr>
          <w:rFonts w:hint="eastAsia" w:ascii="仿宋" w:hAnsi="仿宋" w:eastAsia="仿宋"/>
          <w:b/>
        </w:rPr>
        <w:t>20.投标文件（商务技术文件）符合性审查</w:t>
      </w:r>
    </w:p>
    <w:p w14:paraId="1F05D367">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评标委员会按照招标文件第六部分评标标准和评标办法中符合性审查的内容及标准对投标文件进行符合性审查，以确定投标文件是否对招标文件的商务、技术、报价等实质性要求作出响应。</w:t>
      </w:r>
    </w:p>
    <w:p w14:paraId="3D8BD5BC">
      <w:pPr>
        <w:pStyle w:val="79"/>
        <w:snapToGrid w:val="0"/>
        <w:spacing w:line="500" w:lineRule="exact"/>
        <w:ind w:firstLine="476" w:firstLineChars="226"/>
        <w:textAlignment w:val="auto"/>
        <w:outlineLvl w:val="2"/>
        <w:rPr>
          <w:rFonts w:hint="eastAsia" w:ascii="仿宋" w:hAnsi="仿宋" w:eastAsia="仿宋"/>
          <w:b/>
        </w:rPr>
      </w:pPr>
      <w:r>
        <w:rPr>
          <w:rFonts w:hint="eastAsia" w:ascii="仿宋" w:hAnsi="仿宋" w:eastAsia="仿宋"/>
          <w:b/>
        </w:rPr>
        <w:t>21.评审中遵循的原则</w:t>
      </w:r>
    </w:p>
    <w:p w14:paraId="3893536E">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21.1审查中，投标人存在下列情况之一的，投标无效</w:t>
      </w:r>
      <w:r>
        <w:rPr>
          <w:rFonts w:hint="eastAsia" w:ascii="仿宋" w:hAnsi="仿宋" w:eastAsia="仿宋" w:cs="华文中宋"/>
        </w:rPr>
        <w:t xml:space="preserve">： </w:t>
      </w:r>
    </w:p>
    <w:p w14:paraId="06F47D67">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A、未按招标文件的规定提交投标保证金的；</w:t>
      </w:r>
    </w:p>
    <w:p w14:paraId="6C7B951C">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B、投标文件未按招标文件要求签署、盖章的；</w:t>
      </w:r>
    </w:p>
    <w:p w14:paraId="5C1431F4">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C、不具备招标文件规定的资格要求的；</w:t>
      </w:r>
    </w:p>
    <w:p w14:paraId="0DCD554E">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D、报价超过招标文件规定预算金额的；</w:t>
      </w:r>
    </w:p>
    <w:p w14:paraId="194E47E3">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E、投标文件含有采购人不能接受的附加条件的；</w:t>
      </w:r>
    </w:p>
    <w:p w14:paraId="6B288BEE">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F、联合体投标文件未附联合体投标协议书的</w:t>
      </w:r>
    </w:p>
    <w:p w14:paraId="0D8D19B5">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G、法律、法规和招标文件规定的其他无效情形的；</w:t>
      </w:r>
    </w:p>
    <w:p w14:paraId="791FEC1F">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21.2审查中，对明显的文字和计算错误按下述原则处理</w:t>
      </w:r>
      <w:r>
        <w:rPr>
          <w:rFonts w:hint="eastAsia" w:ascii="仿宋" w:hAnsi="仿宋" w:eastAsia="仿宋" w:cs="华文中宋"/>
        </w:rPr>
        <w:t xml:space="preserve">： </w:t>
      </w:r>
    </w:p>
    <w:p w14:paraId="58B26A61">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A、开标一览表报价明细表内容与投标文件中相应内容不一致的，以开标一览表报价明细表为准；</w:t>
      </w:r>
    </w:p>
    <w:p w14:paraId="4FA7F4A9">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B、大写金额和小写金额不一致的，以大写金额为准；</w:t>
      </w:r>
    </w:p>
    <w:p w14:paraId="7961E709">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C、单价金额小数点或百分比有明显错误的，以开标一览表报价明细表的总价为准，并修改单价；</w:t>
      </w:r>
    </w:p>
    <w:p w14:paraId="3BE936D6">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 xml:space="preserve">D总价金额与按单价汇总金额不一致的，以单价金额计算结果为准； </w:t>
      </w:r>
    </w:p>
    <w:p w14:paraId="7CE97F3D">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评标委员会将要求投标人按上述原则在山西政府采购平台政府采购</w:t>
      </w:r>
      <w:r>
        <w:rPr>
          <w:rFonts w:hint="eastAsia" w:ascii="仿宋" w:hAnsi="仿宋" w:eastAsia="仿宋" w:cs="华文中宋"/>
        </w:rPr>
        <w:t>业务</w:t>
      </w:r>
      <w:r>
        <w:rPr>
          <w:rFonts w:hint="eastAsia" w:ascii="仿宋" w:hAnsi="仿宋" w:eastAsia="仿宋"/>
        </w:rPr>
        <w:t>系统内调整确认，并</w:t>
      </w:r>
      <w:r>
        <w:rPr>
          <w:rFonts w:hint="eastAsia" w:ascii="仿宋" w:hAnsi="仿宋" w:eastAsia="仿宋" w:cs="华文中宋"/>
        </w:rPr>
        <w:t>加盖</w:t>
      </w:r>
      <w:r>
        <w:rPr>
          <w:rFonts w:hint="eastAsia" w:ascii="仿宋" w:hAnsi="仿宋" w:eastAsia="仿宋" w:cs="华文中宋"/>
          <w:b/>
        </w:rPr>
        <w:t>电子公章</w:t>
      </w:r>
      <w:r>
        <w:rPr>
          <w:rFonts w:hint="eastAsia" w:ascii="仿宋" w:hAnsi="仿宋" w:eastAsia="仿宋"/>
        </w:rPr>
        <w:t>予以确认。</w:t>
      </w:r>
    </w:p>
    <w:p w14:paraId="24C33CA6">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投标人确认后的报价对投标人具有约束力，如果投标人不予确认，其投标无效。</w:t>
      </w:r>
    </w:p>
    <w:p w14:paraId="70FA7EF3">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21.3不同投标人提供相同品牌产品的按下述原则处理：</w:t>
      </w:r>
    </w:p>
    <w:p w14:paraId="54E51787">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73C47B91">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B、使用综合评分法的采购项目，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3C56E99">
      <w:pPr>
        <w:pStyle w:val="79"/>
        <w:snapToGrid w:val="0"/>
        <w:spacing w:line="500" w:lineRule="exact"/>
        <w:ind w:firstLine="474" w:firstLineChars="226"/>
        <w:textAlignment w:val="auto"/>
        <w:rPr>
          <w:rFonts w:hint="eastAsia" w:ascii="仿宋" w:hAnsi="仿宋" w:eastAsia="仿宋"/>
          <w:b/>
        </w:rPr>
      </w:pPr>
      <w:r>
        <w:rPr>
          <w:rFonts w:hint="eastAsia" w:ascii="仿宋" w:hAnsi="仿宋" w:eastAsia="仿宋"/>
        </w:rPr>
        <w:t>C、非单一产品采购项目，采购人应当根据采购项目技术构成、产品价格比重等合理确定核心产品，并在招标文件中载明。多家投标人提供的核心产品品牌相同的，按前两款规定处理。</w:t>
      </w:r>
    </w:p>
    <w:p w14:paraId="5830C669">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 xml:space="preserve">22. 投标的澄清、说明或者补正 </w:t>
      </w:r>
    </w:p>
    <w:p w14:paraId="62389A63">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22.1 对于投标文件中含义不明确、同类问题表述不一致或者有明显文字和计算错误的内容，评标委员会应要求投标人作出必要的澄清、说明或者补正。该澄清、说明或者补正应当</w:t>
      </w:r>
      <w:r>
        <w:rPr>
          <w:rFonts w:hint="eastAsia" w:ascii="仿宋" w:hAnsi="仿宋" w:eastAsia="仿宋" w:cs="华文中宋"/>
        </w:rPr>
        <w:t>加盖</w:t>
      </w:r>
      <w:r>
        <w:rPr>
          <w:rFonts w:hint="eastAsia" w:ascii="仿宋" w:hAnsi="仿宋" w:eastAsia="仿宋" w:cs="华文中宋"/>
          <w:b/>
        </w:rPr>
        <w:t>电子公章</w:t>
      </w:r>
      <w:r>
        <w:rPr>
          <w:rFonts w:hint="eastAsia" w:ascii="仿宋" w:hAnsi="仿宋" w:eastAsia="仿宋"/>
        </w:rPr>
        <w:t>，或者由法定代表人或其授权的代表电子签章。投标人的澄清、说明或者补正不得超出投标文件的范围或者改变投标文件的实质性内容。</w:t>
      </w:r>
    </w:p>
    <w:p w14:paraId="3087A58D">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22.2 评标委员会认为投标人的报价明显低于其他通过符合性审查投标人的报价，有可能影响产品质量或者不能诚信履约的，应当要求其在合理的时间内在系统中提供说明并</w:t>
      </w:r>
      <w:r>
        <w:rPr>
          <w:rFonts w:hint="eastAsia" w:ascii="仿宋" w:hAnsi="仿宋" w:eastAsia="仿宋" w:cs="华文中宋"/>
        </w:rPr>
        <w:t>加盖</w:t>
      </w:r>
      <w:r>
        <w:rPr>
          <w:rFonts w:hint="eastAsia" w:ascii="仿宋" w:hAnsi="仿宋" w:eastAsia="仿宋" w:cs="华文中宋"/>
          <w:b/>
        </w:rPr>
        <w:t>电子公章</w:t>
      </w:r>
      <w:r>
        <w:rPr>
          <w:rFonts w:hint="eastAsia" w:ascii="仿宋" w:hAnsi="仿宋" w:eastAsia="仿宋"/>
        </w:rPr>
        <w:t>形式，必要时提交相关证明材料；投标人不能证明其报价合理性的，评标委员会应当将其作为无效投标处理。</w:t>
      </w:r>
    </w:p>
    <w:p w14:paraId="5EE6E70A">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 xml:space="preserve">23. 比较与评价  </w:t>
      </w:r>
    </w:p>
    <w:p w14:paraId="5B3A5C2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23.1 评标委员会按照招标文件中第六部分规定的评标标准和评标办法，对符合性审查合格的投标文件（商务技术文件）进行商务和技术评估，综合比较和评价。</w:t>
      </w:r>
    </w:p>
    <w:p w14:paraId="68EDFEC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23.2 采用综合评分法评审的应按照招标文件第六部分评标标准和评标办法中规定的评标方法、中标条件以及评分细则进行。</w:t>
      </w:r>
    </w:p>
    <w:p w14:paraId="0D535A55">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 xml:space="preserve">24. 评审复核    </w:t>
      </w:r>
    </w:p>
    <w:p w14:paraId="51BD1A0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24.1评标结果汇总完成后，除下列情形外，任何人不得修改评标结果：</w:t>
      </w:r>
    </w:p>
    <w:p w14:paraId="5E9CBD1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A、分值汇总计算错误的；</w:t>
      </w:r>
    </w:p>
    <w:p w14:paraId="3E0ECB7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B、分项评分超出评分标准范围的；</w:t>
      </w:r>
    </w:p>
    <w:p w14:paraId="58A038DF">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C、评标委员会成员对客观评审因素评分不一致的；</w:t>
      </w:r>
    </w:p>
    <w:p w14:paraId="15B2960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D、经评标委员会认定评分畸高、畸低的；</w:t>
      </w:r>
    </w:p>
    <w:p w14:paraId="7F3294A2">
      <w:pPr>
        <w:pStyle w:val="79"/>
        <w:snapToGrid w:val="0"/>
        <w:spacing w:line="500" w:lineRule="exact"/>
        <w:ind w:firstLine="420" w:firstLineChars="200"/>
        <w:textAlignment w:val="auto"/>
        <w:rPr>
          <w:rFonts w:hint="eastAsia" w:ascii="仿宋" w:hAnsi="仿宋" w:eastAsia="仿宋" w:cs="宋体"/>
        </w:rPr>
      </w:pPr>
      <w:r>
        <w:rPr>
          <w:rFonts w:hint="eastAsia" w:ascii="仿宋" w:hAnsi="仿宋" w:eastAsia="仿宋" w:cs="宋体"/>
        </w:rPr>
        <w:t>评标报告签署前，经复核发现存在以上情形之一的，评标委员会应当当场修改评标结果，并在评标报告中记载；评标报告签署后，采购人或者集中采购机构发现存在以上情形之一的，应当组织原评标委员会进行重新评审，重新评审改变评标结果的，书面报告本级财政部门。</w:t>
      </w:r>
    </w:p>
    <w:p w14:paraId="527D01FD">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cs="Arial"/>
        </w:rPr>
        <w:t>24.2</w:t>
      </w:r>
      <w:r>
        <w:rPr>
          <w:rFonts w:hint="eastAsia" w:ascii="仿宋" w:hAnsi="仿宋" w:eastAsia="仿宋"/>
        </w:rPr>
        <w:t>评标委员会</w:t>
      </w:r>
      <w:r>
        <w:rPr>
          <w:rFonts w:hint="eastAsia" w:ascii="仿宋" w:hAnsi="仿宋" w:eastAsia="仿宋" w:cs="Arial"/>
        </w:rPr>
        <w:t>向采购人、集中采购机构或者有关部门报告评审中发现的违法行为。在评审过程中发现投标人有下列情形的，</w:t>
      </w:r>
      <w:r>
        <w:rPr>
          <w:rFonts w:hint="eastAsia" w:ascii="仿宋" w:hAnsi="仿宋" w:eastAsia="仿宋"/>
        </w:rPr>
        <w:t xml:space="preserve">评标委员会应认定其投标无效，并书面报告本级财政部门： </w:t>
      </w:r>
    </w:p>
    <w:p w14:paraId="20C2198F">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A、有恶意串通的；</w:t>
      </w:r>
    </w:p>
    <w:p w14:paraId="515B43D6">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（包括：①不同投标人的投标文件由同一单位或者个人编制；</w:t>
      </w:r>
    </w:p>
    <w:p w14:paraId="35464E1F">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②不同投标人委托同一单位或者个人办理投标事宜；</w:t>
      </w:r>
    </w:p>
    <w:p w14:paraId="652FCBE2">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③不同投标人的投标文件载明的项目管理成员或者联系人为同一人；</w:t>
      </w:r>
    </w:p>
    <w:p w14:paraId="75AD8805">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④不同投标人的投标文件异常一致或者投标报价呈规律性差异；</w:t>
      </w:r>
    </w:p>
    <w:p w14:paraId="1D482FBD">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⑤不同投标人的投标文件相互混装；</w:t>
      </w:r>
    </w:p>
    <w:p w14:paraId="755C2C51">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⑥不同投标人的投标保证金从同一单位或者个人的账户转出。）</w:t>
      </w:r>
      <w:r>
        <w:rPr>
          <w:rFonts w:ascii="仿宋" w:hAnsi="仿宋" w:eastAsia="仿宋"/>
        </w:rPr>
        <w:t xml:space="preserve"> </w:t>
      </w:r>
    </w:p>
    <w:p w14:paraId="6C1D0447">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B、有妨碍其他投标人的竞争行为的；</w:t>
      </w:r>
    </w:p>
    <w:p w14:paraId="303A0484">
      <w:pPr>
        <w:pStyle w:val="79"/>
        <w:snapToGrid w:val="0"/>
        <w:spacing w:line="500" w:lineRule="exact"/>
        <w:ind w:firstLine="474" w:firstLineChars="226"/>
        <w:textAlignment w:val="auto"/>
        <w:rPr>
          <w:rFonts w:hint="eastAsia" w:ascii="仿宋" w:hAnsi="仿宋" w:eastAsia="仿宋"/>
        </w:rPr>
      </w:pPr>
      <w:r>
        <w:rPr>
          <w:rFonts w:hint="eastAsia" w:ascii="仿宋" w:hAnsi="仿宋" w:eastAsia="仿宋"/>
        </w:rPr>
        <w:t>C、有损害采购人或者其他投标人的合法权益的；</w:t>
      </w:r>
    </w:p>
    <w:p w14:paraId="3CCC0502">
      <w:pPr>
        <w:pStyle w:val="79"/>
        <w:snapToGrid w:val="0"/>
        <w:spacing w:line="500" w:lineRule="exact"/>
        <w:ind w:left="420" w:leftChars="200"/>
        <w:textAlignment w:val="auto"/>
        <w:outlineLvl w:val="2"/>
        <w:rPr>
          <w:rFonts w:hint="eastAsia" w:ascii="仿宋" w:hAnsi="仿宋" w:eastAsia="仿宋"/>
        </w:rPr>
      </w:pPr>
      <w:r>
        <w:rPr>
          <w:rFonts w:hint="eastAsia" w:ascii="仿宋" w:hAnsi="仿宋" w:eastAsia="仿宋"/>
          <w:b/>
        </w:rPr>
        <w:t>25. 确定中标人</w:t>
      </w:r>
    </w:p>
    <w:p w14:paraId="79E8FB6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25.1 招标文件第六部分规定采用综合评分法评标的，评标结果按评审后得分由高到低顺序排列，得分最高的投标人为中标人。得分相同的，按投标报价由低到高顺序排列。得分且投标报价相同的采取随机抽取的方式确定中标人。</w:t>
      </w:r>
    </w:p>
    <w:p w14:paraId="7A00E0C0">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25.2 招标文件第六部分规定采用最低评标价法评标的，评标结果按投标报价由低到高顺序排列，投标报价最低的投标人为中标人。投标报价相同的采取随机抽取的方式确定中标人。</w:t>
      </w:r>
    </w:p>
    <w:p w14:paraId="0EBB1339">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26. 编写评标报告</w:t>
      </w:r>
    </w:p>
    <w:p w14:paraId="39DD33B8">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评标委员会评审组长根据全体评标成员签字的原始评标记录和评标结果编写评标报告，并由全体评标成员共同签字确认。</w:t>
      </w:r>
    </w:p>
    <w:p w14:paraId="7615F4A7">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 xml:space="preserve">27. 评标过程保密    </w:t>
      </w:r>
    </w:p>
    <w:p w14:paraId="4357B09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采购人、集中采购机构要采取必要措施，保证评标在严格保密的情况下进行。除采购人代表、评标现场组织人员外，采购人的其他工作人员以及与评标工作无关的人员不得进入评标现场。</w:t>
      </w:r>
    </w:p>
    <w:p w14:paraId="161D74EF">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有关人员对评标情况以及在评标过程中获悉的国家秘密、商业秘密负有保密责任。</w:t>
      </w:r>
    </w:p>
    <w:p w14:paraId="031BA887">
      <w:pPr>
        <w:spacing w:line="500" w:lineRule="exact"/>
        <w:ind w:firstLine="476" w:firstLineChars="226"/>
        <w:outlineLvl w:val="2"/>
        <w:rPr>
          <w:rFonts w:hint="eastAsia" w:ascii="仿宋" w:hAnsi="仿宋" w:eastAsia="仿宋"/>
          <w:b/>
          <w:szCs w:val="21"/>
        </w:rPr>
      </w:pPr>
      <w:r>
        <w:rPr>
          <w:rFonts w:hint="eastAsia" w:ascii="仿宋" w:hAnsi="仿宋" w:eastAsia="仿宋"/>
          <w:b/>
          <w:szCs w:val="21"/>
        </w:rPr>
        <w:t>28. 采购项目废标</w:t>
      </w:r>
    </w:p>
    <w:p w14:paraId="571D034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28.1 在评标过程中，评标委员会发现有下列情形之一的，应对采购项目予以废标：</w:t>
      </w:r>
    </w:p>
    <w:p w14:paraId="0F12C80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A、符合专业条件的投标供应商或者对招标文件作实质响应的供应商数量不足3家的；</w:t>
      </w:r>
    </w:p>
    <w:p w14:paraId="5E8FB4B7">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B、投标人的报价均超过采购预算的；</w:t>
      </w:r>
    </w:p>
    <w:p w14:paraId="4A14AEF7">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C、出现影响采购公正的违法、违规行为的；</w:t>
      </w:r>
    </w:p>
    <w:p w14:paraId="1689157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D、因重大变故，采购任务取消的。</w:t>
      </w:r>
    </w:p>
    <w:p w14:paraId="2408767B">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采购项目废标后，评标委员会应做出书面报告。</w:t>
      </w:r>
    </w:p>
    <w:p w14:paraId="73B60BC5">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28.2 废标后，集中采购机构将在财政部门指定的媒体上发布废标结果公告。</w:t>
      </w:r>
    </w:p>
    <w:p w14:paraId="29EE8286">
      <w:pPr>
        <w:pStyle w:val="3"/>
        <w:numPr>
          <w:ilvl w:val="1"/>
          <w:numId w:val="0"/>
        </w:numPr>
        <w:spacing w:before="31" w:beforeLines="10" w:after="31" w:afterLines="10" w:line="500" w:lineRule="exact"/>
        <w:ind w:firstLine="261" w:firstLineChars="100"/>
        <w:jc w:val="both"/>
        <w:rPr>
          <w:rFonts w:hint="eastAsia" w:ascii="仿宋" w:hAnsi="仿宋" w:eastAsia="仿宋"/>
          <w:spacing w:val="10"/>
          <w:sz w:val="24"/>
          <w:szCs w:val="24"/>
        </w:rPr>
      </w:pPr>
      <w:bookmarkStart w:id="61" w:name="_Toc26881697"/>
      <w:bookmarkStart w:id="62" w:name="_Toc32242"/>
      <w:bookmarkStart w:id="63" w:name="_Toc424378691"/>
      <w:r>
        <w:rPr>
          <w:rFonts w:hint="eastAsia" w:ascii="仿宋" w:hAnsi="仿宋" w:eastAsia="仿宋"/>
          <w:spacing w:val="10"/>
          <w:sz w:val="24"/>
          <w:szCs w:val="24"/>
        </w:rPr>
        <w:t>七、签订合同</w:t>
      </w:r>
      <w:bookmarkEnd w:id="61"/>
      <w:bookmarkEnd w:id="62"/>
      <w:bookmarkEnd w:id="63"/>
    </w:p>
    <w:p w14:paraId="3E120F32">
      <w:pPr>
        <w:spacing w:line="500" w:lineRule="exact"/>
        <w:outlineLvl w:val="2"/>
        <w:rPr>
          <w:rFonts w:hint="eastAsia" w:ascii="仿宋" w:hAnsi="仿宋" w:eastAsia="仿宋"/>
          <w:b/>
          <w:szCs w:val="21"/>
        </w:rPr>
      </w:pPr>
      <w:r>
        <w:rPr>
          <w:rFonts w:hint="eastAsia" w:ascii="仿宋" w:hAnsi="仿宋" w:eastAsia="仿宋"/>
          <w:b/>
          <w:szCs w:val="21"/>
        </w:rPr>
        <w:t xml:space="preserve">    29．中标通知</w:t>
      </w:r>
    </w:p>
    <w:p w14:paraId="55DDB3B3">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29.1 中标人确定后，集中采购机构将在刊登本次招标公告的媒体上发布中标公告，同时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3543BF4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29.2 集中采购机构对未中标的投标人不作未中标原因的解释。</w:t>
      </w:r>
    </w:p>
    <w:p w14:paraId="030D09AB">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29.3 中标通知书是合同的组成部分。</w:t>
      </w:r>
    </w:p>
    <w:p w14:paraId="26388B90">
      <w:pPr>
        <w:pStyle w:val="79"/>
        <w:snapToGrid w:val="0"/>
        <w:spacing w:line="500" w:lineRule="exact"/>
        <w:ind w:firstLine="464" w:firstLineChars="220"/>
        <w:textAlignment w:val="auto"/>
        <w:outlineLvl w:val="2"/>
        <w:rPr>
          <w:rFonts w:hint="eastAsia" w:ascii="仿宋" w:hAnsi="仿宋" w:eastAsia="仿宋"/>
        </w:rPr>
      </w:pPr>
      <w:r>
        <w:rPr>
          <w:rFonts w:hint="eastAsia" w:ascii="仿宋" w:hAnsi="仿宋" w:eastAsia="仿宋"/>
          <w:b/>
        </w:rPr>
        <w:t>30．签订合同</w:t>
      </w:r>
    </w:p>
    <w:p w14:paraId="624ECDC2">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 xml:space="preserve">30.1 </w:t>
      </w:r>
      <w:r>
        <w:rPr>
          <w:rFonts w:hint="eastAsia" w:ascii="仿宋" w:hAnsi="仿宋" w:eastAsia="仿宋" w:cs="华文中宋"/>
        </w:rPr>
        <w:t>采购人应当自中标通知书发出之日起30日内与中标人签订书面合同。</w:t>
      </w:r>
    </w:p>
    <w:p w14:paraId="04387009">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30.2 中标人应按照招标文件、投标文件及评标过程中的有关澄清、说明或者补正文件的内容与采购人签订合同。中标人不得再与采购人签订背离合同实质性内容的其它协议或声明。</w:t>
      </w:r>
    </w:p>
    <w:p w14:paraId="042EB39C">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30.3本文件第四部分 采购需求商务条件中要求中标人提交履约保证金的，中标人须按照规定向采购人提交履约保证金。</w:t>
      </w:r>
    </w:p>
    <w:p w14:paraId="0EAD0CD7">
      <w:pPr>
        <w:pStyle w:val="3"/>
        <w:numPr>
          <w:ilvl w:val="1"/>
          <w:numId w:val="0"/>
        </w:numPr>
        <w:spacing w:before="31" w:beforeLines="10" w:after="31" w:afterLines="10" w:line="500" w:lineRule="exact"/>
        <w:ind w:left="447"/>
        <w:jc w:val="both"/>
        <w:rPr>
          <w:rFonts w:hint="eastAsia" w:ascii="仿宋" w:hAnsi="仿宋" w:eastAsia="仿宋"/>
          <w:spacing w:val="10"/>
          <w:sz w:val="24"/>
          <w:szCs w:val="24"/>
        </w:rPr>
      </w:pPr>
      <w:bookmarkStart w:id="64" w:name="_Toc424378692"/>
      <w:bookmarkStart w:id="65" w:name="_Toc26881698"/>
      <w:bookmarkStart w:id="66" w:name="_Toc18682"/>
      <w:bookmarkStart w:id="67" w:name="_Toc421716587"/>
      <w:r>
        <w:rPr>
          <w:rFonts w:hint="eastAsia" w:ascii="仿宋" w:hAnsi="仿宋" w:eastAsia="仿宋"/>
          <w:spacing w:val="10"/>
          <w:sz w:val="24"/>
          <w:szCs w:val="24"/>
        </w:rPr>
        <w:t>八、服务费</w:t>
      </w:r>
      <w:bookmarkEnd w:id="64"/>
      <w:bookmarkEnd w:id="65"/>
      <w:bookmarkEnd w:id="66"/>
      <w:bookmarkEnd w:id="67"/>
      <w:r>
        <w:rPr>
          <w:rFonts w:hint="eastAsia" w:ascii="仿宋" w:hAnsi="仿宋" w:eastAsia="仿宋"/>
          <w:spacing w:val="10"/>
          <w:sz w:val="24"/>
          <w:szCs w:val="24"/>
        </w:rPr>
        <w:t>　　</w:t>
      </w:r>
    </w:p>
    <w:p w14:paraId="1FD24B2E">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31. 服务费</w:t>
      </w:r>
    </w:p>
    <w:p w14:paraId="619AEA97">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集中采购机构作为非营利事业法人，是集中采购项目的执行机构，在政府采购活动中不收取任何服务费。</w:t>
      </w:r>
    </w:p>
    <w:p w14:paraId="0F269C9E">
      <w:pPr>
        <w:pStyle w:val="3"/>
        <w:numPr>
          <w:ilvl w:val="1"/>
          <w:numId w:val="0"/>
        </w:numPr>
        <w:spacing w:before="31" w:beforeLines="10" w:after="31" w:afterLines="10" w:line="500" w:lineRule="exact"/>
        <w:ind w:left="420"/>
        <w:jc w:val="both"/>
        <w:rPr>
          <w:rFonts w:hint="eastAsia" w:ascii="仿宋" w:hAnsi="仿宋" w:eastAsia="仿宋"/>
          <w:spacing w:val="10"/>
          <w:sz w:val="24"/>
          <w:szCs w:val="24"/>
        </w:rPr>
      </w:pPr>
      <w:bookmarkStart w:id="68" w:name="_Toc26881699"/>
      <w:bookmarkStart w:id="69" w:name="_Toc29869"/>
      <w:bookmarkStart w:id="70" w:name="_Toc424378693"/>
      <w:bookmarkStart w:id="71" w:name="_Toc421716588"/>
      <w:r>
        <w:rPr>
          <w:rFonts w:hint="eastAsia" w:ascii="仿宋" w:hAnsi="仿宋" w:eastAsia="仿宋"/>
          <w:spacing w:val="10"/>
          <w:sz w:val="24"/>
          <w:szCs w:val="24"/>
        </w:rPr>
        <w:t>九、保密和披露</w:t>
      </w:r>
      <w:bookmarkEnd w:id="68"/>
      <w:bookmarkEnd w:id="69"/>
      <w:bookmarkEnd w:id="70"/>
      <w:bookmarkEnd w:id="71"/>
    </w:p>
    <w:p w14:paraId="5753133E">
      <w:pPr>
        <w:pStyle w:val="79"/>
        <w:adjustRightInd/>
        <w:spacing w:line="500" w:lineRule="exact"/>
        <w:ind w:left="1" w:firstLine="25" w:firstLineChars="12"/>
        <w:textAlignment w:val="auto"/>
        <w:outlineLvl w:val="2"/>
        <w:rPr>
          <w:rFonts w:hint="eastAsia" w:ascii="仿宋" w:hAnsi="仿宋" w:eastAsia="仿宋"/>
          <w:b/>
        </w:rPr>
      </w:pPr>
      <w:r>
        <w:rPr>
          <w:rFonts w:hint="eastAsia" w:ascii="仿宋" w:hAnsi="仿宋" w:eastAsia="仿宋"/>
          <w:b/>
        </w:rPr>
        <w:t xml:space="preserve">    32. 保密</w:t>
      </w:r>
    </w:p>
    <w:p w14:paraId="2916140E">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投标人自领取招标文件之日起，须承诺承担本招标项目下的保密义务，不得将因本次招标获得的信息向第三人外传。</w:t>
      </w:r>
    </w:p>
    <w:p w14:paraId="4F0C3174">
      <w:pPr>
        <w:pStyle w:val="79"/>
        <w:adjustRightInd/>
        <w:spacing w:line="500" w:lineRule="exact"/>
        <w:ind w:firstLine="25" w:firstLineChars="12"/>
        <w:textAlignment w:val="auto"/>
        <w:outlineLvl w:val="2"/>
        <w:rPr>
          <w:rFonts w:hint="eastAsia" w:ascii="仿宋" w:hAnsi="仿宋" w:eastAsia="仿宋"/>
          <w:b/>
        </w:rPr>
      </w:pPr>
      <w:r>
        <w:rPr>
          <w:rFonts w:hint="eastAsia" w:ascii="仿宋" w:hAnsi="仿宋" w:eastAsia="仿宋"/>
          <w:b/>
        </w:rPr>
        <w:t xml:space="preserve">    33. 披露</w:t>
      </w:r>
    </w:p>
    <w:p w14:paraId="21D21D36">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33.1 集中采购机构有权将投标人提供的所有资料向有关政府部门或评审标书的有关人员披露。</w:t>
      </w:r>
    </w:p>
    <w:p w14:paraId="14B773F1">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33.2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CE7976D">
      <w:pPr>
        <w:pStyle w:val="3"/>
        <w:numPr>
          <w:ilvl w:val="1"/>
          <w:numId w:val="0"/>
        </w:numPr>
        <w:spacing w:before="31" w:beforeLines="10" w:after="31" w:afterLines="10" w:line="500" w:lineRule="exact"/>
        <w:ind w:firstLine="522" w:firstLineChars="200"/>
        <w:contextualSpacing/>
        <w:jc w:val="both"/>
        <w:rPr>
          <w:rFonts w:hint="eastAsia" w:ascii="仿宋" w:hAnsi="仿宋" w:eastAsia="仿宋"/>
          <w:spacing w:val="10"/>
          <w:sz w:val="24"/>
          <w:szCs w:val="24"/>
        </w:rPr>
      </w:pPr>
      <w:bookmarkStart w:id="72" w:name="_Toc26881700"/>
      <w:bookmarkStart w:id="73" w:name="_Toc20833"/>
      <w:bookmarkStart w:id="74" w:name="_Toc352761941"/>
      <w:r>
        <w:rPr>
          <w:rFonts w:hint="eastAsia" w:ascii="仿宋" w:hAnsi="仿宋" w:eastAsia="仿宋"/>
          <w:spacing w:val="10"/>
          <w:sz w:val="24"/>
          <w:szCs w:val="24"/>
        </w:rPr>
        <w:t>十、质疑</w:t>
      </w:r>
      <w:bookmarkEnd w:id="72"/>
      <w:bookmarkEnd w:id="73"/>
    </w:p>
    <w:p w14:paraId="3BA91740">
      <w:pPr>
        <w:pStyle w:val="79"/>
        <w:snapToGrid w:val="0"/>
        <w:spacing w:line="500" w:lineRule="exact"/>
        <w:ind w:firstLine="422" w:firstLineChars="200"/>
        <w:textAlignment w:val="auto"/>
        <w:outlineLvl w:val="2"/>
        <w:rPr>
          <w:rFonts w:hint="eastAsia" w:ascii="仿宋" w:hAnsi="仿宋" w:eastAsia="仿宋"/>
          <w:b/>
        </w:rPr>
      </w:pPr>
      <w:r>
        <w:rPr>
          <w:rFonts w:hint="eastAsia" w:ascii="仿宋" w:hAnsi="仿宋" w:eastAsia="仿宋"/>
          <w:b/>
        </w:rPr>
        <w:t>34.质疑</w:t>
      </w:r>
    </w:p>
    <w:p w14:paraId="60EDC63E">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34.1在线质疑提出</w:t>
      </w:r>
    </w:p>
    <w:p w14:paraId="1CDB2A1E">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供应商参与山西省政府采购项目时，符合法定质疑条件的，通过政府采购平台进入“项目质疑管理”栏目向采购人、采购代理机构在线提起质疑。</w:t>
      </w:r>
    </w:p>
    <w:p w14:paraId="1EEB8277">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供应商应当在法定质疑期内一次性提出针对同一采购程序环节的质疑。</w:t>
      </w:r>
    </w:p>
    <w:p w14:paraId="4BF8C03C">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政府采购平台自动登记收到质疑的时间，从次日计算答复期限。</w:t>
      </w:r>
    </w:p>
    <w:p w14:paraId="20F38FB2">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34.2质疑材料要求</w:t>
      </w:r>
    </w:p>
    <w:p w14:paraId="3ADC6799">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供应商提起在线质疑，应当按照《政府采购质疑和投诉办法》有关规定如实填写事项及信息，在线提交质疑函及必要的证明材料纸质版扫描件或图片（支持格式：DOC、DOCX、PDF、JPG、PNG、GIF）。</w:t>
      </w:r>
    </w:p>
    <w:p w14:paraId="347F1A72">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在线质疑由供应商委托代理人提起的，还需上传授权委托书及被委托人身份证明，授权委托书应当载明委托人及被委托人的姓名或名称、代理事项、具体权限、期限等。</w:t>
      </w:r>
    </w:p>
    <w:p w14:paraId="0B26544B">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供应商为法人或者其他组织的，相关材料由法定代表人、主要负责人或者其授权代表签名或者盖章并加盖公章；供应商为自然人的，相关材料由本人签名。</w:t>
      </w:r>
    </w:p>
    <w:p w14:paraId="587C82A8">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34.3在线质疑答复</w:t>
      </w:r>
    </w:p>
    <w:p w14:paraId="3BAD56D3">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采购人、采购代理机构收到在线质疑后，应当按照政府采购相关规定，在7个工作日内通过政府采购平台对供应商依法提出的质疑作出答复，但答复的内容不得涉及商业秘密。</w:t>
      </w:r>
    </w:p>
    <w:p w14:paraId="03E8B6CC">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质疑供应商通过政府采购平台在线接收质疑答复结果。</w:t>
      </w:r>
    </w:p>
    <w:p w14:paraId="11B950EE">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对采购文件质疑的处理。采购代理机构应当对被质疑的采购文件相关内容进行核实并逐一作出答复；必要时，可邀请不少于3名以上单数政府采购专家对质疑内容进行审核，并依据专家意见进行答复。质疑针对采购文件中采购需求（含评分办法）的，由采购人进行答复。</w:t>
      </w:r>
    </w:p>
    <w:p w14:paraId="0D62835F">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对采购过程质疑的处理。采购代理机构应当对质疑内容进行核实，并依据核实结果进行答复，必要时应出具相关依据。</w:t>
      </w:r>
    </w:p>
    <w:p w14:paraId="17567CE0">
      <w:pPr>
        <w:adjustRightInd w:val="0"/>
        <w:snapToGrid w:val="0"/>
        <w:spacing w:line="500" w:lineRule="exact"/>
        <w:ind w:firstLine="420" w:firstLineChars="200"/>
        <w:rPr>
          <w:rFonts w:hint="eastAsia" w:ascii="仿宋" w:hAnsi="仿宋" w:eastAsia="仿宋"/>
          <w:kern w:val="0"/>
          <w:szCs w:val="21"/>
        </w:rPr>
      </w:pPr>
      <w:r>
        <w:rPr>
          <w:rFonts w:hint="eastAsia" w:ascii="仿宋" w:hAnsi="仿宋" w:eastAsia="仿宋"/>
          <w:kern w:val="0"/>
          <w:szCs w:val="21"/>
        </w:rPr>
        <w:t>对中标、成交结果质疑的处理。质疑内容属于评审报告中已有结论性意见的，采购人可依据评审报告意见答复；必要时，采购人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质疑供应商应当提供书面材料证明其合法来源。</w:t>
      </w:r>
    </w:p>
    <w:p w14:paraId="6C015B0A">
      <w:pPr>
        <w:pStyle w:val="79"/>
        <w:snapToGrid w:val="0"/>
        <w:spacing w:line="500" w:lineRule="exact"/>
        <w:ind w:firstLine="420" w:firstLineChars="200"/>
        <w:textAlignment w:val="auto"/>
        <w:rPr>
          <w:rFonts w:hint="eastAsia" w:ascii="仿宋" w:hAnsi="仿宋" w:eastAsia="仿宋"/>
        </w:rPr>
      </w:pPr>
      <w:r>
        <w:rPr>
          <w:rFonts w:hint="eastAsia" w:ascii="仿宋" w:hAnsi="仿宋" w:eastAsia="仿宋"/>
        </w:rPr>
        <w:t>34.4质疑供应商撤回质疑的，终止质疑处理。</w:t>
      </w:r>
    </w:p>
    <w:p w14:paraId="0B0E7B48">
      <w:pPr>
        <w:widowControl/>
        <w:spacing w:line="500" w:lineRule="exact"/>
        <w:jc w:val="left"/>
        <w:rPr>
          <w:rFonts w:hint="eastAsia" w:ascii="仿宋" w:hAnsi="仿宋" w:eastAsia="仿宋"/>
          <w:sz w:val="36"/>
          <w:szCs w:val="36"/>
        </w:rPr>
      </w:pPr>
      <w:r>
        <w:rPr>
          <w:rFonts w:ascii="仿宋" w:hAnsi="仿宋" w:eastAsia="仿宋"/>
          <w:sz w:val="36"/>
          <w:szCs w:val="36"/>
        </w:rPr>
        <w:br w:type="page"/>
      </w:r>
    </w:p>
    <w:p w14:paraId="459C3B51">
      <w:pPr>
        <w:spacing w:line="500" w:lineRule="exact"/>
        <w:jc w:val="center"/>
        <w:rPr>
          <w:rFonts w:hint="eastAsia" w:ascii="仿宋" w:hAnsi="仿宋" w:eastAsia="仿宋"/>
          <w:sz w:val="36"/>
          <w:szCs w:val="36"/>
        </w:rPr>
      </w:pPr>
      <w:r>
        <w:rPr>
          <w:rFonts w:ascii="仿宋" w:hAnsi="仿宋" w:eastAsia="仿宋"/>
          <w:sz w:val="36"/>
          <w:szCs w:val="36"/>
        </w:rPr>
        <w:t>质疑函</w:t>
      </w:r>
      <w:r>
        <w:rPr>
          <w:rFonts w:hint="eastAsia" w:ascii="仿宋" w:hAnsi="仿宋" w:eastAsia="仿宋"/>
          <w:sz w:val="36"/>
          <w:szCs w:val="36"/>
        </w:rPr>
        <w:t>格式（如有的话）</w:t>
      </w:r>
    </w:p>
    <w:p w14:paraId="159C7B2E">
      <w:pPr>
        <w:adjustRightInd w:val="0"/>
        <w:snapToGrid w:val="0"/>
        <w:spacing w:before="312" w:beforeLines="100" w:line="560" w:lineRule="exact"/>
        <w:outlineLvl w:val="1"/>
        <w:rPr>
          <w:rFonts w:hint="eastAsia" w:ascii="仿宋" w:hAnsi="仿宋" w:eastAsia="仿宋" w:cs="仿宋"/>
          <w:bCs/>
          <w:sz w:val="28"/>
          <w:szCs w:val="28"/>
        </w:rPr>
      </w:pPr>
      <w:r>
        <w:rPr>
          <w:rFonts w:hint="eastAsia" w:ascii="仿宋" w:hAnsi="仿宋" w:eastAsia="仿宋" w:cs="仿宋"/>
          <w:bCs/>
          <w:sz w:val="28"/>
          <w:szCs w:val="28"/>
        </w:rPr>
        <w:t>一、质疑供应商基本信息</w:t>
      </w:r>
    </w:p>
    <w:p w14:paraId="2F2E44A4">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14:paraId="1D0C1282">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14:paraId="732ED147">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14:paraId="661F78A4">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14:paraId="6064227D">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ascii="仿宋" w:hAnsi="仿宋" w:eastAsia="仿宋" w:cs="仿宋"/>
          <w:sz w:val="28"/>
          <w:szCs w:val="28"/>
        </w:rPr>
        <w:t xml:space="preserve"> </w:t>
      </w:r>
    </w:p>
    <w:p w14:paraId="7C8BF95C">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 xml:space="preserve">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14:paraId="20EA4A77">
      <w:pPr>
        <w:adjustRightInd w:val="0"/>
        <w:snapToGrid w:val="0"/>
        <w:spacing w:line="560" w:lineRule="exact"/>
        <w:outlineLvl w:val="1"/>
        <w:rPr>
          <w:rFonts w:hint="eastAsia" w:ascii="仿宋" w:hAnsi="仿宋" w:eastAsia="仿宋" w:cs="仿宋"/>
          <w:bCs/>
          <w:sz w:val="28"/>
          <w:szCs w:val="28"/>
        </w:rPr>
      </w:pPr>
      <w:r>
        <w:rPr>
          <w:rFonts w:hint="eastAsia" w:ascii="仿宋" w:hAnsi="仿宋" w:eastAsia="仿宋" w:cs="仿宋"/>
          <w:bCs/>
          <w:sz w:val="28"/>
          <w:szCs w:val="28"/>
        </w:rPr>
        <w:t>二、质疑项目基本情况</w:t>
      </w:r>
    </w:p>
    <w:p w14:paraId="57377D70">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14:paraId="06D41319">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14:paraId="10ED5EA8">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14:paraId="7D550BD3">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14:paraId="42B391B7">
      <w:pPr>
        <w:adjustRightInd w:val="0"/>
        <w:snapToGrid w:val="0"/>
        <w:spacing w:line="560" w:lineRule="exact"/>
        <w:outlineLvl w:val="1"/>
        <w:rPr>
          <w:rFonts w:hint="eastAsia" w:ascii="仿宋" w:hAnsi="仿宋" w:eastAsia="仿宋" w:cs="仿宋"/>
          <w:bCs/>
          <w:sz w:val="28"/>
          <w:szCs w:val="28"/>
        </w:rPr>
      </w:pPr>
      <w:r>
        <w:rPr>
          <w:rFonts w:hint="eastAsia" w:ascii="仿宋" w:hAnsi="仿宋" w:eastAsia="仿宋" w:cs="仿宋"/>
          <w:bCs/>
          <w:sz w:val="28"/>
          <w:szCs w:val="28"/>
        </w:rPr>
        <w:t>三、质疑事项具体内容</w:t>
      </w:r>
    </w:p>
    <w:p w14:paraId="7DEA0141">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14:paraId="153F0A69">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14:paraId="2E7F11EC">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14:paraId="5BDF51EA">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质疑事项2</w:t>
      </w:r>
    </w:p>
    <w:p w14:paraId="21566D47">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w:t>
      </w:r>
    </w:p>
    <w:p w14:paraId="0BAB0C85">
      <w:pPr>
        <w:adjustRightInd w:val="0"/>
        <w:snapToGrid w:val="0"/>
        <w:spacing w:line="560" w:lineRule="exact"/>
        <w:outlineLvl w:val="1"/>
        <w:rPr>
          <w:rFonts w:hint="eastAsia" w:ascii="仿宋" w:hAnsi="仿宋" w:eastAsia="仿宋" w:cs="仿宋"/>
          <w:bCs/>
          <w:sz w:val="28"/>
          <w:szCs w:val="28"/>
        </w:rPr>
      </w:pPr>
      <w:r>
        <w:rPr>
          <w:rFonts w:hint="eastAsia" w:ascii="仿宋" w:hAnsi="仿宋" w:eastAsia="仿宋" w:cs="仿宋"/>
          <w:bCs/>
          <w:sz w:val="28"/>
          <w:szCs w:val="28"/>
        </w:rPr>
        <w:t>四、与质疑事项相关的质疑请求</w:t>
      </w:r>
    </w:p>
    <w:p w14:paraId="3C0C07FC">
      <w:pPr>
        <w:adjustRightInd w:val="0"/>
        <w:snapToGrid w:val="0"/>
        <w:spacing w:line="560" w:lineRule="exact"/>
        <w:rPr>
          <w:rFonts w:hint="eastAsia"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14:paraId="349B14D5">
      <w:pPr>
        <w:spacing w:line="560" w:lineRule="exact"/>
        <w:rPr>
          <w:rFonts w:hint="eastAsia" w:ascii="仿宋" w:hAnsi="仿宋" w:eastAsia="仿宋" w:cs="黑体"/>
          <w:sz w:val="28"/>
          <w:szCs w:val="28"/>
        </w:rPr>
      </w:pPr>
      <w:r>
        <w:rPr>
          <w:rFonts w:hint="eastAsia" w:ascii="仿宋" w:hAnsi="仿宋" w:eastAsia="仿宋" w:cs="黑体"/>
          <w:sz w:val="28"/>
          <w:szCs w:val="28"/>
        </w:rPr>
        <w:t xml:space="preserve">签字(签章)：                   公章：                      </w:t>
      </w:r>
    </w:p>
    <w:p w14:paraId="3C7AF164">
      <w:pPr>
        <w:spacing w:line="560" w:lineRule="exact"/>
        <w:rPr>
          <w:rFonts w:hint="eastAsia" w:ascii="仿宋" w:hAnsi="仿宋" w:eastAsia="仿宋" w:cs="黑体"/>
          <w:sz w:val="28"/>
          <w:szCs w:val="28"/>
        </w:rPr>
      </w:pPr>
      <w:r>
        <w:rPr>
          <w:rFonts w:hint="eastAsia" w:ascii="仿宋" w:hAnsi="仿宋" w:eastAsia="仿宋" w:cs="黑体"/>
          <w:sz w:val="28"/>
          <w:szCs w:val="28"/>
        </w:rPr>
        <w:t xml:space="preserve">日期：    </w:t>
      </w:r>
    </w:p>
    <w:p w14:paraId="538B6424">
      <w:pPr>
        <w:pStyle w:val="79"/>
        <w:snapToGrid w:val="0"/>
        <w:spacing w:line="480" w:lineRule="exact"/>
        <w:textAlignment w:val="auto"/>
        <w:rPr>
          <w:rFonts w:hint="eastAsia" w:ascii="仿宋" w:hAnsi="仿宋" w:eastAsia="仿宋"/>
        </w:rPr>
      </w:pPr>
    </w:p>
    <w:bookmarkEnd w:id="74"/>
    <w:p w14:paraId="258D989D">
      <w:pPr>
        <w:widowControl/>
        <w:jc w:val="left"/>
        <w:rPr>
          <w:rFonts w:hint="eastAsia" w:ascii="仿宋" w:hAnsi="仿宋" w:eastAsia="仿宋"/>
          <w:b/>
          <w:spacing w:val="20"/>
          <w:kern w:val="0"/>
          <w:sz w:val="28"/>
          <w:szCs w:val="28"/>
        </w:rPr>
      </w:pPr>
      <w:bookmarkStart w:id="75" w:name="_Toc424378696"/>
      <w:bookmarkStart w:id="76" w:name="_Toc352761948"/>
      <w:bookmarkStart w:id="77" w:name="_Toc28436"/>
      <w:bookmarkStart w:id="78" w:name="_Toc26881702"/>
      <w:r>
        <w:rPr>
          <w:rFonts w:ascii="仿宋" w:hAnsi="仿宋" w:eastAsia="仿宋"/>
          <w:b/>
          <w:spacing w:val="20"/>
          <w:kern w:val="0"/>
          <w:sz w:val="28"/>
          <w:szCs w:val="28"/>
        </w:rPr>
        <w:br w:type="page"/>
      </w:r>
    </w:p>
    <w:p w14:paraId="44248937">
      <w:pPr>
        <w:adjustRightInd w:val="0"/>
        <w:snapToGrid w:val="0"/>
        <w:spacing w:line="480" w:lineRule="exact"/>
        <w:ind w:firstLine="2729" w:firstLineChars="850"/>
        <w:textAlignment w:val="baseline"/>
        <w:outlineLvl w:val="0"/>
        <w:rPr>
          <w:rFonts w:hint="eastAsia" w:ascii="仿宋" w:hAnsi="仿宋" w:eastAsia="仿宋"/>
          <w:b/>
          <w:spacing w:val="20"/>
          <w:kern w:val="0"/>
          <w:sz w:val="28"/>
          <w:szCs w:val="28"/>
        </w:rPr>
      </w:pPr>
      <w:r>
        <w:rPr>
          <w:rFonts w:hint="eastAsia" w:ascii="仿宋" w:hAnsi="仿宋" w:eastAsia="仿宋"/>
          <w:b/>
          <w:spacing w:val="20"/>
          <w:kern w:val="0"/>
          <w:sz w:val="28"/>
          <w:szCs w:val="28"/>
        </w:rPr>
        <w:t>第四部分   采购需求</w:t>
      </w:r>
    </w:p>
    <w:p w14:paraId="48B0D613">
      <w:pPr>
        <w:pStyle w:val="80"/>
        <w:widowControl/>
        <w:spacing w:line="460" w:lineRule="exact"/>
        <w:ind w:left="422" w:firstLine="281" w:firstLineChars="100"/>
        <w:jc w:val="left"/>
        <w:outlineLvl w:val="1"/>
        <w:rPr>
          <w:rFonts w:hint="eastAsia" w:ascii="仿宋" w:hAnsi="仿宋" w:eastAsia="仿宋"/>
          <w:b/>
          <w:sz w:val="28"/>
          <w:szCs w:val="28"/>
        </w:rPr>
      </w:pPr>
      <w:r>
        <w:rPr>
          <w:rFonts w:hint="eastAsia" w:ascii="仿宋" w:hAnsi="仿宋" w:eastAsia="仿宋"/>
          <w:b/>
          <w:sz w:val="28"/>
          <w:szCs w:val="28"/>
        </w:rPr>
        <w:t>一、项目概况</w:t>
      </w:r>
    </w:p>
    <w:tbl>
      <w:tblPr>
        <w:tblStyle w:val="39"/>
        <w:tblW w:w="4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2395"/>
      </w:tblGrid>
      <w:tr w14:paraId="1E67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5" w:type="pct"/>
            <w:vAlign w:val="center"/>
          </w:tcPr>
          <w:p w14:paraId="4311819A">
            <w:pPr>
              <w:jc w:val="center"/>
              <w:rPr>
                <w:rFonts w:hint="eastAsia" w:ascii="仿宋" w:hAnsi="仿宋" w:eastAsia="仿宋"/>
                <w:sz w:val="28"/>
                <w:szCs w:val="28"/>
              </w:rPr>
            </w:pPr>
            <w:r>
              <w:rPr>
                <w:rFonts w:hint="eastAsia" w:ascii="仿宋" w:hAnsi="仿宋" w:eastAsia="仿宋"/>
                <w:sz w:val="28"/>
                <w:szCs w:val="28"/>
              </w:rPr>
              <w:t>采购服务内容</w:t>
            </w:r>
          </w:p>
        </w:tc>
        <w:tc>
          <w:tcPr>
            <w:tcW w:w="1574" w:type="pct"/>
            <w:vAlign w:val="center"/>
          </w:tcPr>
          <w:p w14:paraId="11A5BD9A">
            <w:pPr>
              <w:jc w:val="center"/>
              <w:rPr>
                <w:rFonts w:hint="eastAsia" w:ascii="仿宋" w:hAnsi="仿宋" w:eastAsia="仿宋"/>
                <w:sz w:val="28"/>
                <w:szCs w:val="28"/>
              </w:rPr>
            </w:pPr>
            <w:r>
              <w:rPr>
                <w:rFonts w:hint="eastAsia" w:ascii="仿宋" w:hAnsi="仿宋" w:eastAsia="仿宋"/>
                <w:sz w:val="28"/>
                <w:szCs w:val="28"/>
              </w:rPr>
              <w:t>服务期限</w:t>
            </w:r>
          </w:p>
        </w:tc>
      </w:tr>
      <w:tr w14:paraId="4451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3425" w:type="pct"/>
            <w:vAlign w:val="center"/>
          </w:tcPr>
          <w:p w14:paraId="00455CF0">
            <w:pPr>
              <w:ind w:firstLine="280" w:firstLineChars="100"/>
              <w:rPr>
                <w:rFonts w:hint="eastAsia" w:ascii="仿宋" w:hAnsi="仿宋" w:eastAsia="仿宋" w:cs="Helvetica"/>
                <w:kern w:val="0"/>
                <w:sz w:val="28"/>
                <w:szCs w:val="28"/>
              </w:rPr>
            </w:pPr>
            <w:r>
              <w:rPr>
                <w:rFonts w:hint="eastAsia" w:ascii="仿宋" w:hAnsi="仿宋" w:eastAsia="仿宋" w:cs="Helvetica"/>
                <w:kern w:val="0"/>
                <w:sz w:val="28"/>
                <w:szCs w:val="28"/>
              </w:rPr>
              <w:t>长治市出生缺陷防治信息化平台服务</w:t>
            </w:r>
          </w:p>
        </w:tc>
        <w:tc>
          <w:tcPr>
            <w:tcW w:w="1574" w:type="pct"/>
            <w:vAlign w:val="center"/>
          </w:tcPr>
          <w:p w14:paraId="000B15D8">
            <w:pPr>
              <w:spacing w:line="240" w:lineRule="exact"/>
              <w:rPr>
                <w:rFonts w:hint="eastAsia" w:ascii="仿宋" w:hAnsi="仿宋" w:eastAsia="仿宋"/>
                <w:sz w:val="28"/>
                <w:szCs w:val="28"/>
              </w:rPr>
            </w:pPr>
            <w:r>
              <w:rPr>
                <w:rFonts w:hint="eastAsia" w:ascii="仿宋" w:hAnsi="仿宋" w:eastAsia="仿宋"/>
                <w:szCs w:val="21"/>
              </w:rPr>
              <w:t>自合同签订之日起30日完成系统开发调试并交付使用（含货物），云资源租赁及专线租赁服务期三年。</w:t>
            </w:r>
          </w:p>
        </w:tc>
      </w:tr>
    </w:tbl>
    <w:p w14:paraId="0C145BEE">
      <w:pPr>
        <w:widowControl/>
        <w:spacing w:line="500" w:lineRule="exact"/>
        <w:ind w:firstLine="562" w:firstLineChars="200"/>
        <w:jc w:val="left"/>
        <w:outlineLvl w:val="1"/>
        <w:rPr>
          <w:rFonts w:hint="eastAsia" w:ascii="仿宋" w:hAnsi="仿宋" w:eastAsia="仿宋" w:cs="Helvetica"/>
          <w:b/>
          <w:bCs/>
          <w:kern w:val="0"/>
          <w:sz w:val="28"/>
          <w:szCs w:val="28"/>
        </w:rPr>
      </w:pPr>
      <w:r>
        <w:rPr>
          <w:rFonts w:hint="eastAsia" w:ascii="仿宋" w:hAnsi="仿宋" w:eastAsia="仿宋" w:cs="仿宋"/>
          <w:b/>
          <w:sz w:val="28"/>
          <w:szCs w:val="28"/>
        </w:rPr>
        <w:t>二、</w:t>
      </w:r>
      <w:r>
        <w:rPr>
          <w:rFonts w:hint="eastAsia" w:ascii="仿宋" w:hAnsi="仿宋" w:eastAsia="仿宋" w:cs="Helvetica"/>
          <w:b/>
          <w:bCs/>
          <w:kern w:val="0"/>
          <w:sz w:val="28"/>
          <w:szCs w:val="28"/>
        </w:rPr>
        <w:t>商务、服务要求：</w:t>
      </w:r>
    </w:p>
    <w:p w14:paraId="04177868">
      <w:pPr>
        <w:spacing w:line="500" w:lineRule="exact"/>
        <w:ind w:firstLine="560" w:firstLineChars="200"/>
        <w:jc w:val="left"/>
        <w:rPr>
          <w:rFonts w:hint="eastAsia" w:ascii="楷体" w:hAnsi="楷体" w:eastAsia="楷体"/>
          <w:sz w:val="28"/>
          <w:szCs w:val="28"/>
        </w:rPr>
      </w:pPr>
      <w:r>
        <w:rPr>
          <w:rFonts w:hint="eastAsia" w:ascii="楷体" w:hAnsi="楷体" w:eastAsia="楷体"/>
          <w:sz w:val="28"/>
          <w:szCs w:val="28"/>
        </w:rPr>
        <w:t>（一）商务要求</w:t>
      </w:r>
    </w:p>
    <w:p w14:paraId="1372D113">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1.最高限价：人民币964.91万元;</w:t>
      </w:r>
    </w:p>
    <w:p w14:paraId="36CB8E95">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2.合同履约期限：自合同签订之日起30日完成系统开发调试并交付使用（含货物），云资源租赁及专线租赁服务期三年。;</w:t>
      </w:r>
    </w:p>
    <w:p w14:paraId="3A29CB50">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3.服务地点：长治市妇幼保健院;</w:t>
      </w:r>
    </w:p>
    <w:p w14:paraId="70698617">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4.质量标准：达到相关法律规定;</w:t>
      </w:r>
    </w:p>
    <w:p w14:paraId="1B4A0BE1">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5.履约保证金：合同金额的2%。成交供应商在收到成交通知书后签订合同前通过</w:t>
      </w:r>
      <w:r>
        <w:rPr>
          <w:rFonts w:hint="eastAsia" w:ascii="仿宋" w:hAnsi="仿宋" w:eastAsia="仿宋"/>
          <w:sz w:val="28"/>
          <w:szCs w:val="28"/>
          <w:shd w:val="clear" w:color="FFFFFF" w:fill="auto"/>
        </w:rPr>
        <w:t>银行转账方式向采购人缴纳履约保证金，金额为合同金额的2%。履约保证金退还</w:t>
      </w:r>
      <w:r>
        <w:rPr>
          <w:rFonts w:hint="eastAsia" w:ascii="仿宋" w:hAnsi="仿宋" w:eastAsia="仿宋"/>
          <w:sz w:val="28"/>
          <w:szCs w:val="28"/>
        </w:rPr>
        <w:t>：履约保证金在合同履行完毕且验收合格后5个工作日内，甲方返还乙方履约保证金;</w:t>
      </w:r>
    </w:p>
    <w:p w14:paraId="0370CC00">
      <w:p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6.付款条件：合同签订后预付合同总额的50%，系统上线试运行并通过初步验收后支付合同总额的30%，项目最终验收合格后支付20%。</w:t>
      </w:r>
    </w:p>
    <w:p w14:paraId="2EDB6633">
      <w:p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7.保险：项目中所有涉及与现有信息系统（包括但不限于长治市全民健康信息管理平台、长治市区域妇幼信息管理平台、长治市公共卫生信息管理平台、各级医疗机构HIS系统等）对接的费用，全部由中标方承担。所有投标功能点在不改变整体框架情况下，6年</w:t>
      </w:r>
      <w:bookmarkStart w:id="97" w:name="_GoBack"/>
      <w:bookmarkEnd w:id="97"/>
      <w:r>
        <w:rPr>
          <w:rFonts w:hint="eastAsia" w:ascii="仿宋" w:hAnsi="仿宋" w:eastAsia="仿宋"/>
          <w:sz w:val="28"/>
          <w:szCs w:val="28"/>
          <w:highlight w:val="none"/>
        </w:rPr>
        <w:t>内提供更新版本升级服务20次内，不得收取额外升级费用。</w:t>
      </w:r>
    </w:p>
    <w:p w14:paraId="31EC8853">
      <w:pPr>
        <w:spacing w:line="500" w:lineRule="exact"/>
        <w:ind w:firstLine="560" w:firstLineChars="200"/>
        <w:jc w:val="left"/>
        <w:rPr>
          <w:rFonts w:hint="eastAsia" w:ascii="仿宋" w:hAnsi="仿宋" w:eastAsia="仿宋" w:cs="Helvetica"/>
          <w:b/>
          <w:bCs/>
          <w:kern w:val="0"/>
          <w:sz w:val="28"/>
          <w:szCs w:val="28"/>
        </w:rPr>
      </w:pPr>
      <w:r>
        <w:rPr>
          <w:rFonts w:hint="eastAsia" w:ascii="仿宋" w:hAnsi="仿宋" w:eastAsia="仿宋"/>
          <w:sz w:val="28"/>
          <w:szCs w:val="28"/>
        </w:rPr>
        <w:t>(二)</w:t>
      </w:r>
      <w:r>
        <w:rPr>
          <w:rFonts w:hint="eastAsia" w:ascii="仿宋" w:hAnsi="仿宋" w:eastAsia="仿宋" w:cs="Helvetica"/>
          <w:b/>
          <w:bCs/>
          <w:kern w:val="0"/>
          <w:sz w:val="28"/>
          <w:szCs w:val="28"/>
        </w:rPr>
        <w:t>技术服务要求</w:t>
      </w:r>
    </w:p>
    <w:p w14:paraId="5A36A1CE">
      <w:pPr>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详见本文件最后附件1。</w:t>
      </w:r>
    </w:p>
    <w:p w14:paraId="7CEA4AE0">
      <w:pPr>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三、项目验收</w:t>
      </w:r>
    </w:p>
    <w:p w14:paraId="43477AEC">
      <w:pPr>
        <w:spacing w:line="500" w:lineRule="exact"/>
        <w:ind w:firstLine="560" w:firstLineChars="200"/>
        <w:jc w:val="left"/>
        <w:rPr>
          <w:rFonts w:hint="eastAsia" w:ascii="楷体" w:hAnsi="楷体" w:eastAsia="楷体"/>
          <w:sz w:val="28"/>
          <w:szCs w:val="28"/>
        </w:rPr>
      </w:pPr>
      <w:r>
        <w:rPr>
          <w:rFonts w:hint="eastAsia" w:ascii="楷体" w:hAnsi="楷体" w:eastAsia="楷体"/>
          <w:sz w:val="28"/>
          <w:szCs w:val="28"/>
        </w:rPr>
        <w:t>（一）履约验收程序：</w:t>
      </w:r>
    </w:p>
    <w:p w14:paraId="284379D7">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1.验收准备：项目承建方完成系统开发、部署、试运行且达到合同约定标准后，向采购方提交验收申请，附项目竣工文档（需求规格说明书、测试报告、操作手册等）；采购方组建验收小组（含技术专家、使用部门代表），制定验收方案。 </w:t>
      </w:r>
    </w:p>
    <w:p w14:paraId="3FA5F93C">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2.试运行验收：系统进入约定时长的试运行阶段，验收小组跟踪系统稳定性、数据准确性及运维响应情况，收集使用部门反馈；试运行无重大故障且满足业务运转需求后，进入正式验收环节。 </w:t>
      </w:r>
    </w:p>
    <w:p w14:paraId="5D573B40">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3.正式验收（综合评审）：验收小组召开评审会，结合初步验收、试运行结果，对照合同条款综合判定是否达标；达标则出具验收合格报告，双方签字确认；不达标则提出整改意见，承建方限期整改后复验。</w:t>
      </w:r>
    </w:p>
    <w:p w14:paraId="7688F8E3">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4.尾款支付：验收合格后，采购方按合同约定支付尾款。 </w:t>
      </w:r>
    </w:p>
    <w:p w14:paraId="7FC11938">
      <w:pPr>
        <w:spacing w:line="500" w:lineRule="exact"/>
        <w:ind w:firstLine="560" w:firstLineChars="200"/>
        <w:jc w:val="left"/>
        <w:rPr>
          <w:rFonts w:hint="eastAsia" w:ascii="楷体" w:hAnsi="楷体" w:eastAsia="楷体"/>
          <w:sz w:val="28"/>
          <w:szCs w:val="28"/>
        </w:rPr>
      </w:pPr>
      <w:r>
        <w:rPr>
          <w:rFonts w:hint="eastAsia" w:ascii="楷体" w:hAnsi="楷体" w:eastAsia="楷体"/>
          <w:sz w:val="28"/>
          <w:szCs w:val="28"/>
        </w:rPr>
        <w:t>（二）履约验收标准：</w:t>
      </w:r>
    </w:p>
    <w:p w14:paraId="2DF163D1">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1.功能验收标准：系统所有定制模块功能（如孕优登记的信息管理、条码处理等）需100%实现，操作流程符合业务需求，与现有系统对接无数据孤岛，功能调用准确率、响应成功率均达100%。</w:t>
      </w:r>
    </w:p>
    <w:p w14:paraId="208F271D">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2.性能验收标准：系统并发用户数、响应时间、数据处理速度需满足合同指标，长时间运行无卡顿、崩溃情况；数据传输与存储的准确性、一致性达标，无数据丢失或错误。 </w:t>
      </w:r>
    </w:p>
    <w:p w14:paraId="2EDC4360">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3.文档验收标准：承建方需提交完整、规范的竣工文档，包括需求规格说明书、设计方案、测试报告、操作手册、运维手册等，文档需经采购方审核确认。 </w:t>
      </w:r>
    </w:p>
    <w:p w14:paraId="53118A6C">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4.数据安全验收标准：系统需具备完善的权限管控、数据加密、备份恢复机制，符合《网络安全法》《数据安全法》等法规要求，无隐私泄露风险，操作日志全程可追溯。</w:t>
      </w:r>
    </w:p>
    <w:p w14:paraId="62F83530">
      <w:pPr>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四、其他</w:t>
      </w:r>
    </w:p>
    <w:p w14:paraId="671D581D">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1.投标人须保持登录山西政府采购平台，随时准备对评标委员会在平台上的询问予以解答。</w:t>
      </w:r>
    </w:p>
    <w:p w14:paraId="6BCA3D07">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2.本章未做特别说明的要求，均适用。</w:t>
      </w:r>
    </w:p>
    <w:p w14:paraId="48943658">
      <w:pPr>
        <w:widowControl/>
        <w:spacing w:line="500" w:lineRule="exact"/>
        <w:ind w:firstLine="560" w:firstLineChars="200"/>
        <w:jc w:val="left"/>
        <w:rPr>
          <w:rFonts w:hint="eastAsia" w:ascii="仿宋" w:hAnsi="仿宋" w:eastAsia="仿宋" w:cs="仿宋"/>
          <w:sz w:val="28"/>
          <w:szCs w:val="28"/>
        </w:rPr>
      </w:pPr>
    </w:p>
    <w:p w14:paraId="78F5B119">
      <w:pPr>
        <w:widowControl/>
        <w:spacing w:line="500" w:lineRule="exact"/>
        <w:ind w:firstLine="560" w:firstLineChars="200"/>
        <w:jc w:val="left"/>
        <w:rPr>
          <w:rFonts w:hint="eastAsia" w:ascii="仿宋" w:hAnsi="仿宋" w:eastAsia="仿宋" w:cs="仿宋"/>
          <w:sz w:val="28"/>
          <w:szCs w:val="28"/>
        </w:rPr>
      </w:pPr>
    </w:p>
    <w:p w14:paraId="0497F1D7">
      <w:pPr>
        <w:pStyle w:val="76"/>
        <w:pageBreakBefore/>
        <w:snapToGrid w:val="0"/>
        <w:spacing w:before="0" w:after="0"/>
        <w:ind w:left="0" w:firstLine="0"/>
        <w:rPr>
          <w:rFonts w:hint="eastAsia" w:ascii="仿宋" w:hAnsi="仿宋" w:eastAsia="仿宋"/>
          <w:spacing w:val="20"/>
          <w:szCs w:val="28"/>
        </w:rPr>
      </w:pPr>
      <w:r>
        <w:rPr>
          <w:rFonts w:hint="eastAsia" w:ascii="仿宋" w:hAnsi="仿宋" w:eastAsia="仿宋"/>
          <w:spacing w:val="20"/>
          <w:szCs w:val="28"/>
        </w:rPr>
        <w:t xml:space="preserve">第五部分 </w:t>
      </w:r>
      <w:bookmarkEnd w:id="75"/>
      <w:bookmarkEnd w:id="76"/>
      <w:r>
        <w:rPr>
          <w:rFonts w:hint="eastAsia" w:ascii="仿宋" w:hAnsi="仿宋" w:eastAsia="仿宋"/>
          <w:spacing w:val="20"/>
          <w:szCs w:val="28"/>
        </w:rPr>
        <w:t>资格审查内容及标准</w:t>
      </w:r>
      <w:bookmarkEnd w:id="77"/>
      <w:bookmarkEnd w:id="78"/>
      <w:bookmarkStart w:id="79" w:name="_Toc400718590"/>
    </w:p>
    <w:p w14:paraId="54256BFE">
      <w:pPr>
        <w:pStyle w:val="79"/>
        <w:snapToGrid w:val="0"/>
        <w:spacing w:line="480" w:lineRule="exact"/>
        <w:rPr>
          <w:rFonts w:hint="eastAsia" w:ascii="仿宋" w:hAnsi="仿宋" w:eastAsia="仿宋"/>
          <w:b/>
        </w:rPr>
      </w:pPr>
      <w:r>
        <w:rPr>
          <w:rFonts w:hint="eastAsia" w:ascii="仿宋" w:hAnsi="仿宋" w:eastAsia="仿宋"/>
          <w:b/>
        </w:rPr>
        <w:t>资格审查内容及标准</w:t>
      </w:r>
    </w:p>
    <w:tbl>
      <w:tblPr>
        <w:tblStyle w:val="3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961"/>
        <w:gridCol w:w="3373"/>
      </w:tblGrid>
      <w:tr w14:paraId="6202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ACD387">
            <w:pPr>
              <w:overflowPunct w:val="0"/>
              <w:topLinePunct/>
              <w:autoSpaceDN w:val="0"/>
              <w:adjustRightInd w:val="0"/>
              <w:snapToGrid w:val="0"/>
              <w:spacing w:line="360" w:lineRule="auto"/>
              <w:jc w:val="center"/>
              <w:rPr>
                <w:rFonts w:hint="eastAsia" w:ascii="仿宋" w:hAnsi="仿宋" w:eastAsia="仿宋" w:cs="华文中宋"/>
                <w:snapToGrid w:val="0"/>
                <w:kern w:val="0"/>
                <w:szCs w:val="21"/>
              </w:rPr>
            </w:pPr>
            <w:r>
              <w:rPr>
                <w:rFonts w:ascii="仿宋" w:hAnsi="仿宋" w:eastAsia="仿宋" w:cs="华文中宋"/>
                <w:snapToGrid w:val="0"/>
                <w:kern w:val="0"/>
                <w:szCs w:val="21"/>
              </w:rPr>
              <w:t>序号</w:t>
            </w:r>
          </w:p>
        </w:tc>
        <w:tc>
          <w:tcPr>
            <w:tcW w:w="4961" w:type="dxa"/>
            <w:vAlign w:val="center"/>
          </w:tcPr>
          <w:p w14:paraId="133BBD3C">
            <w:pPr>
              <w:overflowPunct w:val="0"/>
              <w:topLinePunct/>
              <w:autoSpaceDN w:val="0"/>
              <w:adjustRightInd w:val="0"/>
              <w:snapToGrid w:val="0"/>
              <w:spacing w:line="360" w:lineRule="auto"/>
              <w:jc w:val="center"/>
              <w:rPr>
                <w:rFonts w:hint="eastAsia" w:ascii="仿宋" w:hAnsi="仿宋" w:eastAsia="仿宋" w:cs="华文中宋"/>
                <w:snapToGrid w:val="0"/>
                <w:kern w:val="0"/>
                <w:szCs w:val="21"/>
              </w:rPr>
            </w:pPr>
            <w:r>
              <w:rPr>
                <w:rFonts w:ascii="仿宋" w:hAnsi="仿宋" w:eastAsia="仿宋" w:cs="华文中宋"/>
                <w:snapToGrid w:val="0"/>
                <w:kern w:val="0"/>
                <w:szCs w:val="21"/>
              </w:rPr>
              <w:t>要求</w:t>
            </w:r>
          </w:p>
        </w:tc>
        <w:tc>
          <w:tcPr>
            <w:tcW w:w="3373" w:type="dxa"/>
            <w:vAlign w:val="center"/>
          </w:tcPr>
          <w:p w14:paraId="75D75C71">
            <w:pPr>
              <w:overflowPunct w:val="0"/>
              <w:topLinePunct/>
              <w:autoSpaceDN w:val="0"/>
              <w:adjustRightInd w:val="0"/>
              <w:snapToGrid w:val="0"/>
              <w:spacing w:line="360" w:lineRule="auto"/>
              <w:jc w:val="center"/>
              <w:rPr>
                <w:rFonts w:hint="eastAsia" w:ascii="仿宋" w:hAnsi="仿宋" w:eastAsia="仿宋" w:cs="华文中宋"/>
                <w:snapToGrid w:val="0"/>
                <w:kern w:val="0"/>
                <w:szCs w:val="21"/>
              </w:rPr>
            </w:pPr>
            <w:r>
              <w:rPr>
                <w:rFonts w:ascii="仿宋" w:hAnsi="仿宋" w:eastAsia="仿宋" w:cs="华文中宋"/>
                <w:snapToGrid w:val="0"/>
                <w:kern w:val="0"/>
                <w:szCs w:val="21"/>
              </w:rPr>
              <w:t>要求说明</w:t>
            </w:r>
          </w:p>
        </w:tc>
      </w:tr>
      <w:tr w14:paraId="776C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C41ABE">
            <w:pPr>
              <w:spacing w:line="280" w:lineRule="exact"/>
              <w:jc w:val="center"/>
              <w:rPr>
                <w:rFonts w:hint="eastAsia" w:ascii="仿宋" w:hAnsi="仿宋" w:eastAsia="仿宋"/>
                <w:szCs w:val="21"/>
              </w:rPr>
            </w:pPr>
            <w:r>
              <w:rPr>
                <w:rFonts w:ascii="仿宋" w:hAnsi="仿宋" w:eastAsia="仿宋"/>
                <w:szCs w:val="21"/>
              </w:rPr>
              <w:t>1</w:t>
            </w:r>
          </w:p>
        </w:tc>
        <w:tc>
          <w:tcPr>
            <w:tcW w:w="4961" w:type="dxa"/>
            <w:vAlign w:val="center"/>
          </w:tcPr>
          <w:p w14:paraId="7142A4B7">
            <w:pPr>
              <w:spacing w:line="280" w:lineRule="exact"/>
              <w:rPr>
                <w:rFonts w:hint="eastAsia" w:ascii="仿宋" w:hAnsi="仿宋" w:eastAsia="仿宋"/>
                <w:szCs w:val="21"/>
              </w:rPr>
            </w:pPr>
            <w:r>
              <w:rPr>
                <w:rFonts w:ascii="仿宋" w:hAnsi="仿宋" w:eastAsia="仿宋"/>
                <w:szCs w:val="21"/>
              </w:rPr>
              <w:t>《长治市政府采购供应商信用承诺函》</w:t>
            </w:r>
          </w:p>
          <w:p w14:paraId="24B5FB71">
            <w:pPr>
              <w:spacing w:line="280" w:lineRule="exact"/>
              <w:rPr>
                <w:rFonts w:hint="eastAsia" w:ascii="仿宋" w:hAnsi="仿宋" w:eastAsia="仿宋"/>
                <w:szCs w:val="21"/>
              </w:rPr>
            </w:pPr>
            <w:r>
              <w:rPr>
                <w:rFonts w:ascii="仿宋" w:hAnsi="仿宋" w:eastAsia="仿宋"/>
                <w:szCs w:val="21"/>
              </w:rPr>
              <w:t>内容完整，电子签章符合要求。</w:t>
            </w:r>
          </w:p>
        </w:tc>
        <w:tc>
          <w:tcPr>
            <w:tcW w:w="3373" w:type="dxa"/>
            <w:vAlign w:val="center"/>
          </w:tcPr>
          <w:p w14:paraId="747BD45F">
            <w:pPr>
              <w:spacing w:line="320" w:lineRule="exact"/>
              <w:rPr>
                <w:rFonts w:hint="eastAsia" w:ascii="仿宋" w:hAnsi="仿宋" w:eastAsia="仿宋"/>
                <w:szCs w:val="21"/>
              </w:rPr>
            </w:pPr>
            <w:r>
              <w:rPr>
                <w:rFonts w:ascii="仿宋" w:hAnsi="仿宋" w:eastAsia="仿宋"/>
                <w:szCs w:val="21"/>
              </w:rPr>
              <w:t>（1）具有独立承担民事责任的能力</w:t>
            </w:r>
          </w:p>
          <w:p w14:paraId="4D8F34CD">
            <w:pPr>
              <w:spacing w:line="320" w:lineRule="exact"/>
              <w:rPr>
                <w:rFonts w:hint="eastAsia" w:ascii="仿宋" w:hAnsi="仿宋" w:eastAsia="仿宋"/>
                <w:szCs w:val="21"/>
              </w:rPr>
            </w:pPr>
            <w:r>
              <w:rPr>
                <w:rFonts w:ascii="仿宋" w:hAnsi="仿宋" w:eastAsia="仿宋"/>
                <w:szCs w:val="21"/>
              </w:rPr>
              <w:t>（2）具有良好的商业信誉和健全的财务会计制度；</w:t>
            </w:r>
          </w:p>
          <w:p w14:paraId="09E972B8">
            <w:pPr>
              <w:spacing w:line="320" w:lineRule="exact"/>
              <w:rPr>
                <w:rFonts w:hint="eastAsia" w:ascii="仿宋" w:hAnsi="仿宋" w:eastAsia="仿宋"/>
                <w:szCs w:val="21"/>
              </w:rPr>
            </w:pPr>
            <w:r>
              <w:rPr>
                <w:rFonts w:ascii="仿宋" w:hAnsi="仿宋" w:eastAsia="仿宋"/>
                <w:szCs w:val="21"/>
              </w:rPr>
              <w:t>（3）具有履行合同所必需的设备和专业技术能力；</w:t>
            </w:r>
          </w:p>
          <w:p w14:paraId="5BE2B2F1">
            <w:pPr>
              <w:spacing w:line="320" w:lineRule="exact"/>
              <w:rPr>
                <w:rFonts w:hint="eastAsia" w:ascii="仿宋" w:hAnsi="仿宋" w:eastAsia="仿宋"/>
                <w:szCs w:val="21"/>
              </w:rPr>
            </w:pPr>
            <w:r>
              <w:rPr>
                <w:rFonts w:ascii="仿宋" w:hAnsi="仿宋" w:eastAsia="仿宋"/>
                <w:szCs w:val="21"/>
              </w:rPr>
              <w:t>（4）有依法缴纳税收和社会保障资金的良好记录；</w:t>
            </w:r>
          </w:p>
          <w:p w14:paraId="22F7A6F0">
            <w:pPr>
              <w:spacing w:line="320" w:lineRule="exact"/>
              <w:rPr>
                <w:rFonts w:hint="eastAsia" w:ascii="仿宋" w:hAnsi="仿宋" w:eastAsia="仿宋"/>
                <w:szCs w:val="21"/>
              </w:rPr>
            </w:pPr>
            <w:r>
              <w:rPr>
                <w:rFonts w:ascii="仿宋" w:hAnsi="仿宋" w:eastAsia="仿宋"/>
                <w:szCs w:val="21"/>
              </w:rPr>
              <w:t>（5）参加政府采购活动前三年内，在经营活动中没有重大违法记录；</w:t>
            </w:r>
          </w:p>
          <w:p w14:paraId="11CC016F">
            <w:pPr>
              <w:spacing w:line="320" w:lineRule="exact"/>
              <w:rPr>
                <w:rFonts w:hint="eastAsia" w:ascii="仿宋" w:hAnsi="仿宋" w:eastAsia="仿宋"/>
                <w:szCs w:val="21"/>
              </w:rPr>
            </w:pPr>
            <w:r>
              <w:rPr>
                <w:rFonts w:ascii="仿宋" w:hAnsi="仿宋" w:eastAsia="仿宋"/>
                <w:szCs w:val="21"/>
              </w:rPr>
              <w:t>（6）法律、行政法规规定的其他条件。</w:t>
            </w:r>
          </w:p>
          <w:p w14:paraId="5A5FB44C">
            <w:pPr>
              <w:spacing w:line="320" w:lineRule="exact"/>
              <w:rPr>
                <w:rFonts w:hint="eastAsia" w:ascii="仿宋" w:hAnsi="仿宋" w:eastAsia="仿宋"/>
                <w:b/>
                <w:szCs w:val="21"/>
              </w:rPr>
            </w:pPr>
            <w:r>
              <w:rPr>
                <w:rFonts w:hint="eastAsia" w:ascii="仿宋" w:hAnsi="仿宋" w:eastAsia="仿宋"/>
                <w:b/>
                <w:szCs w:val="21"/>
              </w:rPr>
              <w:t>以上</w:t>
            </w:r>
            <w:r>
              <w:rPr>
                <w:rFonts w:ascii="仿宋" w:hAnsi="仿宋" w:eastAsia="仿宋"/>
                <w:b/>
                <w:szCs w:val="21"/>
              </w:rPr>
              <w:t>6条仅需提供《长治市政府采购供应商信用承诺函》并加盖电子公章；</w:t>
            </w:r>
          </w:p>
          <w:p w14:paraId="2494B18F">
            <w:pPr>
              <w:spacing w:line="280" w:lineRule="exact"/>
              <w:rPr>
                <w:rFonts w:hint="eastAsia" w:ascii="仿宋" w:hAnsi="仿宋" w:eastAsia="仿宋"/>
                <w:szCs w:val="21"/>
              </w:rPr>
            </w:pPr>
          </w:p>
        </w:tc>
      </w:tr>
      <w:tr w14:paraId="1E92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AA925A9">
            <w:pPr>
              <w:spacing w:line="280" w:lineRule="exact"/>
              <w:jc w:val="center"/>
              <w:rPr>
                <w:rFonts w:hint="eastAsia" w:ascii="仿宋" w:hAnsi="仿宋" w:eastAsia="仿宋"/>
                <w:szCs w:val="21"/>
              </w:rPr>
            </w:pPr>
            <w:r>
              <w:rPr>
                <w:rFonts w:ascii="仿宋" w:hAnsi="仿宋" w:eastAsia="仿宋"/>
                <w:szCs w:val="21"/>
              </w:rPr>
              <w:t>2</w:t>
            </w:r>
          </w:p>
        </w:tc>
        <w:tc>
          <w:tcPr>
            <w:tcW w:w="4961" w:type="dxa"/>
            <w:vAlign w:val="center"/>
          </w:tcPr>
          <w:p w14:paraId="3B039731">
            <w:pPr>
              <w:spacing w:line="280" w:lineRule="exact"/>
              <w:rPr>
                <w:rFonts w:ascii="仿宋" w:hAnsi="仿宋" w:eastAsia="仿宋"/>
                <w:color w:val="auto"/>
                <w:szCs w:val="21"/>
                <w:shd w:val="clear" w:color="auto" w:fill="auto"/>
              </w:rPr>
            </w:pPr>
            <w:r>
              <w:rPr>
                <w:rFonts w:ascii="仿宋" w:hAnsi="仿宋" w:eastAsia="仿宋"/>
                <w:color w:val="auto"/>
                <w:szCs w:val="21"/>
                <w:shd w:val="clear" w:color="auto" w:fill="auto"/>
              </w:rPr>
              <w:t>本项目的特定资格要求（涉及）</w:t>
            </w:r>
          </w:p>
          <w:p w14:paraId="66169670">
            <w:pPr>
              <w:spacing w:line="280" w:lineRule="exact"/>
              <w:rPr>
                <w:rFonts w:hint="eastAsia" w:ascii="仿宋" w:hAnsi="仿宋" w:eastAsia="仿宋"/>
                <w:color w:val="auto"/>
                <w:szCs w:val="21"/>
                <w:shd w:val="clear" w:color="auto" w:fill="auto"/>
              </w:rPr>
            </w:pPr>
            <w:r>
              <w:rPr>
                <w:rFonts w:hint="eastAsia" w:ascii="仿宋" w:hAnsi="仿宋" w:eastAsia="仿宋"/>
                <w:color w:val="auto"/>
                <w:szCs w:val="21"/>
                <w:shd w:val="clear" w:color="auto" w:fill="auto"/>
              </w:rPr>
              <w:t>供应商属于医疗器械生产企业直接参加投标的，所投产品属于二类医疗器械的须提供生产企业许可证、经营备案凭证、医疗器械注册证（生产商在其住所或者生产地址销售其注册、备案的医疗器械，无需提供）；供应商属于医疗器械经营企业参加投标的，所投产品属于二类医疗器械的须提供经营备案凭证、医疗器械注册证。</w:t>
            </w:r>
          </w:p>
        </w:tc>
        <w:tc>
          <w:tcPr>
            <w:tcW w:w="3373" w:type="dxa"/>
            <w:vAlign w:val="center"/>
          </w:tcPr>
          <w:p w14:paraId="0B9642EC">
            <w:pPr>
              <w:spacing w:line="280" w:lineRule="exact"/>
              <w:rPr>
                <w:rFonts w:hint="eastAsia" w:ascii="仿宋" w:hAnsi="仿宋" w:eastAsia="仿宋"/>
                <w:color w:val="auto"/>
                <w:szCs w:val="21"/>
                <w:shd w:val="clear" w:color="auto" w:fill="auto"/>
              </w:rPr>
            </w:pPr>
            <w:r>
              <w:rPr>
                <w:rFonts w:hint="eastAsia" w:ascii="仿宋" w:hAnsi="仿宋" w:eastAsia="仿宋"/>
                <w:color w:val="auto"/>
                <w:szCs w:val="21"/>
                <w:shd w:val="clear" w:color="auto" w:fill="auto"/>
              </w:rPr>
              <w:t>证明材料须符合要求、有效、完整。须加盖电子公章。</w:t>
            </w:r>
          </w:p>
        </w:tc>
      </w:tr>
      <w:tr w14:paraId="18E5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4B09DAF">
            <w:pPr>
              <w:spacing w:line="280" w:lineRule="exact"/>
              <w:jc w:val="center"/>
              <w:rPr>
                <w:rFonts w:hint="eastAsia" w:ascii="仿宋" w:hAnsi="仿宋" w:eastAsia="仿宋"/>
                <w:szCs w:val="21"/>
              </w:rPr>
            </w:pPr>
            <w:r>
              <w:rPr>
                <w:rFonts w:ascii="仿宋" w:hAnsi="仿宋" w:eastAsia="仿宋"/>
                <w:szCs w:val="21"/>
              </w:rPr>
              <w:t>3</w:t>
            </w:r>
          </w:p>
        </w:tc>
        <w:tc>
          <w:tcPr>
            <w:tcW w:w="4961" w:type="dxa"/>
            <w:vAlign w:val="center"/>
          </w:tcPr>
          <w:p w14:paraId="093F3714">
            <w:pPr>
              <w:spacing w:line="280" w:lineRule="exact"/>
              <w:rPr>
                <w:rFonts w:ascii="仿宋" w:hAnsi="仿宋" w:eastAsia="仿宋"/>
                <w:color w:val="auto"/>
                <w:szCs w:val="21"/>
              </w:rPr>
            </w:pPr>
            <w:r>
              <w:rPr>
                <w:rFonts w:ascii="仿宋" w:hAnsi="仿宋" w:eastAsia="仿宋"/>
                <w:color w:val="auto"/>
                <w:szCs w:val="21"/>
              </w:rPr>
              <w:t>投标保证金的交纳及开户许可证（若涉及）</w:t>
            </w:r>
          </w:p>
          <w:p w14:paraId="6E4B402A">
            <w:pPr>
              <w:spacing w:line="280" w:lineRule="exact"/>
              <w:rPr>
                <w:rFonts w:hint="eastAsia" w:ascii="仿宋" w:hAnsi="仿宋" w:eastAsia="仿宋"/>
                <w:color w:val="auto"/>
                <w:szCs w:val="21"/>
              </w:rPr>
            </w:pPr>
            <w:r>
              <w:rPr>
                <w:rFonts w:ascii="仿宋" w:hAnsi="仿宋" w:eastAsia="仿宋"/>
                <w:color w:val="auto"/>
                <w:szCs w:val="21"/>
              </w:rPr>
              <w:t>若本项目收取投标保证金，须提供投标人基本存款账户开户许可证（已取消企业银行账户许可的提供银行证明或提供取消企业银行账户许可的相关公告）扫描件及投标保证金交纳回单（或回执）。</w:t>
            </w:r>
          </w:p>
          <w:p w14:paraId="7BCFBE3A">
            <w:pPr>
              <w:spacing w:line="280" w:lineRule="exact"/>
              <w:rPr>
                <w:rFonts w:hint="eastAsia" w:ascii="仿宋" w:hAnsi="仿宋" w:eastAsia="仿宋"/>
                <w:color w:val="auto"/>
                <w:szCs w:val="21"/>
              </w:rPr>
            </w:pPr>
            <w:r>
              <w:rPr>
                <w:rFonts w:ascii="仿宋" w:hAnsi="仿宋" w:eastAsia="仿宋"/>
                <w:color w:val="auto"/>
                <w:szCs w:val="21"/>
              </w:rPr>
              <w:t>保证金要求足额交纳，且从投标人的基本存款账户转出。</w:t>
            </w:r>
          </w:p>
          <w:p w14:paraId="335E50DB">
            <w:pPr>
              <w:spacing w:line="280" w:lineRule="exact"/>
              <w:rPr>
                <w:rFonts w:hint="eastAsia" w:ascii="仿宋" w:hAnsi="仿宋" w:eastAsia="仿宋"/>
                <w:color w:val="auto"/>
                <w:szCs w:val="21"/>
              </w:rPr>
            </w:pPr>
          </w:p>
        </w:tc>
        <w:tc>
          <w:tcPr>
            <w:tcW w:w="3373" w:type="dxa"/>
            <w:vAlign w:val="center"/>
          </w:tcPr>
          <w:p w14:paraId="4E6B7B02">
            <w:pPr>
              <w:spacing w:line="280" w:lineRule="exact"/>
              <w:rPr>
                <w:rFonts w:hint="eastAsia" w:ascii="仿宋" w:hAnsi="仿宋" w:eastAsia="仿宋"/>
                <w:color w:val="auto"/>
                <w:szCs w:val="21"/>
              </w:rPr>
            </w:pPr>
            <w:r>
              <w:rPr>
                <w:rFonts w:ascii="仿宋" w:hAnsi="仿宋" w:eastAsia="仿宋"/>
                <w:color w:val="auto"/>
                <w:szCs w:val="21"/>
              </w:rPr>
              <w:t>任意一项证明文件扫描件清晰，须加盖电子公章。</w:t>
            </w:r>
          </w:p>
        </w:tc>
      </w:tr>
      <w:tr w14:paraId="35DD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966269B">
            <w:pPr>
              <w:spacing w:line="280" w:lineRule="exact"/>
              <w:jc w:val="center"/>
              <w:rPr>
                <w:rFonts w:hint="eastAsia" w:ascii="仿宋" w:hAnsi="仿宋" w:eastAsia="仿宋"/>
                <w:szCs w:val="21"/>
              </w:rPr>
            </w:pPr>
            <w:r>
              <w:rPr>
                <w:rFonts w:ascii="仿宋" w:hAnsi="仿宋" w:eastAsia="仿宋"/>
                <w:szCs w:val="21"/>
              </w:rPr>
              <w:t>4</w:t>
            </w:r>
          </w:p>
        </w:tc>
        <w:tc>
          <w:tcPr>
            <w:tcW w:w="4961" w:type="dxa"/>
            <w:vAlign w:val="center"/>
          </w:tcPr>
          <w:p w14:paraId="2EF16B0C">
            <w:pPr>
              <w:spacing w:line="280" w:lineRule="exact"/>
              <w:rPr>
                <w:rFonts w:ascii="仿宋" w:hAnsi="仿宋" w:eastAsia="仿宋"/>
                <w:color w:val="auto"/>
                <w:szCs w:val="21"/>
              </w:rPr>
            </w:pPr>
            <w:r>
              <w:rPr>
                <w:rFonts w:ascii="仿宋" w:hAnsi="仿宋" w:eastAsia="仿宋"/>
                <w:color w:val="auto"/>
                <w:szCs w:val="21"/>
              </w:rPr>
              <w:t>联合体投标（若涉及）</w:t>
            </w:r>
          </w:p>
          <w:p w14:paraId="1EE3DCAE">
            <w:pPr>
              <w:spacing w:line="280" w:lineRule="exact"/>
              <w:rPr>
                <w:rFonts w:hint="eastAsia" w:ascii="仿宋" w:hAnsi="仿宋" w:eastAsia="仿宋"/>
                <w:color w:val="auto"/>
                <w:szCs w:val="21"/>
              </w:rPr>
            </w:pPr>
            <w:r>
              <w:rPr>
                <w:rFonts w:ascii="仿宋" w:hAnsi="仿宋" w:eastAsia="仿宋"/>
                <w:color w:val="auto"/>
                <w:szCs w:val="21"/>
              </w:rPr>
              <w:t>若本项目允许联合体参加投标，须对联合体各方签订的《联合投标协议书》进行审查。</w:t>
            </w:r>
          </w:p>
          <w:p w14:paraId="2695C6EB">
            <w:pPr>
              <w:spacing w:line="280" w:lineRule="exact"/>
              <w:jc w:val="center"/>
              <w:rPr>
                <w:rFonts w:hint="eastAsia" w:ascii="仿宋" w:hAnsi="仿宋" w:eastAsia="仿宋"/>
                <w:color w:val="auto"/>
                <w:szCs w:val="21"/>
              </w:rPr>
            </w:pPr>
          </w:p>
        </w:tc>
        <w:tc>
          <w:tcPr>
            <w:tcW w:w="3373" w:type="dxa"/>
            <w:vAlign w:val="center"/>
          </w:tcPr>
          <w:p w14:paraId="5AFCF8B1">
            <w:pPr>
              <w:spacing w:line="280" w:lineRule="exact"/>
              <w:rPr>
                <w:rFonts w:hint="eastAsia" w:ascii="仿宋" w:hAnsi="仿宋" w:eastAsia="仿宋"/>
                <w:color w:val="auto"/>
                <w:szCs w:val="21"/>
              </w:rPr>
            </w:pPr>
            <w:r>
              <w:rPr>
                <w:rFonts w:hint="eastAsia" w:ascii="仿宋" w:hAnsi="仿宋" w:eastAsia="仿宋"/>
                <w:color w:val="auto"/>
                <w:szCs w:val="21"/>
                <w:shd w:val="clear" w:color="auto" w:fill="auto"/>
              </w:rPr>
              <w:t>证明材料须符合要求、有效、完整。须加盖电子公章。</w:t>
            </w:r>
          </w:p>
        </w:tc>
      </w:tr>
      <w:tr w14:paraId="1AB6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3FCFCA">
            <w:pPr>
              <w:spacing w:line="280" w:lineRule="exact"/>
              <w:jc w:val="center"/>
              <w:rPr>
                <w:rFonts w:hint="eastAsia" w:ascii="仿宋" w:hAnsi="仿宋" w:eastAsia="仿宋"/>
                <w:szCs w:val="21"/>
              </w:rPr>
            </w:pPr>
            <w:r>
              <w:rPr>
                <w:rFonts w:ascii="仿宋" w:hAnsi="仿宋" w:eastAsia="仿宋"/>
                <w:szCs w:val="21"/>
              </w:rPr>
              <w:t>5</w:t>
            </w:r>
          </w:p>
        </w:tc>
        <w:tc>
          <w:tcPr>
            <w:tcW w:w="4961" w:type="dxa"/>
            <w:vAlign w:val="center"/>
          </w:tcPr>
          <w:p w14:paraId="07132605">
            <w:pPr>
              <w:jc w:val="both"/>
              <w:rPr>
                <w:rFonts w:hint="eastAsia" w:ascii="仿宋" w:hAnsi="仿宋" w:eastAsia="仿宋"/>
              </w:rPr>
            </w:pPr>
            <w:r>
              <w:rPr>
                <w:rFonts w:ascii="仿宋" w:hAnsi="仿宋" w:eastAsia="仿宋"/>
              </w:rPr>
              <w:t>涉及政府采购政策要求内容</w:t>
            </w:r>
            <w:r>
              <w:rPr>
                <w:rFonts w:hint="eastAsia" w:ascii="仿宋" w:hAnsi="仿宋" w:eastAsia="仿宋"/>
              </w:rPr>
              <w:t>（若涉及）</w:t>
            </w:r>
          </w:p>
        </w:tc>
        <w:tc>
          <w:tcPr>
            <w:tcW w:w="3373" w:type="dxa"/>
            <w:vAlign w:val="center"/>
          </w:tcPr>
          <w:p w14:paraId="04A632AF">
            <w:pPr>
              <w:rPr>
                <w:rFonts w:hint="eastAsia" w:ascii="仿宋" w:hAnsi="仿宋" w:eastAsia="仿宋"/>
              </w:rPr>
            </w:pPr>
            <w:r>
              <w:rPr>
                <w:rFonts w:ascii="仿宋" w:hAnsi="仿宋" w:eastAsia="仿宋"/>
              </w:rPr>
              <w:t xml:space="preserve">（1）中小企业声明函 </w:t>
            </w:r>
            <w:r>
              <w:rPr>
                <w:rFonts w:hint="eastAsia" w:ascii="仿宋" w:hAnsi="仿宋" w:eastAsia="仿宋"/>
              </w:rPr>
              <w:t>（若涉及）</w:t>
            </w:r>
          </w:p>
          <w:p w14:paraId="76F32522">
            <w:pPr>
              <w:rPr>
                <w:rFonts w:hint="eastAsia" w:ascii="仿宋" w:hAnsi="仿宋" w:eastAsia="仿宋"/>
              </w:rPr>
            </w:pPr>
            <w:r>
              <w:rPr>
                <w:rFonts w:ascii="仿宋" w:hAnsi="仿宋" w:eastAsia="仿宋"/>
              </w:rPr>
              <w:t>（2）残疾人福利性单位声明函</w:t>
            </w:r>
            <w:r>
              <w:rPr>
                <w:rFonts w:hint="eastAsia" w:ascii="仿宋" w:hAnsi="仿宋" w:eastAsia="仿宋"/>
              </w:rPr>
              <w:t>（若涉及）</w:t>
            </w:r>
          </w:p>
          <w:p w14:paraId="68E48714">
            <w:pPr>
              <w:rPr>
                <w:rFonts w:hint="eastAsia" w:ascii="仿宋" w:hAnsi="仿宋" w:eastAsia="仿宋"/>
              </w:rPr>
            </w:pPr>
            <w:r>
              <w:rPr>
                <w:rFonts w:ascii="仿宋" w:hAnsi="仿宋" w:eastAsia="仿宋"/>
              </w:rPr>
              <w:t>（3）监狱企业证明函</w:t>
            </w:r>
            <w:r>
              <w:rPr>
                <w:rFonts w:hint="eastAsia" w:ascii="仿宋" w:hAnsi="仿宋" w:eastAsia="仿宋"/>
              </w:rPr>
              <w:t>（若涉及）</w:t>
            </w:r>
          </w:p>
          <w:p w14:paraId="221F02AD">
            <w:pPr>
              <w:spacing w:line="280" w:lineRule="exact"/>
              <w:rPr>
                <w:rFonts w:hint="eastAsia" w:ascii="仿宋" w:hAnsi="仿宋" w:eastAsia="仿宋"/>
                <w:szCs w:val="21"/>
              </w:rPr>
            </w:pPr>
            <w:r>
              <w:rPr>
                <w:rFonts w:ascii="仿宋" w:hAnsi="仿宋" w:eastAsia="仿宋"/>
              </w:rPr>
              <w:t>内容完整，加盖投标人电子公章。</w:t>
            </w:r>
          </w:p>
        </w:tc>
      </w:tr>
    </w:tbl>
    <w:p w14:paraId="65DB5876">
      <w:pPr>
        <w:spacing w:line="360" w:lineRule="exact"/>
        <w:rPr>
          <w:rFonts w:hint="eastAsia" w:ascii="仿宋" w:hAnsi="仿宋" w:eastAsia="仿宋"/>
          <w:szCs w:val="21"/>
        </w:rPr>
      </w:pPr>
      <w:r>
        <w:rPr>
          <w:rFonts w:hint="eastAsia" w:ascii="仿宋" w:hAnsi="仿宋" w:eastAsia="仿宋"/>
          <w:szCs w:val="21"/>
        </w:rPr>
        <w:t>注：1.资格检查的内容若有一项未提供或达不到检查标准，将导致其不具备投标资格，且不允许在开标后补正。</w:t>
      </w:r>
    </w:p>
    <w:p w14:paraId="2ADD9ADC">
      <w:pPr>
        <w:spacing w:line="360" w:lineRule="exact"/>
        <w:ind w:firstLine="420" w:firstLineChars="200"/>
        <w:outlineLvl w:val="1"/>
        <w:rPr>
          <w:rFonts w:hint="eastAsia" w:ascii="仿宋" w:hAnsi="仿宋" w:eastAsia="仿宋"/>
          <w:szCs w:val="21"/>
        </w:rPr>
      </w:pPr>
      <w:r>
        <w:rPr>
          <w:rFonts w:hint="eastAsia" w:ascii="仿宋" w:hAnsi="仿宋" w:eastAsia="仿宋"/>
          <w:szCs w:val="21"/>
        </w:rPr>
        <w:t>2.以上任意一项证明文件清晰有效、符合要求。</w:t>
      </w:r>
    </w:p>
    <w:p w14:paraId="128AA44B">
      <w:pPr>
        <w:spacing w:line="360" w:lineRule="exact"/>
        <w:ind w:firstLine="420" w:firstLineChars="200"/>
        <w:rPr>
          <w:rFonts w:hint="eastAsia" w:ascii="仿宋" w:hAnsi="仿宋" w:eastAsia="仿宋"/>
          <w:szCs w:val="21"/>
        </w:rPr>
      </w:pPr>
      <w:r>
        <w:rPr>
          <w:rFonts w:hint="eastAsia" w:ascii="仿宋" w:hAnsi="仿宋" w:eastAsia="仿宋"/>
          <w:szCs w:val="21"/>
        </w:rPr>
        <w:t>3.资格审查中通过信用中国网站、中国政府采购网查询的内容有失信记录且在执行期间的，资格审查不予通过，投标文件无效。</w:t>
      </w:r>
    </w:p>
    <w:p w14:paraId="6BCD97D4">
      <w:pPr>
        <w:spacing w:line="360" w:lineRule="exact"/>
        <w:ind w:firstLine="420" w:firstLineChars="200"/>
        <w:outlineLvl w:val="1"/>
        <w:rPr>
          <w:rFonts w:hint="eastAsia" w:ascii="仿宋" w:hAnsi="仿宋" w:eastAsia="仿宋"/>
        </w:rPr>
      </w:pPr>
      <w:r>
        <w:rPr>
          <w:rFonts w:hint="eastAsia" w:ascii="仿宋" w:hAnsi="仿宋" w:eastAsia="仿宋"/>
        </w:rPr>
        <w:t>4.投标人提供的其他材料，不作为资格检查的内容。</w:t>
      </w:r>
      <w:bookmarkStart w:id="80" w:name="_Toc28161"/>
    </w:p>
    <w:p w14:paraId="3058D153">
      <w:pPr>
        <w:spacing w:line="360" w:lineRule="exact"/>
        <w:rPr>
          <w:rFonts w:hint="eastAsia" w:ascii="仿宋" w:hAnsi="仿宋" w:eastAsia="仿宋"/>
        </w:rPr>
      </w:pPr>
      <w:r>
        <w:rPr>
          <w:rFonts w:hint="eastAsia" w:ascii="仿宋" w:hAnsi="仿宋" w:eastAsia="仿宋"/>
        </w:rPr>
        <w:t>说明：1.供应商在投标时，按照规定提供长治市政府采购供应商信用承诺函（详见附件），无需再提交以下6项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未被列入失信被执行人、重大税收违法案件当事人名单政府采购严重违法失信行为记录名单的证明材料。2.采购人有权在签订合同前要求中标供应商提供相关证明材料以核实中标供应商承诺事项的真实性。</w:t>
      </w:r>
    </w:p>
    <w:p w14:paraId="5A631ECA">
      <w:pPr>
        <w:pStyle w:val="76"/>
        <w:pageBreakBefore/>
        <w:snapToGrid w:val="0"/>
        <w:spacing w:before="0" w:after="0"/>
        <w:ind w:left="0" w:firstLine="0"/>
        <w:rPr>
          <w:rFonts w:hint="eastAsia" w:ascii="仿宋" w:hAnsi="仿宋" w:eastAsia="仿宋"/>
        </w:rPr>
      </w:pPr>
      <w:bookmarkStart w:id="81" w:name="_Toc26881703"/>
      <w:r>
        <w:rPr>
          <w:rFonts w:hint="eastAsia" w:ascii="仿宋" w:hAnsi="仿宋" w:eastAsia="仿宋"/>
          <w:spacing w:val="20"/>
          <w:szCs w:val="28"/>
        </w:rPr>
        <w:t xml:space="preserve">第六部分 </w:t>
      </w:r>
      <w:bookmarkEnd w:id="80"/>
      <w:bookmarkEnd w:id="81"/>
      <w:r>
        <w:rPr>
          <w:rFonts w:hint="eastAsia" w:ascii="仿宋" w:hAnsi="仿宋" w:eastAsia="仿宋"/>
          <w:spacing w:val="20"/>
          <w:szCs w:val="28"/>
        </w:rPr>
        <w:t>符合性审查内容</w:t>
      </w:r>
    </w:p>
    <w:p w14:paraId="27A109B8">
      <w:pPr>
        <w:pStyle w:val="79"/>
        <w:snapToGrid w:val="0"/>
        <w:spacing w:line="480" w:lineRule="exact"/>
        <w:ind w:firstLine="316" w:firstLineChars="150"/>
        <w:outlineLvl w:val="1"/>
        <w:rPr>
          <w:rFonts w:hint="eastAsia" w:ascii="仿宋" w:hAnsi="仿宋" w:eastAsia="仿宋"/>
          <w:b/>
        </w:rPr>
      </w:pPr>
      <w:r>
        <w:rPr>
          <w:rFonts w:hint="eastAsia" w:ascii="仿宋" w:hAnsi="仿宋" w:eastAsia="仿宋"/>
          <w:b/>
        </w:rPr>
        <w:t>一、符合性审查的内容及标准</w:t>
      </w:r>
    </w:p>
    <w:tbl>
      <w:tblPr>
        <w:tblStyle w:val="39"/>
        <w:tblW w:w="95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0"/>
        <w:gridCol w:w="2615"/>
        <w:gridCol w:w="5885"/>
      </w:tblGrid>
      <w:tr w14:paraId="6D35F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67FEA59E">
            <w:pPr>
              <w:jc w:val="center"/>
              <w:rPr>
                <w:rFonts w:hint="eastAsia" w:ascii="仿宋" w:hAnsi="仿宋" w:eastAsia="仿宋"/>
              </w:rPr>
            </w:pPr>
            <w:r>
              <w:rPr>
                <w:rFonts w:ascii="仿宋" w:hAnsi="仿宋" w:eastAsia="仿宋"/>
              </w:rPr>
              <w:t>序号</w:t>
            </w:r>
          </w:p>
        </w:tc>
        <w:tc>
          <w:tcPr>
            <w:tcW w:w="2615" w:type="dxa"/>
          </w:tcPr>
          <w:p w14:paraId="2F248D12">
            <w:pPr>
              <w:jc w:val="center"/>
              <w:rPr>
                <w:rFonts w:hint="eastAsia" w:ascii="仿宋" w:hAnsi="仿宋" w:eastAsia="仿宋"/>
              </w:rPr>
            </w:pPr>
            <w:r>
              <w:rPr>
                <w:rFonts w:ascii="仿宋" w:hAnsi="仿宋" w:eastAsia="仿宋"/>
              </w:rPr>
              <w:t>要求</w:t>
            </w:r>
          </w:p>
        </w:tc>
        <w:tc>
          <w:tcPr>
            <w:tcW w:w="5885" w:type="dxa"/>
          </w:tcPr>
          <w:p w14:paraId="2844A9E2">
            <w:pPr>
              <w:jc w:val="center"/>
              <w:rPr>
                <w:rFonts w:hint="eastAsia" w:ascii="仿宋" w:hAnsi="仿宋" w:eastAsia="仿宋"/>
              </w:rPr>
            </w:pPr>
            <w:r>
              <w:rPr>
                <w:rFonts w:ascii="仿宋" w:hAnsi="仿宋" w:eastAsia="仿宋"/>
              </w:rPr>
              <w:t>要求说明</w:t>
            </w:r>
          </w:p>
        </w:tc>
      </w:tr>
      <w:tr w14:paraId="5A44E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4AF95529">
            <w:pPr>
              <w:jc w:val="center"/>
              <w:rPr>
                <w:rFonts w:hint="eastAsia" w:ascii="仿宋" w:hAnsi="仿宋" w:eastAsia="仿宋"/>
                <w:b/>
              </w:rPr>
            </w:pPr>
            <w:r>
              <w:rPr>
                <w:rFonts w:ascii="仿宋" w:hAnsi="仿宋" w:eastAsia="仿宋"/>
                <w:b/>
              </w:rPr>
              <w:t>商务资信</w:t>
            </w:r>
          </w:p>
        </w:tc>
      </w:tr>
      <w:tr w14:paraId="7C635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1FF47936">
            <w:pPr>
              <w:jc w:val="center"/>
              <w:rPr>
                <w:rFonts w:hint="eastAsia" w:ascii="仿宋" w:hAnsi="仿宋" w:eastAsia="仿宋"/>
              </w:rPr>
            </w:pPr>
            <w:r>
              <w:rPr>
                <w:rFonts w:hint="eastAsia" w:ascii="仿宋" w:hAnsi="仿宋" w:eastAsia="仿宋"/>
              </w:rPr>
              <w:t>1</w:t>
            </w:r>
          </w:p>
        </w:tc>
        <w:tc>
          <w:tcPr>
            <w:tcW w:w="2615" w:type="dxa"/>
            <w:vAlign w:val="center"/>
          </w:tcPr>
          <w:p w14:paraId="00DAD4ED">
            <w:pPr>
              <w:jc w:val="center"/>
              <w:rPr>
                <w:rFonts w:hint="eastAsia" w:ascii="仿宋" w:hAnsi="仿宋" w:eastAsia="仿宋"/>
              </w:rPr>
            </w:pPr>
            <w:r>
              <w:rPr>
                <w:rFonts w:hint="eastAsia" w:ascii="仿宋" w:hAnsi="仿宋" w:eastAsia="仿宋"/>
              </w:rPr>
              <w:t>投标人代表的证明</w:t>
            </w:r>
          </w:p>
        </w:tc>
        <w:tc>
          <w:tcPr>
            <w:tcW w:w="5885" w:type="dxa"/>
          </w:tcPr>
          <w:p w14:paraId="66274670">
            <w:pPr>
              <w:rPr>
                <w:rFonts w:hint="eastAsia" w:ascii="仿宋" w:hAnsi="仿宋" w:eastAsia="仿宋"/>
              </w:rPr>
            </w:pPr>
            <w:r>
              <w:rPr>
                <w:rFonts w:hint="eastAsia" w:ascii="仿宋" w:hAnsi="仿宋" w:eastAsia="仿宋"/>
              </w:rPr>
              <w:t>（1）法定代表人参加投标的，提供“法定代表人身份证明书”；</w:t>
            </w:r>
          </w:p>
          <w:p w14:paraId="0BC61554">
            <w:pPr>
              <w:rPr>
                <w:rFonts w:hint="eastAsia" w:ascii="仿宋" w:hAnsi="仿宋" w:eastAsia="仿宋"/>
              </w:rPr>
            </w:pPr>
            <w:r>
              <w:rPr>
                <w:rFonts w:hint="eastAsia" w:ascii="仿宋" w:hAnsi="仿宋" w:eastAsia="仿宋"/>
              </w:rPr>
              <w:t>（2）委托代理人参加投标的，提供“法定代表人授权委托书”；</w:t>
            </w:r>
          </w:p>
          <w:p w14:paraId="492CDFE7">
            <w:pPr>
              <w:rPr>
                <w:rFonts w:hint="eastAsia" w:ascii="仿宋" w:hAnsi="仿宋" w:eastAsia="仿宋"/>
              </w:rPr>
            </w:pPr>
            <w:r>
              <w:rPr>
                <w:rFonts w:hint="eastAsia" w:ascii="仿宋" w:hAnsi="仿宋" w:eastAsia="仿宋"/>
              </w:rPr>
              <w:t>（3）自然人参加投标的，提供个人身份证明扫描件；</w:t>
            </w:r>
          </w:p>
          <w:p w14:paraId="59967716">
            <w:pPr>
              <w:rPr>
                <w:rFonts w:hint="eastAsia" w:ascii="仿宋" w:hAnsi="仿宋" w:eastAsia="仿宋"/>
              </w:rPr>
            </w:pPr>
            <w:r>
              <w:rPr>
                <w:rFonts w:hint="eastAsia" w:ascii="仿宋" w:hAnsi="仿宋" w:eastAsia="仿宋"/>
              </w:rPr>
              <w:t>内容完整，投标人电子签章符合要求。</w:t>
            </w:r>
          </w:p>
        </w:tc>
      </w:tr>
      <w:tr w14:paraId="261B4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0ADFE48E">
            <w:pPr>
              <w:jc w:val="center"/>
              <w:rPr>
                <w:rFonts w:hint="eastAsia" w:ascii="仿宋" w:hAnsi="仿宋" w:eastAsia="仿宋"/>
              </w:rPr>
            </w:pPr>
            <w:r>
              <w:rPr>
                <w:rFonts w:hint="eastAsia" w:ascii="仿宋" w:hAnsi="仿宋" w:eastAsia="仿宋"/>
              </w:rPr>
              <w:t>2</w:t>
            </w:r>
          </w:p>
        </w:tc>
        <w:tc>
          <w:tcPr>
            <w:tcW w:w="2615" w:type="dxa"/>
            <w:vAlign w:val="center"/>
          </w:tcPr>
          <w:p w14:paraId="4A4FD774">
            <w:pPr>
              <w:jc w:val="center"/>
              <w:rPr>
                <w:rFonts w:hint="eastAsia" w:ascii="仿宋" w:hAnsi="仿宋" w:eastAsia="仿宋"/>
              </w:rPr>
            </w:pPr>
            <w:r>
              <w:rPr>
                <w:rFonts w:hint="eastAsia" w:ascii="仿宋" w:hAnsi="仿宋" w:eastAsia="仿宋"/>
              </w:rPr>
              <w:t>投标函</w:t>
            </w:r>
          </w:p>
        </w:tc>
        <w:tc>
          <w:tcPr>
            <w:tcW w:w="5885" w:type="dxa"/>
          </w:tcPr>
          <w:p w14:paraId="74095BFF">
            <w:pPr>
              <w:rPr>
                <w:rFonts w:hint="eastAsia" w:ascii="仿宋" w:hAnsi="仿宋" w:eastAsia="仿宋"/>
              </w:rPr>
            </w:pPr>
            <w:r>
              <w:rPr>
                <w:rFonts w:hint="eastAsia" w:ascii="仿宋" w:hAnsi="仿宋" w:eastAsia="仿宋"/>
              </w:rPr>
              <w:t>内容完整，满足招标文件规定的报价有效期，须加盖电子公章。</w:t>
            </w:r>
          </w:p>
        </w:tc>
      </w:tr>
      <w:tr w14:paraId="5E8C4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7F13DDB2">
            <w:pPr>
              <w:jc w:val="center"/>
              <w:rPr>
                <w:rFonts w:hint="eastAsia" w:ascii="仿宋" w:hAnsi="仿宋" w:eastAsia="仿宋"/>
              </w:rPr>
            </w:pPr>
            <w:r>
              <w:rPr>
                <w:rFonts w:hint="eastAsia" w:ascii="仿宋" w:hAnsi="仿宋" w:eastAsia="仿宋"/>
              </w:rPr>
              <w:t>3</w:t>
            </w:r>
          </w:p>
        </w:tc>
        <w:tc>
          <w:tcPr>
            <w:tcW w:w="2615" w:type="dxa"/>
            <w:vAlign w:val="center"/>
          </w:tcPr>
          <w:p w14:paraId="382CE3F6">
            <w:pPr>
              <w:jc w:val="center"/>
              <w:rPr>
                <w:rFonts w:hint="eastAsia" w:ascii="仿宋" w:hAnsi="仿宋" w:eastAsia="仿宋"/>
              </w:rPr>
            </w:pPr>
            <w:r>
              <w:rPr>
                <w:rFonts w:hint="eastAsia" w:ascii="仿宋" w:hAnsi="仿宋" w:eastAsia="仿宋"/>
              </w:rPr>
              <w:t>对商务要求的响应内容</w:t>
            </w:r>
          </w:p>
        </w:tc>
        <w:tc>
          <w:tcPr>
            <w:tcW w:w="5885" w:type="dxa"/>
            <w:vAlign w:val="center"/>
          </w:tcPr>
          <w:p w14:paraId="2D32163B">
            <w:pPr>
              <w:rPr>
                <w:rFonts w:hint="eastAsia" w:ascii="仿宋" w:hAnsi="仿宋" w:eastAsia="仿宋"/>
              </w:rPr>
            </w:pPr>
            <w:r>
              <w:rPr>
                <w:rFonts w:hint="eastAsia" w:ascii="仿宋" w:hAnsi="仿宋" w:eastAsia="仿宋"/>
              </w:rPr>
              <w:t>是否按照投标文件规定要求电子签章。</w:t>
            </w:r>
          </w:p>
          <w:p w14:paraId="758BA24F">
            <w:pPr>
              <w:rPr>
                <w:rFonts w:hint="eastAsia" w:ascii="仿宋" w:hAnsi="仿宋" w:eastAsia="仿宋"/>
              </w:rPr>
            </w:pPr>
            <w:r>
              <w:rPr>
                <w:rFonts w:hint="eastAsia" w:ascii="仿宋" w:hAnsi="仿宋" w:eastAsia="仿宋"/>
              </w:rPr>
              <w:t>是否满足投标文件第四部分商务要求的实质性要求（例如：服务期限等）。</w:t>
            </w:r>
          </w:p>
          <w:p w14:paraId="08DE987B">
            <w:pPr>
              <w:rPr>
                <w:rFonts w:hint="eastAsia" w:ascii="仿宋" w:hAnsi="仿宋" w:eastAsia="仿宋"/>
              </w:rPr>
            </w:pPr>
            <w:r>
              <w:rPr>
                <w:rFonts w:hint="eastAsia" w:ascii="仿宋" w:hAnsi="仿宋" w:eastAsia="仿宋"/>
              </w:rPr>
              <w:t>加盖投标人电子公章。</w:t>
            </w:r>
          </w:p>
        </w:tc>
      </w:tr>
      <w:tr w14:paraId="463EC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60876BC8">
            <w:pPr>
              <w:jc w:val="center"/>
              <w:rPr>
                <w:rFonts w:hint="eastAsia" w:ascii="仿宋" w:hAnsi="仿宋" w:eastAsia="仿宋"/>
                <w:b/>
              </w:rPr>
            </w:pPr>
            <w:r>
              <w:rPr>
                <w:rFonts w:hint="eastAsia" w:ascii="仿宋" w:hAnsi="仿宋" w:eastAsia="仿宋"/>
                <w:b/>
              </w:rPr>
              <w:t>技术</w:t>
            </w:r>
          </w:p>
        </w:tc>
      </w:tr>
      <w:tr w14:paraId="5A850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729FE37E">
            <w:pPr>
              <w:jc w:val="center"/>
              <w:rPr>
                <w:rFonts w:hint="eastAsia" w:ascii="仿宋" w:hAnsi="仿宋" w:eastAsia="仿宋"/>
                <w:lang w:eastAsia="zh-CN"/>
              </w:rPr>
            </w:pPr>
            <w:r>
              <w:rPr>
                <w:rFonts w:hint="eastAsia" w:ascii="仿宋" w:hAnsi="仿宋" w:eastAsia="仿宋"/>
                <w:lang w:val="en-US" w:eastAsia="zh-CN"/>
              </w:rPr>
              <w:t>4</w:t>
            </w:r>
          </w:p>
        </w:tc>
        <w:tc>
          <w:tcPr>
            <w:tcW w:w="2615" w:type="dxa"/>
            <w:vAlign w:val="center"/>
          </w:tcPr>
          <w:p w14:paraId="7AE73E4C">
            <w:pPr>
              <w:ind w:firstLine="210" w:firstLineChars="100"/>
              <w:rPr>
                <w:rFonts w:hint="eastAsia" w:ascii="仿宋" w:hAnsi="仿宋" w:eastAsia="仿宋"/>
              </w:rPr>
            </w:pPr>
            <w:r>
              <w:rPr>
                <w:rFonts w:ascii="仿宋" w:hAnsi="仿宋" w:eastAsia="仿宋"/>
              </w:rPr>
              <w:t>对</w:t>
            </w:r>
            <w:r>
              <w:rPr>
                <w:rFonts w:hint="eastAsia" w:ascii="仿宋" w:hAnsi="仿宋" w:eastAsia="仿宋"/>
              </w:rPr>
              <w:t>服务</w:t>
            </w:r>
            <w:r>
              <w:rPr>
                <w:rFonts w:ascii="仿宋" w:hAnsi="仿宋" w:eastAsia="仿宋"/>
              </w:rPr>
              <w:t>要求的响应内容</w:t>
            </w:r>
          </w:p>
          <w:p w14:paraId="144DEE9C">
            <w:pPr>
              <w:ind w:firstLine="210" w:firstLineChars="100"/>
              <w:rPr>
                <w:rFonts w:hint="eastAsia" w:ascii="仿宋" w:hAnsi="仿宋" w:eastAsia="仿宋"/>
              </w:rPr>
            </w:pPr>
          </w:p>
        </w:tc>
        <w:tc>
          <w:tcPr>
            <w:tcW w:w="5885" w:type="dxa"/>
            <w:vAlign w:val="center"/>
          </w:tcPr>
          <w:p w14:paraId="0CC79A09">
            <w:pPr>
              <w:rPr>
                <w:rFonts w:hint="eastAsia" w:ascii="仿宋" w:hAnsi="仿宋" w:eastAsia="仿宋"/>
              </w:rPr>
            </w:pPr>
            <w:r>
              <w:rPr>
                <w:rFonts w:ascii="仿宋" w:hAnsi="仿宋" w:eastAsia="仿宋"/>
              </w:rPr>
              <w:t>是否按照投标文件规定要求电子签章。</w:t>
            </w:r>
          </w:p>
          <w:p w14:paraId="606D0A0F">
            <w:pPr>
              <w:rPr>
                <w:rFonts w:hint="eastAsia" w:ascii="仿宋" w:hAnsi="仿宋" w:eastAsia="仿宋"/>
              </w:rPr>
            </w:pPr>
            <w:r>
              <w:rPr>
                <w:rFonts w:ascii="仿宋" w:hAnsi="仿宋" w:eastAsia="仿宋"/>
              </w:rPr>
              <w:t>是否满足投标文件第四部分</w:t>
            </w:r>
            <w:r>
              <w:rPr>
                <w:rFonts w:hint="eastAsia" w:ascii="仿宋" w:hAnsi="仿宋" w:eastAsia="仿宋"/>
              </w:rPr>
              <w:t>服务</w:t>
            </w:r>
            <w:r>
              <w:rPr>
                <w:rFonts w:ascii="仿宋" w:hAnsi="仿宋" w:eastAsia="仿宋"/>
              </w:rPr>
              <w:t>要求的实质性要求（例如：</w:t>
            </w:r>
            <w:r>
              <w:rPr>
                <w:rFonts w:hint="eastAsia" w:ascii="仿宋" w:hAnsi="仿宋" w:eastAsia="仿宋"/>
              </w:rPr>
              <w:t>服务标准</w:t>
            </w:r>
            <w:r>
              <w:rPr>
                <w:rFonts w:ascii="仿宋" w:hAnsi="仿宋" w:eastAsia="仿宋"/>
              </w:rPr>
              <w:t>、</w:t>
            </w:r>
            <w:r>
              <w:rPr>
                <w:rFonts w:hint="eastAsia" w:ascii="仿宋" w:hAnsi="仿宋" w:eastAsia="仿宋"/>
              </w:rPr>
              <w:t>技术要求</w:t>
            </w:r>
            <w:r>
              <w:rPr>
                <w:rFonts w:ascii="仿宋" w:hAnsi="仿宋" w:eastAsia="仿宋"/>
              </w:rPr>
              <w:t>等）。</w:t>
            </w:r>
          </w:p>
          <w:p w14:paraId="5227C388">
            <w:pPr>
              <w:rPr>
                <w:rFonts w:hint="eastAsia" w:ascii="仿宋" w:hAnsi="仿宋" w:eastAsia="仿宋"/>
              </w:rPr>
            </w:pPr>
            <w:r>
              <w:rPr>
                <w:rFonts w:ascii="仿宋" w:hAnsi="仿宋" w:eastAsia="仿宋" w:cs="华文中宋"/>
                <w:szCs w:val="21"/>
              </w:rPr>
              <w:t>内容完整，须加盖电子公章。</w:t>
            </w:r>
          </w:p>
        </w:tc>
      </w:tr>
      <w:tr w14:paraId="20549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shd w:val="clear" w:color="auto" w:fill="auto"/>
            <w:vAlign w:val="center"/>
          </w:tcPr>
          <w:p w14:paraId="0DF7B5ED">
            <w:pPr>
              <w:spacing w:line="28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5</w:t>
            </w:r>
          </w:p>
        </w:tc>
        <w:tc>
          <w:tcPr>
            <w:tcW w:w="2615" w:type="dxa"/>
            <w:shd w:val="clear" w:color="auto" w:fill="auto"/>
            <w:vAlign w:val="center"/>
          </w:tcPr>
          <w:p w14:paraId="1477A515">
            <w:pPr>
              <w:jc w:val="center"/>
              <w:rPr>
                <w:rFonts w:hint="eastAsia" w:ascii="仿宋" w:hAnsi="仿宋" w:eastAsia="仿宋" w:cs="Times New Roman"/>
                <w:color w:val="auto"/>
                <w:kern w:val="2"/>
                <w:sz w:val="21"/>
                <w:szCs w:val="24"/>
                <w:lang w:val="en-US" w:eastAsia="zh-CN" w:bidi="ar-SA"/>
              </w:rPr>
            </w:pPr>
            <w:r>
              <w:rPr>
                <w:rFonts w:ascii="仿宋" w:hAnsi="仿宋" w:eastAsia="仿宋"/>
                <w:color w:val="auto"/>
              </w:rPr>
              <w:t>涉及政府采购政策要求内容</w:t>
            </w:r>
            <w:r>
              <w:rPr>
                <w:rFonts w:hint="eastAsia" w:ascii="仿宋" w:hAnsi="仿宋" w:eastAsia="仿宋"/>
                <w:color w:val="auto"/>
              </w:rPr>
              <w:t>（若涉及）</w:t>
            </w:r>
          </w:p>
        </w:tc>
        <w:tc>
          <w:tcPr>
            <w:tcW w:w="5885" w:type="dxa"/>
            <w:shd w:val="clear" w:color="auto" w:fill="auto"/>
            <w:vAlign w:val="center"/>
          </w:tcPr>
          <w:p w14:paraId="73EF548B">
            <w:pPr>
              <w:rPr>
                <w:rFonts w:hint="eastAsia" w:ascii="仿宋" w:hAnsi="仿宋" w:eastAsia="仿宋" w:cs="Times New Roman"/>
                <w:color w:val="auto"/>
              </w:rPr>
            </w:pPr>
            <w:r>
              <w:rPr>
                <w:rFonts w:ascii="仿宋" w:hAnsi="仿宋" w:eastAsia="仿宋" w:cs="Times New Roman"/>
                <w:color w:val="auto"/>
              </w:rPr>
              <w:t>（</w:t>
            </w:r>
            <w:r>
              <w:rPr>
                <w:rFonts w:hint="eastAsia" w:ascii="仿宋" w:hAnsi="仿宋" w:eastAsia="仿宋" w:cs="Times New Roman"/>
                <w:color w:val="auto"/>
              </w:rPr>
              <w:t>1</w:t>
            </w:r>
            <w:r>
              <w:rPr>
                <w:rFonts w:ascii="仿宋" w:hAnsi="仿宋" w:eastAsia="仿宋" w:cs="Times New Roman"/>
                <w:color w:val="auto"/>
              </w:rPr>
              <w:t xml:space="preserve">）中小企业声明函 </w:t>
            </w:r>
            <w:r>
              <w:rPr>
                <w:rFonts w:hint="eastAsia" w:ascii="仿宋" w:hAnsi="仿宋" w:eastAsia="仿宋" w:cs="Times New Roman"/>
                <w:color w:val="auto"/>
              </w:rPr>
              <w:t>（若涉及）</w:t>
            </w:r>
          </w:p>
          <w:p w14:paraId="3EB4CA80">
            <w:pPr>
              <w:rPr>
                <w:rFonts w:hint="eastAsia" w:ascii="仿宋" w:hAnsi="仿宋" w:eastAsia="仿宋" w:cs="Times New Roman"/>
                <w:color w:val="auto"/>
              </w:rPr>
            </w:pPr>
            <w:r>
              <w:rPr>
                <w:rFonts w:ascii="仿宋" w:hAnsi="仿宋" w:eastAsia="仿宋" w:cs="Times New Roman"/>
                <w:color w:val="auto"/>
              </w:rPr>
              <w:t>（2）残疾人福利性单位声明函</w:t>
            </w:r>
            <w:r>
              <w:rPr>
                <w:rFonts w:hint="eastAsia" w:ascii="仿宋" w:hAnsi="仿宋" w:eastAsia="仿宋" w:cs="Times New Roman"/>
                <w:color w:val="auto"/>
              </w:rPr>
              <w:t>（若涉及）</w:t>
            </w:r>
          </w:p>
          <w:p w14:paraId="60FF2C34">
            <w:pPr>
              <w:rPr>
                <w:rFonts w:hint="eastAsia" w:ascii="仿宋" w:hAnsi="仿宋" w:eastAsia="仿宋" w:cs="Times New Roman"/>
                <w:color w:val="auto"/>
              </w:rPr>
            </w:pPr>
            <w:r>
              <w:rPr>
                <w:rFonts w:ascii="仿宋" w:hAnsi="仿宋" w:eastAsia="仿宋" w:cs="Times New Roman"/>
                <w:color w:val="auto"/>
              </w:rPr>
              <w:t>（3）监狱企业证明函</w:t>
            </w:r>
            <w:r>
              <w:rPr>
                <w:rFonts w:hint="eastAsia" w:ascii="仿宋" w:hAnsi="仿宋" w:eastAsia="仿宋" w:cs="Times New Roman"/>
                <w:color w:val="auto"/>
              </w:rPr>
              <w:t>（若涉及）</w:t>
            </w:r>
          </w:p>
          <w:p w14:paraId="547437ED">
            <w:pPr>
              <w:rPr>
                <w:rFonts w:hint="eastAsia" w:ascii="仿宋" w:hAnsi="仿宋" w:eastAsia="仿宋" w:cs="Times New Roman"/>
                <w:color w:val="auto"/>
              </w:rPr>
            </w:pPr>
            <w:r>
              <w:rPr>
                <w:rFonts w:hint="eastAsia" w:ascii="仿宋" w:hAnsi="仿宋" w:eastAsia="仿宋" w:cs="Times New Roman"/>
                <w:color w:val="auto"/>
              </w:rPr>
              <w:t>（</w:t>
            </w:r>
            <w:r>
              <w:rPr>
                <w:rFonts w:hint="eastAsia" w:ascii="仿宋" w:hAnsi="仿宋" w:eastAsia="仿宋" w:cs="Times New Roman"/>
                <w:color w:val="auto"/>
                <w:lang w:val="en-US" w:eastAsia="zh-CN"/>
              </w:rPr>
              <w:t>4</w:t>
            </w:r>
            <w:r>
              <w:rPr>
                <w:rFonts w:hint="eastAsia" w:ascii="仿宋" w:hAnsi="仿宋" w:eastAsia="仿宋" w:cs="Times New Roman"/>
                <w:color w:val="auto"/>
              </w:rPr>
              <w:t>）关于符合本国产品标准的声明函（涉及）</w:t>
            </w:r>
          </w:p>
          <w:p w14:paraId="5B9D1B1A">
            <w:pPr>
              <w:rPr>
                <w:rFonts w:hint="eastAsia" w:ascii="仿宋" w:hAnsi="仿宋" w:eastAsia="仿宋" w:cs="Times New Roman"/>
                <w:color w:val="auto"/>
              </w:rPr>
            </w:pPr>
            <w:r>
              <w:rPr>
                <w:rFonts w:hint="eastAsia" w:ascii="仿宋" w:hAnsi="仿宋" w:eastAsia="仿宋" w:cs="Times New Roman"/>
                <w:color w:val="auto"/>
              </w:rPr>
              <w:t>（</w:t>
            </w:r>
            <w:r>
              <w:rPr>
                <w:rFonts w:hint="eastAsia" w:ascii="仿宋" w:hAnsi="仿宋" w:eastAsia="仿宋" w:cs="Times New Roman"/>
                <w:color w:val="auto"/>
                <w:lang w:val="en-US" w:eastAsia="zh-CN"/>
              </w:rPr>
              <w:t>5</w:t>
            </w:r>
            <w:r>
              <w:rPr>
                <w:rFonts w:hint="eastAsia" w:ascii="仿宋" w:hAnsi="仿宋" w:eastAsia="仿宋" w:cs="Times New Roman"/>
                <w:color w:val="auto"/>
              </w:rPr>
              <w:t>）政府采购绿色产品明细表</w:t>
            </w:r>
            <w:r>
              <w:rPr>
                <w:rFonts w:hint="eastAsia" w:ascii="仿宋" w:hAnsi="仿宋" w:eastAsia="仿宋" w:cs="Times New Roman"/>
                <w:color w:val="auto"/>
                <w:lang w:eastAsia="zh-CN"/>
              </w:rPr>
              <w:t>；</w:t>
            </w:r>
            <w:r>
              <w:rPr>
                <w:rFonts w:hint="eastAsia" w:ascii="仿宋" w:hAnsi="仿宋" w:eastAsia="仿宋" w:cs="Times New Roman"/>
                <w:color w:val="auto"/>
              </w:rPr>
              <w:t>（若涉及）</w:t>
            </w:r>
          </w:p>
          <w:p w14:paraId="0E782814">
            <w:pPr>
              <w:rPr>
                <w:rFonts w:hint="default" w:ascii="仿宋" w:hAnsi="仿宋" w:eastAsia="仿宋" w:cs="Times New Roman"/>
                <w:color w:val="auto"/>
                <w:lang w:val="en-US"/>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6</w:t>
            </w: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其他法律法规政策要求；</w:t>
            </w:r>
            <w:r>
              <w:rPr>
                <w:rFonts w:hint="eastAsia" w:ascii="仿宋" w:hAnsi="仿宋" w:eastAsia="仿宋" w:cs="Times New Roman"/>
                <w:color w:val="auto"/>
              </w:rPr>
              <w:t>（若涉及）</w:t>
            </w:r>
          </w:p>
          <w:p w14:paraId="0C3E4F5A">
            <w:pPr>
              <w:spacing w:line="280" w:lineRule="exact"/>
              <w:rPr>
                <w:rFonts w:hint="eastAsia" w:ascii="仿宋" w:hAnsi="仿宋" w:eastAsia="仿宋" w:cs="Times New Roman"/>
                <w:color w:val="auto"/>
                <w:kern w:val="2"/>
                <w:sz w:val="21"/>
                <w:szCs w:val="21"/>
                <w:lang w:val="en-US" w:eastAsia="zh-CN" w:bidi="ar-SA"/>
              </w:rPr>
            </w:pPr>
            <w:r>
              <w:rPr>
                <w:rFonts w:ascii="仿宋" w:hAnsi="仿宋" w:eastAsia="仿宋"/>
                <w:color w:val="auto"/>
              </w:rPr>
              <w:t>内容完整，加盖投标人电子公章。</w:t>
            </w:r>
          </w:p>
        </w:tc>
      </w:tr>
      <w:tr w14:paraId="3C0E2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3CC3BBF3">
            <w:pPr>
              <w:jc w:val="center"/>
              <w:rPr>
                <w:rFonts w:hint="eastAsia" w:ascii="仿宋" w:hAnsi="仿宋" w:eastAsia="仿宋"/>
                <w:b/>
              </w:rPr>
            </w:pPr>
            <w:r>
              <w:rPr>
                <w:rFonts w:ascii="仿宋" w:hAnsi="仿宋" w:eastAsia="仿宋"/>
                <w:b/>
              </w:rPr>
              <w:t>报价</w:t>
            </w:r>
          </w:p>
        </w:tc>
      </w:tr>
      <w:tr w14:paraId="42BCA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067B86B5">
            <w:pPr>
              <w:jc w:val="center"/>
              <w:rPr>
                <w:rFonts w:hint="eastAsia" w:ascii="仿宋" w:hAnsi="仿宋" w:eastAsia="仿宋" w:cs="Times New Roman"/>
              </w:rPr>
            </w:pPr>
            <w:r>
              <w:rPr>
                <w:rFonts w:hint="eastAsia" w:ascii="仿宋" w:hAnsi="仿宋" w:eastAsia="仿宋" w:cs="Times New Roman"/>
              </w:rPr>
              <w:t>5</w:t>
            </w:r>
          </w:p>
        </w:tc>
        <w:tc>
          <w:tcPr>
            <w:tcW w:w="2615" w:type="dxa"/>
            <w:vAlign w:val="center"/>
          </w:tcPr>
          <w:p w14:paraId="4BEB7038">
            <w:pPr>
              <w:ind w:firstLine="210" w:firstLineChars="100"/>
              <w:rPr>
                <w:rFonts w:hint="eastAsia" w:ascii="仿宋" w:hAnsi="仿宋" w:eastAsia="仿宋" w:cs="Times New Roman"/>
              </w:rPr>
            </w:pPr>
            <w:r>
              <w:rPr>
                <w:rFonts w:ascii="仿宋" w:hAnsi="仿宋" w:eastAsia="仿宋" w:cs="Times New Roman"/>
              </w:rPr>
              <w:t>开标一览表报价明细表</w:t>
            </w:r>
          </w:p>
        </w:tc>
        <w:tc>
          <w:tcPr>
            <w:tcW w:w="5885" w:type="dxa"/>
          </w:tcPr>
          <w:p w14:paraId="223D0377">
            <w:pPr>
              <w:rPr>
                <w:rFonts w:hint="eastAsia" w:ascii="仿宋" w:hAnsi="仿宋" w:eastAsia="仿宋"/>
              </w:rPr>
            </w:pPr>
            <w:r>
              <w:rPr>
                <w:rFonts w:hint="eastAsia" w:ascii="仿宋" w:hAnsi="仿宋" w:eastAsia="仿宋"/>
              </w:rPr>
              <w:t>（1）</w:t>
            </w:r>
            <w:r>
              <w:rPr>
                <w:rFonts w:ascii="仿宋" w:hAnsi="仿宋" w:eastAsia="仿宋"/>
              </w:rPr>
              <w:t>所有投标报价均以人民币/元为计算单位；</w:t>
            </w:r>
          </w:p>
          <w:p w14:paraId="19BAAE05">
            <w:pPr>
              <w:rPr>
                <w:rFonts w:hint="eastAsia" w:ascii="仿宋" w:hAnsi="仿宋" w:eastAsia="仿宋"/>
              </w:rPr>
            </w:pPr>
            <w:r>
              <w:rPr>
                <w:rFonts w:hint="eastAsia" w:ascii="仿宋" w:hAnsi="仿宋" w:eastAsia="仿宋"/>
              </w:rPr>
              <w:t>（2）</w:t>
            </w:r>
            <w:r>
              <w:rPr>
                <w:rFonts w:ascii="仿宋" w:hAnsi="仿宋" w:eastAsia="仿宋"/>
              </w:rPr>
              <w:t>投标人投报多包的，应对每包分别报价并分别填报报价一览表（若涉及）；</w:t>
            </w:r>
          </w:p>
          <w:p w14:paraId="29B2BBBA">
            <w:pPr>
              <w:tabs>
                <w:tab w:val="left" w:pos="3900"/>
              </w:tabs>
              <w:rPr>
                <w:rFonts w:hint="eastAsia" w:ascii="仿宋" w:hAnsi="仿宋" w:eastAsia="仿宋"/>
              </w:rPr>
            </w:pPr>
            <w:r>
              <w:rPr>
                <w:rFonts w:hint="eastAsia" w:ascii="仿宋" w:hAnsi="仿宋" w:eastAsia="仿宋"/>
              </w:rPr>
              <w:t>（3）</w:t>
            </w:r>
            <w:r>
              <w:rPr>
                <w:rFonts w:ascii="仿宋" w:hAnsi="仿宋" w:eastAsia="仿宋"/>
              </w:rPr>
              <w:t>不接受可选择或可调整的报价；</w:t>
            </w:r>
          </w:p>
          <w:p w14:paraId="48D8941B">
            <w:pPr>
              <w:rPr>
                <w:rFonts w:hint="eastAsia" w:ascii="仿宋" w:hAnsi="仿宋" w:eastAsia="仿宋"/>
              </w:rPr>
            </w:pPr>
            <w:r>
              <w:rPr>
                <w:rFonts w:hint="eastAsia" w:ascii="仿宋" w:hAnsi="仿宋" w:eastAsia="仿宋"/>
              </w:rPr>
              <w:t>（4）</w:t>
            </w:r>
            <w:r>
              <w:rPr>
                <w:rFonts w:ascii="仿宋" w:hAnsi="仿宋" w:eastAsia="仿宋"/>
              </w:rPr>
              <w:t>不接受超出本项目预算金额（最高限价）的报价；</w:t>
            </w:r>
          </w:p>
          <w:p w14:paraId="37B698DD">
            <w:pPr>
              <w:rPr>
                <w:rFonts w:hint="eastAsia" w:ascii="仿宋" w:hAnsi="仿宋" w:eastAsia="仿宋"/>
              </w:rPr>
            </w:pPr>
            <w:r>
              <w:rPr>
                <w:rFonts w:ascii="仿宋" w:hAnsi="仿宋" w:eastAsia="仿宋"/>
              </w:rPr>
              <w:t>内容完整，电子签章符合要求。</w:t>
            </w:r>
          </w:p>
          <w:p w14:paraId="731333F1">
            <w:pPr>
              <w:rPr>
                <w:rFonts w:hint="eastAsia" w:ascii="仿宋" w:hAnsi="仿宋" w:eastAsia="仿宋"/>
              </w:rPr>
            </w:pPr>
            <w:r>
              <w:rPr>
                <w:rFonts w:hint="eastAsia" w:ascii="仿宋" w:hAnsi="仿宋" w:eastAsia="仿宋"/>
              </w:rPr>
              <w:t>根据《关于推动解决政府采购异常低价问题的通知》财库〔2026〕2号及《政府采购货物和服务招标投标管理办法》第六十条规定。政府采购评审中出现异常低价情形的，评审委员会应当启动异常低价投标（响应）审查程序。</w:t>
            </w:r>
          </w:p>
        </w:tc>
      </w:tr>
      <w:tr w14:paraId="5C211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shd w:val="clear" w:color="auto" w:fill="auto"/>
            <w:vAlign w:val="center"/>
          </w:tcPr>
          <w:p w14:paraId="011F83DF">
            <w:pPr>
              <w:jc w:val="center"/>
              <w:rPr>
                <w:rFonts w:hint="eastAsia" w:ascii="仿宋" w:hAnsi="仿宋" w:eastAsia="仿宋" w:cs="Times New Roman"/>
                <w:lang w:val="en-US" w:eastAsia="zh-CN"/>
              </w:rPr>
            </w:pPr>
            <w:r>
              <w:rPr>
                <w:rFonts w:hint="eastAsia" w:ascii="仿宋" w:hAnsi="仿宋" w:eastAsia="仿宋" w:cs="Times New Roman"/>
                <w:lang w:val="en-US" w:eastAsia="zh-CN"/>
              </w:rPr>
              <w:t>6</w:t>
            </w:r>
          </w:p>
        </w:tc>
        <w:tc>
          <w:tcPr>
            <w:tcW w:w="2615" w:type="dxa"/>
            <w:shd w:val="clear" w:color="auto" w:fill="auto"/>
            <w:vAlign w:val="center"/>
          </w:tcPr>
          <w:p w14:paraId="32FC7A39">
            <w:pPr>
              <w:ind w:firstLine="210" w:firstLineChars="100"/>
              <w:rPr>
                <w:rFonts w:hint="eastAsia" w:ascii="仿宋" w:hAnsi="仿宋" w:eastAsia="仿宋" w:cs="Times New Roman"/>
                <w:lang w:val="en-US" w:eastAsia="zh-CN"/>
              </w:rPr>
            </w:pPr>
            <w:r>
              <w:rPr>
                <w:rFonts w:hint="eastAsia" w:ascii="仿宋" w:hAnsi="仿宋" w:eastAsia="仿宋" w:cs="Times New Roman"/>
              </w:rPr>
              <w:t>所</w:t>
            </w:r>
            <w:r>
              <w:rPr>
                <w:rFonts w:hint="eastAsia" w:ascii="仿宋" w:hAnsi="仿宋" w:eastAsia="仿宋" w:cs="Times New Roman"/>
                <w:lang w:val="en-US" w:eastAsia="zh-CN"/>
              </w:rPr>
              <w:t>投</w:t>
            </w:r>
            <w:r>
              <w:rPr>
                <w:rFonts w:hint="eastAsia" w:ascii="仿宋" w:hAnsi="仿宋" w:eastAsia="仿宋" w:cs="Times New Roman"/>
              </w:rPr>
              <w:t>报货物相同品牌不同报价人认定</w:t>
            </w:r>
          </w:p>
        </w:tc>
        <w:tc>
          <w:tcPr>
            <w:tcW w:w="5885" w:type="dxa"/>
            <w:shd w:val="clear" w:color="auto" w:fill="auto"/>
            <w:vAlign w:val="center"/>
          </w:tcPr>
          <w:p w14:paraId="6C6921C7">
            <w:pPr>
              <w:rPr>
                <w:rFonts w:hint="eastAsia" w:ascii="仿宋" w:hAnsi="仿宋" w:eastAsia="仿宋" w:cs="Times New Roman"/>
                <w:lang w:val="en-US" w:eastAsia="zh-CN"/>
              </w:rPr>
            </w:pPr>
            <w:r>
              <w:rPr>
                <w:rFonts w:hint="eastAsia" w:ascii="仿宋" w:hAnsi="仿宋" w:eastAsia="仿宋" w:cs="Times New Roman"/>
              </w:rPr>
              <w:t>依据《政府采购货物和服务招标投标管理办法》（财政部87号令）标准认定</w:t>
            </w:r>
          </w:p>
        </w:tc>
      </w:tr>
    </w:tbl>
    <w:p w14:paraId="5A540E7F">
      <w:pPr>
        <w:ind w:firstLine="210" w:firstLineChars="100"/>
        <w:outlineLvl w:val="2"/>
        <w:rPr>
          <w:rFonts w:hint="eastAsia" w:ascii="仿宋" w:hAnsi="仿宋" w:eastAsia="仿宋"/>
          <w:kern w:val="0"/>
          <w:szCs w:val="21"/>
        </w:rPr>
      </w:pPr>
      <w:r>
        <w:rPr>
          <w:rFonts w:hint="eastAsia" w:ascii="仿宋" w:hAnsi="仿宋" w:eastAsia="仿宋"/>
          <w:kern w:val="0"/>
          <w:szCs w:val="21"/>
        </w:rPr>
        <w:t>注：1.符合性检查的内容，经评标委员会认定没有做出实质性响应的，将导致投标无效。</w:t>
      </w:r>
    </w:p>
    <w:p w14:paraId="65BD066F">
      <w:pPr>
        <w:ind w:firstLine="630" w:firstLineChars="300"/>
        <w:outlineLvl w:val="2"/>
        <w:rPr>
          <w:rFonts w:hint="eastAsia" w:ascii="仿宋" w:hAnsi="仿宋" w:eastAsia="仿宋"/>
          <w:kern w:val="0"/>
          <w:szCs w:val="21"/>
        </w:rPr>
      </w:pPr>
      <w:r>
        <w:rPr>
          <w:rFonts w:hint="eastAsia" w:ascii="仿宋" w:hAnsi="仿宋" w:eastAsia="仿宋"/>
          <w:kern w:val="0"/>
          <w:szCs w:val="21"/>
        </w:rPr>
        <w:t>2.审查时，对特殊情况的处理评标委员会要遵循招标文件第三部分投标人须知第21条规定的原则。</w:t>
      </w:r>
    </w:p>
    <w:p w14:paraId="1FACCA89">
      <w:pPr>
        <w:ind w:firstLine="422" w:firstLineChars="200"/>
        <w:outlineLvl w:val="1"/>
        <w:rPr>
          <w:rFonts w:hint="eastAsia" w:ascii="仿宋" w:hAnsi="仿宋" w:eastAsia="仿宋"/>
          <w:b/>
          <w:kern w:val="0"/>
          <w:szCs w:val="21"/>
        </w:rPr>
      </w:pPr>
      <w:r>
        <w:rPr>
          <w:rFonts w:hint="eastAsia" w:ascii="仿宋" w:hAnsi="仿宋" w:eastAsia="仿宋"/>
          <w:b/>
          <w:kern w:val="0"/>
          <w:szCs w:val="21"/>
        </w:rPr>
        <w:t>二、落实政府采购政策性要求的评审内容及标准</w:t>
      </w:r>
    </w:p>
    <w:p w14:paraId="42E2A710">
      <w:pPr>
        <w:ind w:firstLine="420" w:firstLineChars="200"/>
        <w:outlineLvl w:val="2"/>
        <w:rPr>
          <w:rFonts w:hint="eastAsia" w:ascii="仿宋" w:hAnsi="仿宋" w:eastAsia="仿宋"/>
          <w:kern w:val="0"/>
          <w:szCs w:val="21"/>
        </w:rPr>
      </w:pPr>
      <w:r>
        <w:rPr>
          <w:rFonts w:hint="eastAsia" w:ascii="仿宋" w:hAnsi="仿宋" w:eastAsia="仿宋"/>
          <w:kern w:val="0"/>
          <w:szCs w:val="21"/>
        </w:rPr>
        <w:t>1.中小企业参加本项目的要求：</w:t>
      </w:r>
    </w:p>
    <w:p w14:paraId="0C2FDA9F">
      <w:pPr>
        <w:ind w:firstLine="420" w:firstLineChars="200"/>
        <w:rPr>
          <w:rFonts w:hint="eastAsia" w:ascii="仿宋" w:hAnsi="仿宋" w:eastAsia="仿宋"/>
          <w:kern w:val="0"/>
          <w:szCs w:val="21"/>
        </w:rPr>
      </w:pPr>
      <w:r>
        <w:rPr>
          <w:rFonts w:hint="eastAsia" w:ascii="仿宋" w:hAnsi="仿宋" w:eastAsia="仿宋"/>
          <w:kern w:val="0"/>
          <w:szCs w:val="21"/>
        </w:rPr>
        <w:t>（1）中小企业参加政府采购活动，依据《山西省财政厅关于进一步加大政府采购支持中小企业力度助力扎实稳住经济的通知》（晋财购[2022]6号），应当出具《政府采购促进中小企业发展管理办法》（财库〔2020〕46号）规定的《中小企业声明函》（格式见第八部分），否则不得享受相关中小企业扶持政策。</w:t>
      </w:r>
    </w:p>
    <w:p w14:paraId="22E2B605">
      <w:pPr>
        <w:ind w:firstLine="420" w:firstLineChars="200"/>
        <w:rPr>
          <w:rFonts w:hint="eastAsia" w:ascii="仿宋" w:hAnsi="仿宋" w:eastAsia="仿宋"/>
          <w:kern w:val="0"/>
          <w:szCs w:val="21"/>
        </w:rPr>
      </w:pPr>
      <w:r>
        <w:rPr>
          <w:rFonts w:hint="eastAsia" w:ascii="仿宋" w:hAnsi="仿宋" w:eastAsia="仿宋"/>
          <w:kern w:val="0"/>
          <w:szCs w:val="21"/>
        </w:rPr>
        <w:t>（2）在货物采购项目中，货物由中小企业制造，即货物由中小企业生产且使用该中小企业商号或者注册商标。在服务采购项目中，服务由中小企业承接，即提供服务的人员为中小企业依照《中华人民共和国劳动合同法》订立劳动合同的从业人员。在工程采购项目中，工程由中小企业承建，即工程施工单位为中小企业。</w:t>
      </w:r>
      <w:r>
        <w:rPr>
          <w:rFonts w:hint="eastAsia" w:ascii="仿宋" w:hAnsi="仿宋" w:eastAsia="仿宋"/>
          <w:b/>
          <w:bCs/>
          <w:kern w:val="0"/>
          <w:szCs w:val="21"/>
        </w:rPr>
        <w:t>对符合本办法规定的小微企业报价给予 15%（工程项目为3%）的扣除，用扣除后的价格参加评审。</w:t>
      </w:r>
    </w:p>
    <w:p w14:paraId="6E6D9064">
      <w:pPr>
        <w:ind w:firstLine="420" w:firstLineChars="200"/>
        <w:rPr>
          <w:rFonts w:hint="eastAsia" w:ascii="仿宋" w:hAnsi="仿宋" w:eastAsia="仿宋"/>
          <w:kern w:val="0"/>
          <w:szCs w:val="21"/>
        </w:rPr>
      </w:pPr>
      <w:r>
        <w:rPr>
          <w:rFonts w:hint="eastAsia" w:ascii="仿宋" w:hAnsi="仿宋" w:eastAsia="仿宋"/>
          <w:kern w:val="0"/>
          <w:szCs w:val="21"/>
        </w:rPr>
        <w:t>（3）在货物采购项目中，供应商提供的货物既有中小企业制造货物，也有大型企业制造货物的，不享受《政府采购促进中小企业发展管理办法》规定的中小企业扶持政策。</w:t>
      </w:r>
    </w:p>
    <w:p w14:paraId="7C493D77">
      <w:pPr>
        <w:ind w:firstLine="420" w:firstLineChars="200"/>
        <w:rPr>
          <w:rFonts w:hint="eastAsia" w:ascii="仿宋" w:hAnsi="仿宋" w:eastAsia="仿宋"/>
          <w:kern w:val="0"/>
          <w:szCs w:val="21"/>
        </w:rPr>
      </w:pPr>
      <w:r>
        <w:rPr>
          <w:rFonts w:hint="eastAsia" w:ascii="仿宋" w:hAnsi="仿宋" w:eastAsia="仿宋"/>
          <w:kern w:val="0"/>
          <w:szCs w:val="21"/>
        </w:rPr>
        <w:t>（4）联合体价格折扣：本项目若允许联合体参加，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2%（工程项目为1%）的扣除，用扣除后的价格参加评审。</w:t>
      </w:r>
    </w:p>
    <w:p w14:paraId="20C8093A">
      <w:pPr>
        <w:ind w:firstLine="420" w:firstLineChars="200"/>
        <w:rPr>
          <w:rFonts w:hint="eastAsia" w:ascii="仿宋" w:hAnsi="仿宋" w:eastAsia="仿宋"/>
          <w:kern w:val="0"/>
          <w:szCs w:val="21"/>
        </w:rPr>
      </w:pPr>
      <w:r>
        <w:rPr>
          <w:rFonts w:hint="eastAsia" w:ascii="仿宋" w:hAnsi="仿宋" w:eastAsia="仿宋"/>
          <w:kern w:val="0"/>
          <w:szCs w:val="21"/>
        </w:rPr>
        <w:t>2.残疾人福利性单位参加本项目的评审标准：</w:t>
      </w:r>
    </w:p>
    <w:p w14:paraId="3516A773">
      <w:pPr>
        <w:ind w:firstLine="420" w:firstLineChars="200"/>
        <w:rPr>
          <w:rFonts w:hint="eastAsia" w:ascii="仿宋" w:hAnsi="仿宋" w:eastAsia="仿宋"/>
          <w:kern w:val="0"/>
          <w:szCs w:val="21"/>
        </w:rPr>
      </w:pPr>
      <w:r>
        <w:rPr>
          <w:rFonts w:hint="eastAsia" w:ascii="仿宋" w:hAnsi="仿宋" w:eastAsia="仿宋"/>
          <w:kern w:val="0"/>
          <w:szCs w:val="21"/>
        </w:rPr>
        <w:t>（1）须根据财库〔2017〕141号《关于促进残疾人就业政府采购政策的通知》的要求，如实填写残疾人福利性单位声明函（格式见第七部分附件），残疾人福利性单位参加本项目磋商时，享受6%的价格折扣，用扣除后的价格参与评审。</w:t>
      </w:r>
    </w:p>
    <w:p w14:paraId="4122B527">
      <w:pPr>
        <w:ind w:firstLine="420" w:firstLineChars="200"/>
        <w:rPr>
          <w:rFonts w:hint="eastAsia" w:ascii="仿宋" w:hAnsi="仿宋" w:eastAsia="仿宋"/>
          <w:kern w:val="0"/>
          <w:szCs w:val="21"/>
        </w:rPr>
      </w:pPr>
      <w:r>
        <w:rPr>
          <w:rFonts w:hint="eastAsia" w:ascii="仿宋" w:hAnsi="仿宋" w:eastAsia="仿宋"/>
          <w:kern w:val="0"/>
          <w:szCs w:val="21"/>
        </w:rPr>
        <w:t>（2）享受政府采购支持政策的残疾人福利性单位应当同时满足以下条件：</w:t>
      </w:r>
    </w:p>
    <w:p w14:paraId="6B8C72DB">
      <w:pPr>
        <w:ind w:firstLine="420" w:firstLineChars="200"/>
        <w:rPr>
          <w:rFonts w:hint="eastAsia" w:ascii="仿宋" w:hAnsi="仿宋" w:eastAsia="仿宋"/>
          <w:kern w:val="0"/>
          <w:szCs w:val="21"/>
        </w:rPr>
      </w:pPr>
      <w:r>
        <w:rPr>
          <w:rFonts w:hint="eastAsia" w:ascii="仿宋" w:hAnsi="仿宋" w:eastAsia="仿宋"/>
          <w:kern w:val="0"/>
          <w:szCs w:val="21"/>
        </w:rPr>
        <w:t>　A.安置的残疾人占本单位在职职工人数的比例不低于25%（含25%），并且安置的残疾人人数不少于10人（含10人）；</w:t>
      </w:r>
    </w:p>
    <w:p w14:paraId="061F25A9">
      <w:pPr>
        <w:ind w:firstLine="420" w:firstLineChars="200"/>
        <w:rPr>
          <w:rFonts w:hint="eastAsia" w:ascii="仿宋" w:hAnsi="仿宋" w:eastAsia="仿宋"/>
          <w:kern w:val="0"/>
          <w:szCs w:val="21"/>
        </w:rPr>
      </w:pPr>
      <w:r>
        <w:rPr>
          <w:rFonts w:hint="eastAsia" w:ascii="仿宋" w:hAnsi="仿宋" w:eastAsia="仿宋"/>
          <w:kern w:val="0"/>
          <w:szCs w:val="21"/>
        </w:rPr>
        <w:t>　B.依法与安置的每位残疾人签订了一年以上（含一年）的劳动合同或服务协议；</w:t>
      </w:r>
    </w:p>
    <w:p w14:paraId="73F47FA9">
      <w:pPr>
        <w:ind w:firstLine="420" w:firstLineChars="200"/>
        <w:rPr>
          <w:rFonts w:hint="eastAsia" w:ascii="仿宋" w:hAnsi="仿宋" w:eastAsia="仿宋"/>
          <w:kern w:val="0"/>
          <w:szCs w:val="21"/>
        </w:rPr>
      </w:pPr>
      <w:r>
        <w:rPr>
          <w:rFonts w:hint="eastAsia" w:ascii="仿宋" w:hAnsi="仿宋" w:eastAsia="仿宋"/>
          <w:kern w:val="0"/>
          <w:szCs w:val="21"/>
        </w:rPr>
        <w:t>C.为安置的每位残疾人按月足额缴纳了基本养老保险、基本医疗保险、失业保险、工伤保险和生育保险等社会保险费；</w:t>
      </w:r>
    </w:p>
    <w:p w14:paraId="05D26A3D">
      <w:pPr>
        <w:ind w:firstLine="420" w:firstLineChars="200"/>
        <w:rPr>
          <w:rFonts w:hint="eastAsia" w:ascii="仿宋" w:hAnsi="仿宋" w:eastAsia="仿宋"/>
          <w:kern w:val="0"/>
          <w:szCs w:val="21"/>
        </w:rPr>
      </w:pPr>
      <w:r>
        <w:rPr>
          <w:rFonts w:hint="eastAsia" w:ascii="仿宋" w:hAnsi="仿宋" w:eastAsia="仿宋"/>
          <w:kern w:val="0"/>
          <w:szCs w:val="21"/>
        </w:rPr>
        <w:t>　D.通过银行等金融机构向安置的每位残疾人，按月支付了不低于单位所在区县适用的经省级人民政府批准的月最低工资标准的工资；</w:t>
      </w:r>
    </w:p>
    <w:p w14:paraId="744252BD">
      <w:pPr>
        <w:ind w:firstLine="420" w:firstLineChars="200"/>
        <w:rPr>
          <w:rFonts w:hint="eastAsia" w:ascii="仿宋" w:hAnsi="仿宋" w:eastAsia="仿宋"/>
          <w:kern w:val="0"/>
          <w:szCs w:val="21"/>
        </w:rPr>
      </w:pPr>
      <w:r>
        <w:rPr>
          <w:rFonts w:hint="eastAsia" w:ascii="仿宋" w:hAnsi="仿宋" w:eastAsia="仿宋"/>
          <w:kern w:val="0"/>
          <w:szCs w:val="21"/>
        </w:rPr>
        <w:t>　E．提供本单位的服务（以下简称产品），或者提供其他残疾人福利性单位的服务（不包括使用非残疾人福利性单位的服务）。</w:t>
      </w:r>
    </w:p>
    <w:p w14:paraId="2F6D1FC9">
      <w:pPr>
        <w:ind w:firstLine="420" w:firstLineChars="200"/>
        <w:rPr>
          <w:rFonts w:hint="eastAsia" w:ascii="仿宋" w:hAnsi="仿宋" w:eastAsia="仿宋"/>
          <w:kern w:val="0"/>
          <w:szCs w:val="21"/>
        </w:rPr>
      </w:pPr>
      <w:r>
        <w:rPr>
          <w:rFonts w:hint="eastAsia" w:ascii="仿宋" w:hAnsi="仿宋" w:eastAsia="仿宋"/>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693711">
      <w:pPr>
        <w:ind w:firstLine="420" w:firstLineChars="200"/>
        <w:rPr>
          <w:rFonts w:hint="eastAsia" w:ascii="仿宋" w:hAnsi="仿宋" w:eastAsia="仿宋"/>
          <w:kern w:val="0"/>
          <w:szCs w:val="21"/>
        </w:rPr>
      </w:pPr>
      <w:r>
        <w:rPr>
          <w:rFonts w:hint="eastAsia" w:ascii="仿宋" w:hAnsi="仿宋" w:eastAsia="仿宋"/>
          <w:kern w:val="0"/>
          <w:szCs w:val="21"/>
        </w:rPr>
        <w:t>（3）供应商提供的《残疾人福利性单位声明函》与事实不符的，依照《政府采购法》第七十七条第一款的规定追究法律责任。</w:t>
      </w:r>
    </w:p>
    <w:p w14:paraId="477240DF">
      <w:pPr>
        <w:ind w:firstLine="420" w:firstLineChars="200"/>
        <w:rPr>
          <w:rFonts w:hint="eastAsia" w:ascii="仿宋" w:hAnsi="仿宋" w:eastAsia="仿宋"/>
          <w:kern w:val="0"/>
          <w:szCs w:val="21"/>
        </w:rPr>
      </w:pPr>
      <w:r>
        <w:rPr>
          <w:rFonts w:hint="eastAsia" w:ascii="仿宋" w:hAnsi="仿宋" w:eastAsia="仿宋"/>
          <w:kern w:val="0"/>
          <w:szCs w:val="21"/>
        </w:rPr>
        <w:t>（4）残疾人福利性单位提供本企业的服务，或者提供其他残疾人福利性单位的服务，享受报价服务的价格折扣。</w:t>
      </w:r>
    </w:p>
    <w:p w14:paraId="052F7F9C">
      <w:pPr>
        <w:ind w:firstLine="420" w:firstLineChars="200"/>
        <w:rPr>
          <w:rFonts w:hint="eastAsia" w:ascii="仿宋" w:hAnsi="仿宋" w:eastAsia="仿宋"/>
          <w:kern w:val="0"/>
          <w:szCs w:val="21"/>
        </w:rPr>
      </w:pPr>
      <w:r>
        <w:rPr>
          <w:rFonts w:hint="eastAsia" w:ascii="仿宋" w:hAnsi="仿宋" w:eastAsia="仿宋"/>
          <w:kern w:val="0"/>
          <w:szCs w:val="21"/>
        </w:rPr>
        <w:t>（5）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A3F39EC">
      <w:pPr>
        <w:ind w:firstLine="420" w:firstLineChars="200"/>
        <w:outlineLvl w:val="2"/>
        <w:rPr>
          <w:rFonts w:hint="eastAsia" w:ascii="仿宋" w:hAnsi="仿宋" w:eastAsia="仿宋"/>
          <w:kern w:val="0"/>
          <w:szCs w:val="21"/>
        </w:rPr>
      </w:pPr>
      <w:r>
        <w:rPr>
          <w:rFonts w:hint="eastAsia" w:ascii="仿宋" w:hAnsi="仿宋" w:eastAsia="仿宋"/>
          <w:kern w:val="0"/>
          <w:szCs w:val="21"/>
        </w:rPr>
        <w:t>3.监狱企业参加本项目的要求：</w:t>
      </w:r>
    </w:p>
    <w:p w14:paraId="369DD9B1">
      <w:pPr>
        <w:ind w:firstLine="420" w:firstLineChars="200"/>
        <w:rPr>
          <w:rFonts w:hint="eastAsia" w:ascii="仿宋" w:hAnsi="仿宋" w:eastAsia="仿宋"/>
          <w:kern w:val="0"/>
          <w:szCs w:val="21"/>
        </w:rPr>
      </w:pPr>
      <w:r>
        <w:rPr>
          <w:rFonts w:hint="eastAsia" w:ascii="仿宋" w:hAnsi="仿宋" w:eastAsia="仿宋"/>
          <w:kern w:val="0"/>
          <w:szCs w:val="21"/>
        </w:rPr>
        <w:t>（1）监狱企业参加投标视同小微企业，需提供由省级以上监狱管理局或戒毒管理局出具的属于监狱企业的证明文件。</w:t>
      </w:r>
    </w:p>
    <w:p w14:paraId="60B535AA">
      <w:pPr>
        <w:ind w:firstLine="420" w:firstLineChars="200"/>
        <w:rPr>
          <w:rFonts w:hint="eastAsia" w:ascii="仿宋" w:hAnsi="仿宋" w:eastAsia="仿宋"/>
          <w:kern w:val="0"/>
          <w:szCs w:val="21"/>
        </w:rPr>
      </w:pPr>
      <w:r>
        <w:rPr>
          <w:rFonts w:hint="eastAsia" w:ascii="仿宋" w:hAnsi="仿宋" w:eastAsia="仿宋"/>
          <w:kern w:val="0"/>
          <w:szCs w:val="21"/>
        </w:rPr>
        <w:t>（2）监狱企业只有提供本企业制造的货物或服务，或者提供其他小、微企业制造的货物，享受投报货物的价格折扣。</w:t>
      </w:r>
    </w:p>
    <w:p w14:paraId="22D896D9">
      <w:pPr>
        <w:ind w:firstLine="420" w:firstLineChars="200"/>
        <w:rPr>
          <w:rFonts w:hint="eastAsia" w:ascii="仿宋" w:hAnsi="仿宋" w:eastAsia="仿宋"/>
          <w:kern w:val="0"/>
          <w:szCs w:val="21"/>
        </w:rPr>
      </w:pPr>
      <w:r>
        <w:rPr>
          <w:rFonts w:hint="eastAsia" w:ascii="仿宋" w:hAnsi="仿宋" w:eastAsia="仿宋"/>
          <w:kern w:val="0"/>
          <w:szCs w:val="21"/>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6A1FBF5F">
      <w:pPr>
        <w:pStyle w:val="13"/>
        <w:rPr>
          <w:rFonts w:hint="eastAsia" w:ascii="仿宋" w:hAnsi="仿宋" w:eastAsia="仿宋"/>
          <w:kern w:val="0"/>
          <w:szCs w:val="21"/>
        </w:rPr>
      </w:pPr>
      <w:r>
        <w:rPr>
          <w:rFonts w:hint="eastAsia" w:ascii="仿宋" w:hAnsi="仿宋" w:eastAsia="仿宋"/>
          <w:kern w:val="0"/>
          <w:szCs w:val="21"/>
        </w:rPr>
        <w:t>4.专门面向中小企业采购的项目，不重复执行中小企业发展、促进残疾人就业、支持监狱企业发展的价格优惠政策。</w:t>
      </w:r>
    </w:p>
    <w:p w14:paraId="5EFD96B9">
      <w:pPr>
        <w:ind w:firstLine="420" w:firstLineChars="200"/>
        <w:rPr>
          <w:rFonts w:hint="eastAsia" w:ascii="仿宋" w:hAnsi="仿宋" w:eastAsia="仿宋"/>
          <w:kern w:val="0"/>
          <w:szCs w:val="21"/>
        </w:rPr>
      </w:pPr>
      <w:r>
        <w:rPr>
          <w:rFonts w:hint="eastAsia" w:ascii="仿宋" w:hAnsi="仿宋" w:eastAsia="仿宋"/>
          <w:kern w:val="0"/>
          <w:szCs w:val="21"/>
        </w:rPr>
        <w:t>5.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418C10AC">
      <w:pPr>
        <w:ind w:firstLine="420" w:firstLineChars="200"/>
        <w:rPr>
          <w:rFonts w:hint="eastAsia" w:ascii="仿宋" w:hAnsi="仿宋" w:eastAsia="仿宋"/>
          <w:kern w:val="0"/>
          <w:szCs w:val="21"/>
        </w:rPr>
      </w:pPr>
      <w:r>
        <w:rPr>
          <w:rFonts w:hint="eastAsia" w:ascii="仿宋" w:hAnsi="仿宋" w:eastAsia="仿宋"/>
          <w:kern w:val="0"/>
          <w:szCs w:val="21"/>
        </w:rPr>
        <w:t>本文件列明的优先采购的绿色产品标的物，投标人可以投报“节能产品政府采购品目清单”中的非强制类产品、“环境标志产品政府采购品目清单”中的产品，也可投报清单以外的产品。</w:t>
      </w:r>
    </w:p>
    <w:p w14:paraId="35686BAE">
      <w:pPr>
        <w:ind w:firstLine="420" w:firstLineChars="200"/>
        <w:rPr>
          <w:rFonts w:hint="eastAsia" w:ascii="仿宋" w:hAnsi="仿宋" w:eastAsia="仿宋"/>
          <w:kern w:val="0"/>
          <w:szCs w:val="21"/>
        </w:rPr>
      </w:pPr>
      <w:r>
        <w:rPr>
          <w:rFonts w:hint="eastAsia" w:ascii="仿宋" w:hAnsi="仿宋" w:eastAsia="仿宋"/>
          <w:kern w:val="0"/>
          <w:szCs w:val="21"/>
        </w:rPr>
        <w:t>6.当投标人所投产品属于优先采购的绿色产品时，享受该项产品的价格折扣政策优惠。投标人应提供处于有效期之内的节能/环保产品认证证书扫描件，并如实填写《政府采购绿色产品明细表》（格式见第七章），符合价格扣除优惠措施的，将根据投标人提供的产品及证明材料给予一定比例的价格扣除</w:t>
      </w:r>
      <w:r>
        <w:rPr>
          <w:rFonts w:hint="eastAsia" w:ascii="仿宋" w:hAnsi="仿宋" w:eastAsia="仿宋"/>
          <w:b/>
          <w:bCs/>
          <w:kern w:val="0"/>
          <w:szCs w:val="21"/>
        </w:rPr>
        <w:t>（优先采购绿色产品价格扣除比例：4%）</w:t>
      </w:r>
      <w:r>
        <w:rPr>
          <w:rFonts w:hint="eastAsia" w:ascii="仿宋" w:hAnsi="仿宋" w:eastAsia="仿宋"/>
          <w:kern w:val="0"/>
          <w:szCs w:val="21"/>
        </w:rPr>
        <w:t>。</w:t>
      </w:r>
    </w:p>
    <w:p w14:paraId="01F7B9D9">
      <w:pPr>
        <w:ind w:firstLine="420" w:firstLineChars="200"/>
        <w:rPr>
          <w:rFonts w:hint="eastAsia" w:ascii="仿宋" w:hAnsi="仿宋" w:eastAsia="仿宋"/>
          <w:kern w:val="0"/>
          <w:szCs w:val="21"/>
        </w:rPr>
      </w:pPr>
      <w:r>
        <w:rPr>
          <w:rFonts w:hint="eastAsia" w:ascii="仿宋" w:hAnsi="仿宋" w:eastAsia="仿宋"/>
          <w:kern w:val="0"/>
          <w:szCs w:val="21"/>
        </w:rPr>
        <w:t>对中小微企业等主体,严格落实政府采购优惠政策,同时享受绿色采购政策的价格扣除等评审优惠措施,分别计算、叠加执行,叠加计算方式以财政主管部门相关政策文件为准。（政采云平台计算公式：评标价=供应商总报价-(供应商总报价*中小企业优惠比例)-（绿色产品总报价*绿色优惠比例)）</w:t>
      </w:r>
    </w:p>
    <w:p w14:paraId="48A8FCD9">
      <w:pPr>
        <w:ind w:firstLine="420" w:firstLineChars="200"/>
        <w:rPr>
          <w:rFonts w:hint="eastAsia" w:ascii="仿宋" w:hAnsi="仿宋" w:eastAsia="仿宋" w:cs="Times New Roman"/>
          <w:kern w:val="0"/>
          <w:szCs w:val="21"/>
        </w:rPr>
      </w:pPr>
      <w:r>
        <w:rPr>
          <w:rFonts w:hint="eastAsia" w:ascii="仿宋" w:hAnsi="仿宋" w:eastAsia="仿宋" w:cs="Times New Roman"/>
          <w:kern w:val="0"/>
          <w:szCs w:val="21"/>
          <w:lang w:val="en-US" w:eastAsia="zh-CN"/>
        </w:rPr>
        <w:t>7.</w:t>
      </w:r>
      <w:r>
        <w:rPr>
          <w:rFonts w:hint="eastAsia" w:ascii="仿宋" w:hAnsi="仿宋" w:eastAsia="仿宋" w:cs="Times New Roman"/>
          <w:kern w:val="0"/>
          <w:szCs w:val="21"/>
        </w:rPr>
        <w:t>本项目涉及进口产品的要求：</w:t>
      </w:r>
    </w:p>
    <w:p w14:paraId="0C3334A0">
      <w:pPr>
        <w:ind w:firstLine="420" w:firstLineChars="200"/>
        <w:rPr>
          <w:rFonts w:hint="eastAsia" w:ascii="仿宋" w:hAnsi="仿宋" w:eastAsia="仿宋" w:cs="Times New Roman"/>
          <w:kern w:val="0"/>
          <w:szCs w:val="21"/>
        </w:rPr>
      </w:pPr>
      <w:r>
        <w:rPr>
          <w:rFonts w:hint="eastAsia" w:ascii="仿宋" w:hAnsi="仿宋" w:eastAsia="仿宋" w:cs="Times New Roman"/>
          <w:kern w:val="0"/>
          <w:szCs w:val="21"/>
        </w:rPr>
        <w:t>本项目采购标的物未特别注明“进口产品”（通过中国海关报关验放进入中国境内且产自关境外的产品）字样的，均必须采购国产产品，否则响应无效；</w:t>
      </w:r>
    </w:p>
    <w:p w14:paraId="61F81549">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本项目采购标的物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关于在政府采购中实施本国产品标准及相关政策的通知》要求：政府采购活动中既有本国产品又有非本国产品参与竞争的，依法对本国产品给予价格评审优惠，对本国产品的报价给予20%的价格扣除，用扣除后的价格参与评审。投标人须</w:t>
      </w:r>
      <w:r>
        <w:rPr>
          <w:rFonts w:hint="eastAsia" w:ascii="仿宋" w:hAnsi="仿宋" w:eastAsia="仿宋" w:cs="Times New Roman"/>
          <w:kern w:val="0"/>
          <w:szCs w:val="21"/>
        </w:rPr>
        <w:t>如实填写</w:t>
      </w:r>
      <w:r>
        <w:rPr>
          <w:rFonts w:hint="eastAsia" w:ascii="仿宋" w:hAnsi="仿宋" w:eastAsia="仿宋" w:cs="Times New Roman"/>
          <w:kern w:val="0"/>
          <w:szCs w:val="21"/>
          <w:lang w:val="en-US" w:eastAsia="zh-CN"/>
        </w:rPr>
        <w:t>《</w:t>
      </w:r>
      <w:r>
        <w:rPr>
          <w:rFonts w:hint="eastAsia" w:ascii="仿宋" w:hAnsi="仿宋" w:eastAsia="仿宋" w:cs="Times New Roman"/>
          <w:kern w:val="0"/>
          <w:szCs w:val="21"/>
        </w:rPr>
        <w:t>关于符合本国产品标准的声明函</w:t>
      </w:r>
      <w:r>
        <w:rPr>
          <w:rFonts w:hint="eastAsia" w:ascii="仿宋" w:hAnsi="仿宋" w:eastAsia="仿宋" w:cs="Times New Roman"/>
          <w:kern w:val="0"/>
          <w:szCs w:val="21"/>
          <w:lang w:val="en-US" w:eastAsia="zh-CN"/>
        </w:rPr>
        <w:t>》</w:t>
      </w:r>
      <w:r>
        <w:rPr>
          <w:rFonts w:hint="eastAsia" w:ascii="仿宋" w:hAnsi="仿宋" w:eastAsia="仿宋" w:cs="Times New Roman"/>
          <w:kern w:val="0"/>
          <w:szCs w:val="21"/>
        </w:rPr>
        <w:t>，格式见</w:t>
      </w:r>
      <w:r>
        <w:rPr>
          <w:rFonts w:hint="eastAsia" w:ascii="仿宋" w:hAnsi="仿宋" w:eastAsia="仿宋" w:cs="Times New Roman"/>
          <w:kern w:val="0"/>
          <w:szCs w:val="21"/>
          <w:lang w:eastAsia="zh-CN"/>
        </w:rPr>
        <w:t>第</w:t>
      </w:r>
      <w:r>
        <w:rPr>
          <w:rFonts w:hint="eastAsia" w:ascii="仿宋" w:hAnsi="仿宋" w:eastAsia="仿宋" w:cs="Times New Roman"/>
          <w:kern w:val="0"/>
          <w:szCs w:val="21"/>
          <w:lang w:val="en-US" w:eastAsia="zh-CN"/>
        </w:rPr>
        <w:t>八部分</w:t>
      </w:r>
      <w:r>
        <w:rPr>
          <w:rFonts w:hint="eastAsia" w:ascii="仿宋" w:hAnsi="仿宋" w:eastAsia="仿宋" w:cs="Times New Roman"/>
          <w:kern w:val="0"/>
          <w:szCs w:val="21"/>
        </w:rPr>
        <w:t>。</w:t>
      </w:r>
    </w:p>
    <w:p w14:paraId="562C857D">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8.实施本国产品标准及相关政策</w:t>
      </w:r>
    </w:p>
    <w:p w14:paraId="0E8261BA">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1.本国产品标准：</w:t>
      </w:r>
    </w:p>
    <w:p w14:paraId="101FE610">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本国产品应当符合以下条件：</w:t>
      </w:r>
    </w:p>
    <w:p w14:paraId="124D8959">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（1）在中国境内生产</w:t>
      </w:r>
    </w:p>
    <w:p w14:paraId="3E40EBC4">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产品应当在中国境内生产，即在中华人民共和国关境内实现从原材料、组件到产品的属性改变。</w:t>
      </w:r>
    </w:p>
    <w:p w14:paraId="27B54D6C">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属性改变是指经过制造、加工或者组装等工序，产生完全不同于原材料、组件的新产品，并具有新的名称和特征（用途）。属性改变不包括以下细微操作：</w:t>
      </w:r>
    </w:p>
    <w:p w14:paraId="3DA442C4">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①为确保产品在运输或者储存期间保持某种状态而进行的操作；</w:t>
      </w:r>
    </w:p>
    <w:p w14:paraId="37BC5E90">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②为产品运输或者销售进行的包装或者展示；</w:t>
      </w:r>
    </w:p>
    <w:p w14:paraId="0277419E">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③在产品或者其包装上粘贴或者印刷品牌、标志、标识以及其他用于区别的标记；</w:t>
      </w:r>
    </w:p>
    <w:p w14:paraId="0719A3EB">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④简单的上漆、磨光和分装；</w:t>
      </w:r>
    </w:p>
    <w:p w14:paraId="57055D6D">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⑤其他不属于属性改变的情形。</w:t>
      </w:r>
    </w:p>
    <w:p w14:paraId="7C54B26D">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（2）在中国境内生产的组件成本占比达到规定比例</w:t>
      </w:r>
    </w:p>
    <w:p w14:paraId="04234BC1">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产品在中国境内生产的组件成本占比应当达到规定比例，计算公式为：</w:t>
      </w:r>
    </w:p>
    <w:p w14:paraId="45C13295">
      <w:pPr>
        <w:ind w:firstLine="420" w:firstLineChars="200"/>
        <w:rPr>
          <w:rFonts w:hint="eastAsia" w:ascii="仿宋" w:hAnsi="仿宋" w:eastAsia="仿宋" w:cs="Times New Roman"/>
          <w:kern w:val="0"/>
          <w:szCs w:val="21"/>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4" name="图片 2"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020250930645245947614"/>
                    <pic:cNvPicPr>
                      <a:picLocks noChangeAspect="1"/>
                    </pic:cNvPicPr>
                  </pic:nvPicPr>
                  <pic:blipFill>
                    <a:blip r:embed="rId11"/>
                    <a:stretch>
                      <a:fillRect/>
                    </a:stretch>
                  </pic:blipFill>
                  <pic:spPr>
                    <a:xfrm>
                      <a:off x="0" y="0"/>
                      <a:ext cx="3402965" cy="624205"/>
                    </a:xfrm>
                    <a:prstGeom prst="rect">
                      <a:avLst/>
                    </a:prstGeom>
                    <a:noFill/>
                    <a:ln>
                      <a:noFill/>
                    </a:ln>
                  </pic:spPr>
                </pic:pic>
              </a:graphicData>
            </a:graphic>
          </wp:inline>
        </w:drawing>
      </w:r>
    </w:p>
    <w:p w14:paraId="6BE437AC">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FF80B47">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（3）特定产品的关键组件、关键工序符合相关要求</w:t>
      </w:r>
    </w:p>
    <w:p w14:paraId="6733ADC6">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对特定产品，在符合本通知第一条第（一）项和第（二）项条件的基础上，应当符合财政部会同有关行业主管部门确定的其关键组件、关键工序在中国境内生产、完成等要求。</w:t>
      </w:r>
    </w:p>
    <w:p w14:paraId="13CB1AD6">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2.本国产品标准的适用范围</w:t>
      </w:r>
    </w:p>
    <w:p w14:paraId="0324F156">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F29C41C">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3.对本国产品的支持政策</w:t>
      </w:r>
    </w:p>
    <w:p w14:paraId="065CF649">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政府采购活动中既有本国产品又有非本国产品参与竞争的，依法对本国产品给予价格评审优惠，对本国产品的报价给予20%的价格扣除，用扣除后的价格参与评审。</w:t>
      </w:r>
    </w:p>
    <w:p w14:paraId="545D1C79">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24A1C83">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4.政策执行要求</w:t>
      </w:r>
    </w:p>
    <w:p w14:paraId="6051D249">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（1）产品在中国境内生产的组件成本核算规则。产品在中国境内生产的组件成本，按照《中国境内生产的组件成本核算基本规则》（详见格式见第八部分）计算。</w:t>
      </w:r>
    </w:p>
    <w:p w14:paraId="0746D2E3">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2）有关证明文件。采购人、采购代理机构应当在采购文件中明确要求供应商对其提供的产品出具《关于符合本国产品标准的声明函》（详见格式见第八部分，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72C9843">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采购人、采购代理机构应当随中标、成交结果同时公告中标、成交供应商提供的《声明函》或有关证明文件。</w:t>
      </w:r>
    </w:p>
    <w:p w14:paraId="0227C397">
      <w:pPr>
        <w:ind w:firstLine="420" w:firstLineChars="200"/>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（3）其他相关内容及要求详见国办发〔2025〕34号文件《国务院办公厅关于在政府采购中实施本国产品标准及相关政策的通知》。</w:t>
      </w:r>
    </w:p>
    <w:p w14:paraId="17A15FD3">
      <w:pPr>
        <w:pStyle w:val="79"/>
        <w:snapToGrid w:val="0"/>
        <w:spacing w:line="480" w:lineRule="exact"/>
        <w:ind w:firstLine="420" w:firstLineChars="200"/>
        <w:rPr>
          <w:rFonts w:hint="eastAsia" w:ascii="仿宋" w:hAnsi="仿宋" w:eastAsia="仿宋"/>
        </w:rPr>
      </w:pPr>
      <w:r>
        <w:rPr>
          <w:rFonts w:hint="eastAsia" w:ascii="仿宋" w:hAnsi="仿宋" w:eastAsia="仿宋"/>
          <w:lang w:val="en-US" w:eastAsia="zh-CN"/>
        </w:rPr>
        <w:t>9</w:t>
      </w:r>
      <w:r>
        <w:rPr>
          <w:rFonts w:hint="eastAsia" w:ascii="仿宋" w:hAnsi="仿宋" w:eastAsia="仿宋"/>
        </w:rPr>
        <w:t>.强化政府采购异常低价审查</w:t>
      </w:r>
    </w:p>
    <w:p w14:paraId="24E5D8A7">
      <w:pPr>
        <w:ind w:firstLine="420" w:firstLineChars="200"/>
        <w:rPr>
          <w:rFonts w:hint="eastAsia" w:ascii="仿宋" w:hAnsi="仿宋" w:eastAsia="仿宋"/>
          <w:kern w:val="0"/>
          <w:szCs w:val="21"/>
        </w:rPr>
      </w:pPr>
      <w:r>
        <w:rPr>
          <w:rFonts w:hint="eastAsia" w:ascii="仿宋" w:hAnsi="仿宋" w:eastAsia="仿宋"/>
          <w:kern w:val="0"/>
          <w:szCs w:val="21"/>
        </w:rPr>
        <w:t>政府采购评审中出现下列情形之一的，评审委员会应当启动异常低价投标（响应）审查程序：</w:t>
      </w:r>
    </w:p>
    <w:p w14:paraId="20B55596">
      <w:pPr>
        <w:ind w:firstLine="420" w:firstLineChars="200"/>
        <w:rPr>
          <w:rFonts w:hint="eastAsia" w:ascii="仿宋" w:hAnsi="仿宋" w:eastAsia="仿宋"/>
          <w:kern w:val="0"/>
          <w:szCs w:val="21"/>
        </w:rPr>
      </w:pPr>
      <w:r>
        <w:rPr>
          <w:rFonts w:hint="eastAsia" w:ascii="仿宋" w:hAnsi="仿宋" w:eastAsia="仿宋"/>
          <w:kern w:val="0"/>
          <w:szCs w:val="21"/>
        </w:rPr>
        <w:t>（1）投标（响应）报价低于全部通过符合性审查供应商投标（响应）报价平均值50%的，即投标（响应）报价&lt;全部通过符合性审查供应商投标（响应）报价平均值×50%；</w:t>
      </w:r>
    </w:p>
    <w:p w14:paraId="67A129F1">
      <w:pPr>
        <w:ind w:firstLine="420" w:firstLineChars="200"/>
        <w:rPr>
          <w:rFonts w:hint="eastAsia" w:ascii="仿宋" w:hAnsi="仿宋" w:eastAsia="仿宋"/>
          <w:kern w:val="0"/>
          <w:szCs w:val="21"/>
        </w:rPr>
      </w:pPr>
      <w:r>
        <w:rPr>
          <w:rFonts w:hint="eastAsia" w:ascii="仿宋" w:hAnsi="仿宋" w:eastAsia="仿宋"/>
          <w:kern w:val="0"/>
          <w:szCs w:val="21"/>
        </w:rPr>
        <w:t>（2）投标（响应）报价低于通过符合性审查的次低报价供应商投标（响应）报价50%的，即投标（响应）报价&lt;通过符合性审查的次低报价供应商投标（响应）报价×50%；</w:t>
      </w:r>
    </w:p>
    <w:p w14:paraId="2CD2E336">
      <w:pPr>
        <w:ind w:firstLine="420" w:firstLineChars="200"/>
        <w:rPr>
          <w:rFonts w:hint="eastAsia" w:ascii="仿宋" w:hAnsi="仿宋" w:eastAsia="仿宋"/>
          <w:kern w:val="0"/>
          <w:szCs w:val="21"/>
        </w:rPr>
      </w:pPr>
      <w:r>
        <w:rPr>
          <w:rFonts w:hint="eastAsia" w:ascii="仿宋" w:hAnsi="仿宋" w:eastAsia="仿宋"/>
          <w:kern w:val="0"/>
          <w:szCs w:val="21"/>
        </w:rPr>
        <w:t>（3）投标（响应）报价低于采购项目最高限价45%的，即投标（响应）报价&lt;采购项目最高限价×45%；</w:t>
      </w:r>
    </w:p>
    <w:p w14:paraId="31634E3C">
      <w:pPr>
        <w:ind w:firstLine="420" w:firstLineChars="200"/>
        <w:rPr>
          <w:rFonts w:hint="eastAsia" w:ascii="仿宋" w:hAnsi="仿宋" w:eastAsia="仿宋"/>
          <w:kern w:val="0"/>
          <w:szCs w:val="21"/>
        </w:rPr>
      </w:pPr>
      <w:r>
        <w:rPr>
          <w:rFonts w:hint="eastAsia" w:ascii="仿宋" w:hAnsi="仿宋" w:eastAsia="仿宋"/>
          <w:kern w:val="0"/>
          <w:szCs w:val="21"/>
        </w:rPr>
        <w:t>（4）评审委员会基于专业判断，认为供应商报价过低，有可能影响产品质量或者不能诚信履约的其他情形。</w:t>
      </w:r>
    </w:p>
    <w:p w14:paraId="49BD0F71">
      <w:pPr>
        <w:ind w:firstLine="420" w:firstLineChars="200"/>
        <w:rPr>
          <w:rFonts w:hint="eastAsia" w:ascii="仿宋" w:hAnsi="仿宋" w:eastAsia="仿宋"/>
          <w:kern w:val="0"/>
          <w:szCs w:val="21"/>
        </w:rPr>
      </w:pPr>
      <w:r>
        <w:rPr>
          <w:rFonts w:hint="eastAsia" w:ascii="仿宋" w:hAnsi="仿宋" w:eastAsia="仿宋"/>
          <w:kern w:val="0"/>
          <w:szCs w:val="21"/>
        </w:rPr>
        <w:t>相关法律法规对供应商报价有规定的，从其规定。</w:t>
      </w:r>
    </w:p>
    <w:p w14:paraId="75062C01">
      <w:pPr>
        <w:ind w:firstLine="420" w:firstLineChars="200"/>
        <w:rPr>
          <w:rFonts w:hint="eastAsia" w:ascii="仿宋" w:hAnsi="仿宋" w:eastAsia="仿宋"/>
          <w:kern w:val="0"/>
          <w:szCs w:val="21"/>
        </w:rPr>
      </w:pPr>
      <w:r>
        <w:rPr>
          <w:rFonts w:hint="eastAsia" w:ascii="仿宋" w:hAnsi="仿宋" w:eastAsia="仿宋"/>
          <w:kern w:val="0"/>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08D306EC">
      <w:pPr>
        <w:ind w:firstLine="420" w:firstLineChars="200"/>
        <w:rPr>
          <w:rFonts w:hint="eastAsia" w:ascii="仿宋" w:hAnsi="仿宋" w:eastAsia="仿宋"/>
          <w:kern w:val="0"/>
          <w:szCs w:val="21"/>
        </w:rPr>
      </w:pPr>
      <w:r>
        <w:rPr>
          <w:rFonts w:hint="eastAsia" w:ascii="仿宋" w:hAnsi="仿宋" w:eastAsia="仿宋"/>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BD3639">
      <w:pPr>
        <w:ind w:firstLine="420" w:firstLineChars="200"/>
        <w:rPr>
          <w:rFonts w:hint="eastAsia" w:ascii="仿宋" w:hAnsi="仿宋" w:eastAsia="仿宋"/>
          <w:kern w:val="0"/>
          <w:szCs w:val="21"/>
        </w:rPr>
      </w:pPr>
      <w:r>
        <w:rPr>
          <w:rFonts w:hint="eastAsia" w:ascii="仿宋" w:hAnsi="仿宋" w:eastAsia="仿宋"/>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D5DBCF">
      <w:pPr>
        <w:ind w:firstLine="420" w:firstLineChars="200"/>
        <w:rPr>
          <w:rFonts w:hint="eastAsia" w:ascii="仿宋" w:hAnsi="仿宋" w:eastAsia="仿宋"/>
          <w:kern w:val="0"/>
          <w:szCs w:val="21"/>
        </w:rPr>
      </w:pPr>
      <w:r>
        <w:rPr>
          <w:rFonts w:hint="eastAsia" w:ascii="仿宋" w:hAnsi="仿宋" w:eastAsia="仿宋"/>
          <w:kern w:val="0"/>
          <w:szCs w:val="21"/>
        </w:rPr>
        <w:t>异常低价投标（响应）审查的启动原因、审查意见和审查结果应当在评审报告中记录，并随供应商提供的相关书面说明及证明材料，以及评审委员会有关互联网浏览、查询历史一并归档。</w:t>
      </w:r>
    </w:p>
    <w:p w14:paraId="5A5E6964">
      <w:pPr>
        <w:ind w:firstLine="422" w:firstLineChars="200"/>
        <w:rPr>
          <w:rFonts w:hint="eastAsia" w:ascii="仿宋" w:hAnsi="仿宋" w:eastAsia="仿宋"/>
          <w:b/>
          <w:bCs/>
          <w:kern w:val="0"/>
          <w:szCs w:val="21"/>
        </w:rPr>
      </w:pPr>
      <w:r>
        <w:rPr>
          <w:rFonts w:hint="eastAsia" w:ascii="仿宋" w:hAnsi="仿宋" w:eastAsia="仿宋"/>
          <w:b/>
          <w:bCs/>
          <w:kern w:val="0"/>
          <w:szCs w:val="21"/>
        </w:rPr>
        <w:t>三、无效投标的情形</w:t>
      </w:r>
    </w:p>
    <w:p w14:paraId="72FE0F52">
      <w:pPr>
        <w:ind w:firstLine="420" w:firstLineChars="200"/>
        <w:rPr>
          <w:rFonts w:hint="eastAsia" w:ascii="仿宋" w:hAnsi="仿宋" w:eastAsia="仿宋"/>
          <w:kern w:val="0"/>
          <w:szCs w:val="21"/>
        </w:rPr>
      </w:pPr>
      <w:r>
        <w:rPr>
          <w:rFonts w:hint="eastAsia" w:ascii="仿宋" w:hAnsi="仿宋" w:eastAsia="仿宋"/>
          <w:kern w:val="0"/>
          <w:szCs w:val="21"/>
        </w:rPr>
        <w:t>未通过资格审查、符合性审查的投标文件为无效投标。</w:t>
      </w:r>
    </w:p>
    <w:p w14:paraId="179EAF82">
      <w:pPr>
        <w:ind w:firstLine="422" w:firstLineChars="200"/>
        <w:rPr>
          <w:rFonts w:hint="eastAsia" w:ascii="仿宋" w:hAnsi="仿宋" w:eastAsia="仿宋"/>
          <w:b/>
          <w:bCs/>
          <w:kern w:val="0"/>
          <w:szCs w:val="21"/>
        </w:rPr>
      </w:pPr>
      <w:r>
        <w:rPr>
          <w:rFonts w:hint="eastAsia" w:ascii="仿宋" w:hAnsi="仿宋" w:eastAsia="仿宋"/>
          <w:b/>
          <w:bCs/>
          <w:kern w:val="0"/>
          <w:szCs w:val="21"/>
        </w:rPr>
        <w:t>四、评标方法及中标条件</w:t>
      </w:r>
    </w:p>
    <w:p w14:paraId="3DBFC54D">
      <w:pPr>
        <w:ind w:firstLine="420" w:firstLineChars="200"/>
        <w:rPr>
          <w:rFonts w:hint="eastAsia" w:ascii="仿宋" w:hAnsi="仿宋" w:eastAsia="仿宋"/>
          <w:kern w:val="0"/>
          <w:szCs w:val="21"/>
        </w:rPr>
      </w:pPr>
      <w:r>
        <w:rPr>
          <w:rFonts w:hint="eastAsia" w:ascii="仿宋" w:hAnsi="仿宋" w:eastAsia="仿宋"/>
          <w:kern w:val="0"/>
          <w:szCs w:val="21"/>
        </w:rPr>
        <w:t>本项目采用</w:t>
      </w:r>
      <w:r>
        <w:rPr>
          <w:rFonts w:hint="eastAsia" w:ascii="仿宋" w:hAnsi="仿宋" w:eastAsia="仿宋"/>
          <w:b/>
          <w:bCs/>
          <w:kern w:val="0"/>
          <w:szCs w:val="21"/>
        </w:rPr>
        <w:t>综合评分法</w:t>
      </w:r>
      <w:r>
        <w:rPr>
          <w:rFonts w:hint="eastAsia" w:ascii="仿宋" w:hAnsi="仿宋" w:eastAsia="仿宋"/>
          <w:kern w:val="0"/>
          <w:szCs w:val="21"/>
        </w:rPr>
        <w:t>。</w:t>
      </w:r>
    </w:p>
    <w:p w14:paraId="0100E1DC">
      <w:pPr>
        <w:ind w:firstLine="420" w:firstLineChars="200"/>
        <w:rPr>
          <w:rFonts w:hint="eastAsia" w:ascii="仿宋" w:hAnsi="仿宋" w:eastAsia="仿宋"/>
          <w:kern w:val="0"/>
          <w:szCs w:val="21"/>
        </w:rPr>
      </w:pPr>
      <w:r>
        <w:rPr>
          <w:rFonts w:hint="eastAsia" w:ascii="仿宋" w:hAnsi="仿宋" w:eastAsia="仿宋"/>
          <w:kern w:val="0"/>
          <w:szCs w:val="21"/>
        </w:rPr>
        <w:t>综合评分法，是指投标文件满足招标文件全部实质性要求，且按照评审因素的量化指标评审得分最高的投标人为中标候选人的评标方法。</w:t>
      </w:r>
    </w:p>
    <w:p w14:paraId="19E561F5">
      <w:pPr>
        <w:ind w:firstLine="420" w:firstLineChars="200"/>
        <w:rPr>
          <w:rFonts w:hint="eastAsia" w:ascii="仿宋" w:hAnsi="仿宋" w:eastAsia="仿宋"/>
          <w:kern w:val="0"/>
          <w:szCs w:val="21"/>
        </w:rPr>
      </w:pPr>
      <w:r>
        <w:rPr>
          <w:rFonts w:hint="eastAsia" w:ascii="仿宋" w:hAnsi="仿宋" w:eastAsia="仿宋"/>
          <w:kern w:val="0"/>
          <w:szCs w:val="21"/>
        </w:rPr>
        <w:t>最低价评分法，是指投标文件满足招标文件全部实质性要求，且按照资格性、符合性评审因素（包括投标报价、技术或者服务水平、履约能力、售后服务等）的量化指标进行评审，报价最低的投标人为中标人的评标方法。</w:t>
      </w:r>
    </w:p>
    <w:p w14:paraId="0FEBADDA">
      <w:pPr>
        <w:spacing w:line="440" w:lineRule="exact"/>
        <w:rPr>
          <w:rFonts w:hint="eastAsia" w:ascii="宋体" w:hAnsi="宋体"/>
          <w:szCs w:val="21"/>
        </w:rPr>
      </w:pPr>
      <w:r>
        <w:rPr>
          <w:b/>
          <w:sz w:val="24"/>
        </w:rPr>
        <w:t>综合评分法评分因素和权重分值</w:t>
      </w:r>
    </w:p>
    <w:p w14:paraId="5F794BDD">
      <w:pPr>
        <w:pStyle w:val="28"/>
      </w:pPr>
    </w:p>
    <w:tbl>
      <w:tblPr>
        <w:tblStyle w:val="39"/>
        <w:tblW w:w="9191"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5"/>
        <w:gridCol w:w="1036"/>
      </w:tblGrid>
      <w:tr w14:paraId="12A2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155" w:type="dxa"/>
            <w:tcBorders>
              <w:top w:val="single" w:color="auto" w:sz="4" w:space="0"/>
              <w:left w:val="single" w:color="auto" w:sz="4" w:space="0"/>
              <w:bottom w:val="single" w:color="auto" w:sz="4" w:space="0"/>
              <w:right w:val="single" w:color="auto" w:sz="4" w:space="0"/>
            </w:tcBorders>
            <w:vAlign w:val="center"/>
          </w:tcPr>
          <w:p w14:paraId="4B60404D">
            <w:pPr>
              <w:widowControl/>
              <w:rPr>
                <w:rFonts w:hint="eastAsia" w:ascii="宋体" w:hAnsi="宋体" w:cs="宋体"/>
                <w:b/>
                <w:bCs/>
                <w:spacing w:val="6"/>
                <w:sz w:val="24"/>
              </w:rPr>
            </w:pPr>
            <w:r>
              <w:rPr>
                <w:rFonts w:hint="eastAsia" w:ascii="宋体" w:hAnsi="宋体" w:cs="宋体"/>
                <w:b/>
                <w:bCs/>
                <w:spacing w:val="6"/>
                <w:sz w:val="24"/>
              </w:rPr>
              <w:t xml:space="preserve">一、商务部分(10分)   </w:t>
            </w:r>
          </w:p>
        </w:tc>
        <w:tc>
          <w:tcPr>
            <w:tcW w:w="1036" w:type="dxa"/>
            <w:tcBorders>
              <w:top w:val="single" w:color="auto" w:sz="4" w:space="0"/>
              <w:left w:val="single" w:color="auto" w:sz="4" w:space="0"/>
              <w:bottom w:val="single" w:color="auto" w:sz="4" w:space="0"/>
              <w:right w:val="single" w:color="auto" w:sz="4" w:space="0"/>
            </w:tcBorders>
            <w:vAlign w:val="center"/>
          </w:tcPr>
          <w:p w14:paraId="468FB86B">
            <w:pPr>
              <w:widowControl/>
              <w:jc w:val="center"/>
              <w:rPr>
                <w:rFonts w:hint="eastAsia" w:ascii="宋体" w:hAnsi="宋体" w:cs="宋体"/>
                <w:b/>
                <w:bCs/>
                <w:spacing w:val="6"/>
                <w:sz w:val="24"/>
              </w:rPr>
            </w:pPr>
            <w:r>
              <w:rPr>
                <w:rFonts w:hint="eastAsia" w:ascii="宋体" w:hAnsi="宋体" w:cs="宋体"/>
                <w:b/>
                <w:bCs/>
                <w:spacing w:val="6"/>
                <w:sz w:val="24"/>
              </w:rPr>
              <w:t>10分</w:t>
            </w:r>
          </w:p>
        </w:tc>
      </w:tr>
      <w:tr w14:paraId="4FB3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5" w:type="dxa"/>
            <w:tcBorders>
              <w:top w:val="single" w:color="auto" w:sz="4" w:space="0"/>
              <w:left w:val="single" w:color="auto" w:sz="4" w:space="0"/>
              <w:bottom w:val="single" w:color="auto" w:sz="4" w:space="0"/>
              <w:right w:val="single" w:color="auto" w:sz="4" w:space="0"/>
            </w:tcBorders>
            <w:vAlign w:val="center"/>
          </w:tcPr>
          <w:p w14:paraId="06607B1F">
            <w:pPr>
              <w:widowControl/>
              <w:jc w:val="left"/>
              <w:rPr>
                <w:rFonts w:hint="eastAsia" w:ascii="宋体" w:hAnsi="宋体" w:cs="宋体"/>
                <w:sz w:val="24"/>
              </w:rPr>
            </w:pPr>
            <w:r>
              <w:rPr>
                <w:rFonts w:hint="eastAsia" w:ascii="宋体" w:hAnsi="宋体" w:cs="宋体"/>
                <w:kern w:val="0"/>
                <w:sz w:val="24"/>
              </w:rPr>
              <w:t xml:space="preserve">1、类似项目业绩（10分） </w:t>
            </w:r>
          </w:p>
          <w:p w14:paraId="3E60166C">
            <w:pPr>
              <w:widowControl/>
              <w:jc w:val="left"/>
              <w:rPr>
                <w:rFonts w:hint="eastAsia" w:ascii="宋体" w:hAnsi="宋体" w:cs="宋体"/>
                <w:sz w:val="24"/>
              </w:rPr>
            </w:pPr>
            <w:r>
              <w:rPr>
                <w:rFonts w:hint="eastAsia" w:ascii="宋体" w:hAnsi="宋体" w:cs="宋体"/>
                <w:kern w:val="0"/>
                <w:sz w:val="24"/>
              </w:rPr>
              <w:t xml:space="preserve">供应商提供近三年（投标文件递交截止日前三年内，以合同签订日期为准。）类似项目业绩合同，以合同为准。要求必须提供与最终用户签订的完整合同，包括合同首页、合同金额所在页、签章盖章页。提供一项业绩得5分，最高得10分。 </w:t>
            </w:r>
          </w:p>
          <w:p w14:paraId="074915FD">
            <w:pPr>
              <w:widowControl/>
              <w:jc w:val="left"/>
              <w:rPr>
                <w:rFonts w:hint="eastAsia" w:ascii="宋体" w:hAnsi="宋体" w:cs="宋体"/>
                <w:sz w:val="24"/>
              </w:rPr>
            </w:pPr>
            <w:r>
              <w:rPr>
                <w:rFonts w:hint="eastAsia" w:ascii="宋体" w:hAnsi="宋体" w:cs="宋体"/>
                <w:b/>
                <w:bCs/>
                <w:kern w:val="0"/>
                <w:sz w:val="24"/>
              </w:rPr>
              <w:t>注：①本款可作为得分的合同案例仅指供应商自身的合同案例。即合同案例中的乙方必须与供应商的名称完全一致，公司名称若发生变更，提供有关部门相关证明材料。</w:t>
            </w:r>
          </w:p>
          <w:p w14:paraId="19DD3BD7">
            <w:pPr>
              <w:widowControl/>
              <w:jc w:val="left"/>
              <w:rPr>
                <w:rFonts w:hint="eastAsia" w:ascii="宋体" w:hAnsi="宋体" w:cs="宋体"/>
                <w:b/>
                <w:bCs/>
                <w:kern w:val="0"/>
                <w:sz w:val="24"/>
              </w:rPr>
            </w:pPr>
            <w:r>
              <w:rPr>
                <w:rFonts w:hint="eastAsia" w:ascii="宋体" w:hAnsi="宋体" w:cs="宋体"/>
                <w:b/>
                <w:bCs/>
                <w:kern w:val="0"/>
                <w:sz w:val="24"/>
              </w:rPr>
              <w:t>②证明材料不完整或不符合以上内容要求或不清晰，导致无法判断是否符合以上要求的，不得分。</w:t>
            </w:r>
          </w:p>
          <w:p w14:paraId="574D7208">
            <w:pPr>
              <w:widowControl/>
              <w:jc w:val="left"/>
              <w:rPr>
                <w:rFonts w:hint="eastAsia" w:ascii="宋体" w:hAnsi="宋体" w:cs="宋体"/>
                <w:b/>
                <w:bCs/>
                <w:kern w:val="0"/>
                <w:sz w:val="24"/>
              </w:rPr>
            </w:pPr>
            <w:r>
              <w:rPr>
                <w:rFonts w:hint="eastAsia" w:ascii="宋体" w:hAnsi="宋体" w:cs="宋体"/>
                <w:b/>
                <w:bCs/>
                <w:kern w:val="0"/>
                <w:sz w:val="24"/>
              </w:rPr>
              <w:t>③类似项目是指信息化服务项目。</w:t>
            </w:r>
          </w:p>
        </w:tc>
        <w:tc>
          <w:tcPr>
            <w:tcW w:w="1036" w:type="dxa"/>
            <w:tcBorders>
              <w:top w:val="single" w:color="auto" w:sz="4" w:space="0"/>
              <w:left w:val="single" w:color="auto" w:sz="4" w:space="0"/>
              <w:bottom w:val="single" w:color="auto" w:sz="4" w:space="0"/>
              <w:right w:val="single" w:color="auto" w:sz="4" w:space="0"/>
            </w:tcBorders>
            <w:vAlign w:val="center"/>
          </w:tcPr>
          <w:p w14:paraId="511C8F52">
            <w:pPr>
              <w:widowControl/>
              <w:jc w:val="center"/>
              <w:rPr>
                <w:rFonts w:hint="eastAsia" w:ascii="宋体" w:hAnsi="宋体" w:cs="宋体"/>
                <w:bCs/>
                <w:spacing w:val="6"/>
                <w:sz w:val="24"/>
              </w:rPr>
            </w:pPr>
            <w:r>
              <w:rPr>
                <w:rFonts w:hint="eastAsia" w:ascii="宋体" w:hAnsi="宋体" w:cs="宋体"/>
                <w:bCs/>
                <w:sz w:val="24"/>
              </w:rPr>
              <w:t>10分</w:t>
            </w:r>
          </w:p>
        </w:tc>
      </w:tr>
      <w:tr w14:paraId="69CC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55" w:type="dxa"/>
            <w:tcBorders>
              <w:top w:val="single" w:color="auto" w:sz="4" w:space="0"/>
              <w:left w:val="single" w:color="auto" w:sz="4" w:space="0"/>
              <w:bottom w:val="single" w:color="auto" w:sz="4" w:space="0"/>
              <w:right w:val="single" w:color="auto" w:sz="4" w:space="0"/>
            </w:tcBorders>
            <w:vAlign w:val="center"/>
          </w:tcPr>
          <w:p w14:paraId="269177FA">
            <w:pPr>
              <w:widowControl/>
              <w:rPr>
                <w:rFonts w:hint="eastAsia" w:ascii="宋体" w:hAnsi="宋体" w:cs="宋体"/>
                <w:b/>
                <w:bCs/>
                <w:spacing w:val="6"/>
                <w:sz w:val="24"/>
              </w:rPr>
            </w:pPr>
            <w:r>
              <w:rPr>
                <w:rFonts w:hint="eastAsia" w:ascii="宋体" w:hAnsi="宋体" w:cs="宋体"/>
                <w:b/>
                <w:bCs/>
                <w:spacing w:val="6"/>
                <w:sz w:val="24"/>
              </w:rPr>
              <w:t xml:space="preserve">二、技术部分（70分）  </w:t>
            </w:r>
          </w:p>
        </w:tc>
        <w:tc>
          <w:tcPr>
            <w:tcW w:w="1036" w:type="dxa"/>
            <w:tcBorders>
              <w:top w:val="single" w:color="auto" w:sz="4" w:space="0"/>
              <w:left w:val="single" w:color="auto" w:sz="4" w:space="0"/>
              <w:bottom w:val="single" w:color="auto" w:sz="4" w:space="0"/>
              <w:right w:val="single" w:color="auto" w:sz="4" w:space="0"/>
            </w:tcBorders>
            <w:vAlign w:val="center"/>
          </w:tcPr>
          <w:p w14:paraId="35B487D7">
            <w:pPr>
              <w:widowControl/>
              <w:jc w:val="center"/>
              <w:rPr>
                <w:rFonts w:hint="eastAsia" w:ascii="宋体" w:hAnsi="宋体" w:cs="宋体"/>
                <w:bCs/>
                <w:spacing w:val="6"/>
                <w:sz w:val="24"/>
              </w:rPr>
            </w:pPr>
            <w:r>
              <w:rPr>
                <w:rFonts w:hint="eastAsia" w:ascii="宋体" w:hAnsi="宋体" w:cs="宋体"/>
                <w:b/>
                <w:spacing w:val="6"/>
                <w:sz w:val="24"/>
              </w:rPr>
              <w:t>70分</w:t>
            </w:r>
          </w:p>
        </w:tc>
      </w:tr>
      <w:tr w14:paraId="6A3C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155" w:type="dxa"/>
            <w:tcBorders>
              <w:top w:val="single" w:color="auto" w:sz="4" w:space="0"/>
              <w:left w:val="single" w:color="auto" w:sz="4" w:space="0"/>
              <w:bottom w:val="single" w:color="auto" w:sz="4" w:space="0"/>
              <w:right w:val="single" w:color="auto" w:sz="4" w:space="0"/>
            </w:tcBorders>
            <w:vAlign w:val="center"/>
          </w:tcPr>
          <w:p w14:paraId="53C1E124">
            <w:pPr>
              <w:widowControl/>
              <w:jc w:val="left"/>
              <w:rPr>
                <w:rFonts w:hint="eastAsia" w:ascii="宋体" w:hAnsi="宋体" w:cs="宋体"/>
                <w:sz w:val="24"/>
              </w:rPr>
            </w:pPr>
            <w:r>
              <w:rPr>
                <w:rFonts w:hint="eastAsia" w:ascii="宋体" w:hAnsi="宋体" w:cs="宋体"/>
                <w:kern w:val="0"/>
                <w:sz w:val="24"/>
              </w:rPr>
              <w:t xml:space="preserve">1、项目实施方案（20分） </w:t>
            </w:r>
          </w:p>
          <w:p w14:paraId="4FE7038F">
            <w:pPr>
              <w:widowControl/>
              <w:jc w:val="left"/>
              <w:rPr>
                <w:rFonts w:hint="eastAsia" w:ascii="宋体" w:hAnsi="宋体" w:cs="宋体"/>
                <w:sz w:val="24"/>
                <w:highlight w:val="none"/>
              </w:rPr>
            </w:pPr>
            <w:r>
              <w:rPr>
                <w:rFonts w:hint="eastAsia" w:ascii="宋体" w:hAnsi="宋体" w:cs="宋体"/>
                <w:sz w:val="24"/>
              </w:rPr>
              <w:t>投标人针对本项目实际情况及采购需求制定的项目实施方案，方案应包含以下内容：</w:t>
            </w:r>
            <w:r>
              <w:rPr>
                <w:rFonts w:ascii="宋体" w:hAnsi="宋体" w:cs="宋体"/>
                <w:sz w:val="24"/>
                <w:highlight w:val="none"/>
              </w:rPr>
              <w:t>①</w:t>
            </w:r>
            <w:r>
              <w:rPr>
                <w:rFonts w:hint="eastAsia" w:ascii="宋体" w:hAnsi="宋体" w:cs="宋体"/>
                <w:sz w:val="24"/>
                <w:highlight w:val="none"/>
              </w:rPr>
              <w:t>综合防控系统信息化管理平台实施方案（10分）；</w:t>
            </w:r>
            <w:r>
              <w:rPr>
                <w:rFonts w:ascii="宋体" w:hAnsi="宋体" w:cs="宋体"/>
                <w:sz w:val="24"/>
                <w:highlight w:val="none"/>
              </w:rPr>
              <w:t>②</w:t>
            </w:r>
            <w:r>
              <w:rPr>
                <w:rFonts w:hint="eastAsia" w:ascii="宋体" w:hAnsi="宋体" w:cs="宋体"/>
                <w:sz w:val="24"/>
                <w:highlight w:val="none"/>
              </w:rPr>
              <w:t>项目实施时间节点安排（5分）；③安装调试保障措施（5分）；</w:t>
            </w:r>
          </w:p>
          <w:p w14:paraId="6C806AD9">
            <w:pPr>
              <w:widowControl/>
              <w:jc w:val="left"/>
              <w:rPr>
                <w:rFonts w:hint="eastAsia" w:ascii="宋体" w:hAnsi="宋体" w:cs="宋体"/>
                <w:kern w:val="0"/>
                <w:sz w:val="24"/>
                <w:highlight w:val="none"/>
              </w:rPr>
            </w:pPr>
            <w:r>
              <w:rPr>
                <w:rFonts w:hint="eastAsia" w:ascii="宋体" w:hAnsi="宋体" w:cs="宋体"/>
                <w:sz w:val="24"/>
                <w:highlight w:val="none"/>
              </w:rPr>
              <w:t>提供项目实施方案，</w:t>
            </w:r>
            <w:r>
              <w:rPr>
                <w:rFonts w:hint="eastAsia" w:ascii="宋体" w:hAnsi="宋体" w:cs="宋体"/>
                <w:kern w:val="0"/>
                <w:sz w:val="24"/>
                <w:highlight w:val="none"/>
              </w:rPr>
              <w:t xml:space="preserve">每有一项内容存在缺陷扣0.5分，扣完为止。 </w:t>
            </w:r>
          </w:p>
          <w:p w14:paraId="1590083C">
            <w:pPr>
              <w:widowControl/>
              <w:jc w:val="left"/>
              <w:rPr>
                <w:rFonts w:hint="eastAsia" w:ascii="宋体" w:hAnsi="宋体" w:cs="宋体"/>
                <w:kern w:val="0"/>
                <w:sz w:val="24"/>
              </w:rPr>
            </w:pPr>
            <w:r>
              <w:rPr>
                <w:rFonts w:hint="eastAsia" w:ascii="宋体" w:hAnsi="宋体" w:cs="宋体"/>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single" w:color="auto" w:sz="4" w:space="0"/>
              <w:left w:val="single" w:color="auto" w:sz="4" w:space="0"/>
              <w:bottom w:val="single" w:color="auto" w:sz="4" w:space="0"/>
              <w:right w:val="single" w:color="auto" w:sz="4" w:space="0"/>
            </w:tcBorders>
            <w:vAlign w:val="center"/>
          </w:tcPr>
          <w:p w14:paraId="5198B3F2">
            <w:pPr>
              <w:widowControl/>
              <w:autoSpaceDE w:val="0"/>
              <w:autoSpaceDN w:val="0"/>
              <w:jc w:val="center"/>
              <w:rPr>
                <w:rFonts w:hint="eastAsia" w:ascii="宋体" w:hAnsi="宋体" w:cs="宋体"/>
                <w:spacing w:val="6"/>
                <w:sz w:val="24"/>
              </w:rPr>
            </w:pPr>
            <w:r>
              <w:rPr>
                <w:rFonts w:hint="eastAsia" w:ascii="宋体" w:hAnsi="宋体" w:cs="宋体"/>
                <w:spacing w:val="6"/>
                <w:sz w:val="24"/>
              </w:rPr>
              <w:t>20分</w:t>
            </w:r>
          </w:p>
        </w:tc>
      </w:tr>
      <w:tr w14:paraId="5D8D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55" w:type="dxa"/>
            <w:tcBorders>
              <w:top w:val="single" w:color="auto" w:sz="4" w:space="0"/>
              <w:left w:val="single" w:color="auto" w:sz="4" w:space="0"/>
              <w:bottom w:val="single" w:color="auto" w:sz="4" w:space="0"/>
              <w:right w:val="single" w:color="auto" w:sz="4" w:space="0"/>
            </w:tcBorders>
            <w:vAlign w:val="center"/>
          </w:tcPr>
          <w:p w14:paraId="22F2D3EA">
            <w:pPr>
              <w:widowControl/>
              <w:jc w:val="left"/>
              <w:rPr>
                <w:rFonts w:hint="eastAsia" w:ascii="宋体" w:hAnsi="宋体" w:cs="宋体"/>
                <w:sz w:val="24"/>
              </w:rPr>
            </w:pPr>
            <w:r>
              <w:rPr>
                <w:rFonts w:hint="eastAsia" w:ascii="宋体" w:hAnsi="宋体" w:cs="宋体"/>
                <w:kern w:val="0"/>
                <w:sz w:val="24"/>
              </w:rPr>
              <w:t>2、</w:t>
            </w:r>
            <w:r>
              <w:rPr>
                <w:rFonts w:hint="eastAsia" w:ascii="宋体" w:hAnsi="宋体" w:cs="宋体"/>
                <w:sz w:val="24"/>
              </w:rPr>
              <w:t>质量、安全保证方案（4分）</w:t>
            </w:r>
          </w:p>
          <w:p w14:paraId="58B87227">
            <w:pPr>
              <w:widowControl/>
              <w:jc w:val="left"/>
              <w:rPr>
                <w:rFonts w:hint="eastAsia" w:ascii="宋体" w:hAnsi="宋体" w:cs="宋体"/>
                <w:kern w:val="0"/>
                <w:sz w:val="24"/>
              </w:rPr>
            </w:pPr>
            <w:r>
              <w:rPr>
                <w:rFonts w:hint="eastAsia" w:ascii="宋体" w:hAnsi="宋体" w:cs="宋体"/>
                <w:kern w:val="0"/>
                <w:sz w:val="24"/>
              </w:rPr>
              <w:t>投标人针对本项目实际情况及采购需求编制的质量、安全保证方案，方案应包含以下内容：①质量保证方案（2分）；②安全保证方案（2分）；</w:t>
            </w:r>
          </w:p>
          <w:p w14:paraId="37001A36">
            <w:pPr>
              <w:widowControl/>
              <w:jc w:val="left"/>
              <w:rPr>
                <w:rFonts w:hint="eastAsia" w:ascii="宋体" w:hAnsi="宋体" w:cs="宋体"/>
                <w:kern w:val="0"/>
                <w:sz w:val="24"/>
              </w:rPr>
            </w:pPr>
            <w:r>
              <w:rPr>
                <w:rFonts w:hint="eastAsia" w:ascii="宋体" w:hAnsi="宋体" w:cs="宋体"/>
                <w:kern w:val="0"/>
                <w:sz w:val="24"/>
              </w:rPr>
              <w:t>质量、安全保证方案及相关承诺中每缺少1项内容扣2分，每有一项内容存在缺陷扣0.5分，扣完为止。</w:t>
            </w:r>
          </w:p>
          <w:p w14:paraId="19FA4D81">
            <w:pPr>
              <w:widowControl/>
              <w:jc w:val="left"/>
              <w:rPr>
                <w:rFonts w:hint="eastAsia" w:ascii="宋体" w:hAnsi="宋体" w:cs="宋体"/>
                <w:sz w:val="24"/>
              </w:rPr>
            </w:pPr>
            <w:r>
              <w:rPr>
                <w:rFonts w:hint="eastAsia" w:ascii="宋体" w:hAnsi="宋体" w:cs="宋体"/>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dotted" w:color="auto" w:sz="4" w:space="0"/>
              <w:left w:val="single" w:color="auto" w:sz="4" w:space="0"/>
              <w:bottom w:val="single" w:color="auto" w:sz="4" w:space="0"/>
              <w:right w:val="single" w:color="auto" w:sz="4" w:space="0"/>
            </w:tcBorders>
            <w:vAlign w:val="center"/>
          </w:tcPr>
          <w:p w14:paraId="327C1712">
            <w:pPr>
              <w:widowControl/>
              <w:autoSpaceDE w:val="0"/>
              <w:autoSpaceDN w:val="0"/>
              <w:jc w:val="center"/>
              <w:rPr>
                <w:rFonts w:hint="eastAsia" w:ascii="宋体" w:hAnsi="宋体" w:cs="宋体"/>
                <w:spacing w:val="6"/>
                <w:sz w:val="24"/>
              </w:rPr>
            </w:pPr>
            <w:r>
              <w:rPr>
                <w:rFonts w:hint="eastAsia" w:ascii="宋体" w:hAnsi="宋体" w:cs="宋体"/>
                <w:spacing w:val="6"/>
                <w:sz w:val="24"/>
              </w:rPr>
              <w:t>4分</w:t>
            </w:r>
          </w:p>
        </w:tc>
      </w:tr>
      <w:tr w14:paraId="64C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155" w:type="dxa"/>
            <w:tcBorders>
              <w:top w:val="single" w:color="auto" w:sz="4" w:space="0"/>
              <w:left w:val="single" w:color="auto" w:sz="4" w:space="0"/>
              <w:bottom w:val="single" w:color="auto" w:sz="4" w:space="0"/>
              <w:right w:val="single" w:color="auto" w:sz="4" w:space="0"/>
            </w:tcBorders>
            <w:vAlign w:val="center"/>
          </w:tcPr>
          <w:p w14:paraId="24DBC97A">
            <w:pPr>
              <w:widowControl/>
              <w:jc w:val="left"/>
              <w:rPr>
                <w:rFonts w:hint="eastAsia" w:ascii="宋体" w:hAnsi="宋体" w:cs="宋体"/>
                <w:sz w:val="24"/>
              </w:rPr>
            </w:pPr>
            <w:r>
              <w:rPr>
                <w:rFonts w:hint="eastAsia" w:ascii="宋体" w:hAnsi="宋体" w:cs="宋体"/>
                <w:kern w:val="0"/>
                <w:sz w:val="24"/>
              </w:rPr>
              <w:t xml:space="preserve">3、项目重点难点分析、应对措施（6分） </w:t>
            </w:r>
          </w:p>
          <w:p w14:paraId="1ECD151B">
            <w:pPr>
              <w:widowControl/>
              <w:jc w:val="left"/>
              <w:rPr>
                <w:rFonts w:hint="eastAsia" w:ascii="宋体" w:hAnsi="宋体" w:cs="宋体"/>
                <w:kern w:val="0"/>
                <w:sz w:val="24"/>
              </w:rPr>
            </w:pPr>
            <w:r>
              <w:rPr>
                <w:rFonts w:hint="eastAsia" w:ascii="宋体" w:hAnsi="宋体" w:cs="宋体"/>
                <w:kern w:val="0"/>
                <w:sz w:val="24"/>
              </w:rPr>
              <w:t>提供重点难点分析、应对措施，</w:t>
            </w:r>
            <w:r>
              <w:rPr>
                <w:rFonts w:hint="eastAsia" w:ascii="宋体" w:hAnsi="宋体" w:cs="宋体"/>
                <w:spacing w:val="6"/>
                <w:sz w:val="24"/>
              </w:rPr>
              <w:t>包含但不限于</w:t>
            </w:r>
            <w:r>
              <w:rPr>
                <w:rFonts w:hint="eastAsia" w:ascii="宋体" w:hAnsi="宋体" w:cs="宋体"/>
                <w:sz w:val="24"/>
              </w:rPr>
              <w:t>①</w:t>
            </w:r>
            <w:r>
              <w:rPr>
                <w:rFonts w:hint="eastAsia" w:ascii="宋体" w:hAnsi="宋体" w:cs="宋体"/>
                <w:spacing w:val="6"/>
                <w:sz w:val="24"/>
              </w:rPr>
              <w:t>重点分析</w:t>
            </w:r>
            <w:r>
              <w:rPr>
                <w:rFonts w:hint="eastAsia" w:ascii="宋体" w:hAnsi="宋体" w:cs="宋体"/>
                <w:sz w:val="24"/>
              </w:rPr>
              <w:t>（2分）；②</w:t>
            </w:r>
            <w:r>
              <w:rPr>
                <w:rFonts w:hint="eastAsia" w:ascii="宋体" w:hAnsi="宋体" w:cs="宋体"/>
                <w:spacing w:val="6"/>
                <w:sz w:val="24"/>
              </w:rPr>
              <w:t>难点分析</w:t>
            </w:r>
            <w:r>
              <w:rPr>
                <w:rFonts w:hint="eastAsia" w:ascii="宋体" w:hAnsi="宋体" w:cs="宋体"/>
                <w:sz w:val="24"/>
              </w:rPr>
              <w:t>（2分）；③</w:t>
            </w:r>
            <w:r>
              <w:rPr>
                <w:rFonts w:hint="eastAsia" w:ascii="宋体" w:hAnsi="宋体" w:cs="宋体"/>
                <w:spacing w:val="6"/>
                <w:sz w:val="24"/>
              </w:rPr>
              <w:t>应对措施</w:t>
            </w:r>
            <w:r>
              <w:rPr>
                <w:rFonts w:hint="eastAsia" w:ascii="宋体" w:hAnsi="宋体" w:cs="宋体"/>
                <w:sz w:val="24"/>
              </w:rPr>
              <w:t>（2分）</w:t>
            </w:r>
            <w:r>
              <w:rPr>
                <w:rFonts w:hint="eastAsia" w:ascii="宋体" w:hAnsi="宋体" w:cs="宋体"/>
                <w:kern w:val="0"/>
                <w:sz w:val="24"/>
              </w:rPr>
              <w:t>。</w:t>
            </w:r>
          </w:p>
          <w:p w14:paraId="3CAF60BC">
            <w:pPr>
              <w:widowControl/>
              <w:jc w:val="left"/>
              <w:rPr>
                <w:rFonts w:hint="eastAsia" w:ascii="宋体" w:hAnsi="宋体" w:cs="宋体"/>
                <w:kern w:val="0"/>
                <w:sz w:val="24"/>
              </w:rPr>
            </w:pPr>
            <w:r>
              <w:rPr>
                <w:rFonts w:hint="eastAsia" w:ascii="宋体" w:hAnsi="宋体" w:cs="宋体"/>
                <w:kern w:val="0"/>
                <w:sz w:val="24"/>
              </w:rPr>
              <w:t>项目重点难点分析、应对措施中每缺少1项内容扣2分。每有一项内容存在缺陷扣0.5分，扣完为止。</w:t>
            </w:r>
          </w:p>
          <w:p w14:paraId="2F1EE16B">
            <w:pPr>
              <w:widowControl/>
              <w:jc w:val="left"/>
              <w:rPr>
                <w:rFonts w:hint="eastAsia" w:ascii="宋体" w:hAnsi="宋体" w:cs="宋体"/>
                <w:sz w:val="24"/>
              </w:rPr>
            </w:pPr>
            <w:r>
              <w:rPr>
                <w:rFonts w:hint="eastAsia" w:ascii="宋体" w:hAnsi="宋体" w:cs="宋体"/>
                <w:kern w:val="0"/>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dotted" w:color="auto" w:sz="4" w:space="0"/>
              <w:left w:val="single" w:color="auto" w:sz="4" w:space="0"/>
              <w:bottom w:val="single" w:color="auto" w:sz="4" w:space="0"/>
              <w:right w:val="single" w:color="auto" w:sz="4" w:space="0"/>
            </w:tcBorders>
            <w:vAlign w:val="center"/>
          </w:tcPr>
          <w:p w14:paraId="4EBA8689">
            <w:pPr>
              <w:widowControl/>
              <w:autoSpaceDE w:val="0"/>
              <w:autoSpaceDN w:val="0"/>
              <w:jc w:val="center"/>
              <w:rPr>
                <w:rFonts w:hint="eastAsia" w:ascii="宋体" w:hAnsi="宋体" w:cs="宋体"/>
                <w:spacing w:val="6"/>
                <w:sz w:val="24"/>
              </w:rPr>
            </w:pPr>
            <w:r>
              <w:rPr>
                <w:rFonts w:hint="eastAsia" w:ascii="宋体" w:hAnsi="宋体" w:cs="宋体"/>
                <w:spacing w:val="6"/>
                <w:sz w:val="24"/>
              </w:rPr>
              <w:t>6分</w:t>
            </w:r>
          </w:p>
        </w:tc>
      </w:tr>
      <w:tr w14:paraId="4773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5" w:type="dxa"/>
            <w:tcBorders>
              <w:top w:val="single" w:color="auto" w:sz="4" w:space="0"/>
              <w:left w:val="single" w:color="auto" w:sz="4" w:space="0"/>
              <w:bottom w:val="single" w:color="auto" w:sz="4" w:space="0"/>
              <w:right w:val="single" w:color="auto" w:sz="4" w:space="0"/>
            </w:tcBorders>
            <w:vAlign w:val="center"/>
          </w:tcPr>
          <w:p w14:paraId="68A45582">
            <w:pPr>
              <w:widowControl/>
              <w:jc w:val="left"/>
              <w:rPr>
                <w:rFonts w:hint="eastAsia" w:ascii="宋体" w:hAnsi="宋体" w:cs="宋体"/>
                <w:kern w:val="0"/>
                <w:sz w:val="24"/>
                <w:highlight w:val="yellow"/>
              </w:rPr>
            </w:pPr>
            <w:r>
              <w:rPr>
                <w:rFonts w:hint="eastAsia" w:ascii="宋体" w:hAnsi="宋体" w:cs="宋体"/>
                <w:kern w:val="0"/>
                <w:sz w:val="24"/>
              </w:rPr>
              <w:t>4、售后服务（9分）</w:t>
            </w:r>
          </w:p>
          <w:p w14:paraId="03714608">
            <w:pPr>
              <w:widowControl/>
              <w:jc w:val="left"/>
              <w:rPr>
                <w:rFonts w:hint="eastAsia" w:ascii="宋体" w:hAnsi="宋体" w:cs="宋体"/>
                <w:kern w:val="0"/>
                <w:sz w:val="24"/>
              </w:rPr>
            </w:pPr>
            <w:r>
              <w:rPr>
                <w:rFonts w:hint="eastAsia" w:ascii="宋体" w:hAnsi="宋体" w:cs="宋体"/>
                <w:kern w:val="0"/>
                <w:sz w:val="24"/>
              </w:rPr>
              <w:t>（1）售后服务响应（3分）</w:t>
            </w:r>
          </w:p>
          <w:p w14:paraId="2B98404E">
            <w:pPr>
              <w:widowControl/>
              <w:jc w:val="left"/>
              <w:rPr>
                <w:rFonts w:hint="eastAsia" w:ascii="宋体" w:hAnsi="宋体" w:cs="宋体"/>
                <w:kern w:val="0"/>
                <w:sz w:val="24"/>
              </w:rPr>
            </w:pPr>
            <w:r>
              <w:rPr>
                <w:rFonts w:hint="eastAsia" w:ascii="宋体" w:hAnsi="宋体" w:cs="宋体"/>
                <w:kern w:val="0"/>
                <w:sz w:val="24"/>
              </w:rPr>
              <w:t>投标人承诺全天候7*24小时的售后响应，得3分，不提供不得分。</w:t>
            </w:r>
          </w:p>
          <w:p w14:paraId="0AE7A7F0">
            <w:pPr>
              <w:widowControl/>
              <w:jc w:val="left"/>
              <w:rPr>
                <w:rFonts w:hint="eastAsia" w:ascii="宋体" w:hAnsi="宋体" w:cs="宋体"/>
                <w:kern w:val="0"/>
                <w:sz w:val="24"/>
              </w:rPr>
            </w:pPr>
            <w:r>
              <w:rPr>
                <w:rFonts w:hint="eastAsia" w:ascii="宋体" w:hAnsi="宋体" w:cs="宋体"/>
                <w:kern w:val="0"/>
                <w:sz w:val="24"/>
              </w:rPr>
              <w:t>（2）售后服务方案（6分）</w:t>
            </w:r>
          </w:p>
          <w:p w14:paraId="74224D1E">
            <w:pPr>
              <w:widowControl/>
              <w:jc w:val="left"/>
              <w:rPr>
                <w:rFonts w:hint="eastAsia" w:ascii="宋体" w:hAnsi="宋体" w:cs="宋体"/>
                <w:kern w:val="0"/>
                <w:sz w:val="24"/>
              </w:rPr>
            </w:pPr>
            <w:r>
              <w:rPr>
                <w:rFonts w:hint="eastAsia" w:ascii="宋体" w:hAnsi="宋体" w:cs="宋体"/>
                <w:kern w:val="0"/>
                <w:sz w:val="24"/>
              </w:rPr>
              <w:t>投标人应根据项目建设需求，结合基础环境条件、实施标准等因素，提供详细的服务方案，方案应包含以下内容：①服务流程</w:t>
            </w:r>
            <w:r>
              <w:rPr>
                <w:rFonts w:hint="eastAsia" w:ascii="宋体" w:hAnsi="宋体" w:cs="宋体"/>
                <w:sz w:val="24"/>
              </w:rPr>
              <w:t>（2分）</w:t>
            </w:r>
            <w:r>
              <w:rPr>
                <w:rFonts w:hint="eastAsia" w:ascii="宋体" w:hAnsi="宋体" w:cs="宋体"/>
                <w:kern w:val="0"/>
                <w:sz w:val="24"/>
              </w:rPr>
              <w:t>；②定期巡检方案</w:t>
            </w:r>
            <w:r>
              <w:rPr>
                <w:rFonts w:hint="eastAsia" w:ascii="宋体" w:hAnsi="宋体" w:cs="宋体"/>
                <w:sz w:val="24"/>
              </w:rPr>
              <w:t>（2分）</w:t>
            </w:r>
            <w:r>
              <w:rPr>
                <w:rFonts w:hint="eastAsia" w:ascii="宋体" w:hAnsi="宋体" w:cs="宋体"/>
                <w:kern w:val="0"/>
                <w:sz w:val="24"/>
              </w:rPr>
              <w:t>；③故障处理方案</w:t>
            </w:r>
            <w:r>
              <w:rPr>
                <w:rFonts w:hint="eastAsia" w:ascii="宋体" w:hAnsi="宋体" w:cs="宋体"/>
                <w:sz w:val="24"/>
              </w:rPr>
              <w:t>（2分）</w:t>
            </w:r>
            <w:r>
              <w:rPr>
                <w:rFonts w:hint="eastAsia" w:ascii="宋体" w:hAnsi="宋体" w:cs="宋体"/>
                <w:kern w:val="0"/>
                <w:sz w:val="24"/>
              </w:rPr>
              <w:t>；</w:t>
            </w:r>
          </w:p>
          <w:p w14:paraId="62F57B2C">
            <w:pPr>
              <w:widowControl/>
              <w:jc w:val="left"/>
              <w:rPr>
                <w:rFonts w:hint="eastAsia" w:ascii="宋体" w:hAnsi="宋体" w:cs="宋体"/>
                <w:kern w:val="0"/>
                <w:sz w:val="24"/>
              </w:rPr>
            </w:pPr>
            <w:r>
              <w:rPr>
                <w:rFonts w:hint="eastAsia" w:ascii="宋体" w:hAnsi="宋体" w:cs="宋体"/>
                <w:kern w:val="0"/>
                <w:sz w:val="24"/>
              </w:rPr>
              <w:t>售后服务方案中每缺少1项内容扣2分。每有一项内容存在缺陷扣0.5分，扣完为止。</w:t>
            </w:r>
          </w:p>
          <w:p w14:paraId="7E8329D0">
            <w:pPr>
              <w:widowControl/>
              <w:jc w:val="left"/>
            </w:pPr>
            <w:r>
              <w:rPr>
                <w:rFonts w:hint="eastAsia" w:ascii="宋体" w:hAnsi="宋体" w:cs="宋体"/>
                <w:kern w:val="0"/>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single" w:color="auto" w:sz="4" w:space="0"/>
              <w:left w:val="single" w:color="auto" w:sz="4" w:space="0"/>
              <w:bottom w:val="single" w:color="auto" w:sz="4" w:space="0"/>
              <w:right w:val="single" w:color="auto" w:sz="4" w:space="0"/>
            </w:tcBorders>
            <w:vAlign w:val="center"/>
          </w:tcPr>
          <w:p w14:paraId="08E800CF">
            <w:pPr>
              <w:widowControl/>
              <w:autoSpaceDE w:val="0"/>
              <w:autoSpaceDN w:val="0"/>
              <w:jc w:val="center"/>
              <w:rPr>
                <w:rFonts w:hint="eastAsia" w:ascii="宋体" w:hAnsi="宋体" w:cs="宋体"/>
                <w:sz w:val="24"/>
              </w:rPr>
            </w:pPr>
            <w:r>
              <w:rPr>
                <w:rFonts w:hint="eastAsia" w:ascii="宋体" w:hAnsi="宋体" w:cs="宋体"/>
                <w:spacing w:val="6"/>
                <w:sz w:val="24"/>
              </w:rPr>
              <w:t>9分</w:t>
            </w:r>
          </w:p>
        </w:tc>
      </w:tr>
      <w:tr w14:paraId="2678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5" w:type="dxa"/>
            <w:tcBorders>
              <w:top w:val="single" w:color="auto" w:sz="4" w:space="0"/>
              <w:left w:val="single" w:color="auto" w:sz="4" w:space="0"/>
              <w:bottom w:val="single" w:color="auto" w:sz="4" w:space="0"/>
              <w:right w:val="single" w:color="auto" w:sz="4" w:space="0"/>
            </w:tcBorders>
            <w:vAlign w:val="center"/>
          </w:tcPr>
          <w:p w14:paraId="3E160FCC">
            <w:pPr>
              <w:widowControl/>
              <w:jc w:val="left"/>
              <w:rPr>
                <w:rFonts w:hint="eastAsia" w:ascii="宋体" w:hAnsi="宋体" w:cs="宋体"/>
                <w:sz w:val="24"/>
              </w:rPr>
            </w:pPr>
            <w:r>
              <w:rPr>
                <w:rFonts w:hint="eastAsia" w:ascii="宋体" w:hAnsi="宋体" w:cs="宋体"/>
                <w:kern w:val="0"/>
                <w:sz w:val="24"/>
              </w:rPr>
              <w:t>5、</w:t>
            </w:r>
            <w:r>
              <w:rPr>
                <w:rFonts w:hint="eastAsia" w:ascii="宋体" w:hAnsi="宋体" w:cs="宋体"/>
                <w:kern w:val="0"/>
                <w:sz w:val="24"/>
                <w:lang w:bidi="ar"/>
              </w:rPr>
              <w:t xml:space="preserve">培训方案（10分） </w:t>
            </w:r>
          </w:p>
          <w:p w14:paraId="6F68C805">
            <w:pPr>
              <w:widowControl/>
              <w:jc w:val="left"/>
              <w:rPr>
                <w:rFonts w:hint="eastAsia" w:ascii="宋体" w:hAnsi="宋体" w:cs="宋体"/>
                <w:kern w:val="0"/>
                <w:sz w:val="24"/>
                <w:lang w:bidi="ar"/>
              </w:rPr>
            </w:pPr>
            <w:r>
              <w:rPr>
                <w:rFonts w:hint="eastAsia" w:ascii="宋体" w:hAnsi="宋体" w:cs="宋体"/>
                <w:kern w:val="0"/>
                <w:sz w:val="24"/>
                <w:lang w:bidi="ar"/>
              </w:rPr>
              <w:t>提供详尽的培训方案，</w:t>
            </w:r>
            <w:r>
              <w:rPr>
                <w:rFonts w:hint="eastAsia" w:ascii="宋体" w:hAnsi="宋体" w:cs="宋体"/>
                <w:spacing w:val="6"/>
                <w:sz w:val="24"/>
              </w:rPr>
              <w:t>包含但不限于培训计划</w:t>
            </w:r>
            <w:r>
              <w:rPr>
                <w:rFonts w:hint="eastAsia" w:ascii="宋体" w:hAnsi="宋体" w:cs="宋体"/>
                <w:sz w:val="24"/>
              </w:rPr>
              <w:t>（2分）</w:t>
            </w:r>
            <w:r>
              <w:rPr>
                <w:rFonts w:hint="eastAsia" w:ascii="宋体" w:hAnsi="宋体" w:cs="宋体"/>
                <w:spacing w:val="6"/>
                <w:sz w:val="24"/>
              </w:rPr>
              <w:t>、培训人员</w:t>
            </w:r>
            <w:r>
              <w:rPr>
                <w:rFonts w:hint="eastAsia" w:ascii="宋体" w:hAnsi="宋体" w:cs="宋体"/>
                <w:sz w:val="24"/>
              </w:rPr>
              <w:t>（2分）</w:t>
            </w:r>
            <w:r>
              <w:rPr>
                <w:rFonts w:hint="eastAsia" w:ascii="宋体" w:hAnsi="宋体" w:cs="宋体"/>
                <w:spacing w:val="6"/>
                <w:sz w:val="24"/>
              </w:rPr>
              <w:t>、培训时间</w:t>
            </w:r>
            <w:r>
              <w:rPr>
                <w:rFonts w:hint="eastAsia" w:ascii="宋体" w:hAnsi="宋体" w:cs="宋体"/>
                <w:sz w:val="24"/>
              </w:rPr>
              <w:t>（2分）</w:t>
            </w:r>
            <w:r>
              <w:rPr>
                <w:rFonts w:hint="eastAsia" w:ascii="宋体" w:hAnsi="宋体" w:cs="宋体"/>
                <w:spacing w:val="6"/>
                <w:sz w:val="24"/>
              </w:rPr>
              <w:t>、</w:t>
            </w:r>
            <w:r>
              <w:rPr>
                <w:rFonts w:hint="eastAsia" w:ascii="宋体" w:hAnsi="宋体" w:cs="宋体"/>
                <w:snapToGrid w:val="0"/>
                <w:sz w:val="24"/>
              </w:rPr>
              <w:t>师资力量</w:t>
            </w:r>
            <w:r>
              <w:rPr>
                <w:rFonts w:hint="eastAsia" w:ascii="宋体" w:hAnsi="宋体" w:cs="宋体"/>
                <w:sz w:val="24"/>
              </w:rPr>
              <w:t>（2分）</w:t>
            </w:r>
            <w:r>
              <w:rPr>
                <w:rFonts w:hint="eastAsia" w:ascii="宋体" w:hAnsi="宋体" w:cs="宋体"/>
                <w:snapToGrid w:val="0"/>
                <w:sz w:val="24"/>
              </w:rPr>
              <w:t>、</w:t>
            </w:r>
            <w:r>
              <w:rPr>
                <w:rFonts w:hint="eastAsia" w:ascii="宋体" w:hAnsi="宋体" w:cs="宋体"/>
                <w:spacing w:val="6"/>
                <w:sz w:val="24"/>
              </w:rPr>
              <w:t>培训教材</w:t>
            </w:r>
            <w:r>
              <w:rPr>
                <w:rFonts w:hint="eastAsia" w:ascii="宋体" w:hAnsi="宋体" w:cs="宋体"/>
                <w:sz w:val="24"/>
              </w:rPr>
              <w:t>（2分）</w:t>
            </w:r>
            <w:r>
              <w:rPr>
                <w:rFonts w:hint="eastAsia" w:ascii="宋体" w:hAnsi="宋体" w:cs="宋体"/>
                <w:kern w:val="0"/>
                <w:sz w:val="24"/>
                <w:lang w:bidi="ar"/>
              </w:rPr>
              <w:t>，培训方案</w:t>
            </w:r>
            <w:r>
              <w:rPr>
                <w:rFonts w:hint="eastAsia" w:ascii="宋体" w:hAnsi="宋体" w:cs="宋体"/>
                <w:kern w:val="0"/>
                <w:sz w:val="24"/>
              </w:rPr>
              <w:t>中每缺少1项内容扣2分，每有一项内容存在缺陷扣0.5分，扣完为止。</w:t>
            </w:r>
          </w:p>
          <w:p w14:paraId="21CE4986">
            <w:pPr>
              <w:widowControl/>
              <w:jc w:val="left"/>
              <w:rPr>
                <w:rFonts w:hint="eastAsia" w:ascii="宋体" w:hAnsi="宋体" w:cs="宋体"/>
                <w:kern w:val="0"/>
                <w:sz w:val="24"/>
              </w:rPr>
            </w:pPr>
            <w:r>
              <w:rPr>
                <w:rFonts w:hint="eastAsia" w:ascii="宋体" w:hAnsi="宋体" w:cs="宋体"/>
                <w:kern w:val="0"/>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single" w:color="auto" w:sz="4" w:space="0"/>
              <w:left w:val="single" w:color="auto" w:sz="4" w:space="0"/>
              <w:bottom w:val="single" w:color="auto" w:sz="4" w:space="0"/>
              <w:right w:val="single" w:color="auto" w:sz="4" w:space="0"/>
            </w:tcBorders>
            <w:vAlign w:val="center"/>
          </w:tcPr>
          <w:p w14:paraId="01E76E21">
            <w:pPr>
              <w:widowControl/>
              <w:autoSpaceDE w:val="0"/>
              <w:autoSpaceDN w:val="0"/>
              <w:jc w:val="center"/>
              <w:rPr>
                <w:rFonts w:hint="eastAsia" w:ascii="宋体" w:hAnsi="宋体" w:cs="宋体"/>
                <w:spacing w:val="6"/>
                <w:sz w:val="24"/>
              </w:rPr>
            </w:pPr>
            <w:r>
              <w:rPr>
                <w:rFonts w:hint="eastAsia" w:ascii="宋体" w:hAnsi="宋体" w:cs="宋体"/>
                <w:kern w:val="0"/>
                <w:sz w:val="24"/>
                <w:lang w:bidi="ar"/>
              </w:rPr>
              <w:t>10分</w:t>
            </w:r>
          </w:p>
        </w:tc>
      </w:tr>
      <w:tr w14:paraId="57D8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5" w:type="dxa"/>
            <w:tcBorders>
              <w:top w:val="single" w:color="auto" w:sz="4" w:space="0"/>
              <w:left w:val="single" w:color="auto" w:sz="4" w:space="0"/>
              <w:bottom w:val="single" w:color="auto" w:sz="4" w:space="0"/>
              <w:right w:val="single" w:color="auto" w:sz="4" w:space="0"/>
            </w:tcBorders>
            <w:vAlign w:val="center"/>
          </w:tcPr>
          <w:p w14:paraId="7A44A92C">
            <w:pPr>
              <w:widowControl/>
              <w:jc w:val="left"/>
              <w:rPr>
                <w:rFonts w:hint="eastAsia" w:ascii="宋体" w:hAnsi="宋体" w:cs="宋体"/>
                <w:kern w:val="0"/>
                <w:sz w:val="24"/>
              </w:rPr>
            </w:pPr>
            <w:r>
              <w:rPr>
                <w:rFonts w:hint="eastAsia" w:ascii="宋体" w:hAnsi="宋体" w:cs="宋体"/>
                <w:kern w:val="0"/>
                <w:sz w:val="24"/>
              </w:rPr>
              <w:t>6、数据安全与保密措施</w:t>
            </w:r>
            <w:r>
              <w:rPr>
                <w:rFonts w:hint="eastAsia" w:ascii="宋体" w:hAnsi="宋体" w:cs="宋体"/>
                <w:kern w:val="0"/>
                <w:sz w:val="24"/>
                <w:lang w:bidi="ar"/>
              </w:rPr>
              <w:t>（6分）</w:t>
            </w:r>
          </w:p>
          <w:p w14:paraId="371AED9A">
            <w:pPr>
              <w:widowControl/>
              <w:jc w:val="left"/>
              <w:rPr>
                <w:rFonts w:hint="eastAsia" w:ascii="宋体" w:hAnsi="宋体" w:cs="宋体"/>
                <w:sz w:val="24"/>
              </w:rPr>
            </w:pPr>
            <w:r>
              <w:rPr>
                <w:rFonts w:hint="eastAsia" w:ascii="宋体" w:hAnsi="宋体" w:cs="宋体"/>
                <w:sz w:val="24"/>
              </w:rPr>
              <w:t>投标人提供相应的</w:t>
            </w:r>
            <w:r>
              <w:rPr>
                <w:rFonts w:hint="eastAsia" w:ascii="宋体" w:hAnsi="宋体" w:cs="宋体"/>
                <w:kern w:val="0"/>
                <w:sz w:val="24"/>
              </w:rPr>
              <w:t>数据安全与保密措施</w:t>
            </w:r>
            <w:r>
              <w:rPr>
                <w:rFonts w:hint="eastAsia" w:ascii="宋体" w:hAnsi="宋体" w:cs="宋体"/>
                <w:sz w:val="24"/>
              </w:rPr>
              <w:t>方案，方案应包含以下内容：①保密管理制度建设（1.5分）；②数据安全与隐私保护技术措施（1.5分）；③项目实施过程保密管控（1.5分）；④保密承诺与违约责任（1.5分）。</w:t>
            </w:r>
          </w:p>
          <w:p w14:paraId="1F1A0716">
            <w:pPr>
              <w:widowControl/>
              <w:jc w:val="left"/>
              <w:rPr>
                <w:rFonts w:hint="eastAsia" w:ascii="宋体" w:hAnsi="宋体" w:cs="宋体"/>
                <w:kern w:val="0"/>
                <w:sz w:val="24"/>
              </w:rPr>
            </w:pPr>
            <w:r>
              <w:rPr>
                <w:rFonts w:hint="eastAsia" w:ascii="宋体" w:hAnsi="宋体" w:cs="宋体"/>
                <w:kern w:val="0"/>
                <w:sz w:val="24"/>
              </w:rPr>
              <w:t>数据安全与保密措施中每缺少1项内容扣1.5分，每有一项内容存在缺陷扣0.5分，扣完为止。</w:t>
            </w:r>
          </w:p>
          <w:p w14:paraId="448E9E2D">
            <w:pPr>
              <w:widowControl/>
              <w:jc w:val="left"/>
              <w:rPr>
                <w:rFonts w:hint="eastAsia" w:ascii="宋体" w:hAnsi="宋体" w:cs="宋体"/>
                <w:kern w:val="0"/>
                <w:sz w:val="24"/>
              </w:rPr>
            </w:pPr>
            <w:r>
              <w:rPr>
                <w:rFonts w:hint="eastAsia" w:ascii="宋体" w:hAnsi="宋体" w:cs="宋体"/>
                <w:kern w:val="0"/>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single" w:color="auto" w:sz="4" w:space="0"/>
              <w:left w:val="single" w:color="auto" w:sz="4" w:space="0"/>
              <w:bottom w:val="single" w:color="auto" w:sz="4" w:space="0"/>
              <w:right w:val="single" w:color="auto" w:sz="4" w:space="0"/>
            </w:tcBorders>
            <w:vAlign w:val="center"/>
          </w:tcPr>
          <w:p w14:paraId="2E56ED41">
            <w:pPr>
              <w:widowControl/>
              <w:autoSpaceDE w:val="0"/>
              <w:autoSpaceDN w:val="0"/>
              <w:jc w:val="center"/>
              <w:rPr>
                <w:rFonts w:hint="eastAsia" w:ascii="宋体" w:hAnsi="宋体" w:cs="宋体"/>
                <w:spacing w:val="6"/>
                <w:sz w:val="24"/>
              </w:rPr>
            </w:pPr>
            <w:r>
              <w:rPr>
                <w:rFonts w:hint="eastAsia" w:ascii="宋体" w:hAnsi="宋体" w:cs="宋体"/>
                <w:kern w:val="0"/>
                <w:sz w:val="24"/>
                <w:lang w:bidi="ar"/>
              </w:rPr>
              <w:t>6分</w:t>
            </w:r>
          </w:p>
        </w:tc>
      </w:tr>
      <w:tr w14:paraId="03AD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55" w:type="dxa"/>
            <w:tcBorders>
              <w:top w:val="single" w:color="auto" w:sz="4" w:space="0"/>
              <w:left w:val="single" w:color="auto" w:sz="4" w:space="0"/>
              <w:bottom w:val="single" w:color="auto" w:sz="4" w:space="0"/>
              <w:right w:val="single" w:color="auto" w:sz="4" w:space="0"/>
            </w:tcBorders>
            <w:vAlign w:val="center"/>
          </w:tcPr>
          <w:p w14:paraId="2D721546">
            <w:pPr>
              <w:widowControl/>
              <w:jc w:val="left"/>
              <w:rPr>
                <w:rFonts w:hint="eastAsia" w:ascii="宋体" w:hAnsi="宋体" w:cs="宋体"/>
                <w:kern w:val="0"/>
                <w:sz w:val="24"/>
              </w:rPr>
            </w:pPr>
            <w:r>
              <w:rPr>
                <w:rFonts w:hint="eastAsia" w:ascii="宋体" w:hAnsi="宋体" w:cs="宋体"/>
                <w:kern w:val="0"/>
                <w:sz w:val="24"/>
              </w:rPr>
              <w:t xml:space="preserve">7、应急保证措施和善后处置方式（8分） </w:t>
            </w:r>
          </w:p>
          <w:p w14:paraId="0CA6E4B7">
            <w:pPr>
              <w:widowControl/>
              <w:jc w:val="left"/>
              <w:rPr>
                <w:rFonts w:hint="eastAsia" w:ascii="宋体" w:hAnsi="宋体" w:cs="宋体"/>
                <w:kern w:val="0"/>
                <w:sz w:val="24"/>
              </w:rPr>
            </w:pPr>
            <w:r>
              <w:rPr>
                <w:rFonts w:hint="eastAsia" w:ascii="宋体" w:hAnsi="宋体" w:cs="宋体"/>
                <w:kern w:val="0"/>
                <w:sz w:val="24"/>
              </w:rPr>
              <w:t>投标人提供相应的应急处理方案，方案应包含以下内容：①应急保证措施（4分）；②善后处置方式（4分）。</w:t>
            </w:r>
          </w:p>
          <w:p w14:paraId="79A1027D">
            <w:pPr>
              <w:widowControl/>
              <w:jc w:val="left"/>
              <w:rPr>
                <w:rFonts w:hint="eastAsia" w:ascii="宋体" w:hAnsi="宋体" w:cs="宋体"/>
                <w:kern w:val="0"/>
                <w:sz w:val="24"/>
              </w:rPr>
            </w:pPr>
            <w:r>
              <w:rPr>
                <w:rFonts w:hint="eastAsia" w:ascii="宋体" w:hAnsi="宋体" w:cs="宋体"/>
                <w:kern w:val="0"/>
                <w:sz w:val="24"/>
              </w:rPr>
              <w:t>应急保证措施和善后处置方式中每缺少1项内容扣4分。每有一项内容存在缺陷扣2分，扣完为止。</w:t>
            </w:r>
          </w:p>
          <w:p w14:paraId="30E97696">
            <w:pPr>
              <w:widowControl/>
              <w:jc w:val="left"/>
            </w:pPr>
            <w:r>
              <w:rPr>
                <w:rFonts w:hint="eastAsia" w:ascii="宋体" w:hAnsi="宋体" w:cs="宋体"/>
                <w:kern w:val="0"/>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single" w:color="auto" w:sz="4" w:space="0"/>
              <w:left w:val="single" w:color="auto" w:sz="4" w:space="0"/>
              <w:bottom w:val="single" w:color="auto" w:sz="4" w:space="0"/>
              <w:right w:val="single" w:color="auto" w:sz="4" w:space="0"/>
            </w:tcBorders>
            <w:vAlign w:val="center"/>
          </w:tcPr>
          <w:p w14:paraId="07773808">
            <w:pPr>
              <w:widowControl/>
              <w:autoSpaceDE w:val="0"/>
              <w:autoSpaceDN w:val="0"/>
              <w:jc w:val="center"/>
              <w:rPr>
                <w:rFonts w:hint="eastAsia" w:ascii="宋体" w:hAnsi="宋体" w:cs="宋体"/>
                <w:spacing w:val="6"/>
                <w:sz w:val="24"/>
              </w:rPr>
            </w:pPr>
            <w:r>
              <w:rPr>
                <w:rFonts w:hint="eastAsia" w:ascii="宋体" w:hAnsi="宋体" w:cs="宋体"/>
                <w:spacing w:val="6"/>
                <w:sz w:val="24"/>
              </w:rPr>
              <w:t>8分</w:t>
            </w:r>
          </w:p>
        </w:tc>
      </w:tr>
      <w:tr w14:paraId="2BAE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55" w:type="dxa"/>
            <w:tcBorders>
              <w:top w:val="single" w:color="auto" w:sz="4" w:space="0"/>
              <w:left w:val="single" w:color="auto" w:sz="4" w:space="0"/>
              <w:bottom w:val="single" w:color="auto" w:sz="4" w:space="0"/>
              <w:right w:val="single" w:color="auto" w:sz="4" w:space="0"/>
            </w:tcBorders>
            <w:vAlign w:val="center"/>
          </w:tcPr>
          <w:p w14:paraId="25E6424E">
            <w:pPr>
              <w:widowControl/>
              <w:numPr>
                <w:ilvl w:val="0"/>
                <w:numId w:val="2"/>
              </w:numPr>
              <w:jc w:val="left"/>
              <w:rPr>
                <w:rFonts w:hint="eastAsia" w:ascii="宋体" w:hAnsi="宋体" w:cs="宋体"/>
                <w:kern w:val="0"/>
                <w:sz w:val="24"/>
              </w:rPr>
            </w:pPr>
            <w:r>
              <w:rPr>
                <w:rFonts w:hint="eastAsia" w:ascii="宋体" w:hAnsi="宋体" w:cs="宋体"/>
                <w:kern w:val="0"/>
                <w:sz w:val="24"/>
              </w:rPr>
              <w:t>持续更新与整体先进性（3分）</w:t>
            </w:r>
          </w:p>
          <w:p w14:paraId="0D8A6EAD">
            <w:pPr>
              <w:widowControl/>
              <w:jc w:val="left"/>
              <w:rPr>
                <w:rFonts w:hint="eastAsia" w:ascii="宋体" w:hAnsi="宋体" w:cs="宋体"/>
                <w:kern w:val="0"/>
                <w:sz w:val="24"/>
                <w:highlight w:val="cyan"/>
              </w:rPr>
            </w:pPr>
            <w:r>
              <w:rPr>
                <w:rFonts w:hint="eastAsia" w:ascii="宋体" w:hAnsi="宋体" w:cs="宋体"/>
                <w:sz w:val="24"/>
                <w:highlight w:val="none"/>
              </w:rPr>
              <w:t>投标人提供相应的</w:t>
            </w:r>
            <w:r>
              <w:rPr>
                <w:rFonts w:hint="eastAsia" w:ascii="宋体" w:hAnsi="宋体" w:cs="宋体"/>
                <w:kern w:val="0"/>
                <w:sz w:val="24"/>
                <w:highlight w:val="none"/>
              </w:rPr>
              <w:t>持续更新与整体先进性方案</w:t>
            </w:r>
            <w:r>
              <w:rPr>
                <w:rFonts w:hint="eastAsia" w:ascii="宋体" w:hAnsi="宋体" w:cs="宋体"/>
                <w:sz w:val="24"/>
                <w:highlight w:val="none"/>
              </w:rPr>
              <w:t>，应包含以下内容：①</w:t>
            </w:r>
            <w:r>
              <w:rPr>
                <w:rFonts w:hint="eastAsia" w:ascii="宋体" w:hAnsi="宋体" w:cs="宋体"/>
                <w:kern w:val="0"/>
                <w:sz w:val="24"/>
                <w:highlight w:val="none"/>
              </w:rPr>
              <w:t>平台持续性更新方案（1分）；②平台制定更新计划（1分）；③平台更新服务承诺（1分）。持续更</w:t>
            </w:r>
            <w:r>
              <w:rPr>
                <w:rFonts w:hint="eastAsia" w:ascii="宋体" w:hAnsi="宋体" w:cs="宋体"/>
                <w:kern w:val="0"/>
                <w:sz w:val="24"/>
              </w:rPr>
              <w:t>新与整体先进性方案每缺少一项扣1分。每有一项内容存在缺陷扣0.5分，扣完为止。</w:t>
            </w:r>
          </w:p>
          <w:p w14:paraId="12C48924">
            <w:pPr>
              <w:widowControl/>
              <w:jc w:val="left"/>
              <w:rPr>
                <w:rFonts w:hint="eastAsia" w:ascii="宋体" w:hAnsi="宋体" w:cs="宋体"/>
                <w:kern w:val="0"/>
                <w:sz w:val="24"/>
              </w:rPr>
            </w:pPr>
            <w:r>
              <w:rPr>
                <w:rFonts w:hint="eastAsia" w:ascii="宋体" w:hAnsi="宋体" w:cs="宋体"/>
                <w:kern w:val="0"/>
                <w:sz w:val="24"/>
              </w:rPr>
              <w:t>注：内容存在缺陷是指方案内容与本项目无关、明显复制套用其他项目内容，内容描述交叉混乱、对同一内容前后表述矛盾或不一致、存在逻辑漏洞、科学原理或常识错误、仅有框架或标题、内容缺项或缺少关键点、非专门针对本项目或不适用本项目特征等任意一种情形。</w:t>
            </w:r>
          </w:p>
        </w:tc>
        <w:tc>
          <w:tcPr>
            <w:tcW w:w="1036" w:type="dxa"/>
            <w:tcBorders>
              <w:top w:val="single" w:color="auto" w:sz="4" w:space="0"/>
              <w:left w:val="single" w:color="auto" w:sz="4" w:space="0"/>
              <w:bottom w:val="single" w:color="auto" w:sz="4" w:space="0"/>
              <w:right w:val="single" w:color="auto" w:sz="4" w:space="0"/>
            </w:tcBorders>
            <w:vAlign w:val="center"/>
          </w:tcPr>
          <w:p w14:paraId="18CDD697">
            <w:pPr>
              <w:widowControl/>
              <w:autoSpaceDE w:val="0"/>
              <w:autoSpaceDN w:val="0"/>
              <w:jc w:val="center"/>
              <w:rPr>
                <w:rFonts w:hint="eastAsia" w:ascii="宋体" w:hAnsi="宋体" w:cs="宋体"/>
                <w:spacing w:val="6"/>
                <w:sz w:val="24"/>
              </w:rPr>
            </w:pPr>
            <w:r>
              <w:rPr>
                <w:rFonts w:hint="eastAsia" w:ascii="宋体" w:hAnsi="宋体" w:cs="宋体"/>
                <w:spacing w:val="6"/>
                <w:sz w:val="24"/>
              </w:rPr>
              <w:t>3 分</w:t>
            </w:r>
          </w:p>
        </w:tc>
      </w:tr>
      <w:tr w14:paraId="14DC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55" w:type="dxa"/>
            <w:tcBorders>
              <w:top w:val="single" w:color="auto" w:sz="4" w:space="0"/>
              <w:left w:val="single" w:color="auto" w:sz="4" w:space="0"/>
              <w:bottom w:val="single" w:color="auto" w:sz="4" w:space="0"/>
              <w:right w:val="single" w:color="auto" w:sz="4" w:space="0"/>
            </w:tcBorders>
            <w:vAlign w:val="center"/>
          </w:tcPr>
          <w:p w14:paraId="4F66DF89">
            <w:pPr>
              <w:widowControl/>
              <w:rPr>
                <w:rFonts w:hint="eastAsia" w:ascii="宋体" w:hAnsi="宋体" w:cs="宋体"/>
                <w:kern w:val="0"/>
                <w:sz w:val="24"/>
              </w:rPr>
            </w:pPr>
            <w:r>
              <w:rPr>
                <w:rFonts w:hint="eastAsia" w:ascii="宋体" w:hAnsi="宋体" w:cs="宋体"/>
                <w:kern w:val="0"/>
                <w:sz w:val="24"/>
              </w:rPr>
              <w:t>9、投标人所投产品中每有一个产品能提供有效环境标志产品认证证书的得4分，最高4分。</w:t>
            </w:r>
          </w:p>
        </w:tc>
        <w:tc>
          <w:tcPr>
            <w:tcW w:w="1036" w:type="dxa"/>
            <w:tcBorders>
              <w:top w:val="single" w:color="auto" w:sz="4" w:space="0"/>
              <w:left w:val="single" w:color="auto" w:sz="4" w:space="0"/>
              <w:bottom w:val="single" w:color="auto" w:sz="4" w:space="0"/>
              <w:right w:val="single" w:color="auto" w:sz="4" w:space="0"/>
            </w:tcBorders>
            <w:vAlign w:val="center"/>
          </w:tcPr>
          <w:p w14:paraId="389A5C84">
            <w:pPr>
              <w:widowControl/>
              <w:jc w:val="center"/>
              <w:rPr>
                <w:rFonts w:hint="eastAsia" w:ascii="宋体" w:hAnsi="宋体" w:cs="宋体"/>
                <w:spacing w:val="6"/>
                <w:sz w:val="24"/>
              </w:rPr>
            </w:pPr>
            <w:r>
              <w:rPr>
                <w:rFonts w:hint="eastAsia" w:ascii="宋体" w:hAnsi="宋体" w:cs="宋体"/>
                <w:spacing w:val="6"/>
                <w:sz w:val="24"/>
              </w:rPr>
              <w:t>4分</w:t>
            </w:r>
          </w:p>
        </w:tc>
      </w:tr>
      <w:tr w14:paraId="430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55" w:type="dxa"/>
            <w:tcBorders>
              <w:top w:val="single" w:color="auto" w:sz="4" w:space="0"/>
              <w:left w:val="single" w:color="auto" w:sz="4" w:space="0"/>
              <w:bottom w:val="single" w:color="auto" w:sz="4" w:space="0"/>
              <w:right w:val="single" w:color="auto" w:sz="4" w:space="0"/>
            </w:tcBorders>
            <w:vAlign w:val="center"/>
          </w:tcPr>
          <w:p w14:paraId="5A040B2A">
            <w:pPr>
              <w:widowControl/>
              <w:rPr>
                <w:rFonts w:hint="eastAsia" w:ascii="宋体" w:hAnsi="宋体" w:cs="宋体"/>
                <w:b/>
                <w:bCs/>
                <w:spacing w:val="6"/>
                <w:sz w:val="24"/>
              </w:rPr>
            </w:pPr>
            <w:r>
              <w:rPr>
                <w:rFonts w:hint="eastAsia" w:ascii="宋体" w:hAnsi="宋体" w:cs="宋体"/>
                <w:b/>
                <w:bCs/>
                <w:spacing w:val="6"/>
                <w:sz w:val="24"/>
              </w:rPr>
              <w:t>四、价格分（20分）</w:t>
            </w:r>
          </w:p>
          <w:p w14:paraId="682D3CBF">
            <w:pPr>
              <w:widowControl/>
              <w:ind w:firstLine="378" w:firstLineChars="150"/>
              <w:rPr>
                <w:rFonts w:hint="eastAsia" w:ascii="宋体" w:hAnsi="宋体" w:cs="宋体"/>
                <w:spacing w:val="6"/>
                <w:sz w:val="24"/>
              </w:rPr>
            </w:pPr>
            <w:r>
              <w:rPr>
                <w:rFonts w:hint="eastAsia" w:ascii="宋体" w:hAnsi="宋体" w:cs="宋体"/>
                <w:spacing w:val="6"/>
                <w:sz w:val="24"/>
              </w:rPr>
              <w:t xml:space="preserve">1、满足招标文件要求且投标价格最低的投标报价为评标基准价，其价格分为满分。其他投标人的价格分统一按照下列公式计算：投标报价得分=(评标基准价／投标报价)×20%×100。  </w:t>
            </w:r>
          </w:p>
          <w:p w14:paraId="2A805A35">
            <w:pPr>
              <w:jc w:val="left"/>
              <w:rPr>
                <w:rFonts w:hint="eastAsia" w:ascii="宋体" w:hAnsi="宋体" w:cs="宋体"/>
                <w:sz w:val="24"/>
              </w:rPr>
            </w:pPr>
            <w:r>
              <w:rPr>
                <w:rFonts w:hint="eastAsia" w:ascii="宋体" w:hAnsi="宋体" w:cs="宋体"/>
                <w:sz w:val="24"/>
              </w:rPr>
              <w:t>注：1、投标报价超过预算金额的将否决其投标。评标委员会认为投标人的报价明显低于成本，有可能影响服务质量或者不能诚信履约的，经评标委员会讨论可否决其投标。</w:t>
            </w:r>
          </w:p>
          <w:p w14:paraId="19116F89">
            <w:pPr>
              <w:widowControl/>
              <w:ind w:firstLine="378" w:firstLineChars="150"/>
              <w:rPr>
                <w:rFonts w:hint="eastAsia" w:ascii="宋体" w:hAnsi="宋体" w:cs="宋体"/>
                <w:sz w:val="24"/>
              </w:rPr>
            </w:pPr>
            <w:r>
              <w:rPr>
                <w:rFonts w:hint="eastAsia" w:ascii="宋体" w:hAnsi="宋体" w:cs="宋体"/>
                <w:spacing w:val="6"/>
                <w:sz w:val="24"/>
              </w:rPr>
              <w:t>2、投报产品或服务属于《山西省财政厅关于进一步加强政府绿色采购有关事项的通知》（晋财购〔2024〕54号）中绿色产品或绿色产品服务的，在评审时，享受投报产品4%的价格折扣，以折扣后的价格参与评审。</w:t>
            </w:r>
          </w:p>
        </w:tc>
        <w:tc>
          <w:tcPr>
            <w:tcW w:w="1036" w:type="dxa"/>
            <w:tcBorders>
              <w:top w:val="single" w:color="auto" w:sz="4" w:space="0"/>
              <w:left w:val="single" w:color="auto" w:sz="4" w:space="0"/>
              <w:bottom w:val="single" w:color="auto" w:sz="4" w:space="0"/>
              <w:right w:val="single" w:color="auto" w:sz="4" w:space="0"/>
            </w:tcBorders>
            <w:vAlign w:val="center"/>
          </w:tcPr>
          <w:p w14:paraId="4CF08ACC">
            <w:pPr>
              <w:widowControl/>
              <w:jc w:val="center"/>
              <w:rPr>
                <w:rFonts w:hint="eastAsia" w:ascii="宋体" w:hAnsi="宋体" w:cs="宋体"/>
                <w:spacing w:val="6"/>
                <w:sz w:val="24"/>
              </w:rPr>
            </w:pPr>
            <w:r>
              <w:rPr>
                <w:rFonts w:hint="eastAsia" w:ascii="宋体" w:hAnsi="宋体" w:cs="宋体"/>
                <w:b/>
                <w:bCs/>
                <w:spacing w:val="6"/>
                <w:sz w:val="24"/>
              </w:rPr>
              <w:t>20分</w:t>
            </w:r>
          </w:p>
        </w:tc>
      </w:tr>
    </w:tbl>
    <w:p w14:paraId="6312B85E">
      <w:pPr>
        <w:tabs>
          <w:tab w:val="left" w:pos="420"/>
          <w:tab w:val="left" w:pos="7560"/>
          <w:tab w:val="left" w:pos="7740"/>
          <w:tab w:val="left" w:pos="7920"/>
        </w:tabs>
        <w:adjustRightInd w:val="0"/>
        <w:snapToGrid w:val="0"/>
        <w:spacing w:line="400" w:lineRule="exact"/>
        <w:ind w:firstLine="420" w:firstLineChars="200"/>
        <w:rPr>
          <w:rFonts w:hint="eastAsia" w:ascii="宋体" w:hAnsi="宋体"/>
          <w:bCs/>
          <w:szCs w:val="21"/>
        </w:rPr>
      </w:pPr>
    </w:p>
    <w:p w14:paraId="6037D180">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注：1、技术得分以评标委员会各成员的打分平均值确定。</w:t>
      </w:r>
    </w:p>
    <w:p w14:paraId="586D1628">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2、如近年来，投标人企业发生合法变更或重组或法定代表人名称变更时，应提供相关部门的合法批件或其他相关证明材料来证明其所附相关证件的继承性。</w:t>
      </w:r>
    </w:p>
    <w:p w14:paraId="6BF7E3A1">
      <w:pPr>
        <w:pStyle w:val="37"/>
        <w:tabs>
          <w:tab w:val="right" w:leader="middleDot" w:pos="7350"/>
          <w:tab w:val="right" w:leader="middleDot" w:pos="7392"/>
        </w:tabs>
        <w:ind w:firstLine="241"/>
        <w:rPr>
          <w:rFonts w:hint="eastAsia" w:ascii="宋体" w:hAnsi="宋体" w:cs="宋体"/>
          <w:b/>
          <w:sz w:val="24"/>
          <w:szCs w:val="24"/>
        </w:rPr>
      </w:pPr>
    </w:p>
    <w:p w14:paraId="1FE4954C"/>
    <w:p w14:paraId="1F403730">
      <w:pPr>
        <w:ind w:firstLine="420" w:firstLineChars="200"/>
        <w:rPr>
          <w:rFonts w:hint="eastAsia" w:ascii="仿宋" w:hAnsi="仿宋" w:eastAsia="仿宋"/>
          <w:kern w:val="0"/>
          <w:szCs w:val="21"/>
        </w:rPr>
      </w:pPr>
    </w:p>
    <w:p w14:paraId="7D91F736">
      <w:pPr>
        <w:rPr>
          <w:rFonts w:hint="eastAsia" w:ascii="仿宋" w:hAnsi="仿宋" w:eastAsia="仿宋"/>
          <w:b/>
          <w:bCs/>
          <w:kern w:val="0"/>
          <w:sz w:val="28"/>
          <w:szCs w:val="28"/>
        </w:rPr>
      </w:pPr>
    </w:p>
    <w:p w14:paraId="63C5DD75">
      <w:pPr>
        <w:rPr>
          <w:rFonts w:hint="eastAsia" w:ascii="仿宋" w:hAnsi="仿宋" w:eastAsia="仿宋"/>
          <w:b/>
          <w:bCs/>
          <w:kern w:val="0"/>
          <w:sz w:val="28"/>
          <w:szCs w:val="28"/>
        </w:rPr>
      </w:pPr>
    </w:p>
    <w:p w14:paraId="38CDC1AC">
      <w:pPr>
        <w:rPr>
          <w:rFonts w:hint="eastAsia" w:ascii="仿宋" w:hAnsi="仿宋" w:eastAsia="仿宋"/>
          <w:b/>
          <w:bCs/>
          <w:kern w:val="0"/>
          <w:sz w:val="28"/>
          <w:szCs w:val="28"/>
        </w:rPr>
      </w:pPr>
    </w:p>
    <w:bookmarkEnd w:id="79"/>
    <w:p w14:paraId="28E3C344">
      <w:pPr>
        <w:pStyle w:val="34"/>
        <w:keepNext/>
        <w:keepLines/>
        <w:widowControl w:val="0"/>
        <w:adjustRightInd w:val="0"/>
        <w:snapToGrid w:val="0"/>
        <w:spacing w:before="0" w:beforeAutospacing="0" w:after="0" w:afterAutospacing="0"/>
        <w:ind w:firstLine="3211" w:firstLineChars="1000"/>
        <w:outlineLvl w:val="0"/>
        <w:rPr>
          <w:rFonts w:hint="eastAsia" w:ascii="仿宋" w:hAnsi="仿宋" w:eastAsia="仿宋" w:cs="华文中宋"/>
          <w:b/>
          <w:spacing w:val="20"/>
          <w:kern w:val="44"/>
          <w:sz w:val="28"/>
          <w:szCs w:val="28"/>
        </w:rPr>
      </w:pPr>
      <w:bookmarkStart w:id="82" w:name="_Toc26881704"/>
      <w:bookmarkStart w:id="83" w:name="_Toc424378697"/>
      <w:bookmarkStart w:id="84" w:name="_Toc352761952"/>
      <w:bookmarkStart w:id="85" w:name="_Toc5560"/>
    </w:p>
    <w:p w14:paraId="45B14685">
      <w:pPr>
        <w:pStyle w:val="34"/>
        <w:keepNext/>
        <w:keepLines/>
        <w:widowControl w:val="0"/>
        <w:adjustRightInd w:val="0"/>
        <w:snapToGrid w:val="0"/>
        <w:spacing w:before="0" w:beforeAutospacing="0" w:after="0" w:afterAutospacing="0"/>
        <w:ind w:firstLine="3211" w:firstLineChars="1000"/>
        <w:outlineLvl w:val="0"/>
        <w:rPr>
          <w:rFonts w:hint="eastAsia" w:ascii="仿宋" w:hAnsi="仿宋" w:eastAsia="仿宋" w:cs="华文中宋"/>
          <w:b/>
          <w:spacing w:val="20"/>
          <w:kern w:val="44"/>
          <w:sz w:val="28"/>
          <w:szCs w:val="28"/>
        </w:rPr>
      </w:pPr>
      <w:r>
        <w:rPr>
          <w:rFonts w:hint="eastAsia" w:ascii="仿宋" w:hAnsi="仿宋" w:eastAsia="仿宋" w:cs="华文中宋"/>
          <w:b/>
          <w:spacing w:val="20"/>
          <w:kern w:val="44"/>
          <w:sz w:val="28"/>
          <w:szCs w:val="28"/>
        </w:rPr>
        <w:t>第七部分  合同文本</w:t>
      </w:r>
    </w:p>
    <w:p w14:paraId="3CEB4451">
      <w:pPr>
        <w:spacing w:line="360" w:lineRule="auto"/>
        <w:rPr>
          <w:rFonts w:hint="eastAsia" w:ascii="仿宋" w:hAnsi="仿宋" w:eastAsia="仿宋" w:cs="宋体"/>
          <w:szCs w:val="21"/>
          <w:u w:val="single"/>
        </w:rPr>
      </w:pPr>
      <w:r>
        <w:rPr>
          <w:rFonts w:hint="eastAsia" w:ascii="仿宋" w:hAnsi="仿宋" w:eastAsia="仿宋" w:cs="宋体"/>
          <w:szCs w:val="21"/>
        </w:rPr>
        <w:t>需</w:t>
      </w:r>
      <w:r>
        <w:rPr>
          <w:rFonts w:ascii="仿宋" w:hAnsi="仿宋" w:eastAsia="仿宋"/>
          <w:szCs w:val="21"/>
        </w:rPr>
        <w:tab/>
      </w:r>
      <w:r>
        <w:rPr>
          <w:rFonts w:hint="eastAsia" w:ascii="仿宋" w:hAnsi="仿宋" w:eastAsia="仿宋" w:cs="宋体"/>
          <w:szCs w:val="21"/>
        </w:rPr>
        <w:t>方：</w:t>
      </w:r>
    </w:p>
    <w:p w14:paraId="28A8B5C3">
      <w:pPr>
        <w:spacing w:line="360" w:lineRule="auto"/>
        <w:rPr>
          <w:rFonts w:hint="eastAsia" w:ascii="仿宋" w:hAnsi="仿宋" w:eastAsia="仿宋"/>
          <w:szCs w:val="21"/>
        </w:rPr>
      </w:pPr>
      <w:r>
        <w:rPr>
          <w:rFonts w:hint="eastAsia" w:ascii="仿宋" w:hAnsi="仿宋" w:eastAsia="仿宋" w:cs="宋体"/>
          <w:szCs w:val="21"/>
        </w:rPr>
        <w:t>供</w:t>
      </w:r>
      <w:r>
        <w:rPr>
          <w:rFonts w:ascii="仿宋" w:hAnsi="仿宋" w:eastAsia="仿宋"/>
          <w:szCs w:val="21"/>
        </w:rPr>
        <w:tab/>
      </w:r>
      <w:r>
        <w:rPr>
          <w:rFonts w:hint="eastAsia" w:ascii="仿宋" w:hAnsi="仿宋" w:eastAsia="仿宋" w:cs="宋体"/>
          <w:szCs w:val="21"/>
        </w:rPr>
        <w:t>方：</w:t>
      </w:r>
    </w:p>
    <w:p w14:paraId="6B51C79D">
      <w:pPr>
        <w:spacing w:line="360" w:lineRule="auto"/>
        <w:rPr>
          <w:rFonts w:hint="eastAsia" w:ascii="仿宋" w:hAnsi="仿宋" w:eastAsia="仿宋" w:cs="宋体"/>
          <w:szCs w:val="21"/>
        </w:rPr>
      </w:pPr>
    </w:p>
    <w:p w14:paraId="3B63C0B4">
      <w:pPr>
        <w:spacing w:line="400" w:lineRule="exact"/>
        <w:ind w:firstLine="420" w:firstLineChars="200"/>
        <w:rPr>
          <w:rFonts w:hint="eastAsia" w:ascii="仿宋" w:hAnsi="仿宋" w:eastAsia="仿宋"/>
          <w:szCs w:val="21"/>
        </w:rPr>
      </w:pPr>
      <w:r>
        <w:rPr>
          <w:rFonts w:hint="eastAsia" w:ascii="仿宋" w:hAnsi="仿宋" w:eastAsia="仿宋" w:cs="宋体"/>
          <w:szCs w:val="21"/>
        </w:rPr>
        <w:t>供方在</w:t>
      </w:r>
      <w:r>
        <w:rPr>
          <w:rFonts w:ascii="仿宋" w:hAnsi="仿宋" w:eastAsia="仿宋" w:cs="宋体"/>
          <w:szCs w:val="21"/>
        </w:rPr>
        <w:t>长治市公共资源交易中心（长治市政府采购中心）</w:t>
      </w:r>
      <w:r>
        <w:rPr>
          <w:rFonts w:hint="eastAsia" w:ascii="仿宋" w:hAnsi="仿宋" w:eastAsia="仿宋" w:cs="宋体"/>
          <w:szCs w:val="21"/>
        </w:rPr>
        <w:t>组织的</w:t>
      </w:r>
      <w:r>
        <w:rPr>
          <w:rFonts w:hint="eastAsia" w:ascii="仿宋" w:hAnsi="仿宋" w:eastAsia="仿宋"/>
          <w:szCs w:val="21"/>
        </w:rPr>
        <w:t>****</w:t>
      </w:r>
      <w:r>
        <w:rPr>
          <w:rFonts w:hint="eastAsia" w:ascii="仿宋" w:hAnsi="仿宋" w:eastAsia="仿宋" w:cs="宋体"/>
          <w:szCs w:val="21"/>
        </w:rPr>
        <w:t>项目公开招标采购中中标，经双方协商一致，签订本合同。</w:t>
      </w:r>
    </w:p>
    <w:p w14:paraId="7CE49E2A">
      <w:pPr>
        <w:spacing w:line="400" w:lineRule="exact"/>
        <w:outlineLvl w:val="1"/>
        <w:rPr>
          <w:rFonts w:hint="eastAsia" w:ascii="仿宋" w:hAnsi="仿宋" w:eastAsia="仿宋"/>
          <w:b/>
          <w:szCs w:val="21"/>
        </w:rPr>
      </w:pPr>
      <w:r>
        <w:rPr>
          <w:rFonts w:hint="eastAsia" w:ascii="仿宋" w:hAnsi="仿宋" w:eastAsia="仿宋"/>
          <w:b/>
          <w:szCs w:val="21"/>
        </w:rPr>
        <w:t>一、</w:t>
      </w:r>
      <w:r>
        <w:rPr>
          <w:rFonts w:hint="eastAsia" w:ascii="仿宋" w:hAnsi="仿宋" w:eastAsia="仿宋" w:cs="宋体"/>
          <w:b/>
          <w:szCs w:val="21"/>
        </w:rPr>
        <w:t>货物条款</w:t>
      </w:r>
    </w:p>
    <w:p w14:paraId="6994BD39">
      <w:pPr>
        <w:spacing w:line="400" w:lineRule="exact"/>
        <w:ind w:firstLine="420" w:firstLineChars="200"/>
        <w:rPr>
          <w:rFonts w:hint="eastAsia" w:ascii="仿宋" w:hAnsi="仿宋" w:eastAsia="仿宋"/>
          <w:szCs w:val="21"/>
        </w:rPr>
      </w:pPr>
      <w:r>
        <w:rPr>
          <w:rFonts w:hint="eastAsia" w:ascii="仿宋" w:hAnsi="仿宋" w:eastAsia="仿宋" w:cs="宋体"/>
          <w:szCs w:val="21"/>
        </w:rPr>
        <w:t>供方向需方提供以下货物（服务）</w:t>
      </w:r>
    </w:p>
    <w:p w14:paraId="0A2C193D">
      <w:pPr>
        <w:spacing w:line="400" w:lineRule="exact"/>
        <w:ind w:firstLine="315" w:firstLineChars="150"/>
        <w:rPr>
          <w:rFonts w:hint="eastAsia" w:ascii="仿宋" w:hAnsi="仿宋" w:eastAsia="仿宋"/>
          <w:szCs w:val="21"/>
        </w:rPr>
      </w:pPr>
      <w:r>
        <w:rPr>
          <w:rFonts w:hint="eastAsia" w:ascii="仿宋" w:hAnsi="仿宋" w:eastAsia="仿宋" w:cs="宋体"/>
          <w:szCs w:val="21"/>
        </w:rPr>
        <w:t>（具体服务项、品牌、数量、技术参数及质保期等清单后附）</w:t>
      </w:r>
    </w:p>
    <w:p w14:paraId="58D0F15B">
      <w:pPr>
        <w:spacing w:line="400" w:lineRule="exact"/>
        <w:outlineLvl w:val="1"/>
        <w:rPr>
          <w:rFonts w:hint="eastAsia" w:ascii="仿宋" w:hAnsi="仿宋" w:eastAsia="仿宋"/>
          <w:b/>
          <w:szCs w:val="21"/>
        </w:rPr>
      </w:pPr>
      <w:bookmarkStart w:id="86" w:name="bookmark0"/>
      <w:r>
        <w:rPr>
          <w:rFonts w:hint="eastAsia" w:ascii="仿宋" w:hAnsi="仿宋" w:eastAsia="仿宋" w:cs="宋体"/>
          <w:b/>
          <w:szCs w:val="21"/>
        </w:rPr>
        <w:t>二</w:t>
      </w:r>
      <w:bookmarkEnd w:id="86"/>
      <w:r>
        <w:rPr>
          <w:rFonts w:hint="eastAsia" w:ascii="仿宋" w:hAnsi="仿宋" w:eastAsia="仿宋" w:cs="宋体"/>
          <w:b/>
          <w:szCs w:val="21"/>
        </w:rPr>
        <w:t>、合同总金额</w:t>
      </w:r>
    </w:p>
    <w:p w14:paraId="62C812BD">
      <w:pPr>
        <w:spacing w:line="400" w:lineRule="exact"/>
        <w:ind w:firstLine="420" w:firstLineChars="200"/>
        <w:rPr>
          <w:rFonts w:hint="eastAsia" w:ascii="仿宋" w:hAnsi="仿宋" w:eastAsia="仿宋"/>
          <w:szCs w:val="21"/>
          <w:u w:val="single"/>
        </w:rPr>
      </w:pPr>
      <w:r>
        <w:rPr>
          <w:rFonts w:hint="eastAsia" w:ascii="仿宋" w:hAnsi="仿宋" w:eastAsia="仿宋" w:cs="宋体"/>
          <w:szCs w:val="21"/>
        </w:rPr>
        <w:t>人民币（大写）：</w:t>
      </w:r>
    </w:p>
    <w:p w14:paraId="3083BEF8">
      <w:pPr>
        <w:spacing w:line="400" w:lineRule="exact"/>
        <w:ind w:firstLine="1050" w:firstLineChars="500"/>
        <w:rPr>
          <w:rFonts w:hint="eastAsia" w:ascii="仿宋" w:hAnsi="仿宋" w:eastAsia="仿宋"/>
          <w:szCs w:val="21"/>
        </w:rPr>
      </w:pPr>
      <w:r>
        <w:rPr>
          <w:rFonts w:hint="eastAsia" w:ascii="仿宋" w:hAnsi="仿宋" w:eastAsia="仿宋" w:cs="宋体"/>
          <w:szCs w:val="21"/>
        </w:rPr>
        <w:t>（小写）：</w:t>
      </w:r>
      <w:r>
        <w:rPr>
          <w:rFonts w:ascii="仿宋" w:hAnsi="仿宋" w:eastAsia="仿宋"/>
          <w:szCs w:val="21"/>
        </w:rPr>
        <w:t>Y</w:t>
      </w:r>
    </w:p>
    <w:p w14:paraId="4941EF8F">
      <w:pPr>
        <w:spacing w:line="400" w:lineRule="exact"/>
        <w:ind w:firstLine="420" w:firstLineChars="200"/>
        <w:rPr>
          <w:rFonts w:hint="eastAsia" w:ascii="仿宋" w:hAnsi="仿宋" w:eastAsia="仿宋" w:cs="宋体"/>
          <w:szCs w:val="21"/>
        </w:rPr>
      </w:pPr>
      <w:r>
        <w:rPr>
          <w:rFonts w:hint="eastAsia" w:ascii="仿宋" w:hAnsi="仿宋" w:eastAsia="仿宋" w:cs="宋体"/>
          <w:szCs w:val="21"/>
        </w:rPr>
        <w:t>合同总金额包含包装、仓储、运输、装卸、安装调试、税费、保险费、供方应当提供的伴随服务</w:t>
      </w:r>
      <w:r>
        <w:rPr>
          <w:rFonts w:ascii="仿宋" w:hAnsi="仿宋" w:eastAsia="仿宋" w:cs="宋体"/>
          <w:szCs w:val="21"/>
        </w:rPr>
        <w:t>/</w:t>
      </w:r>
      <w:r>
        <w:rPr>
          <w:rFonts w:hint="eastAsia" w:ascii="仿宋" w:hAnsi="仿宋" w:eastAsia="仿宋" w:cs="宋体"/>
          <w:szCs w:val="21"/>
        </w:rPr>
        <w:t>售后服务费用以及验收合格之前与质保期内备品备件发生的所有费用。此价格为合同执行不变价，不因国家政策变化而变化。</w:t>
      </w:r>
    </w:p>
    <w:p w14:paraId="01901506">
      <w:pPr>
        <w:spacing w:line="400" w:lineRule="exact"/>
        <w:outlineLvl w:val="1"/>
        <w:rPr>
          <w:rFonts w:hint="eastAsia" w:ascii="仿宋" w:hAnsi="仿宋" w:eastAsia="仿宋"/>
          <w:b/>
          <w:szCs w:val="21"/>
        </w:rPr>
      </w:pPr>
      <w:bookmarkStart w:id="87" w:name="bookmark1"/>
      <w:r>
        <w:rPr>
          <w:rFonts w:hint="eastAsia" w:ascii="仿宋" w:hAnsi="仿宋" w:eastAsia="仿宋" w:cs="宋体"/>
          <w:b/>
          <w:szCs w:val="21"/>
        </w:rPr>
        <w:t>三</w:t>
      </w:r>
      <w:bookmarkEnd w:id="87"/>
      <w:r>
        <w:rPr>
          <w:rFonts w:hint="eastAsia" w:ascii="仿宋" w:hAnsi="仿宋" w:eastAsia="仿宋" w:cs="宋体"/>
          <w:b/>
          <w:szCs w:val="21"/>
        </w:rPr>
        <w:t>、合同资金支付</w:t>
      </w:r>
    </w:p>
    <w:p w14:paraId="0F833304">
      <w:pPr>
        <w:spacing w:line="400" w:lineRule="exact"/>
        <w:ind w:firstLine="420" w:firstLineChars="200"/>
        <w:rPr>
          <w:rFonts w:hint="eastAsia" w:ascii="仿宋" w:hAnsi="仿宋" w:eastAsia="仿宋"/>
          <w:szCs w:val="21"/>
        </w:rPr>
      </w:pPr>
      <w:r>
        <w:rPr>
          <w:rFonts w:hint="eastAsia" w:ascii="仿宋" w:hAnsi="仿宋" w:eastAsia="仿宋" w:cs="宋体"/>
          <w:szCs w:val="21"/>
        </w:rPr>
        <w:t>资金支付方式：</w:t>
      </w:r>
    </w:p>
    <w:p w14:paraId="3748DDE5">
      <w:pPr>
        <w:spacing w:line="400" w:lineRule="exact"/>
        <w:ind w:firstLine="420" w:firstLineChars="200"/>
        <w:rPr>
          <w:rFonts w:hint="eastAsia" w:ascii="仿宋" w:hAnsi="仿宋" w:eastAsia="仿宋"/>
          <w:szCs w:val="21"/>
        </w:rPr>
      </w:pPr>
      <w:r>
        <w:rPr>
          <w:rFonts w:hint="eastAsia" w:ascii="仿宋" w:hAnsi="仿宋" w:eastAsia="仿宋" w:cs="宋体"/>
          <w:szCs w:val="21"/>
        </w:rPr>
        <w:t>资金支付条件及时间：验收合格后由需方负责办理货款支付手续。需方自收到发票后</w:t>
      </w:r>
      <w:r>
        <w:rPr>
          <w:rFonts w:ascii="仿宋" w:hAnsi="仿宋" w:eastAsia="仿宋"/>
          <w:szCs w:val="21"/>
        </w:rPr>
        <w:t>3</w:t>
      </w:r>
      <w:r>
        <w:rPr>
          <w:rFonts w:hint="eastAsia" w:ascii="仿宋" w:hAnsi="仿宋" w:eastAsia="仿宋" w:cs="宋体"/>
          <w:szCs w:val="21"/>
        </w:rPr>
        <w:t>0日内，按合同约定将款项支付到约定的供应商账户。</w:t>
      </w:r>
    </w:p>
    <w:p w14:paraId="01757D70">
      <w:pPr>
        <w:spacing w:line="400" w:lineRule="exact"/>
        <w:outlineLvl w:val="1"/>
        <w:rPr>
          <w:rFonts w:hint="eastAsia" w:ascii="仿宋" w:hAnsi="仿宋" w:eastAsia="仿宋"/>
          <w:b/>
          <w:szCs w:val="21"/>
        </w:rPr>
      </w:pPr>
      <w:r>
        <w:rPr>
          <w:rFonts w:hint="eastAsia" w:ascii="仿宋" w:hAnsi="仿宋" w:eastAsia="仿宋" w:cs="宋体"/>
          <w:b/>
          <w:szCs w:val="21"/>
        </w:rPr>
        <w:t>四、售后服务及承诺</w:t>
      </w:r>
    </w:p>
    <w:p w14:paraId="1359E863">
      <w:pPr>
        <w:spacing w:line="400" w:lineRule="exact"/>
        <w:ind w:firstLine="420" w:firstLineChars="200"/>
        <w:rPr>
          <w:rFonts w:hint="eastAsia" w:ascii="仿宋" w:hAnsi="仿宋" w:eastAsia="仿宋"/>
          <w:szCs w:val="21"/>
        </w:rPr>
      </w:pPr>
      <w:r>
        <w:rPr>
          <w:rFonts w:hint="eastAsia" w:ascii="仿宋" w:hAnsi="仿宋" w:eastAsia="仿宋" w:cs="宋体"/>
          <w:szCs w:val="21"/>
        </w:rPr>
        <w:t>供方向需方承诺：</w:t>
      </w:r>
    </w:p>
    <w:p w14:paraId="7B34E85E">
      <w:pPr>
        <w:spacing w:line="400" w:lineRule="exact"/>
        <w:outlineLvl w:val="1"/>
        <w:rPr>
          <w:rFonts w:hint="eastAsia" w:ascii="仿宋" w:hAnsi="仿宋" w:eastAsia="仿宋"/>
          <w:b/>
          <w:szCs w:val="21"/>
        </w:rPr>
      </w:pPr>
      <w:r>
        <w:rPr>
          <w:rFonts w:hint="eastAsia" w:ascii="仿宋" w:hAnsi="仿宋" w:eastAsia="仿宋" w:cs="宋体"/>
          <w:b/>
          <w:szCs w:val="21"/>
        </w:rPr>
        <w:t>五、交货</w:t>
      </w:r>
    </w:p>
    <w:p w14:paraId="37C351A7">
      <w:pPr>
        <w:spacing w:line="400" w:lineRule="exact"/>
        <w:ind w:firstLine="420" w:firstLineChars="200"/>
        <w:rPr>
          <w:rFonts w:hint="eastAsia" w:ascii="仿宋" w:hAnsi="仿宋" w:eastAsia="仿宋"/>
          <w:szCs w:val="21"/>
        </w:rPr>
      </w:pPr>
      <w:bookmarkStart w:id="88" w:name="bookmark5"/>
      <w:r>
        <w:rPr>
          <w:rFonts w:ascii="仿宋" w:hAnsi="仿宋" w:eastAsia="仿宋"/>
          <w:szCs w:val="21"/>
        </w:rPr>
        <w:t>1</w:t>
      </w:r>
      <w:bookmarkEnd w:id="88"/>
      <w:r>
        <w:rPr>
          <w:rFonts w:hint="eastAsia" w:ascii="仿宋" w:hAnsi="仿宋" w:eastAsia="仿宋" w:cs="宋体"/>
          <w:szCs w:val="21"/>
        </w:rPr>
        <w:t>、交货期限：</w:t>
      </w:r>
    </w:p>
    <w:p w14:paraId="5B203A53">
      <w:pPr>
        <w:spacing w:line="400" w:lineRule="exact"/>
        <w:ind w:firstLine="420" w:firstLineChars="200"/>
        <w:rPr>
          <w:rFonts w:hint="eastAsia" w:ascii="仿宋" w:hAnsi="仿宋" w:eastAsia="仿宋"/>
          <w:szCs w:val="21"/>
        </w:rPr>
      </w:pPr>
      <w:bookmarkStart w:id="89" w:name="bookmark6"/>
      <w:r>
        <w:rPr>
          <w:rFonts w:ascii="仿宋" w:hAnsi="仿宋" w:eastAsia="仿宋"/>
          <w:szCs w:val="21"/>
        </w:rPr>
        <w:t>2</w:t>
      </w:r>
      <w:bookmarkEnd w:id="89"/>
      <w:r>
        <w:rPr>
          <w:rFonts w:hint="eastAsia" w:ascii="仿宋" w:hAnsi="仿宋" w:eastAsia="仿宋" w:cs="宋体"/>
          <w:szCs w:val="21"/>
        </w:rPr>
        <w:t>、交货地点：</w:t>
      </w:r>
    </w:p>
    <w:p w14:paraId="7E6A6701">
      <w:pPr>
        <w:spacing w:line="400" w:lineRule="exact"/>
        <w:outlineLvl w:val="1"/>
        <w:rPr>
          <w:rFonts w:hint="eastAsia" w:ascii="仿宋" w:hAnsi="仿宋" w:eastAsia="仿宋"/>
          <w:b/>
          <w:szCs w:val="21"/>
        </w:rPr>
      </w:pPr>
      <w:r>
        <w:rPr>
          <w:rFonts w:hint="eastAsia" w:ascii="仿宋" w:hAnsi="仿宋" w:eastAsia="仿宋" w:cs="宋体"/>
          <w:b/>
          <w:szCs w:val="21"/>
        </w:rPr>
        <w:t>六、交验</w:t>
      </w:r>
    </w:p>
    <w:p w14:paraId="52FE7DEF">
      <w:pPr>
        <w:spacing w:line="400" w:lineRule="exact"/>
        <w:ind w:firstLine="420" w:firstLineChars="200"/>
        <w:rPr>
          <w:rFonts w:hint="eastAsia" w:ascii="仿宋" w:hAnsi="仿宋" w:eastAsia="仿宋" w:cs="宋体"/>
          <w:szCs w:val="21"/>
        </w:rPr>
      </w:pPr>
      <w:r>
        <w:rPr>
          <w:rFonts w:ascii="仿宋" w:hAnsi="仿宋" w:eastAsia="仿宋"/>
          <w:szCs w:val="21"/>
        </w:rPr>
        <w:t>1</w:t>
      </w:r>
      <w:r>
        <w:rPr>
          <w:rFonts w:hint="eastAsia" w:ascii="仿宋" w:hAnsi="仿宋" w:eastAsia="仿宋" w:cs="宋体"/>
          <w:szCs w:val="21"/>
        </w:rPr>
        <w:t>、验收由需方组织进行，必要时可邀请国家认可的质量检测机构参加验收工作，需方验收供方所交的货物（服务）后要制作填写</w:t>
      </w:r>
      <w:r>
        <w:rPr>
          <w:rFonts w:ascii="仿宋" w:hAnsi="仿宋" w:eastAsia="仿宋"/>
          <w:szCs w:val="21"/>
        </w:rPr>
        <w:t>“</w:t>
      </w:r>
      <w:r>
        <w:rPr>
          <w:rFonts w:hint="eastAsia" w:ascii="仿宋" w:hAnsi="仿宋" w:eastAsia="仿宋" w:cs="宋体"/>
          <w:szCs w:val="21"/>
        </w:rPr>
        <w:t>合同履约情况验收报告</w:t>
      </w:r>
      <w:r>
        <w:rPr>
          <w:rFonts w:ascii="仿宋" w:hAnsi="仿宋" w:eastAsia="仿宋"/>
          <w:szCs w:val="21"/>
        </w:rPr>
        <w:t>”</w:t>
      </w:r>
      <w:r>
        <w:rPr>
          <w:rFonts w:hint="eastAsia" w:ascii="仿宋" w:hAnsi="仿宋" w:eastAsia="仿宋" w:cs="宋体"/>
          <w:szCs w:val="21"/>
        </w:rPr>
        <w:t>。验收结果须供需双方共同确认。</w:t>
      </w:r>
    </w:p>
    <w:p w14:paraId="08321B4F">
      <w:pPr>
        <w:spacing w:line="400" w:lineRule="exact"/>
        <w:ind w:firstLine="420" w:firstLineChars="200"/>
        <w:rPr>
          <w:rFonts w:hint="eastAsia" w:ascii="仿宋" w:hAnsi="仿宋" w:eastAsia="仿宋"/>
          <w:szCs w:val="21"/>
        </w:rPr>
      </w:pPr>
      <w:r>
        <w:rPr>
          <w:rFonts w:ascii="仿宋" w:hAnsi="仿宋" w:eastAsia="仿宋"/>
          <w:szCs w:val="21"/>
        </w:rPr>
        <w:t>2</w:t>
      </w:r>
      <w:r>
        <w:rPr>
          <w:rFonts w:hint="eastAsia" w:ascii="仿宋" w:hAnsi="仿宋" w:eastAsia="仿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054E653E">
      <w:pPr>
        <w:spacing w:line="400" w:lineRule="exact"/>
        <w:ind w:firstLine="420" w:firstLineChars="200"/>
        <w:rPr>
          <w:rFonts w:hint="eastAsia" w:ascii="仿宋" w:hAnsi="仿宋" w:eastAsia="仿宋"/>
          <w:szCs w:val="21"/>
        </w:rPr>
      </w:pPr>
      <w:r>
        <w:rPr>
          <w:rFonts w:ascii="仿宋" w:hAnsi="仿宋" w:eastAsia="仿宋"/>
          <w:szCs w:val="21"/>
        </w:rPr>
        <w:t>3</w:t>
      </w:r>
      <w:r>
        <w:rPr>
          <w:rFonts w:hint="eastAsia" w:ascii="仿宋" w:hAnsi="仿宋" w:eastAsia="仿宋" w:cs="宋体"/>
          <w:szCs w:val="21"/>
        </w:rPr>
        <w:t>、供方交付产品中的软件应无知识产权纠纷，若出现知识产权纠纷等法律问题，由供方自行承担。</w:t>
      </w:r>
    </w:p>
    <w:p w14:paraId="2B8EB033">
      <w:pPr>
        <w:spacing w:line="400" w:lineRule="exact"/>
        <w:ind w:firstLine="420" w:firstLineChars="200"/>
        <w:rPr>
          <w:rFonts w:hint="eastAsia" w:ascii="仿宋" w:hAnsi="仿宋" w:eastAsia="仿宋"/>
          <w:szCs w:val="21"/>
        </w:rPr>
      </w:pPr>
      <w:r>
        <w:rPr>
          <w:rFonts w:ascii="仿宋" w:hAnsi="仿宋" w:eastAsia="仿宋"/>
          <w:szCs w:val="21"/>
        </w:rPr>
        <w:t>4</w:t>
      </w:r>
      <w:r>
        <w:rPr>
          <w:rFonts w:hint="eastAsia" w:ascii="仿宋" w:hAnsi="仿宋" w:eastAsia="仿宋"/>
          <w:szCs w:val="21"/>
        </w:rPr>
        <w:t>、</w:t>
      </w:r>
      <w:r>
        <w:rPr>
          <w:rFonts w:hint="eastAsia" w:ascii="仿宋" w:hAnsi="仿宋" w:eastAsia="仿宋" w:cs="宋体"/>
          <w:szCs w:val="21"/>
        </w:rPr>
        <w:t>需方要按照招标文件中的验收标准来进行验收，按照与履约验收挂钩的资金支付条件及时间执行。</w:t>
      </w:r>
    </w:p>
    <w:p w14:paraId="1C0A629B">
      <w:pPr>
        <w:spacing w:line="400" w:lineRule="exact"/>
        <w:outlineLvl w:val="1"/>
        <w:rPr>
          <w:rFonts w:hint="eastAsia" w:ascii="仿宋" w:hAnsi="仿宋" w:eastAsia="仿宋"/>
          <w:b/>
          <w:szCs w:val="21"/>
        </w:rPr>
      </w:pPr>
      <w:r>
        <w:rPr>
          <w:rFonts w:hint="eastAsia" w:ascii="仿宋" w:hAnsi="仿宋" w:eastAsia="仿宋" w:cs="宋体"/>
          <w:b/>
          <w:szCs w:val="21"/>
        </w:rPr>
        <w:t>七、需方责任</w:t>
      </w:r>
    </w:p>
    <w:p w14:paraId="55759220">
      <w:pPr>
        <w:spacing w:line="400" w:lineRule="exact"/>
        <w:ind w:firstLine="420" w:firstLineChars="200"/>
        <w:rPr>
          <w:rFonts w:hint="eastAsia" w:ascii="仿宋" w:hAnsi="仿宋" w:eastAsia="仿宋"/>
          <w:szCs w:val="21"/>
        </w:rPr>
      </w:pPr>
      <w:r>
        <w:rPr>
          <w:rFonts w:ascii="仿宋" w:hAnsi="仿宋" w:eastAsia="仿宋"/>
          <w:szCs w:val="21"/>
        </w:rPr>
        <w:t>1</w:t>
      </w:r>
      <w:r>
        <w:rPr>
          <w:rFonts w:hint="eastAsia" w:ascii="仿宋" w:hAnsi="仿宋" w:eastAsia="仿宋" w:cs="宋体"/>
          <w:szCs w:val="21"/>
        </w:rPr>
        <w:t>、及时办理付款手续</w:t>
      </w:r>
      <w:r>
        <w:rPr>
          <w:rFonts w:hint="eastAsia" w:ascii="仿宋" w:hAnsi="仿宋" w:eastAsia="仿宋"/>
          <w:szCs w:val="21"/>
        </w:rPr>
        <w:t>。</w:t>
      </w:r>
      <w:r>
        <w:rPr>
          <w:rFonts w:hint="eastAsia" w:ascii="仿宋" w:hAnsi="仿宋" w:eastAsia="仿宋" w:cs="宋体"/>
          <w:szCs w:val="21"/>
        </w:rPr>
        <w:t>不得以机构变动、人员更替、政策调整等为由延迟付款，不得将采购文件和合同中未规定的义务作为向供应商付款的条件。</w:t>
      </w:r>
    </w:p>
    <w:p w14:paraId="1A73A9D9">
      <w:pPr>
        <w:spacing w:line="400" w:lineRule="exact"/>
        <w:ind w:firstLine="420" w:firstLineChars="200"/>
        <w:rPr>
          <w:rFonts w:hint="eastAsia" w:ascii="仿宋" w:hAnsi="仿宋" w:eastAsia="仿宋"/>
          <w:szCs w:val="21"/>
        </w:rPr>
      </w:pPr>
      <w:r>
        <w:rPr>
          <w:rFonts w:ascii="仿宋" w:hAnsi="仿宋" w:eastAsia="仿宋"/>
          <w:szCs w:val="21"/>
        </w:rPr>
        <w:t>2</w:t>
      </w:r>
      <w:r>
        <w:rPr>
          <w:rFonts w:hint="eastAsia" w:ascii="仿宋" w:hAnsi="仿宋" w:eastAsia="仿宋" w:cs="宋体"/>
          <w:szCs w:val="21"/>
        </w:rPr>
        <w:t>、负责提供工作场地，协助供方办理有关</w:t>
      </w:r>
      <w:r>
        <w:rPr>
          <w:rFonts w:hint="eastAsia" w:ascii="仿宋" w:hAnsi="仿宋" w:eastAsia="仿宋"/>
          <w:szCs w:val="21"/>
        </w:rPr>
        <w:t>事宜</w:t>
      </w:r>
      <w:r>
        <w:rPr>
          <w:rFonts w:hint="eastAsia" w:ascii="仿宋" w:hAnsi="仿宋" w:eastAsia="仿宋" w:cs="宋体"/>
          <w:szCs w:val="21"/>
        </w:rPr>
        <w:t>。</w:t>
      </w:r>
    </w:p>
    <w:p w14:paraId="6247A39A">
      <w:pPr>
        <w:spacing w:line="400" w:lineRule="exact"/>
        <w:ind w:firstLine="420" w:firstLineChars="200"/>
        <w:rPr>
          <w:rFonts w:hint="eastAsia" w:ascii="仿宋" w:hAnsi="仿宋" w:eastAsia="仿宋"/>
          <w:szCs w:val="21"/>
        </w:rPr>
      </w:pPr>
      <w:r>
        <w:rPr>
          <w:rFonts w:ascii="仿宋" w:hAnsi="仿宋" w:eastAsia="仿宋"/>
          <w:szCs w:val="21"/>
        </w:rPr>
        <w:t>3</w:t>
      </w:r>
      <w:r>
        <w:rPr>
          <w:rFonts w:hint="eastAsia" w:ascii="仿宋" w:hAnsi="仿宋" w:eastAsia="仿宋" w:cs="宋体"/>
          <w:szCs w:val="21"/>
        </w:rPr>
        <w:t>、对合同条款及价格负有保密义务。</w:t>
      </w:r>
    </w:p>
    <w:p w14:paraId="715C2681">
      <w:pPr>
        <w:spacing w:line="400" w:lineRule="exact"/>
        <w:outlineLvl w:val="1"/>
        <w:rPr>
          <w:rFonts w:hint="eastAsia" w:ascii="仿宋" w:hAnsi="仿宋" w:eastAsia="仿宋"/>
          <w:b/>
          <w:szCs w:val="21"/>
        </w:rPr>
      </w:pPr>
      <w:r>
        <w:rPr>
          <w:rFonts w:hint="eastAsia" w:ascii="仿宋" w:hAnsi="仿宋" w:eastAsia="仿宋" w:cs="宋体"/>
          <w:b/>
          <w:szCs w:val="21"/>
        </w:rPr>
        <w:t>八、供方责任</w:t>
      </w:r>
    </w:p>
    <w:p w14:paraId="773E21B7">
      <w:pPr>
        <w:spacing w:line="400" w:lineRule="exact"/>
        <w:ind w:firstLine="420" w:firstLineChars="200"/>
        <w:rPr>
          <w:rFonts w:hint="eastAsia" w:ascii="仿宋" w:hAnsi="仿宋" w:eastAsia="仿宋"/>
          <w:szCs w:val="21"/>
        </w:rPr>
      </w:pPr>
      <w:r>
        <w:rPr>
          <w:rFonts w:ascii="仿宋" w:hAnsi="仿宋" w:eastAsia="仿宋"/>
          <w:szCs w:val="21"/>
        </w:rPr>
        <w:t>1</w:t>
      </w:r>
      <w:r>
        <w:rPr>
          <w:rFonts w:hint="eastAsia" w:ascii="仿宋" w:hAnsi="仿宋" w:eastAsia="仿宋" w:cs="宋体"/>
          <w:szCs w:val="21"/>
        </w:rPr>
        <w:t>、保证所供货物（服务）均为标书承诺的，符合相关质量检测标准，具有该产品的出厂标准或国家鉴定证书。</w:t>
      </w:r>
    </w:p>
    <w:p w14:paraId="25A05741">
      <w:pPr>
        <w:spacing w:line="400" w:lineRule="exact"/>
        <w:ind w:firstLine="420" w:firstLineChars="200"/>
        <w:rPr>
          <w:rFonts w:hint="eastAsia" w:ascii="仿宋" w:hAnsi="仿宋" w:eastAsia="仿宋"/>
          <w:szCs w:val="21"/>
        </w:rPr>
      </w:pPr>
      <w:r>
        <w:rPr>
          <w:rFonts w:ascii="仿宋" w:hAnsi="仿宋" w:eastAsia="仿宋"/>
          <w:szCs w:val="21"/>
        </w:rPr>
        <w:t>2</w:t>
      </w:r>
      <w:r>
        <w:rPr>
          <w:rFonts w:hint="eastAsia" w:ascii="仿宋" w:hAnsi="仿宋" w:eastAsia="仿宋" w:cs="宋体"/>
          <w:szCs w:val="21"/>
        </w:rPr>
        <w:t>、保证售后服务，严格依据投标文件及相关承诺，进行保修、维护等服务</w:t>
      </w:r>
      <w:r>
        <w:rPr>
          <w:rFonts w:hint="eastAsia" w:ascii="仿宋" w:hAnsi="仿宋" w:eastAsia="仿宋"/>
          <w:szCs w:val="21"/>
        </w:rPr>
        <w:t>。</w:t>
      </w:r>
    </w:p>
    <w:p w14:paraId="13401023">
      <w:pPr>
        <w:spacing w:line="400" w:lineRule="exact"/>
        <w:outlineLvl w:val="1"/>
        <w:rPr>
          <w:rFonts w:hint="eastAsia" w:ascii="仿宋" w:hAnsi="仿宋" w:eastAsia="仿宋"/>
          <w:b/>
          <w:szCs w:val="21"/>
        </w:rPr>
      </w:pPr>
      <w:r>
        <w:rPr>
          <w:rFonts w:hint="eastAsia" w:ascii="仿宋" w:hAnsi="仿宋" w:eastAsia="仿宋" w:cs="宋体"/>
          <w:b/>
          <w:szCs w:val="21"/>
        </w:rPr>
        <w:t>九、违约责任</w:t>
      </w:r>
    </w:p>
    <w:p w14:paraId="1BB7D90C">
      <w:pPr>
        <w:spacing w:line="400" w:lineRule="exact"/>
        <w:rPr>
          <w:rFonts w:hint="eastAsia" w:ascii="仿宋" w:hAnsi="仿宋" w:eastAsia="仿宋"/>
          <w:szCs w:val="21"/>
        </w:rPr>
      </w:pPr>
      <w:r>
        <w:rPr>
          <w:rFonts w:hint="eastAsia" w:ascii="仿宋" w:hAnsi="仿宋" w:eastAsia="仿宋"/>
          <w:szCs w:val="21"/>
        </w:rPr>
        <w:t>1、需方无正当理由逾期支付货款的，每逾期一日向供方偿付合同款总额</w:t>
      </w:r>
      <w:r>
        <w:rPr>
          <w:rFonts w:hint="eastAsia" w:ascii="仿宋" w:hAnsi="仿宋" w:eastAsia="仿宋"/>
          <w:szCs w:val="21"/>
          <w:u w:val="single"/>
        </w:rPr>
        <w:t xml:space="preserve">      </w:t>
      </w:r>
      <w:r>
        <w:rPr>
          <w:rFonts w:hint="eastAsia" w:ascii="仿宋" w:hAnsi="仿宋" w:eastAsia="仿宋"/>
          <w:szCs w:val="21"/>
        </w:rPr>
        <w:t>%的违约金，逾期付款超过</w:t>
      </w:r>
      <w:r>
        <w:rPr>
          <w:rFonts w:hint="eastAsia" w:ascii="仿宋" w:hAnsi="仿宋" w:eastAsia="仿宋"/>
          <w:szCs w:val="21"/>
          <w:u w:val="single"/>
        </w:rPr>
        <w:t xml:space="preserve">     </w:t>
      </w:r>
      <w:r>
        <w:rPr>
          <w:rFonts w:hint="eastAsia" w:ascii="仿宋" w:hAnsi="仿宋" w:eastAsia="仿宋"/>
          <w:szCs w:val="21"/>
        </w:rPr>
        <w:t>日，供方有权解除合同，届时需方向供方退还已收到的货物，并赔偿由此给供方造成的全部经济损失。</w:t>
      </w:r>
    </w:p>
    <w:p w14:paraId="770E5C06">
      <w:pPr>
        <w:spacing w:line="400" w:lineRule="exact"/>
        <w:rPr>
          <w:rFonts w:hint="eastAsia" w:ascii="仿宋" w:hAnsi="仿宋" w:eastAsia="仿宋"/>
          <w:szCs w:val="21"/>
        </w:rPr>
      </w:pPr>
      <w:r>
        <w:rPr>
          <w:rFonts w:hint="eastAsia" w:ascii="仿宋" w:hAnsi="仿宋" w:eastAsia="仿宋"/>
          <w:szCs w:val="21"/>
        </w:rPr>
        <w:t>2、供方所交的货物（服务）品种、型号、规格、质量不符合合同规定标准，需方有权拒收。同时，供方向需方支付合同款总额</w:t>
      </w:r>
      <w:r>
        <w:rPr>
          <w:rFonts w:hint="eastAsia" w:ascii="仿宋" w:hAnsi="仿宋" w:eastAsia="仿宋"/>
          <w:szCs w:val="21"/>
          <w:u w:val="single"/>
        </w:rPr>
        <w:t xml:space="preserve">        </w:t>
      </w:r>
      <w:r>
        <w:rPr>
          <w:rFonts w:hint="eastAsia" w:ascii="仿宋" w:hAnsi="仿宋" w:eastAsia="仿宋"/>
          <w:szCs w:val="21"/>
        </w:rPr>
        <w:t>%的违约金。</w:t>
      </w:r>
    </w:p>
    <w:p w14:paraId="7CED5AFF">
      <w:pPr>
        <w:spacing w:line="400" w:lineRule="exact"/>
        <w:rPr>
          <w:rFonts w:hint="eastAsia" w:ascii="仿宋" w:hAnsi="仿宋" w:eastAsia="仿宋"/>
          <w:szCs w:val="21"/>
        </w:rPr>
      </w:pPr>
      <w:r>
        <w:rPr>
          <w:rFonts w:hint="eastAsia" w:ascii="仿宋" w:hAnsi="仿宋" w:eastAsia="仿宋"/>
          <w:szCs w:val="21"/>
        </w:rPr>
        <w:t>3、供方不能交付货物或提供服务时，供方向需方偿付合同款总额</w:t>
      </w:r>
      <w:r>
        <w:rPr>
          <w:rFonts w:hint="eastAsia" w:ascii="仿宋" w:hAnsi="仿宋" w:eastAsia="仿宋"/>
          <w:szCs w:val="21"/>
          <w:u w:val="single"/>
        </w:rPr>
        <w:t xml:space="preserve">        </w:t>
      </w:r>
      <w:r>
        <w:rPr>
          <w:rFonts w:hint="eastAsia" w:ascii="仿宋" w:hAnsi="仿宋" w:eastAsia="仿宋"/>
          <w:szCs w:val="21"/>
        </w:rPr>
        <w:t>的违约金。</w:t>
      </w:r>
    </w:p>
    <w:p w14:paraId="38C8DC8D">
      <w:pPr>
        <w:spacing w:line="400" w:lineRule="exact"/>
        <w:rPr>
          <w:rFonts w:hint="eastAsia" w:ascii="仿宋" w:hAnsi="仿宋" w:eastAsia="仿宋"/>
          <w:szCs w:val="21"/>
        </w:rPr>
      </w:pPr>
      <w:r>
        <w:rPr>
          <w:rFonts w:hint="eastAsia" w:ascii="仿宋" w:hAnsi="仿宋" w:eastAsia="仿宋"/>
          <w:szCs w:val="21"/>
        </w:rPr>
        <w:t>4、供方逾期交付货物（服务）时，每逾1日供方向需方偿付合同款总额</w:t>
      </w:r>
      <w:r>
        <w:rPr>
          <w:rFonts w:hint="eastAsia" w:ascii="仿宋" w:hAnsi="仿宋" w:eastAsia="仿宋"/>
          <w:szCs w:val="21"/>
          <w:u w:val="single"/>
        </w:rPr>
        <w:t xml:space="preserve">        </w:t>
      </w:r>
      <w:r>
        <w:rPr>
          <w:rFonts w:hint="eastAsia" w:ascii="仿宋" w:hAnsi="仿宋" w:eastAsia="仿宋"/>
          <w:szCs w:val="21"/>
        </w:rPr>
        <w:t>的滞纳金。逾期交货超过 30天后，需方有权决定是否继续履行合同。</w:t>
      </w:r>
    </w:p>
    <w:p w14:paraId="0CC1E711">
      <w:pPr>
        <w:spacing w:line="400" w:lineRule="exact"/>
        <w:outlineLvl w:val="2"/>
        <w:rPr>
          <w:rFonts w:hint="eastAsia" w:ascii="仿宋" w:hAnsi="仿宋" w:eastAsia="仿宋"/>
          <w:szCs w:val="21"/>
        </w:rPr>
      </w:pPr>
      <w:r>
        <w:rPr>
          <w:rFonts w:hint="eastAsia" w:ascii="仿宋" w:hAnsi="仿宋" w:eastAsia="仿宋"/>
          <w:szCs w:val="21"/>
        </w:rPr>
        <w:t>5、因需方错告或变更到货地点而给供方造成的损失，由需方负担。</w:t>
      </w:r>
    </w:p>
    <w:p w14:paraId="05CA227D">
      <w:pPr>
        <w:spacing w:line="400" w:lineRule="exact"/>
        <w:rPr>
          <w:rFonts w:hint="eastAsia" w:ascii="仿宋" w:hAnsi="仿宋" w:eastAsia="仿宋"/>
          <w:szCs w:val="21"/>
        </w:rPr>
      </w:pPr>
      <w:r>
        <w:rPr>
          <w:rFonts w:hint="eastAsia" w:ascii="仿宋" w:hAnsi="仿宋" w:eastAsia="仿宋"/>
          <w:szCs w:val="21"/>
        </w:rPr>
        <w:t>6、因需方原因导致合同变更、中止或者终止政府釆购合同的，需方应当对供方受到的损失予以赔偿或者补供，贴偿或者补偿金额：</w:t>
      </w:r>
      <w:r>
        <w:rPr>
          <w:rFonts w:hint="eastAsia" w:ascii="仿宋" w:hAnsi="仿宋" w:eastAsia="仿宋"/>
          <w:szCs w:val="21"/>
          <w:u w:val="single"/>
        </w:rPr>
        <w:t xml:space="preserve">          </w:t>
      </w:r>
      <w:r>
        <w:rPr>
          <w:rFonts w:hint="eastAsia" w:ascii="仿宋" w:hAnsi="仿宋" w:eastAsia="仿宋"/>
          <w:szCs w:val="21"/>
        </w:rPr>
        <w:t>。</w:t>
      </w:r>
    </w:p>
    <w:p w14:paraId="3699C870">
      <w:pPr>
        <w:spacing w:line="400" w:lineRule="exact"/>
        <w:outlineLvl w:val="1"/>
        <w:rPr>
          <w:rFonts w:hint="eastAsia" w:ascii="仿宋" w:hAnsi="仿宋" w:eastAsia="仿宋"/>
          <w:b/>
          <w:szCs w:val="21"/>
        </w:rPr>
      </w:pPr>
      <w:r>
        <w:rPr>
          <w:rFonts w:hint="eastAsia" w:ascii="仿宋" w:hAnsi="仿宋" w:eastAsia="仿宋" w:cs="宋体"/>
          <w:b/>
          <w:szCs w:val="21"/>
        </w:rPr>
        <w:t>十、不可抗力</w:t>
      </w:r>
    </w:p>
    <w:p w14:paraId="44AB3EEA">
      <w:pPr>
        <w:spacing w:line="400" w:lineRule="exact"/>
        <w:ind w:firstLine="420" w:firstLineChars="200"/>
        <w:rPr>
          <w:rFonts w:hint="eastAsia" w:ascii="仿宋" w:hAnsi="仿宋" w:eastAsia="仿宋"/>
          <w:szCs w:val="21"/>
        </w:rPr>
      </w:pPr>
      <w:r>
        <w:rPr>
          <w:rFonts w:hint="eastAsia" w:ascii="仿宋" w:hAnsi="仿宋" w:eastAsia="仿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789962C2">
      <w:pPr>
        <w:spacing w:line="400" w:lineRule="exact"/>
        <w:outlineLvl w:val="1"/>
        <w:rPr>
          <w:rFonts w:hint="eastAsia" w:ascii="仿宋" w:hAnsi="仿宋" w:eastAsia="仿宋"/>
          <w:b/>
          <w:szCs w:val="21"/>
        </w:rPr>
      </w:pPr>
      <w:r>
        <w:rPr>
          <w:rFonts w:hint="eastAsia" w:ascii="仿宋" w:hAnsi="仿宋" w:eastAsia="仿宋" w:cs="宋体"/>
          <w:b/>
          <w:szCs w:val="21"/>
        </w:rPr>
        <w:t>十一、争议解决</w:t>
      </w:r>
    </w:p>
    <w:p w14:paraId="2F6E9ED2">
      <w:pPr>
        <w:spacing w:line="400" w:lineRule="exact"/>
        <w:ind w:firstLine="420" w:firstLineChars="200"/>
        <w:rPr>
          <w:rFonts w:hint="eastAsia" w:ascii="仿宋" w:hAnsi="仿宋" w:eastAsia="仿宋" w:cs="宋体"/>
          <w:szCs w:val="21"/>
        </w:rPr>
      </w:pPr>
      <w:r>
        <w:rPr>
          <w:rFonts w:hint="eastAsia" w:ascii="仿宋" w:hAnsi="仿宋" w:eastAsia="仿宋" w:cs="宋体"/>
          <w:szCs w:val="21"/>
        </w:rPr>
        <w:t>供需双方在执行合同中发生争议，应通过协商解决。如协商不成，双方均可向需方住所地有管辖权的人民法院提起诉讼。</w:t>
      </w:r>
    </w:p>
    <w:p w14:paraId="41CF98F5">
      <w:pPr>
        <w:spacing w:line="400" w:lineRule="exact"/>
        <w:outlineLvl w:val="1"/>
        <w:rPr>
          <w:rFonts w:hint="eastAsia" w:ascii="仿宋" w:hAnsi="仿宋" w:eastAsia="仿宋"/>
          <w:b/>
          <w:szCs w:val="21"/>
        </w:rPr>
      </w:pPr>
      <w:r>
        <w:rPr>
          <w:rFonts w:hint="eastAsia" w:ascii="仿宋" w:hAnsi="仿宋" w:eastAsia="仿宋" w:cs="宋体"/>
          <w:b/>
          <w:szCs w:val="21"/>
        </w:rPr>
        <w:t>十二、合同生效及其他</w:t>
      </w:r>
    </w:p>
    <w:p w14:paraId="542BD175">
      <w:pPr>
        <w:spacing w:line="400" w:lineRule="exact"/>
        <w:ind w:firstLine="420" w:firstLineChars="200"/>
        <w:rPr>
          <w:rFonts w:hint="eastAsia" w:ascii="仿宋" w:hAnsi="仿宋" w:eastAsia="仿宋"/>
          <w:szCs w:val="21"/>
        </w:rPr>
      </w:pPr>
      <w:r>
        <w:rPr>
          <w:rFonts w:hint="eastAsia" w:ascii="仿宋" w:hAnsi="仿宋" w:eastAsia="仿宋" w:cs="宋体"/>
          <w:szCs w:val="21"/>
        </w:rPr>
        <w:t>1、合同由供、需双方法定代表人或授权代表签字并加盖公章或合同专用章之日起生效</w:t>
      </w:r>
      <w:r>
        <w:rPr>
          <w:rFonts w:hint="eastAsia" w:ascii="仿宋" w:hAnsi="仿宋" w:eastAsia="仿宋"/>
          <w:szCs w:val="21"/>
        </w:rPr>
        <w:t>。</w:t>
      </w:r>
    </w:p>
    <w:p w14:paraId="300F6945">
      <w:pPr>
        <w:spacing w:line="400" w:lineRule="exact"/>
        <w:ind w:firstLine="420" w:firstLineChars="200"/>
        <w:outlineLvl w:val="2"/>
        <w:rPr>
          <w:rFonts w:hint="eastAsia" w:ascii="仿宋" w:hAnsi="仿宋" w:eastAsia="仿宋"/>
          <w:szCs w:val="21"/>
        </w:rPr>
      </w:pPr>
      <w:r>
        <w:rPr>
          <w:rFonts w:ascii="仿宋" w:hAnsi="仿宋" w:eastAsia="仿宋"/>
          <w:szCs w:val="21"/>
        </w:rPr>
        <w:t>2</w:t>
      </w:r>
      <w:r>
        <w:rPr>
          <w:rFonts w:hint="eastAsia" w:ascii="仿宋" w:hAnsi="仿宋" w:eastAsia="仿宋" w:cs="宋体"/>
          <w:szCs w:val="21"/>
        </w:rPr>
        <w:t>、本合同一式</w:t>
      </w:r>
      <w:r>
        <w:rPr>
          <w:rFonts w:hint="eastAsia" w:ascii="仿宋" w:hAnsi="仿宋" w:eastAsia="仿宋" w:cs="宋体"/>
          <w:szCs w:val="21"/>
          <w:u w:val="single"/>
        </w:rPr>
        <w:t xml:space="preserve">  </w:t>
      </w:r>
      <w:r>
        <w:rPr>
          <w:rFonts w:hint="eastAsia" w:ascii="仿宋" w:hAnsi="仿宋" w:eastAsia="仿宋" w:cs="宋体"/>
          <w:szCs w:val="21"/>
        </w:rPr>
        <w:t>份，双方各执</w:t>
      </w:r>
      <w:r>
        <w:rPr>
          <w:rFonts w:hint="eastAsia" w:ascii="仿宋" w:hAnsi="仿宋" w:eastAsia="仿宋" w:cs="宋体"/>
          <w:szCs w:val="21"/>
          <w:u w:val="single"/>
        </w:rPr>
        <w:t xml:space="preserve">  </w:t>
      </w:r>
      <w:r>
        <w:rPr>
          <w:rFonts w:hint="eastAsia" w:ascii="仿宋" w:hAnsi="仿宋" w:eastAsia="仿宋" w:cs="宋体"/>
          <w:szCs w:val="21"/>
        </w:rPr>
        <w:t>份。</w:t>
      </w:r>
    </w:p>
    <w:p w14:paraId="5A4647E4">
      <w:pPr>
        <w:spacing w:line="400" w:lineRule="exact"/>
        <w:ind w:firstLine="420" w:firstLineChars="200"/>
        <w:rPr>
          <w:rFonts w:hint="eastAsia" w:ascii="仿宋" w:hAnsi="仿宋" w:eastAsia="仿宋"/>
          <w:szCs w:val="21"/>
        </w:rPr>
      </w:pPr>
      <w:r>
        <w:rPr>
          <w:rFonts w:ascii="仿宋" w:hAnsi="仿宋" w:eastAsia="仿宋"/>
          <w:szCs w:val="21"/>
        </w:rPr>
        <w:t>3</w:t>
      </w:r>
      <w:r>
        <w:rPr>
          <w:rFonts w:hint="eastAsia" w:ascii="仿宋" w:hAnsi="仿宋" w:eastAsia="仿宋" w:cs="宋体"/>
          <w:szCs w:val="21"/>
        </w:rPr>
        <w:t>、合同执行过程中出现的未尽事宜，双方在不违背合同和招标文件的前提下协商解决。协商结果以“纪要”形式供需双方签字盖章确认，作为合同附件，与合同具有同等效力。</w:t>
      </w:r>
    </w:p>
    <w:p w14:paraId="5540EF23">
      <w:pPr>
        <w:spacing w:line="400" w:lineRule="exact"/>
        <w:outlineLvl w:val="1"/>
        <w:rPr>
          <w:rFonts w:hint="eastAsia" w:ascii="仿宋" w:hAnsi="仿宋" w:eastAsia="仿宋"/>
          <w:b/>
          <w:szCs w:val="21"/>
        </w:rPr>
      </w:pPr>
      <w:r>
        <w:rPr>
          <w:rFonts w:hint="eastAsia" w:ascii="仿宋" w:hAnsi="仿宋" w:eastAsia="仿宋" w:cs="宋体"/>
          <w:b/>
          <w:szCs w:val="21"/>
        </w:rPr>
        <w:t>十三、下列文件为本合同不可分割部分</w:t>
      </w:r>
    </w:p>
    <w:p w14:paraId="3722EE7A">
      <w:pPr>
        <w:spacing w:line="400" w:lineRule="exact"/>
        <w:ind w:firstLine="420" w:firstLineChars="200"/>
        <w:rPr>
          <w:rFonts w:hint="eastAsia" w:ascii="仿宋" w:hAnsi="仿宋" w:eastAsia="仿宋"/>
          <w:szCs w:val="21"/>
        </w:rPr>
      </w:pPr>
      <w:r>
        <w:rPr>
          <w:rFonts w:ascii="仿宋" w:hAnsi="仿宋" w:eastAsia="仿宋"/>
          <w:szCs w:val="21"/>
        </w:rPr>
        <w:t>1</w:t>
      </w:r>
      <w:r>
        <w:rPr>
          <w:rFonts w:hint="eastAsia" w:ascii="仿宋" w:hAnsi="仿宋" w:eastAsia="仿宋" w:cs="宋体"/>
          <w:szCs w:val="21"/>
        </w:rPr>
        <w:t>、招标文件（含澄清或修改文件）</w:t>
      </w:r>
    </w:p>
    <w:p w14:paraId="52239337">
      <w:pPr>
        <w:spacing w:line="400" w:lineRule="exact"/>
        <w:ind w:firstLine="420" w:firstLineChars="200"/>
        <w:rPr>
          <w:rFonts w:hint="eastAsia" w:ascii="仿宋" w:hAnsi="仿宋" w:eastAsia="仿宋"/>
          <w:szCs w:val="21"/>
        </w:rPr>
      </w:pPr>
      <w:r>
        <w:rPr>
          <w:rFonts w:ascii="仿宋" w:hAnsi="仿宋" w:eastAsia="仿宋"/>
          <w:szCs w:val="21"/>
        </w:rPr>
        <w:t>2</w:t>
      </w:r>
      <w:r>
        <w:rPr>
          <w:rFonts w:hint="eastAsia" w:ascii="仿宋" w:hAnsi="仿宋" w:eastAsia="仿宋" w:cs="宋体"/>
          <w:szCs w:val="21"/>
        </w:rPr>
        <w:t>、投标文件（含澄清或说明文件）</w:t>
      </w:r>
    </w:p>
    <w:p w14:paraId="39D3771A">
      <w:pPr>
        <w:spacing w:line="400" w:lineRule="exact"/>
        <w:ind w:firstLine="420" w:firstLineChars="200"/>
        <w:rPr>
          <w:rFonts w:hint="eastAsia" w:ascii="仿宋" w:hAnsi="仿宋" w:eastAsia="仿宋"/>
          <w:szCs w:val="21"/>
        </w:rPr>
      </w:pPr>
      <w:r>
        <w:rPr>
          <w:rFonts w:ascii="仿宋" w:hAnsi="仿宋" w:eastAsia="仿宋"/>
          <w:szCs w:val="21"/>
        </w:rPr>
        <w:t>3</w:t>
      </w:r>
      <w:r>
        <w:rPr>
          <w:rFonts w:hint="eastAsia" w:ascii="仿宋" w:hAnsi="仿宋" w:eastAsia="仿宋" w:cs="宋体"/>
          <w:szCs w:val="21"/>
        </w:rPr>
        <w:t>、投标人所做的其他承诺</w:t>
      </w:r>
    </w:p>
    <w:p w14:paraId="008CFD49">
      <w:pPr>
        <w:spacing w:line="400" w:lineRule="exact"/>
        <w:ind w:firstLine="420" w:firstLineChars="200"/>
        <w:rPr>
          <w:rFonts w:hint="eastAsia" w:ascii="仿宋" w:hAnsi="仿宋" w:eastAsia="仿宋"/>
          <w:szCs w:val="21"/>
        </w:rPr>
      </w:pPr>
      <w:r>
        <w:rPr>
          <w:rFonts w:ascii="仿宋" w:hAnsi="仿宋" w:eastAsia="仿宋"/>
          <w:szCs w:val="21"/>
        </w:rPr>
        <w:t>4</w:t>
      </w:r>
      <w:r>
        <w:rPr>
          <w:rFonts w:hint="eastAsia" w:ascii="仿宋" w:hAnsi="仿宋" w:eastAsia="仿宋" w:cs="宋体"/>
          <w:szCs w:val="21"/>
        </w:rPr>
        <w:t>、项目验收标准、程序</w:t>
      </w:r>
    </w:p>
    <w:bookmarkEnd w:id="82"/>
    <w:bookmarkEnd w:id="83"/>
    <w:bookmarkEnd w:id="84"/>
    <w:bookmarkEnd w:id="85"/>
    <w:p w14:paraId="3BDD8F05">
      <w:pPr>
        <w:spacing w:line="400" w:lineRule="exact"/>
        <w:rPr>
          <w:rFonts w:hint="eastAsia" w:ascii="仿宋" w:hAnsi="仿宋" w:eastAsia="仿宋"/>
          <w:szCs w:val="21"/>
        </w:rPr>
      </w:pPr>
      <w:r>
        <w:rPr>
          <w:rFonts w:hint="eastAsia" w:ascii="仿宋" w:hAnsi="仿宋" w:eastAsia="仿宋" w:cs="宋体"/>
          <w:szCs w:val="21"/>
        </w:rPr>
        <w:t>需方</w:t>
      </w:r>
      <w:r>
        <w:rPr>
          <w:rFonts w:ascii="仿宋" w:hAnsi="仿宋" w:eastAsia="仿宋"/>
          <w:szCs w:val="21"/>
        </w:rPr>
        <w:t>(</w:t>
      </w:r>
      <w:r>
        <w:rPr>
          <w:rFonts w:hint="eastAsia" w:ascii="仿宋" w:hAnsi="仿宋" w:eastAsia="仿宋"/>
          <w:szCs w:val="21"/>
        </w:rPr>
        <w:t>章</w:t>
      </w:r>
      <w:r>
        <w:rPr>
          <w:rFonts w:ascii="仿宋" w:hAnsi="仿宋" w:eastAsia="仿宋"/>
          <w:szCs w:val="21"/>
        </w:rPr>
        <w:t>):</w:t>
      </w:r>
      <w:r>
        <w:rPr>
          <w:rFonts w:hint="eastAsia" w:ascii="仿宋" w:hAnsi="仿宋" w:eastAsia="仿宋"/>
          <w:szCs w:val="21"/>
        </w:rPr>
        <w:t xml:space="preserve">                                     </w:t>
      </w:r>
      <w:r>
        <w:rPr>
          <w:rFonts w:hint="eastAsia" w:ascii="仿宋" w:hAnsi="仿宋" w:eastAsia="仿宋" w:cs="宋体"/>
          <w:szCs w:val="21"/>
        </w:rPr>
        <w:t>供方</w:t>
      </w:r>
      <w:r>
        <w:rPr>
          <w:rFonts w:ascii="仿宋" w:hAnsi="仿宋" w:eastAsia="仿宋"/>
          <w:szCs w:val="21"/>
        </w:rPr>
        <w:t>(</w:t>
      </w:r>
      <w:r>
        <w:rPr>
          <w:rFonts w:hint="eastAsia" w:ascii="仿宋" w:hAnsi="仿宋" w:eastAsia="仿宋"/>
          <w:szCs w:val="21"/>
        </w:rPr>
        <w:t>章</w:t>
      </w:r>
      <w:r>
        <w:rPr>
          <w:rFonts w:ascii="仿宋" w:hAnsi="仿宋" w:eastAsia="仿宋"/>
          <w:szCs w:val="21"/>
        </w:rPr>
        <w:t>)</w:t>
      </w:r>
      <w:r>
        <w:rPr>
          <w:rFonts w:hint="eastAsia" w:ascii="仿宋" w:hAnsi="仿宋" w:eastAsia="仿宋" w:cs="宋体"/>
          <w:szCs w:val="21"/>
        </w:rPr>
        <w:t>：</w:t>
      </w:r>
    </w:p>
    <w:p w14:paraId="3DC480D2">
      <w:pPr>
        <w:spacing w:line="400" w:lineRule="exact"/>
        <w:rPr>
          <w:rFonts w:hint="eastAsia" w:ascii="仿宋" w:hAnsi="仿宋" w:eastAsia="仿宋"/>
          <w:szCs w:val="21"/>
        </w:rPr>
      </w:pPr>
      <w:r>
        <w:rPr>
          <w:rFonts w:hint="eastAsia" w:ascii="仿宋" w:hAnsi="仿宋" w:eastAsia="仿宋" w:cs="宋体"/>
          <w:szCs w:val="21"/>
        </w:rPr>
        <w:t>法定代表人</w:t>
      </w:r>
      <w:r>
        <w:rPr>
          <w:rFonts w:ascii="仿宋" w:hAnsi="仿宋" w:eastAsia="仿宋"/>
          <w:szCs w:val="21"/>
        </w:rPr>
        <w:t>:</w:t>
      </w:r>
      <w:r>
        <w:rPr>
          <w:rFonts w:hint="eastAsia" w:ascii="仿宋" w:hAnsi="仿宋" w:eastAsia="仿宋"/>
          <w:szCs w:val="21"/>
        </w:rPr>
        <w:t xml:space="preserve">                                  </w:t>
      </w:r>
      <w:r>
        <w:rPr>
          <w:rFonts w:hint="eastAsia" w:ascii="仿宋" w:hAnsi="仿宋" w:eastAsia="仿宋" w:cs="宋体"/>
          <w:szCs w:val="21"/>
        </w:rPr>
        <w:t>法定代表人</w:t>
      </w:r>
      <w:r>
        <w:rPr>
          <w:rFonts w:ascii="仿宋" w:hAnsi="仿宋" w:eastAsia="仿宋"/>
          <w:szCs w:val="21"/>
        </w:rPr>
        <w:t>:</w:t>
      </w:r>
    </w:p>
    <w:p w14:paraId="368EBA9A">
      <w:pPr>
        <w:spacing w:line="400" w:lineRule="exact"/>
        <w:rPr>
          <w:rFonts w:hint="eastAsia" w:ascii="仿宋" w:hAnsi="仿宋" w:eastAsia="仿宋"/>
          <w:szCs w:val="21"/>
        </w:rPr>
      </w:pPr>
      <w:r>
        <w:rPr>
          <w:rFonts w:hint="eastAsia" w:ascii="仿宋" w:hAnsi="仿宋" w:eastAsia="仿宋" w:cs="宋体"/>
          <w:szCs w:val="21"/>
        </w:rPr>
        <w:t>授权代表</w:t>
      </w:r>
      <w:r>
        <w:rPr>
          <w:rFonts w:ascii="仿宋" w:hAnsi="仿宋" w:eastAsia="仿宋"/>
          <w:szCs w:val="21"/>
        </w:rPr>
        <w:t>:</w:t>
      </w:r>
      <w:r>
        <w:rPr>
          <w:rFonts w:hint="eastAsia" w:ascii="仿宋" w:hAnsi="仿宋" w:eastAsia="仿宋"/>
          <w:szCs w:val="21"/>
        </w:rPr>
        <w:t xml:space="preserve">                                     </w:t>
      </w:r>
      <w:r>
        <w:rPr>
          <w:rFonts w:hint="eastAsia" w:ascii="仿宋" w:hAnsi="仿宋" w:eastAsia="仿宋" w:cs="宋体"/>
          <w:szCs w:val="21"/>
        </w:rPr>
        <w:t>授权代表</w:t>
      </w:r>
      <w:r>
        <w:rPr>
          <w:rFonts w:ascii="仿宋" w:hAnsi="仿宋" w:eastAsia="仿宋"/>
          <w:szCs w:val="21"/>
        </w:rPr>
        <w:t>:</w:t>
      </w:r>
    </w:p>
    <w:p w14:paraId="1C997645">
      <w:pPr>
        <w:spacing w:line="400" w:lineRule="exact"/>
        <w:rPr>
          <w:rFonts w:hint="eastAsia" w:ascii="仿宋" w:hAnsi="仿宋" w:eastAsia="仿宋"/>
          <w:szCs w:val="21"/>
        </w:rPr>
      </w:pPr>
      <w:r>
        <w:rPr>
          <w:rFonts w:hint="eastAsia" w:ascii="仿宋" w:hAnsi="仿宋" w:eastAsia="仿宋" w:cs="宋体"/>
          <w:szCs w:val="21"/>
        </w:rPr>
        <w:t>地址：                                        地址：</w:t>
      </w:r>
    </w:p>
    <w:p w14:paraId="465B041E">
      <w:pPr>
        <w:spacing w:line="400" w:lineRule="exact"/>
        <w:rPr>
          <w:rFonts w:hint="eastAsia" w:ascii="仿宋" w:hAnsi="仿宋" w:eastAsia="仿宋"/>
          <w:szCs w:val="21"/>
        </w:rPr>
      </w:pPr>
      <w:r>
        <w:rPr>
          <w:rFonts w:hint="eastAsia" w:ascii="仿宋" w:hAnsi="仿宋" w:eastAsia="仿宋" w:cs="宋体"/>
          <w:szCs w:val="21"/>
        </w:rPr>
        <w:t>电话：                                        电话：</w:t>
      </w:r>
    </w:p>
    <w:p w14:paraId="2CB9BE94">
      <w:pPr>
        <w:spacing w:line="400" w:lineRule="exact"/>
        <w:rPr>
          <w:rFonts w:hint="eastAsia" w:ascii="仿宋" w:hAnsi="仿宋" w:eastAsia="仿宋"/>
          <w:szCs w:val="21"/>
        </w:rPr>
      </w:pPr>
      <w:r>
        <w:rPr>
          <w:rFonts w:hint="eastAsia" w:ascii="仿宋" w:hAnsi="仿宋" w:eastAsia="仿宋" w:cs="宋体"/>
          <w:szCs w:val="21"/>
        </w:rPr>
        <w:t>开户银行</w:t>
      </w:r>
      <w:r>
        <w:rPr>
          <w:rFonts w:ascii="仿宋" w:hAnsi="仿宋" w:eastAsia="仿宋"/>
          <w:szCs w:val="21"/>
        </w:rPr>
        <w:t>:</w:t>
      </w:r>
      <w:r>
        <w:rPr>
          <w:rFonts w:hint="eastAsia" w:ascii="仿宋" w:hAnsi="仿宋" w:eastAsia="仿宋"/>
        </w:rPr>
        <w:t xml:space="preserve">                                      </w:t>
      </w:r>
      <w:r>
        <w:rPr>
          <w:rFonts w:hint="eastAsia" w:ascii="仿宋" w:hAnsi="仿宋" w:eastAsia="仿宋"/>
          <w:szCs w:val="21"/>
        </w:rPr>
        <w:t>开户银行:</w:t>
      </w:r>
    </w:p>
    <w:p w14:paraId="6CD0F8C6">
      <w:pPr>
        <w:spacing w:line="400" w:lineRule="exact"/>
        <w:rPr>
          <w:rFonts w:hint="eastAsia" w:ascii="仿宋" w:hAnsi="仿宋" w:eastAsia="仿宋"/>
          <w:szCs w:val="21"/>
        </w:rPr>
      </w:pPr>
      <w:r>
        <w:rPr>
          <w:rFonts w:hint="eastAsia" w:ascii="仿宋" w:hAnsi="仿宋" w:eastAsia="仿宋" w:cs="宋体"/>
          <w:szCs w:val="21"/>
        </w:rPr>
        <w:t>账号：                                         账号：</w:t>
      </w:r>
    </w:p>
    <w:p w14:paraId="27E4A8EF">
      <w:pPr>
        <w:spacing w:line="400" w:lineRule="exact"/>
        <w:rPr>
          <w:rFonts w:hint="eastAsia" w:ascii="仿宋" w:hAnsi="仿宋" w:eastAsia="仿宋"/>
          <w:szCs w:val="21"/>
        </w:rPr>
      </w:pPr>
      <w:r>
        <w:rPr>
          <w:rFonts w:hint="eastAsia" w:ascii="仿宋" w:hAnsi="仿宋" w:eastAsia="仿宋" w:cs="宋体"/>
          <w:szCs w:val="21"/>
        </w:rPr>
        <w:t>本合同的签署地</w:t>
      </w:r>
      <w:r>
        <w:rPr>
          <w:rFonts w:ascii="仿宋" w:hAnsi="仿宋" w:eastAsia="仿宋"/>
          <w:szCs w:val="21"/>
        </w:rPr>
        <w:t>:</w:t>
      </w:r>
    </w:p>
    <w:p w14:paraId="0A31ACF9">
      <w:pPr>
        <w:spacing w:line="400" w:lineRule="exact"/>
        <w:rPr>
          <w:rFonts w:hint="eastAsia" w:ascii="仿宋" w:hAnsi="仿宋" w:eastAsia="仿宋" w:cs="宋体"/>
          <w:szCs w:val="21"/>
        </w:rPr>
      </w:pPr>
      <w:r>
        <w:rPr>
          <w:rFonts w:hint="eastAsia" w:ascii="仿宋" w:hAnsi="仿宋" w:eastAsia="仿宋" w:cs="宋体"/>
          <w:szCs w:val="21"/>
        </w:rPr>
        <w:t>日期：    年  月    日</w:t>
      </w:r>
    </w:p>
    <w:p w14:paraId="2EC57F43">
      <w:pPr>
        <w:pStyle w:val="19"/>
        <w:rPr>
          <w:rFonts w:hint="eastAsia" w:ascii="仿宋" w:hAnsi="仿宋" w:eastAsia="仿宋"/>
        </w:rPr>
      </w:pPr>
    </w:p>
    <w:p w14:paraId="69AFE6A8">
      <w:pPr>
        <w:rPr>
          <w:rFonts w:hint="eastAsia" w:ascii="仿宋" w:hAnsi="仿宋" w:eastAsia="仿宋"/>
          <w:b/>
          <w:bCs/>
        </w:rPr>
      </w:pPr>
      <w:r>
        <w:rPr>
          <w:rFonts w:hint="eastAsia" w:ascii="仿宋" w:hAnsi="仿宋" w:eastAsia="仿宋"/>
          <w:b/>
          <w:bCs/>
        </w:rPr>
        <w:t>附：1.“政采智贷”告知事项</w:t>
      </w:r>
    </w:p>
    <w:p w14:paraId="1C30B983">
      <w:pPr>
        <w:rPr>
          <w:rFonts w:hint="eastAsia" w:ascii="仿宋" w:hAnsi="仿宋" w:eastAsia="仿宋"/>
          <w:b/>
          <w:bCs/>
        </w:rPr>
      </w:pPr>
      <w:r>
        <w:rPr>
          <w:rFonts w:hint="eastAsia" w:ascii="仿宋" w:hAnsi="仿宋" w:eastAsia="仿宋"/>
          <w:b/>
          <w:bCs/>
        </w:rPr>
        <w:t>凡符合要求且自愿选择“政采智贷”的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1449A172">
      <w:pPr>
        <w:rPr>
          <w:rFonts w:hint="eastAsia" w:ascii="仿宋" w:hAnsi="仿宋" w:eastAsia="仿宋"/>
          <w:b/>
          <w:bCs/>
        </w:rPr>
      </w:pPr>
      <w:r>
        <w:rPr>
          <w:rFonts w:hint="eastAsia" w:ascii="仿宋" w:hAnsi="仿宋" w:eastAsia="仿宋"/>
          <w:b/>
          <w:bCs/>
        </w:rPr>
        <w:t>2.采购人应当在政府采购合同中约定预付款，政府采购货物和服务的预付款原则上不低于合同金额的 30%，最高不超 70%，以人工投入为主的采购合同，一般不低于 10%，政府采购预付款应在合同生效以及具备实施条件后 7 个工作日内支付.若中标（成交）供应商为中小企业，采购人向中小企业支付不低于合同金额40%的预付款。</w:t>
      </w:r>
    </w:p>
    <w:p w14:paraId="67C3577F">
      <w:pPr>
        <w:rPr>
          <w:rFonts w:hint="eastAsia" w:ascii="仿宋" w:hAnsi="仿宋" w:eastAsia="仿宋"/>
          <w:b/>
          <w:bCs/>
        </w:rPr>
      </w:pPr>
      <w:r>
        <w:rPr>
          <w:rFonts w:hint="eastAsia" w:ascii="仿宋" w:hAnsi="仿宋" w:eastAsia="仿宋"/>
          <w:b/>
          <w:bCs/>
        </w:rPr>
        <w:t>3、电子保函</w:t>
      </w:r>
    </w:p>
    <w:p w14:paraId="4C008F1C">
      <w:pPr>
        <w:rPr>
          <w:rFonts w:hint="eastAsia" w:ascii="仿宋" w:hAnsi="仿宋" w:eastAsia="仿宋"/>
          <w:b/>
          <w:bCs/>
        </w:rPr>
      </w:pPr>
      <w:r>
        <w:rPr>
          <w:rFonts w:hint="eastAsia" w:ascii="仿宋" w:hAnsi="仿宋" w:eastAsia="仿宋"/>
          <w:b/>
          <w:bCs/>
        </w:rPr>
        <w:t>为深入贯彻《国务院办公厅关于进一步优化营商环境更好服务市场主体的实施意见》（国办发〔2020〕24号）、《财政部关于促进政府采购公平竞争优化营商环境的通知》（财库〔2019〕38号）及《山西省财政厅关于进一步加大政府采购支持中小企业力度助力扎实稳住经济的通知》（晋财购〔2022〕6号）等文件精神，进一步发挥政府采购政策功能，支持中小企业发展，优化营商环境，持续推进我省“互联网+政府采购”建设，依托山西省政府采购网搭建了金融服务平台，全面推广使用电子保函，凡符合要求且自愿选择电子保函的成交供应商可以通过电子保函的形式替代投标、履约保证金。相关内容详见晋财购〔2025〕80 号文。</w:t>
      </w:r>
    </w:p>
    <w:p w14:paraId="4C7EF532">
      <w:pPr>
        <w:pStyle w:val="74"/>
        <w:rPr>
          <w:rFonts w:hint="eastAsia"/>
        </w:rPr>
      </w:pPr>
    </w:p>
    <w:p w14:paraId="3D9158B4">
      <w:pPr>
        <w:pStyle w:val="74"/>
        <w:rPr>
          <w:rFonts w:hint="eastAsia"/>
        </w:rPr>
      </w:pPr>
    </w:p>
    <w:p w14:paraId="0C04CD8E">
      <w:pPr>
        <w:pStyle w:val="74"/>
        <w:rPr>
          <w:rFonts w:hint="eastAsia"/>
        </w:rPr>
      </w:pPr>
    </w:p>
    <w:p w14:paraId="2F4E8419">
      <w:pPr>
        <w:pStyle w:val="74"/>
        <w:rPr>
          <w:rFonts w:hint="eastAsia"/>
        </w:rPr>
      </w:pPr>
    </w:p>
    <w:p w14:paraId="722E7FCE">
      <w:pPr>
        <w:pStyle w:val="74"/>
        <w:rPr>
          <w:rFonts w:hint="eastAsia"/>
        </w:rPr>
      </w:pPr>
    </w:p>
    <w:p w14:paraId="7CEA0209">
      <w:pPr>
        <w:pStyle w:val="74"/>
        <w:rPr>
          <w:rFonts w:hint="eastAsia"/>
        </w:rPr>
      </w:pPr>
    </w:p>
    <w:p w14:paraId="385D0B61">
      <w:pPr>
        <w:pStyle w:val="74"/>
        <w:rPr>
          <w:rFonts w:hint="eastAsia"/>
        </w:rPr>
      </w:pPr>
    </w:p>
    <w:p w14:paraId="648A68AB">
      <w:pPr>
        <w:pStyle w:val="74"/>
        <w:rPr>
          <w:rFonts w:hint="eastAsia"/>
        </w:rPr>
      </w:pPr>
    </w:p>
    <w:p w14:paraId="2CDE5F8F">
      <w:pPr>
        <w:pStyle w:val="74"/>
        <w:rPr>
          <w:rFonts w:hint="eastAsia"/>
        </w:rPr>
      </w:pPr>
    </w:p>
    <w:p w14:paraId="6A04B8F4">
      <w:pPr>
        <w:pStyle w:val="74"/>
        <w:rPr>
          <w:rFonts w:hint="eastAsia"/>
        </w:rPr>
      </w:pPr>
    </w:p>
    <w:p w14:paraId="523857D5">
      <w:pPr>
        <w:pStyle w:val="74"/>
        <w:rPr>
          <w:rFonts w:hint="eastAsia"/>
        </w:rPr>
      </w:pPr>
    </w:p>
    <w:p w14:paraId="568E757F">
      <w:pPr>
        <w:pStyle w:val="74"/>
        <w:rPr>
          <w:rFonts w:hint="eastAsia"/>
        </w:rPr>
      </w:pPr>
    </w:p>
    <w:p w14:paraId="323E714A">
      <w:pPr>
        <w:pStyle w:val="34"/>
        <w:keepNext/>
        <w:keepLines/>
        <w:widowControl w:val="0"/>
        <w:adjustRightInd w:val="0"/>
        <w:snapToGrid w:val="0"/>
        <w:spacing w:before="0" w:beforeAutospacing="0" w:after="0" w:afterAutospacing="0"/>
        <w:jc w:val="center"/>
        <w:outlineLvl w:val="0"/>
        <w:rPr>
          <w:rFonts w:hint="eastAsia" w:ascii="仿宋" w:hAnsi="仿宋" w:eastAsia="仿宋" w:cs="华文中宋"/>
          <w:spacing w:val="20"/>
          <w:szCs w:val="28"/>
        </w:rPr>
      </w:pPr>
      <w:bookmarkStart w:id="90" w:name="_Toc4492"/>
      <w:bookmarkStart w:id="91" w:name="_Toc26881705"/>
      <w:r>
        <w:rPr>
          <w:rFonts w:hint="eastAsia" w:ascii="仿宋" w:hAnsi="仿宋" w:eastAsia="仿宋" w:cs="华文中宋"/>
          <w:b/>
          <w:spacing w:val="20"/>
          <w:kern w:val="44"/>
          <w:sz w:val="28"/>
          <w:szCs w:val="28"/>
        </w:rPr>
        <w:t>第八部分 投标文件内容要求及格式</w:t>
      </w:r>
      <w:bookmarkEnd w:id="90"/>
      <w:bookmarkEnd w:id="91"/>
    </w:p>
    <w:p w14:paraId="208CE9CB">
      <w:pPr>
        <w:spacing w:line="480" w:lineRule="exact"/>
        <w:ind w:firstLine="434"/>
        <w:rPr>
          <w:rFonts w:hint="eastAsia" w:ascii="仿宋" w:hAnsi="仿宋" w:eastAsia="仿宋" w:cs="华文中宋"/>
          <w:b/>
          <w:szCs w:val="21"/>
        </w:rPr>
      </w:pPr>
      <w:bookmarkStart w:id="92" w:name="_Toc326248014"/>
      <w:bookmarkStart w:id="93" w:name="_Toc175644062"/>
      <w:bookmarkStart w:id="94" w:name="_Toc86202633"/>
    </w:p>
    <w:p w14:paraId="58F1D647">
      <w:pPr>
        <w:spacing w:line="480" w:lineRule="exact"/>
        <w:ind w:firstLine="434"/>
        <w:rPr>
          <w:rFonts w:hint="eastAsia" w:ascii="仿宋" w:hAnsi="仿宋" w:eastAsia="仿宋" w:cs="华文中宋"/>
          <w:szCs w:val="21"/>
        </w:rPr>
      </w:pPr>
      <w:r>
        <w:rPr>
          <w:rFonts w:hint="eastAsia" w:ascii="仿宋" w:hAnsi="仿宋" w:eastAsia="仿宋" w:cs="华文中宋"/>
          <w:b/>
          <w:sz w:val="24"/>
        </w:rPr>
        <w:t>投标人提交文件须知</w:t>
      </w:r>
      <w:bookmarkEnd w:id="92"/>
      <w:bookmarkEnd w:id="93"/>
      <w:bookmarkEnd w:id="94"/>
    </w:p>
    <w:p w14:paraId="50B65136">
      <w:pPr>
        <w:spacing w:line="480" w:lineRule="exact"/>
        <w:ind w:firstLine="434"/>
        <w:rPr>
          <w:rFonts w:hint="eastAsia" w:ascii="仿宋" w:hAnsi="仿宋" w:eastAsia="仿宋" w:cs="华文中宋"/>
          <w:szCs w:val="21"/>
        </w:rPr>
      </w:pPr>
      <w:r>
        <w:rPr>
          <w:rFonts w:hint="eastAsia" w:ascii="仿宋" w:hAnsi="仿宋" w:eastAsia="仿宋" w:cs="华文中宋"/>
          <w:szCs w:val="21"/>
        </w:rPr>
        <w:t>1、投标人按照本部分</w:t>
      </w:r>
      <w:r>
        <w:rPr>
          <w:rFonts w:hint="eastAsia" w:ascii="仿宋" w:hAnsi="仿宋" w:eastAsia="仿宋"/>
          <w:szCs w:val="21"/>
        </w:rPr>
        <w:t>的</w:t>
      </w:r>
      <w:r>
        <w:rPr>
          <w:rFonts w:hint="eastAsia" w:ascii="仿宋" w:hAnsi="仿宋" w:eastAsia="仿宋" w:cs="华文中宋"/>
          <w:szCs w:val="21"/>
        </w:rPr>
        <w:t>顺序编排投标文件（资格证明文件）、投标文件（商务技术文件），编排中涉及</w:t>
      </w:r>
      <w:r>
        <w:rPr>
          <w:rFonts w:hint="eastAsia" w:ascii="仿宋" w:hAnsi="仿宋" w:eastAsia="仿宋"/>
          <w:szCs w:val="21"/>
        </w:rPr>
        <w:t>格式资料</w:t>
      </w:r>
      <w:r>
        <w:rPr>
          <w:rFonts w:hint="eastAsia" w:ascii="仿宋" w:hAnsi="仿宋" w:eastAsia="仿宋" w:cs="华文中宋"/>
          <w:szCs w:val="21"/>
        </w:rPr>
        <w:t>的，应按照本部分提供的内容和格式</w:t>
      </w:r>
      <w:r>
        <w:rPr>
          <w:rFonts w:hint="eastAsia" w:ascii="仿宋" w:hAnsi="仿宋" w:eastAsia="仿宋" w:cs="华文中宋"/>
          <w:b/>
          <w:bCs/>
          <w:szCs w:val="21"/>
        </w:rPr>
        <w:t>（所有表格的格式可扩展）</w:t>
      </w:r>
      <w:r>
        <w:rPr>
          <w:rFonts w:hint="eastAsia" w:ascii="仿宋" w:hAnsi="仿宋" w:eastAsia="仿宋" w:cs="华文中宋"/>
          <w:szCs w:val="21"/>
        </w:rPr>
        <w:t>填写提交。</w:t>
      </w:r>
    </w:p>
    <w:p w14:paraId="7D566246">
      <w:pPr>
        <w:spacing w:line="480" w:lineRule="exact"/>
        <w:ind w:firstLine="434"/>
        <w:rPr>
          <w:rFonts w:hint="eastAsia" w:ascii="仿宋" w:hAnsi="仿宋" w:eastAsia="仿宋" w:cs="华文中宋"/>
          <w:szCs w:val="21"/>
        </w:rPr>
      </w:pPr>
      <w:r>
        <w:rPr>
          <w:rFonts w:hint="eastAsia" w:ascii="仿宋" w:hAnsi="仿宋" w:eastAsia="仿宋" w:cs="华文中宋"/>
          <w:szCs w:val="21"/>
        </w:rPr>
        <w:t>2、全部声明和问题的回答及所附材料</w:t>
      </w:r>
      <w:r>
        <w:rPr>
          <w:rFonts w:hint="eastAsia" w:ascii="仿宋" w:hAnsi="仿宋" w:eastAsia="仿宋"/>
          <w:szCs w:val="21"/>
        </w:rPr>
        <w:t>必须</w:t>
      </w:r>
      <w:r>
        <w:rPr>
          <w:rFonts w:hint="eastAsia" w:ascii="仿宋" w:hAnsi="仿宋" w:eastAsia="仿宋" w:cs="华文中宋"/>
          <w:szCs w:val="21"/>
        </w:rPr>
        <w:t>是真实的、准确的和完整的。</w:t>
      </w:r>
    </w:p>
    <w:p w14:paraId="76051994">
      <w:pPr>
        <w:pStyle w:val="34"/>
        <w:widowControl w:val="0"/>
        <w:adjustRightInd w:val="0"/>
        <w:snapToGrid w:val="0"/>
        <w:spacing w:before="0" w:beforeAutospacing="0" w:after="0" w:afterAutospacing="0" w:line="48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3、按招标文件要求“格式”提供的材料，如有调整，内容及签署必须完整、有效，且没有本文件不可接受的条件。</w:t>
      </w:r>
    </w:p>
    <w:p w14:paraId="3CB3303D">
      <w:pPr>
        <w:rPr>
          <w:rFonts w:hint="eastAsia" w:ascii="仿宋" w:hAnsi="仿宋" w:eastAsia="仿宋" w:cs="华文中宋"/>
          <w:b/>
          <w:spacing w:val="20"/>
        </w:rPr>
      </w:pPr>
      <w:r>
        <w:rPr>
          <w:rFonts w:hint="eastAsia" w:ascii="仿宋" w:hAnsi="仿宋" w:eastAsia="仿宋"/>
          <w:b/>
          <w:spacing w:val="20"/>
        </w:rPr>
        <w:br w:type="page"/>
      </w:r>
    </w:p>
    <w:p w14:paraId="414E562C">
      <w:pPr>
        <w:rPr>
          <w:rFonts w:hint="eastAsia" w:ascii="仿宋" w:hAnsi="仿宋" w:eastAsia="仿宋" w:cs="华文中宋"/>
          <w:b/>
          <w:spacing w:val="20"/>
          <w:sz w:val="24"/>
        </w:rPr>
      </w:pPr>
      <w:r>
        <w:rPr>
          <w:rFonts w:hint="eastAsia" w:ascii="仿宋" w:hAnsi="仿宋" w:eastAsia="仿宋" w:cs="华文中宋"/>
          <w:b/>
          <w:spacing w:val="20"/>
          <w:sz w:val="24"/>
        </w:rPr>
        <w:t>资格证明文件格式</w:t>
      </w:r>
    </w:p>
    <w:p w14:paraId="754CB0CB">
      <w:pPr>
        <w:rPr>
          <w:rFonts w:hint="eastAsia" w:ascii="仿宋" w:hAnsi="仿宋" w:eastAsia="仿宋" w:cs="华文中宋"/>
          <w:b/>
          <w:spacing w:val="20"/>
          <w:szCs w:val="21"/>
        </w:rPr>
      </w:pPr>
    </w:p>
    <w:p w14:paraId="1A2761A5">
      <w:pPr>
        <w:outlineLvl w:val="1"/>
        <w:rPr>
          <w:rFonts w:hint="eastAsia" w:ascii="仿宋" w:hAnsi="仿宋" w:eastAsia="仿宋" w:cs="华文中宋"/>
          <w:b/>
          <w:sz w:val="24"/>
        </w:rPr>
      </w:pPr>
      <w:r>
        <w:rPr>
          <w:rFonts w:hint="eastAsia" w:ascii="仿宋" w:hAnsi="仿宋" w:eastAsia="仿宋" w:cs="华文中宋"/>
          <w:b/>
          <w:spacing w:val="20"/>
          <w:sz w:val="24"/>
        </w:rPr>
        <w:t>投标文件（资格证明文件）</w:t>
      </w:r>
      <w:r>
        <w:rPr>
          <w:rFonts w:hint="eastAsia" w:ascii="仿宋" w:hAnsi="仿宋" w:eastAsia="仿宋" w:cs="华文中宋"/>
          <w:b/>
          <w:sz w:val="24"/>
        </w:rPr>
        <w:t>封面及目录格式</w:t>
      </w:r>
    </w:p>
    <w:p w14:paraId="73D9C131">
      <w:pPr>
        <w:jc w:val="center"/>
        <w:rPr>
          <w:rFonts w:hint="eastAsia" w:ascii="仿宋" w:hAnsi="仿宋" w:eastAsia="仿宋" w:cs="华文中宋"/>
          <w:szCs w:val="21"/>
        </w:rPr>
      </w:pPr>
    </w:p>
    <w:p w14:paraId="03D5753B">
      <w:pPr>
        <w:jc w:val="center"/>
        <w:rPr>
          <w:rFonts w:hint="eastAsia" w:ascii="仿宋" w:hAnsi="仿宋" w:eastAsia="仿宋" w:cs="华文中宋"/>
          <w:b/>
          <w:spacing w:val="60"/>
          <w:sz w:val="84"/>
          <w:szCs w:val="84"/>
        </w:rPr>
      </w:pPr>
      <w:r>
        <w:rPr>
          <w:rFonts w:hint="eastAsia" w:ascii="仿宋" w:hAnsi="仿宋" w:eastAsia="仿宋" w:cs="华文中宋"/>
          <w:b/>
          <w:spacing w:val="60"/>
          <w:sz w:val="84"/>
          <w:szCs w:val="84"/>
        </w:rPr>
        <w:t>投 标 文 件</w:t>
      </w:r>
    </w:p>
    <w:p w14:paraId="2EFF18CC">
      <w:pPr>
        <w:jc w:val="center"/>
        <w:rPr>
          <w:rFonts w:hint="eastAsia" w:ascii="仿宋" w:hAnsi="仿宋" w:eastAsia="仿宋" w:cs="华文中宋"/>
          <w:b/>
          <w:spacing w:val="60"/>
          <w:sz w:val="52"/>
          <w:szCs w:val="52"/>
        </w:rPr>
      </w:pPr>
      <w:r>
        <w:rPr>
          <w:rFonts w:hint="eastAsia" w:ascii="仿宋" w:hAnsi="仿宋" w:eastAsia="仿宋" w:cs="华文中宋"/>
          <w:b/>
          <w:spacing w:val="60"/>
          <w:sz w:val="52"/>
          <w:szCs w:val="52"/>
        </w:rPr>
        <w:t>（资格证明文件）</w:t>
      </w:r>
    </w:p>
    <w:p w14:paraId="0B672513">
      <w:pPr>
        <w:ind w:firstLine="542" w:firstLineChars="150"/>
        <w:rPr>
          <w:rFonts w:hint="eastAsia" w:ascii="仿宋" w:hAnsi="仿宋" w:eastAsia="仿宋" w:cs="华文中宋"/>
          <w:b/>
          <w:spacing w:val="20"/>
          <w:sz w:val="32"/>
          <w:szCs w:val="32"/>
        </w:rPr>
      </w:pPr>
    </w:p>
    <w:p w14:paraId="0F061103">
      <w:pPr>
        <w:ind w:firstLine="542" w:firstLineChars="150"/>
        <w:rPr>
          <w:rFonts w:hint="eastAsia" w:ascii="仿宋" w:hAnsi="仿宋" w:eastAsia="仿宋" w:cs="华文中宋"/>
          <w:b/>
          <w:spacing w:val="20"/>
          <w:sz w:val="32"/>
          <w:szCs w:val="32"/>
        </w:rPr>
      </w:pPr>
    </w:p>
    <w:p w14:paraId="76C76206">
      <w:pPr>
        <w:ind w:firstLine="542" w:firstLineChars="150"/>
        <w:rPr>
          <w:rFonts w:hint="eastAsia" w:ascii="仿宋" w:hAnsi="仿宋" w:eastAsia="仿宋" w:cs="华文中宋"/>
          <w:b/>
          <w:spacing w:val="20"/>
          <w:sz w:val="32"/>
          <w:szCs w:val="32"/>
        </w:rPr>
      </w:pPr>
      <w:r>
        <w:rPr>
          <w:rFonts w:hint="eastAsia" w:ascii="仿宋" w:hAnsi="仿宋" w:eastAsia="仿宋" w:cs="华文中宋"/>
          <w:b/>
          <w:spacing w:val="20"/>
          <w:sz w:val="32"/>
          <w:szCs w:val="32"/>
        </w:rPr>
        <w:t>项目名称:</w:t>
      </w:r>
    </w:p>
    <w:p w14:paraId="5A087A63">
      <w:pPr>
        <w:ind w:firstLine="542" w:firstLineChars="150"/>
        <w:rPr>
          <w:rFonts w:hint="eastAsia" w:ascii="仿宋" w:hAnsi="仿宋" w:eastAsia="仿宋" w:cs="华文中宋"/>
          <w:b/>
          <w:spacing w:val="20"/>
          <w:sz w:val="32"/>
          <w:szCs w:val="32"/>
        </w:rPr>
      </w:pPr>
      <w:r>
        <w:rPr>
          <w:rFonts w:hint="eastAsia" w:ascii="仿宋" w:hAnsi="仿宋" w:eastAsia="仿宋" w:cs="华文中宋"/>
          <w:b/>
          <w:spacing w:val="20"/>
          <w:sz w:val="32"/>
          <w:szCs w:val="32"/>
        </w:rPr>
        <w:t>项目编号：</w:t>
      </w:r>
    </w:p>
    <w:p w14:paraId="124C0BB3">
      <w:pPr>
        <w:ind w:firstLine="542" w:firstLineChars="150"/>
        <w:rPr>
          <w:rFonts w:hint="eastAsia" w:ascii="仿宋" w:hAnsi="仿宋" w:eastAsia="仿宋" w:cs="华文中宋"/>
          <w:b/>
          <w:spacing w:val="20"/>
          <w:sz w:val="32"/>
          <w:szCs w:val="32"/>
        </w:rPr>
      </w:pPr>
      <w:r>
        <w:rPr>
          <w:rFonts w:hint="eastAsia" w:ascii="仿宋" w:hAnsi="仿宋" w:eastAsia="仿宋" w:cs="华文中宋"/>
          <w:b/>
          <w:spacing w:val="20"/>
          <w:sz w:val="32"/>
          <w:szCs w:val="32"/>
        </w:rPr>
        <w:t>包   号：</w:t>
      </w:r>
    </w:p>
    <w:p w14:paraId="0A697C71">
      <w:pPr>
        <w:ind w:firstLine="542" w:firstLineChars="150"/>
        <w:rPr>
          <w:rFonts w:hint="eastAsia" w:ascii="仿宋" w:hAnsi="仿宋" w:eastAsia="仿宋" w:cs="华文中宋"/>
          <w:b/>
          <w:spacing w:val="20"/>
          <w:sz w:val="32"/>
          <w:szCs w:val="32"/>
        </w:rPr>
      </w:pPr>
    </w:p>
    <w:p w14:paraId="0BD7A730">
      <w:pPr>
        <w:jc w:val="center"/>
        <w:rPr>
          <w:rFonts w:hint="eastAsia" w:ascii="仿宋" w:hAnsi="仿宋" w:eastAsia="仿宋" w:cs="华文中宋"/>
          <w:b/>
          <w:sz w:val="32"/>
          <w:szCs w:val="32"/>
        </w:rPr>
      </w:pPr>
    </w:p>
    <w:p w14:paraId="6B358F63">
      <w:pPr>
        <w:jc w:val="center"/>
        <w:rPr>
          <w:rFonts w:hint="eastAsia" w:ascii="仿宋" w:hAnsi="仿宋" w:eastAsia="仿宋" w:cs="华文中宋"/>
          <w:b/>
          <w:sz w:val="32"/>
          <w:szCs w:val="32"/>
        </w:rPr>
      </w:pPr>
    </w:p>
    <w:p w14:paraId="00CAB697">
      <w:pPr>
        <w:jc w:val="center"/>
        <w:rPr>
          <w:rFonts w:hint="eastAsia" w:ascii="仿宋" w:hAnsi="仿宋" w:eastAsia="仿宋" w:cs="华文中宋"/>
          <w:b/>
          <w:sz w:val="32"/>
          <w:szCs w:val="32"/>
        </w:rPr>
      </w:pPr>
    </w:p>
    <w:p w14:paraId="7BCB6870">
      <w:pPr>
        <w:jc w:val="center"/>
        <w:rPr>
          <w:rFonts w:hint="eastAsia" w:ascii="仿宋" w:hAnsi="仿宋" w:eastAsia="仿宋" w:cs="华文中宋"/>
          <w:b/>
          <w:spacing w:val="20"/>
          <w:sz w:val="32"/>
          <w:szCs w:val="32"/>
        </w:rPr>
      </w:pPr>
    </w:p>
    <w:p w14:paraId="4572899F">
      <w:pPr>
        <w:jc w:val="center"/>
        <w:rPr>
          <w:rFonts w:hint="eastAsia" w:ascii="仿宋" w:hAnsi="仿宋" w:eastAsia="仿宋" w:cs="华文中宋"/>
          <w:b/>
          <w:spacing w:val="20"/>
          <w:sz w:val="32"/>
          <w:szCs w:val="32"/>
        </w:rPr>
      </w:pPr>
    </w:p>
    <w:p w14:paraId="56168495">
      <w:pPr>
        <w:jc w:val="center"/>
        <w:rPr>
          <w:rFonts w:hint="eastAsia" w:ascii="仿宋" w:hAnsi="仿宋" w:eastAsia="仿宋" w:cs="华文中宋"/>
          <w:b/>
          <w:spacing w:val="20"/>
          <w:sz w:val="32"/>
          <w:szCs w:val="32"/>
        </w:rPr>
      </w:pPr>
    </w:p>
    <w:p w14:paraId="38E93094">
      <w:pPr>
        <w:spacing w:line="360" w:lineRule="auto"/>
        <w:ind w:firstLine="2709" w:firstLineChars="750"/>
        <w:jc w:val="left"/>
        <w:rPr>
          <w:rFonts w:hint="eastAsia" w:ascii="仿宋" w:hAnsi="仿宋" w:eastAsia="仿宋"/>
          <w:b/>
          <w:spacing w:val="20"/>
          <w:sz w:val="32"/>
          <w:szCs w:val="32"/>
        </w:rPr>
      </w:pPr>
      <w:r>
        <w:rPr>
          <w:rFonts w:hint="eastAsia" w:ascii="仿宋" w:hAnsi="仿宋" w:eastAsia="仿宋" w:cs="华文中宋"/>
          <w:b/>
          <w:spacing w:val="20"/>
          <w:sz w:val="32"/>
          <w:szCs w:val="32"/>
        </w:rPr>
        <w:t>投标供应商单位名称：</w:t>
      </w:r>
    </w:p>
    <w:p w14:paraId="64F97F8C">
      <w:pPr>
        <w:jc w:val="center"/>
        <w:rPr>
          <w:rFonts w:hint="eastAsia" w:ascii="仿宋" w:hAnsi="仿宋" w:eastAsia="仿宋" w:cs="华文中宋"/>
          <w:b/>
          <w:spacing w:val="20"/>
          <w:sz w:val="32"/>
          <w:szCs w:val="32"/>
        </w:rPr>
      </w:pPr>
      <w:r>
        <w:rPr>
          <w:rFonts w:hint="eastAsia" w:ascii="仿宋" w:hAnsi="仿宋" w:eastAsia="仿宋" w:cs="华文中宋"/>
          <w:b/>
          <w:spacing w:val="20"/>
          <w:sz w:val="32"/>
          <w:szCs w:val="32"/>
        </w:rPr>
        <w:t>（加盖</w:t>
      </w:r>
      <w:r>
        <w:rPr>
          <w:rFonts w:hint="eastAsia" w:ascii="仿宋" w:hAnsi="仿宋" w:eastAsia="仿宋"/>
          <w:b/>
          <w:spacing w:val="20"/>
          <w:sz w:val="32"/>
          <w:szCs w:val="32"/>
        </w:rPr>
        <w:t>电子公章</w:t>
      </w:r>
      <w:r>
        <w:rPr>
          <w:rFonts w:hint="eastAsia" w:ascii="仿宋" w:hAnsi="仿宋" w:eastAsia="仿宋" w:cs="华文中宋"/>
          <w:b/>
          <w:spacing w:val="20"/>
          <w:sz w:val="32"/>
          <w:szCs w:val="32"/>
        </w:rPr>
        <w:t>）</w:t>
      </w:r>
    </w:p>
    <w:p w14:paraId="529EF945">
      <w:pPr>
        <w:jc w:val="center"/>
        <w:rPr>
          <w:rFonts w:hint="eastAsia" w:ascii="仿宋" w:hAnsi="仿宋" w:eastAsia="仿宋" w:cs="华文中宋"/>
          <w:b/>
          <w:sz w:val="32"/>
          <w:szCs w:val="32"/>
        </w:rPr>
      </w:pPr>
      <w:r>
        <w:rPr>
          <w:rFonts w:hint="eastAsia" w:ascii="仿宋" w:hAnsi="仿宋" w:eastAsia="仿宋" w:cs="华文中宋"/>
          <w:b/>
          <w:sz w:val="32"/>
          <w:szCs w:val="32"/>
        </w:rPr>
        <w:t>二〇   年  月   日</w:t>
      </w:r>
    </w:p>
    <w:p w14:paraId="37CDBCFC">
      <w:pPr>
        <w:rPr>
          <w:rFonts w:hint="eastAsia" w:ascii="仿宋" w:hAnsi="仿宋" w:eastAsia="仿宋" w:cs="华文中宋"/>
          <w:b/>
          <w:spacing w:val="20"/>
          <w:sz w:val="32"/>
          <w:szCs w:val="32"/>
        </w:rPr>
      </w:pPr>
      <w:r>
        <w:rPr>
          <w:rFonts w:hint="eastAsia" w:ascii="仿宋" w:hAnsi="仿宋" w:eastAsia="仿宋"/>
          <w:b/>
          <w:spacing w:val="20"/>
          <w:sz w:val="32"/>
          <w:szCs w:val="32"/>
        </w:rPr>
        <w:br w:type="page"/>
      </w:r>
    </w:p>
    <w:p w14:paraId="6AD7DF1E">
      <w:pPr>
        <w:rPr>
          <w:rFonts w:hint="eastAsia" w:ascii="仿宋" w:hAnsi="仿宋" w:eastAsia="仿宋" w:cs="华文中宋"/>
          <w:b/>
        </w:rPr>
      </w:pPr>
    </w:p>
    <w:p w14:paraId="76977E5A">
      <w:pPr>
        <w:jc w:val="center"/>
        <w:rPr>
          <w:rFonts w:hint="eastAsia" w:ascii="仿宋" w:hAnsi="仿宋" w:eastAsia="仿宋" w:cs="华文中宋"/>
          <w:b/>
          <w:sz w:val="24"/>
        </w:rPr>
      </w:pPr>
      <w:r>
        <w:rPr>
          <w:rFonts w:hint="eastAsia" w:ascii="仿宋" w:hAnsi="仿宋" w:eastAsia="仿宋" w:cs="华文中宋"/>
          <w:b/>
          <w:sz w:val="24"/>
        </w:rPr>
        <w:t>资  格  证  明  文  件</w:t>
      </w:r>
    </w:p>
    <w:p w14:paraId="2CD737A9">
      <w:pPr>
        <w:jc w:val="center"/>
        <w:rPr>
          <w:rFonts w:hint="eastAsia" w:ascii="仿宋" w:hAnsi="仿宋" w:eastAsia="仿宋" w:cs="华文中宋"/>
          <w:b/>
          <w:sz w:val="24"/>
        </w:rPr>
      </w:pPr>
      <w:r>
        <w:rPr>
          <w:rFonts w:hint="eastAsia" w:ascii="仿宋" w:hAnsi="仿宋" w:eastAsia="仿宋" w:cs="华文中宋"/>
          <w:b/>
          <w:sz w:val="24"/>
        </w:rPr>
        <w:t>目    录</w:t>
      </w:r>
    </w:p>
    <w:p w14:paraId="577F16B3">
      <w:pPr>
        <w:pStyle w:val="34"/>
        <w:widowControl w:val="0"/>
        <w:snapToGrid w:val="0"/>
        <w:spacing w:before="0" w:beforeAutospacing="0" w:after="0" w:afterAutospacing="0" w:line="560" w:lineRule="exact"/>
        <w:jc w:val="both"/>
        <w:rPr>
          <w:rFonts w:hint="eastAsia" w:ascii="仿宋" w:hAnsi="仿宋" w:eastAsia="仿宋" w:cs="华文中宋"/>
        </w:rPr>
      </w:pPr>
      <w:r>
        <w:rPr>
          <w:rFonts w:hint="eastAsia" w:ascii="仿宋" w:hAnsi="仿宋" w:eastAsia="仿宋" w:cs="华文中宋"/>
          <w:sz w:val="21"/>
          <w:szCs w:val="21"/>
        </w:rPr>
        <w:t>一、具有独立承担民事责任的能力…………………………………………………</w:t>
      </w:r>
    </w:p>
    <w:p w14:paraId="4196B5BB">
      <w:pPr>
        <w:pStyle w:val="34"/>
        <w:widowControl w:val="0"/>
        <w:snapToGrid w:val="0"/>
        <w:spacing w:before="0" w:beforeAutospacing="0" w:after="0" w:afterAutospacing="0" w:line="560" w:lineRule="exact"/>
        <w:jc w:val="both"/>
        <w:rPr>
          <w:rFonts w:hint="eastAsia" w:ascii="仿宋" w:hAnsi="仿宋" w:eastAsia="仿宋" w:cs="华文中宋"/>
        </w:rPr>
      </w:pPr>
      <w:r>
        <w:rPr>
          <w:rFonts w:hint="eastAsia" w:ascii="仿宋" w:hAnsi="仿宋" w:eastAsia="仿宋" w:cs="华文中宋"/>
          <w:sz w:val="21"/>
          <w:szCs w:val="21"/>
        </w:rPr>
        <w:t>二、长治市政府采购供应商信用承诺函……………………………………………</w:t>
      </w:r>
    </w:p>
    <w:p w14:paraId="4DC6A591">
      <w:pPr>
        <w:spacing w:line="560" w:lineRule="exact"/>
        <w:outlineLvl w:val="1"/>
        <w:rPr>
          <w:rFonts w:hint="eastAsia" w:ascii="仿宋" w:hAnsi="仿宋" w:eastAsia="仿宋" w:cs="华文中宋"/>
          <w:kern w:val="0"/>
        </w:rPr>
      </w:pPr>
      <w:r>
        <w:rPr>
          <w:rFonts w:hint="eastAsia" w:ascii="仿宋" w:hAnsi="仿宋" w:eastAsia="仿宋" w:cs="华文中宋"/>
          <w:kern w:val="0"/>
        </w:rPr>
        <w:t>三、本项目其他</w:t>
      </w:r>
      <w:r>
        <w:rPr>
          <w:rFonts w:hint="eastAsia" w:ascii="仿宋" w:hAnsi="仿宋" w:eastAsia="仿宋" w:cs="华文中宋"/>
        </w:rPr>
        <w:t>特定资格条件（若涉及）</w:t>
      </w:r>
      <w:r>
        <w:rPr>
          <w:rFonts w:hint="eastAsia" w:ascii="仿宋" w:hAnsi="仿宋" w:eastAsia="仿宋" w:cs="华文中宋"/>
          <w:kern w:val="0"/>
        </w:rPr>
        <w:t>…………………………………………</w:t>
      </w:r>
    </w:p>
    <w:p w14:paraId="58CA9553">
      <w:pPr>
        <w:spacing w:line="560" w:lineRule="exact"/>
        <w:rPr>
          <w:rFonts w:hint="eastAsia" w:ascii="仿宋" w:hAnsi="仿宋" w:eastAsia="仿宋"/>
          <w:szCs w:val="21"/>
        </w:rPr>
      </w:pPr>
      <w:r>
        <w:rPr>
          <w:rFonts w:hint="eastAsia" w:ascii="仿宋" w:hAnsi="仿宋" w:eastAsia="仿宋" w:cs="华文中宋"/>
        </w:rPr>
        <w:t>四、投标保证金的交纳情况及开户许可证（若涉及）</w:t>
      </w:r>
      <w:r>
        <w:rPr>
          <w:rFonts w:hint="eastAsia" w:ascii="仿宋" w:hAnsi="仿宋" w:eastAsia="仿宋" w:cs="华文中宋"/>
          <w:kern w:val="0"/>
        </w:rPr>
        <w:t>……………………………</w:t>
      </w:r>
    </w:p>
    <w:p w14:paraId="6ECF6F56">
      <w:pPr>
        <w:spacing w:line="560" w:lineRule="exact"/>
        <w:rPr>
          <w:rFonts w:hint="eastAsia" w:ascii="仿宋" w:hAnsi="仿宋" w:eastAsia="仿宋"/>
          <w:szCs w:val="21"/>
        </w:rPr>
      </w:pPr>
      <w:r>
        <w:rPr>
          <w:rFonts w:hint="eastAsia" w:ascii="仿宋" w:hAnsi="仿宋" w:eastAsia="仿宋" w:cs="华文中宋"/>
          <w:kern w:val="0"/>
        </w:rPr>
        <w:t>五、联合体投标注意事项及《联合投标协议书》（若涉及）……………………</w:t>
      </w:r>
    </w:p>
    <w:p w14:paraId="26EF1C72">
      <w:pPr>
        <w:pStyle w:val="34"/>
        <w:widowControl w:val="0"/>
        <w:snapToGrid w:val="0"/>
        <w:spacing w:before="0" w:beforeAutospacing="0" w:after="0" w:afterAutospacing="0" w:line="560" w:lineRule="exact"/>
        <w:jc w:val="both"/>
        <w:rPr>
          <w:rFonts w:hint="eastAsia" w:ascii="仿宋" w:hAnsi="仿宋" w:eastAsia="仿宋" w:cs="华文中宋"/>
        </w:rPr>
      </w:pPr>
      <w:r>
        <w:rPr>
          <w:rFonts w:hint="eastAsia" w:ascii="仿宋" w:hAnsi="仿宋" w:eastAsia="仿宋" w:cs="华文中宋"/>
          <w:sz w:val="21"/>
          <w:szCs w:val="21"/>
        </w:rPr>
        <w:t>说明：目录内容和排序按投标人须知前附表中投标人应提交的资格证明文件内容及顺序排列。</w:t>
      </w:r>
    </w:p>
    <w:p w14:paraId="3E2311F6">
      <w:pPr>
        <w:rPr>
          <w:rFonts w:hint="eastAsia" w:ascii="仿宋" w:hAnsi="仿宋" w:eastAsia="仿宋" w:cs="华文中宋"/>
          <w:b/>
          <w:szCs w:val="21"/>
        </w:rPr>
      </w:pPr>
    </w:p>
    <w:p w14:paraId="6274EE52">
      <w:pPr>
        <w:snapToGrid w:val="0"/>
        <w:spacing w:line="460" w:lineRule="exact"/>
        <w:outlineLvl w:val="1"/>
        <w:rPr>
          <w:rFonts w:hint="eastAsia" w:ascii="仿宋" w:hAnsi="仿宋" w:eastAsia="仿宋"/>
          <w:szCs w:val="21"/>
        </w:rPr>
      </w:pPr>
      <w:r>
        <w:rPr>
          <w:rFonts w:hint="eastAsia" w:ascii="仿宋" w:hAnsi="仿宋" w:eastAsia="仿宋"/>
          <w:b/>
          <w:sz w:val="30"/>
        </w:rPr>
        <w:br w:type="page"/>
      </w:r>
      <w:r>
        <w:rPr>
          <w:rFonts w:hint="eastAsia" w:ascii="仿宋" w:hAnsi="仿宋" w:eastAsia="仿宋" w:cs="华文中宋"/>
          <w:b/>
          <w:kern w:val="0"/>
          <w:sz w:val="24"/>
        </w:rPr>
        <w:t>一、具有独立承担民事责任的能力</w:t>
      </w:r>
    </w:p>
    <w:p w14:paraId="3AE7A578">
      <w:pPr>
        <w:spacing w:line="460" w:lineRule="exact"/>
        <w:ind w:firstLine="420" w:firstLineChars="200"/>
        <w:rPr>
          <w:rFonts w:hint="eastAsia" w:ascii="仿宋" w:hAnsi="仿宋" w:eastAsia="仿宋" w:cs="华文中宋"/>
          <w:szCs w:val="21"/>
        </w:rPr>
      </w:pPr>
      <w:r>
        <w:rPr>
          <w:rFonts w:hint="eastAsia" w:ascii="仿宋" w:hAnsi="仿宋" w:eastAsia="仿宋" w:cs="华文中宋"/>
          <w:szCs w:val="21"/>
        </w:rPr>
        <w:t>提供投标人有效的营业执照，或事业单位法人证书，或自然人身份证明，或其他非企业组织证明独立承担民事责任能力的文件。</w:t>
      </w:r>
    </w:p>
    <w:p w14:paraId="63C3B2BA">
      <w:pPr>
        <w:spacing w:line="460" w:lineRule="exact"/>
        <w:ind w:left="315" w:leftChars="150" w:firstLine="105" w:firstLineChars="50"/>
        <w:rPr>
          <w:rFonts w:hint="eastAsia" w:ascii="仿宋" w:hAnsi="仿宋" w:eastAsia="仿宋" w:cs="华文中宋"/>
          <w:szCs w:val="21"/>
        </w:rPr>
      </w:pPr>
      <w:r>
        <w:rPr>
          <w:rFonts w:hint="eastAsia" w:ascii="仿宋" w:hAnsi="仿宋" w:eastAsia="仿宋" w:cs="华文中宋"/>
          <w:szCs w:val="21"/>
        </w:rPr>
        <w:t>任意一项证明文件扫描件清晰，须加盖电子公章。</w:t>
      </w:r>
    </w:p>
    <w:p w14:paraId="65AC6402">
      <w:pPr>
        <w:spacing w:line="460" w:lineRule="exact"/>
        <w:ind w:firstLine="420" w:firstLineChars="200"/>
        <w:rPr>
          <w:rFonts w:hint="eastAsia" w:ascii="仿宋" w:hAnsi="仿宋" w:eastAsia="仿宋" w:cs="华文中宋"/>
          <w:szCs w:val="21"/>
        </w:rPr>
      </w:pPr>
      <w:r>
        <w:rPr>
          <w:rFonts w:hint="eastAsia" w:ascii="仿宋" w:hAnsi="仿宋" w:eastAsia="仿宋" w:cs="华文中宋"/>
          <w:szCs w:val="21"/>
        </w:rPr>
        <w:t>自然人或其他非企业组织参加投标的，提供电子签章。</w:t>
      </w:r>
    </w:p>
    <w:p w14:paraId="218583C9">
      <w:pPr>
        <w:jc w:val="left"/>
        <w:outlineLvl w:val="1"/>
        <w:rPr>
          <w:rFonts w:hint="eastAsia" w:ascii="仿宋" w:hAnsi="仿宋" w:eastAsia="仿宋" w:cs="华文中宋"/>
          <w:b/>
          <w:kern w:val="0"/>
          <w:sz w:val="24"/>
        </w:rPr>
      </w:pPr>
      <w:r>
        <w:rPr>
          <w:rFonts w:hint="eastAsia" w:ascii="仿宋" w:hAnsi="仿宋" w:eastAsia="仿宋" w:cs="华文中宋"/>
          <w:b/>
          <w:kern w:val="0"/>
          <w:sz w:val="24"/>
        </w:rPr>
        <w:t>二、长治市政府采购供应商信用承诺函（格式）</w:t>
      </w:r>
    </w:p>
    <w:p w14:paraId="1A1D6E71">
      <w:pPr>
        <w:jc w:val="center"/>
        <w:outlineLvl w:val="2"/>
        <w:rPr>
          <w:rFonts w:hint="eastAsia" w:ascii="仿宋" w:hAnsi="仿宋" w:eastAsia="仿宋"/>
          <w:sz w:val="36"/>
          <w:szCs w:val="36"/>
        </w:rPr>
      </w:pPr>
      <w:r>
        <w:rPr>
          <w:rFonts w:ascii="仿宋" w:hAnsi="仿宋" w:eastAsia="仿宋"/>
          <w:sz w:val="36"/>
          <w:szCs w:val="36"/>
        </w:rPr>
        <w:t>长治市政府采购供应商信用承诺函</w:t>
      </w:r>
    </w:p>
    <w:p w14:paraId="7622B645">
      <w:pPr>
        <w:jc w:val="center"/>
        <w:rPr>
          <w:rFonts w:hint="eastAsia" w:ascii="仿宋" w:hAnsi="仿宋" w:eastAsia="仿宋" w:cs="华文中宋"/>
          <w:szCs w:val="21"/>
        </w:rPr>
      </w:pPr>
    </w:p>
    <w:p w14:paraId="2CB77160">
      <w:pPr>
        <w:rPr>
          <w:rFonts w:hint="eastAsia" w:ascii="仿宋" w:hAnsi="仿宋" w:eastAsia="仿宋" w:cs="华文中宋"/>
          <w:szCs w:val="21"/>
        </w:rPr>
      </w:pPr>
      <w:r>
        <w:rPr>
          <w:rFonts w:ascii="仿宋" w:hAnsi="仿宋" w:eastAsia="仿宋" w:cs="华文中宋"/>
          <w:szCs w:val="21"/>
        </w:rPr>
        <w:t>致</w:t>
      </w:r>
      <w:r>
        <w:rPr>
          <w:rFonts w:hint="eastAsia" w:ascii="仿宋" w:hAnsi="仿宋" w:eastAsia="仿宋" w:cs="华文中宋"/>
          <w:szCs w:val="21"/>
        </w:rPr>
        <w:t>长治市公共资源交易中心（长治市政府采购中心）</w:t>
      </w:r>
      <w:r>
        <w:rPr>
          <w:rFonts w:ascii="仿宋" w:hAnsi="仿宋" w:eastAsia="仿宋" w:cs="华文中宋"/>
          <w:szCs w:val="21"/>
        </w:rPr>
        <w:t>：</w:t>
      </w:r>
    </w:p>
    <w:p w14:paraId="1485308B">
      <w:pPr>
        <w:ind w:firstLine="420" w:firstLineChars="200"/>
        <w:rPr>
          <w:rFonts w:hint="eastAsia" w:ascii="仿宋" w:hAnsi="仿宋" w:eastAsia="仿宋" w:cs="华文中宋"/>
          <w:szCs w:val="21"/>
        </w:rPr>
      </w:pPr>
      <w:r>
        <w:rPr>
          <w:rFonts w:ascii="仿宋" w:hAnsi="仿宋" w:eastAsia="仿宋" w:cs="华文中宋"/>
          <w:szCs w:val="21"/>
        </w:rPr>
        <w:t>供应商名称（自然人姓名）：</w:t>
      </w:r>
      <w:r>
        <w:rPr>
          <w:rFonts w:hint="eastAsia" w:ascii="仿宋" w:hAnsi="仿宋" w:eastAsia="仿宋" w:cs="华文中宋"/>
          <w:szCs w:val="21"/>
        </w:rPr>
        <w:t xml:space="preserve">                                        </w:t>
      </w:r>
    </w:p>
    <w:p w14:paraId="54A3EE9B">
      <w:pPr>
        <w:ind w:firstLine="420" w:firstLineChars="200"/>
        <w:rPr>
          <w:rFonts w:hint="eastAsia" w:ascii="仿宋" w:hAnsi="仿宋" w:eastAsia="仿宋" w:cs="华文中宋"/>
          <w:szCs w:val="21"/>
        </w:rPr>
      </w:pPr>
      <w:r>
        <w:rPr>
          <w:rFonts w:ascii="仿宋" w:hAnsi="仿宋" w:eastAsia="仿宋" w:cs="华文中宋"/>
          <w:szCs w:val="21"/>
        </w:rPr>
        <w:t>统一社会信用代码（身份证号码）：</w:t>
      </w:r>
      <w:r>
        <w:rPr>
          <w:rFonts w:hint="eastAsia" w:ascii="仿宋" w:hAnsi="仿宋" w:eastAsia="仿宋" w:cs="华文中宋"/>
          <w:szCs w:val="21"/>
        </w:rPr>
        <w:t xml:space="preserve">                                  </w:t>
      </w:r>
    </w:p>
    <w:p w14:paraId="30058D4C">
      <w:pPr>
        <w:ind w:firstLine="420" w:firstLineChars="200"/>
        <w:rPr>
          <w:rFonts w:hint="eastAsia" w:ascii="仿宋" w:hAnsi="仿宋" w:eastAsia="仿宋" w:cs="华文中宋"/>
          <w:szCs w:val="21"/>
        </w:rPr>
      </w:pPr>
      <w:r>
        <w:rPr>
          <w:rFonts w:ascii="仿宋" w:hAnsi="仿宋" w:eastAsia="仿宋" w:cs="华文中宋"/>
          <w:szCs w:val="21"/>
        </w:rPr>
        <w:t>联系地址和电话：</w:t>
      </w:r>
      <w:r>
        <w:rPr>
          <w:rFonts w:hint="eastAsia" w:ascii="仿宋" w:hAnsi="仿宋" w:eastAsia="仿宋" w:cs="华文中宋"/>
          <w:szCs w:val="21"/>
        </w:rPr>
        <w:t xml:space="preserve">                                                 </w:t>
      </w:r>
    </w:p>
    <w:p w14:paraId="600A600B">
      <w:pPr>
        <w:ind w:firstLine="420" w:firstLineChars="200"/>
        <w:rPr>
          <w:rFonts w:hint="eastAsia" w:ascii="仿宋" w:hAnsi="仿宋" w:eastAsia="仿宋" w:cs="华文中宋"/>
          <w:szCs w:val="21"/>
        </w:rPr>
      </w:pPr>
      <w:r>
        <w:rPr>
          <w:rFonts w:ascii="仿宋" w:hAnsi="仿宋" w:eastAsia="仿宋" w:cs="华文中宋"/>
          <w:szCs w:val="21"/>
        </w:rPr>
        <w:t>为维护公平、公正、公开的政府采购市场秩序，树立诚实守信的政府采购供应商形象，本单位（本人）自愿作出以下承诺：</w:t>
      </w:r>
    </w:p>
    <w:p w14:paraId="0913721F">
      <w:pPr>
        <w:ind w:firstLine="420" w:firstLineChars="200"/>
        <w:rPr>
          <w:rFonts w:hint="eastAsia" w:ascii="仿宋" w:hAnsi="仿宋" w:eastAsia="仿宋" w:cs="华文中宋"/>
          <w:szCs w:val="21"/>
        </w:rPr>
      </w:pPr>
      <w:r>
        <w:rPr>
          <w:rFonts w:ascii="仿宋" w:hAnsi="仿宋" w:eastAsia="仿宋" w:cs="华文中宋"/>
          <w:szCs w:val="21"/>
        </w:rPr>
        <w:t>一、我单位（本人）自愿参加本次政府采购活动（项目名称：</w:t>
      </w:r>
      <w:r>
        <w:rPr>
          <w:rFonts w:hint="eastAsia" w:ascii="仿宋" w:hAnsi="仿宋" w:eastAsia="仿宋" w:cs="华文中宋"/>
          <w:szCs w:val="21"/>
        </w:rPr>
        <w:t xml:space="preserve">                                                        </w:t>
      </w:r>
      <w:r>
        <w:rPr>
          <w:rFonts w:ascii="仿宋" w:hAnsi="仿宋" w:eastAsia="仿宋" w:cs="华文中宋"/>
          <w:szCs w:val="21"/>
        </w:rPr>
        <w:t>，项目编号：</w:t>
      </w:r>
      <w:r>
        <w:rPr>
          <w:rFonts w:hint="eastAsia" w:ascii="仿宋" w:hAnsi="仿宋" w:eastAsia="仿宋" w:cs="华文中宋"/>
          <w:szCs w:val="21"/>
        </w:rPr>
        <w:t xml:space="preserve">                                   </w:t>
      </w:r>
      <w:r>
        <w:rPr>
          <w:rFonts w:ascii="仿宋" w:hAnsi="仿宋" w:eastAsia="仿宋" w:cs="华文中宋"/>
          <w:szCs w:val="21"/>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4A0DC6DC">
      <w:pPr>
        <w:ind w:firstLine="420" w:firstLineChars="200"/>
        <w:rPr>
          <w:rFonts w:hint="eastAsia" w:ascii="仿宋" w:hAnsi="仿宋" w:eastAsia="仿宋" w:cs="华文中宋"/>
          <w:szCs w:val="21"/>
        </w:rPr>
      </w:pPr>
      <w:r>
        <w:rPr>
          <w:rFonts w:ascii="仿宋" w:hAnsi="仿宋" w:eastAsia="仿宋" w:cs="华文中宋"/>
          <w:szCs w:val="21"/>
        </w:rPr>
        <w:t>（一）具有独立承担民事责任的能力；</w:t>
      </w:r>
    </w:p>
    <w:p w14:paraId="0D92B739">
      <w:pPr>
        <w:ind w:firstLine="420" w:firstLineChars="200"/>
        <w:rPr>
          <w:rFonts w:hint="eastAsia" w:ascii="仿宋" w:hAnsi="仿宋" w:eastAsia="仿宋" w:cs="华文中宋"/>
          <w:szCs w:val="21"/>
        </w:rPr>
      </w:pPr>
      <w:r>
        <w:rPr>
          <w:rFonts w:ascii="仿宋" w:hAnsi="仿宋" w:eastAsia="仿宋" w:cs="华文中宋"/>
          <w:szCs w:val="21"/>
        </w:rPr>
        <w:t>（二）具有良好的商业</w:t>
      </w:r>
      <w:r>
        <w:rPr>
          <w:rFonts w:hint="eastAsia" w:ascii="仿宋" w:hAnsi="仿宋" w:eastAsia="仿宋" w:cs="华文中宋"/>
          <w:szCs w:val="21"/>
        </w:rPr>
        <w:t>信誉</w:t>
      </w:r>
      <w:r>
        <w:rPr>
          <w:rFonts w:ascii="仿宋" w:hAnsi="仿宋" w:eastAsia="仿宋" w:cs="华文中宋"/>
          <w:szCs w:val="21"/>
        </w:rPr>
        <w:t>和健全的财务会计制度；</w:t>
      </w:r>
    </w:p>
    <w:p w14:paraId="508BBC41">
      <w:pPr>
        <w:ind w:firstLine="420" w:firstLineChars="200"/>
        <w:rPr>
          <w:rFonts w:hint="eastAsia" w:ascii="仿宋" w:hAnsi="仿宋" w:eastAsia="仿宋" w:cs="华文中宋"/>
          <w:szCs w:val="21"/>
        </w:rPr>
      </w:pPr>
      <w:r>
        <w:rPr>
          <w:rFonts w:ascii="仿宋" w:hAnsi="仿宋" w:eastAsia="仿宋" w:cs="华文中宋"/>
          <w:szCs w:val="21"/>
        </w:rPr>
        <w:t>（三）具有履行合同所必需的设备和专业技术能力；</w:t>
      </w:r>
    </w:p>
    <w:p w14:paraId="1BC1EC72">
      <w:pPr>
        <w:ind w:firstLine="420" w:firstLineChars="200"/>
        <w:rPr>
          <w:rFonts w:hint="eastAsia" w:ascii="仿宋" w:hAnsi="仿宋" w:eastAsia="仿宋" w:cs="华文中宋"/>
          <w:szCs w:val="21"/>
        </w:rPr>
      </w:pPr>
      <w:r>
        <w:rPr>
          <w:rFonts w:ascii="仿宋" w:hAnsi="仿宋" w:eastAsia="仿宋" w:cs="华文中宋"/>
          <w:szCs w:val="21"/>
        </w:rPr>
        <w:t>（四）有依法缴纳税收和社会保障资金的良好记录；</w:t>
      </w:r>
    </w:p>
    <w:p w14:paraId="79989B4A">
      <w:pPr>
        <w:ind w:firstLine="420" w:firstLineChars="200"/>
        <w:rPr>
          <w:rFonts w:hint="eastAsia" w:ascii="仿宋" w:hAnsi="仿宋" w:eastAsia="仿宋" w:cs="华文中宋"/>
          <w:szCs w:val="21"/>
        </w:rPr>
      </w:pPr>
      <w:r>
        <w:rPr>
          <w:rFonts w:ascii="仿宋" w:hAnsi="仿宋" w:eastAsia="仿宋" w:cs="华文中宋"/>
          <w:szCs w:val="21"/>
        </w:rPr>
        <w:t>（五）参加政府采购活动前三年内，在经营活动中没有重大违法记录；</w:t>
      </w:r>
    </w:p>
    <w:p w14:paraId="6E8A69D4">
      <w:pPr>
        <w:ind w:firstLine="420" w:firstLineChars="200"/>
        <w:rPr>
          <w:rFonts w:hint="eastAsia" w:ascii="仿宋" w:hAnsi="仿宋" w:eastAsia="仿宋" w:cs="华文中宋"/>
          <w:szCs w:val="21"/>
        </w:rPr>
      </w:pPr>
      <w:r>
        <w:rPr>
          <w:rFonts w:ascii="仿宋" w:hAnsi="仿宋" w:eastAsia="仿宋" w:cs="华文中宋"/>
          <w:szCs w:val="21"/>
        </w:rPr>
        <w:t>（六）未被列入经营异常名录或者严重违法失信名单、失信被执行人、重大税收违法案件当事人名单、政府采购严重违法失信行为记录名单，信用中国网站不存在失信惩戒、重点关注和风险提示信息；</w:t>
      </w:r>
    </w:p>
    <w:p w14:paraId="4F0AE546">
      <w:pPr>
        <w:ind w:firstLine="420" w:firstLineChars="200"/>
        <w:rPr>
          <w:rFonts w:hint="eastAsia" w:ascii="仿宋" w:hAnsi="仿宋" w:eastAsia="仿宋" w:cs="华文中宋"/>
          <w:szCs w:val="21"/>
        </w:rPr>
      </w:pPr>
      <w:r>
        <w:rPr>
          <w:rFonts w:ascii="仿宋" w:hAnsi="仿宋" w:eastAsia="仿宋" w:cs="华文中宋"/>
          <w:szCs w:val="21"/>
        </w:rPr>
        <w:t>（七）未被相关监管部门作出行政处罚且尚在处罚有效期内；</w:t>
      </w:r>
    </w:p>
    <w:p w14:paraId="700A80A0">
      <w:pPr>
        <w:ind w:firstLine="420" w:firstLineChars="200"/>
        <w:rPr>
          <w:rFonts w:hint="eastAsia" w:ascii="仿宋" w:hAnsi="仿宋" w:eastAsia="仿宋" w:cs="华文中宋"/>
          <w:szCs w:val="21"/>
        </w:rPr>
      </w:pPr>
      <w:r>
        <w:rPr>
          <w:rFonts w:ascii="仿宋" w:hAnsi="仿宋" w:eastAsia="仿宋" w:cs="华文中宋"/>
          <w:szCs w:val="21"/>
        </w:rPr>
        <w:t>（八）未曾作出虚假政府采购承诺；</w:t>
      </w:r>
    </w:p>
    <w:p w14:paraId="5DF55DEE">
      <w:pPr>
        <w:ind w:firstLine="420" w:firstLineChars="200"/>
        <w:rPr>
          <w:rFonts w:hint="eastAsia" w:ascii="仿宋" w:hAnsi="仿宋" w:eastAsia="仿宋" w:cs="华文中宋"/>
          <w:szCs w:val="21"/>
        </w:rPr>
      </w:pPr>
      <w:r>
        <w:rPr>
          <w:rFonts w:ascii="仿宋" w:hAnsi="仿宋" w:eastAsia="仿宋" w:cs="华文中宋"/>
          <w:szCs w:val="21"/>
        </w:rPr>
        <w:t>（九）符合法律、行政法规规定的其他条件。</w:t>
      </w:r>
    </w:p>
    <w:p w14:paraId="29214B34">
      <w:pPr>
        <w:ind w:firstLine="420" w:firstLineChars="200"/>
        <w:rPr>
          <w:rFonts w:hint="eastAsia" w:ascii="仿宋" w:hAnsi="仿宋" w:eastAsia="仿宋" w:cs="华文中宋"/>
          <w:szCs w:val="21"/>
        </w:rPr>
      </w:pPr>
      <w:r>
        <w:rPr>
          <w:rFonts w:ascii="仿宋" w:hAnsi="仿宋" w:eastAsia="仿宋" w:cs="华文中宋"/>
          <w:szCs w:val="21"/>
        </w:rPr>
        <w:t>二、我单位（本人）保证上述承诺事项的真实性。如有弄虚作假或其他违法违规行为，自愿承担一切法律责任，接受政府采购监管部门和其他机关的审查和处罚。</w:t>
      </w:r>
    </w:p>
    <w:p w14:paraId="7D4ED843">
      <w:pPr>
        <w:ind w:firstLine="420" w:firstLineChars="200"/>
        <w:rPr>
          <w:rFonts w:hint="eastAsia" w:ascii="仿宋" w:hAnsi="仿宋" w:eastAsia="仿宋" w:cs="华文中宋"/>
          <w:szCs w:val="21"/>
        </w:rPr>
      </w:pPr>
    </w:p>
    <w:p w14:paraId="54CB8264">
      <w:pPr>
        <w:ind w:firstLine="420" w:firstLineChars="200"/>
        <w:rPr>
          <w:rFonts w:hint="eastAsia" w:ascii="仿宋" w:hAnsi="仿宋" w:eastAsia="仿宋" w:cs="华文中宋"/>
          <w:szCs w:val="21"/>
        </w:rPr>
      </w:pPr>
    </w:p>
    <w:p w14:paraId="1E562081">
      <w:pPr>
        <w:ind w:firstLine="420" w:firstLineChars="200"/>
        <w:rPr>
          <w:rFonts w:hint="eastAsia" w:ascii="仿宋" w:hAnsi="仿宋" w:eastAsia="仿宋" w:cs="华文中宋"/>
          <w:szCs w:val="21"/>
        </w:rPr>
      </w:pPr>
      <w:r>
        <w:rPr>
          <w:rFonts w:ascii="仿宋" w:hAnsi="仿宋" w:eastAsia="仿宋" w:cs="华文中宋"/>
          <w:szCs w:val="21"/>
        </w:rPr>
        <w:t>供应商（电子</w:t>
      </w:r>
      <w:r>
        <w:rPr>
          <w:rFonts w:hint="eastAsia" w:ascii="仿宋" w:hAnsi="仿宋" w:eastAsia="仿宋" w:cs="华文中宋"/>
          <w:szCs w:val="21"/>
        </w:rPr>
        <w:t>公</w:t>
      </w:r>
      <w:r>
        <w:rPr>
          <w:rFonts w:ascii="仿宋" w:hAnsi="仿宋" w:eastAsia="仿宋" w:cs="华文中宋"/>
          <w:szCs w:val="21"/>
        </w:rPr>
        <w:t>章）：</w:t>
      </w:r>
    </w:p>
    <w:p w14:paraId="6929B719">
      <w:pPr>
        <w:ind w:firstLine="420" w:firstLineChars="200"/>
        <w:rPr>
          <w:rFonts w:hint="eastAsia" w:ascii="仿宋" w:hAnsi="仿宋" w:eastAsia="仿宋" w:cs="华文中宋"/>
          <w:szCs w:val="21"/>
        </w:rPr>
      </w:pPr>
      <w:r>
        <w:rPr>
          <w:rFonts w:ascii="仿宋" w:hAnsi="仿宋" w:eastAsia="仿宋" w:cs="华文中宋"/>
          <w:szCs w:val="21"/>
        </w:rPr>
        <w:t>法定代表人</w:t>
      </w:r>
      <w:r>
        <w:rPr>
          <w:rFonts w:hint="eastAsia" w:ascii="仿宋" w:hAnsi="仿宋" w:eastAsia="仿宋" w:cs="华文中宋"/>
          <w:szCs w:val="21"/>
        </w:rPr>
        <w:t>（负责人）</w:t>
      </w:r>
      <w:r>
        <w:rPr>
          <w:rFonts w:ascii="仿宋" w:hAnsi="仿宋" w:eastAsia="仿宋" w:cs="华文中宋"/>
          <w:szCs w:val="21"/>
        </w:rPr>
        <w:t>或授权代表（签字或电子印章）：</w:t>
      </w:r>
    </w:p>
    <w:p w14:paraId="006229CE">
      <w:pPr>
        <w:ind w:firstLine="420" w:firstLineChars="200"/>
        <w:rPr>
          <w:rFonts w:hint="eastAsia" w:ascii="仿宋" w:hAnsi="仿宋" w:eastAsia="仿宋" w:cs="华文中宋"/>
          <w:szCs w:val="21"/>
        </w:rPr>
      </w:pPr>
      <w:r>
        <w:rPr>
          <w:rFonts w:ascii="仿宋" w:hAnsi="仿宋" w:eastAsia="仿宋" w:cs="华文中宋"/>
          <w:szCs w:val="21"/>
        </w:rPr>
        <w:t>日期：</w:t>
      </w:r>
      <w:r>
        <w:rPr>
          <w:rFonts w:hint="eastAsia" w:ascii="仿宋" w:hAnsi="仿宋" w:eastAsia="仿宋" w:cs="华文中宋"/>
          <w:szCs w:val="21"/>
        </w:rPr>
        <w:t xml:space="preserve">    </w:t>
      </w:r>
      <w:r>
        <w:rPr>
          <w:rFonts w:ascii="仿宋" w:hAnsi="仿宋" w:eastAsia="仿宋" w:cs="华文中宋"/>
          <w:szCs w:val="21"/>
        </w:rPr>
        <w:t>年</w:t>
      </w:r>
      <w:r>
        <w:rPr>
          <w:rFonts w:hint="eastAsia" w:ascii="仿宋" w:hAnsi="仿宋" w:eastAsia="仿宋" w:cs="华文中宋"/>
          <w:szCs w:val="21"/>
        </w:rPr>
        <w:t xml:space="preserve">  </w:t>
      </w:r>
      <w:r>
        <w:rPr>
          <w:rFonts w:ascii="仿宋" w:hAnsi="仿宋" w:eastAsia="仿宋" w:cs="华文中宋"/>
          <w:szCs w:val="21"/>
        </w:rPr>
        <w:t>月</w:t>
      </w:r>
      <w:r>
        <w:rPr>
          <w:rFonts w:hint="eastAsia" w:ascii="仿宋" w:hAnsi="仿宋" w:eastAsia="仿宋" w:cs="华文中宋"/>
          <w:szCs w:val="21"/>
        </w:rPr>
        <w:t xml:space="preserve">  </w:t>
      </w:r>
      <w:r>
        <w:rPr>
          <w:rFonts w:ascii="仿宋" w:hAnsi="仿宋" w:eastAsia="仿宋" w:cs="华文中宋"/>
          <w:szCs w:val="21"/>
        </w:rPr>
        <w:t>日</w:t>
      </w:r>
    </w:p>
    <w:p w14:paraId="50EA70A4">
      <w:pPr>
        <w:ind w:firstLine="420" w:firstLineChars="200"/>
        <w:rPr>
          <w:rFonts w:hint="eastAsia" w:ascii="仿宋" w:hAnsi="仿宋" w:eastAsia="仿宋" w:cs="华文中宋"/>
          <w:szCs w:val="21"/>
        </w:rPr>
      </w:pPr>
    </w:p>
    <w:p w14:paraId="4CF0353F">
      <w:pPr>
        <w:rPr>
          <w:rFonts w:hint="eastAsia" w:ascii="仿宋" w:hAnsi="仿宋" w:eastAsia="仿宋" w:cs="华文中宋"/>
          <w:szCs w:val="21"/>
        </w:rPr>
      </w:pPr>
      <w:r>
        <w:rPr>
          <w:rFonts w:ascii="仿宋" w:hAnsi="仿宋" w:eastAsia="仿宋" w:cs="华文中宋"/>
          <w:szCs w:val="21"/>
        </w:rPr>
        <w:t>注：1.供应商须在投标文件中按此模板提供承诺函，未提供视为未实质性响应采购文件要求，按无效投标处理。</w:t>
      </w:r>
    </w:p>
    <w:p w14:paraId="363788CE">
      <w:pPr>
        <w:ind w:firstLine="420" w:firstLineChars="200"/>
        <w:rPr>
          <w:rFonts w:hint="eastAsia" w:ascii="仿宋" w:hAnsi="仿宋" w:eastAsia="仿宋" w:cs="华文中宋"/>
          <w:szCs w:val="21"/>
        </w:rPr>
      </w:pPr>
      <w:r>
        <w:rPr>
          <w:rFonts w:ascii="仿宋" w:hAnsi="仿宋" w:eastAsia="仿宋" w:cs="华文中宋"/>
          <w:szCs w:val="21"/>
        </w:rPr>
        <w:t>2.供应商的法定代表人或者授权代表的签字或盖章应真实、有效，如由授权代表签字或盖章的，应提供“法定代表人授权书”。</w:t>
      </w:r>
    </w:p>
    <w:p w14:paraId="0B88154A">
      <w:pPr>
        <w:ind w:firstLine="420" w:firstLineChars="200"/>
        <w:rPr>
          <w:rFonts w:hint="eastAsia" w:ascii="仿宋" w:hAnsi="仿宋" w:eastAsia="仿宋"/>
          <w:szCs w:val="21"/>
        </w:rPr>
      </w:pPr>
    </w:p>
    <w:p w14:paraId="7EA5722C">
      <w:pPr>
        <w:spacing w:line="460" w:lineRule="exact"/>
        <w:ind w:left="361" w:hanging="361" w:hangingChars="150"/>
        <w:outlineLvl w:val="1"/>
        <w:rPr>
          <w:rFonts w:hint="eastAsia" w:ascii="仿宋" w:hAnsi="仿宋" w:eastAsia="仿宋" w:cs="华文中宋"/>
          <w:b/>
          <w:kern w:val="0"/>
          <w:sz w:val="24"/>
        </w:rPr>
      </w:pPr>
      <w:r>
        <w:rPr>
          <w:rFonts w:hint="eastAsia" w:ascii="仿宋" w:hAnsi="仿宋" w:eastAsia="仿宋" w:cs="华文中宋"/>
          <w:b/>
          <w:kern w:val="0"/>
          <w:sz w:val="24"/>
        </w:rPr>
        <w:t>三、本项目要求的其他特定资格条件</w:t>
      </w:r>
    </w:p>
    <w:p w14:paraId="2C1A0E54">
      <w:pPr>
        <w:spacing w:line="460" w:lineRule="exact"/>
        <w:ind w:firstLine="420" w:firstLineChars="200"/>
        <w:rPr>
          <w:rFonts w:hint="eastAsia" w:ascii="仿宋" w:hAnsi="仿宋" w:eastAsia="仿宋" w:cs="华文中宋"/>
          <w:szCs w:val="21"/>
        </w:rPr>
      </w:pPr>
      <w:r>
        <w:rPr>
          <w:rFonts w:hint="eastAsia" w:ascii="仿宋" w:hAnsi="仿宋" w:eastAsia="仿宋" w:cs="华文中宋"/>
          <w:szCs w:val="21"/>
        </w:rPr>
        <w:t>按照投标文件第二部分投标人须知前附表序号1 “</w:t>
      </w:r>
      <w:r>
        <w:rPr>
          <w:rFonts w:hint="eastAsia" w:ascii="仿宋" w:hAnsi="仿宋" w:eastAsia="仿宋" w:cs="华文中宋"/>
          <w:bCs/>
          <w:szCs w:val="21"/>
        </w:rPr>
        <w:t>其他特定资格条件</w:t>
      </w:r>
      <w:r>
        <w:rPr>
          <w:rFonts w:hint="eastAsia" w:ascii="仿宋" w:hAnsi="仿宋" w:eastAsia="仿宋" w:cs="华文中宋"/>
          <w:szCs w:val="21"/>
        </w:rPr>
        <w:t>”规定提交相关证明文件</w:t>
      </w:r>
      <w:r>
        <w:rPr>
          <w:rFonts w:hint="eastAsia" w:ascii="仿宋" w:hAnsi="仿宋" w:eastAsia="仿宋"/>
          <w:szCs w:val="21"/>
        </w:rPr>
        <w:t>扫描件</w:t>
      </w:r>
      <w:r>
        <w:rPr>
          <w:rFonts w:hint="eastAsia" w:ascii="仿宋" w:hAnsi="仿宋" w:eastAsia="仿宋" w:cs="华文中宋"/>
          <w:szCs w:val="21"/>
        </w:rPr>
        <w:t>；</w:t>
      </w:r>
    </w:p>
    <w:p w14:paraId="7EA4683B">
      <w:pPr>
        <w:spacing w:line="460" w:lineRule="exact"/>
        <w:ind w:left="361" w:hanging="361" w:hangingChars="150"/>
        <w:outlineLvl w:val="1"/>
        <w:rPr>
          <w:rFonts w:hint="eastAsia" w:ascii="仿宋" w:hAnsi="仿宋" w:eastAsia="仿宋" w:cs="华文中宋"/>
          <w:b/>
          <w:kern w:val="0"/>
          <w:sz w:val="24"/>
        </w:rPr>
      </w:pPr>
      <w:r>
        <w:rPr>
          <w:rFonts w:hint="eastAsia" w:ascii="仿宋" w:hAnsi="仿宋" w:eastAsia="仿宋" w:cs="华文中宋"/>
          <w:b/>
          <w:kern w:val="0"/>
          <w:sz w:val="24"/>
        </w:rPr>
        <w:t>四、投标保证金的交纳及开户许可证</w:t>
      </w:r>
    </w:p>
    <w:p w14:paraId="043F96B9">
      <w:pPr>
        <w:spacing w:line="460" w:lineRule="exact"/>
        <w:ind w:firstLine="420" w:firstLineChars="200"/>
        <w:rPr>
          <w:rFonts w:hint="eastAsia" w:ascii="仿宋" w:hAnsi="仿宋" w:eastAsia="仿宋"/>
          <w:szCs w:val="21"/>
        </w:rPr>
      </w:pPr>
      <w:r>
        <w:rPr>
          <w:rFonts w:hint="eastAsia" w:ascii="仿宋" w:hAnsi="仿宋" w:eastAsia="仿宋"/>
          <w:szCs w:val="21"/>
        </w:rPr>
        <w:t>若本项目收取投标保证金，须提供投标人基本存款账户开户许可证（已取消企业银行账户许可的提供银行证明或提供取消企业银行账户许可的相关公告）扫描件及投标保证金交纳回单（或回执）。</w:t>
      </w:r>
    </w:p>
    <w:p w14:paraId="1685F148">
      <w:pPr>
        <w:spacing w:line="460" w:lineRule="exact"/>
        <w:ind w:left="315" w:leftChars="150"/>
        <w:rPr>
          <w:rFonts w:hint="eastAsia" w:ascii="仿宋" w:hAnsi="仿宋" w:eastAsia="仿宋"/>
          <w:szCs w:val="21"/>
        </w:rPr>
      </w:pPr>
      <w:r>
        <w:rPr>
          <w:rFonts w:hint="eastAsia" w:ascii="仿宋" w:hAnsi="仿宋" w:eastAsia="仿宋"/>
          <w:szCs w:val="21"/>
        </w:rPr>
        <w:t>保证金要求足额交纳，且从投标人的基本存款账户转出。</w:t>
      </w:r>
    </w:p>
    <w:p w14:paraId="2B8601DE">
      <w:pPr>
        <w:spacing w:line="460" w:lineRule="exact"/>
        <w:ind w:left="315" w:leftChars="150"/>
        <w:rPr>
          <w:rFonts w:hint="eastAsia" w:ascii="仿宋" w:hAnsi="仿宋" w:eastAsia="仿宋"/>
          <w:szCs w:val="21"/>
        </w:rPr>
      </w:pPr>
      <w:r>
        <w:rPr>
          <w:rFonts w:hint="eastAsia" w:ascii="仿宋" w:hAnsi="仿宋" w:eastAsia="仿宋"/>
          <w:szCs w:val="21"/>
        </w:rPr>
        <w:t>任意一项证明文件扫描件清晰，须加盖电子公章。</w:t>
      </w:r>
    </w:p>
    <w:p w14:paraId="4F0269A7">
      <w:pPr>
        <w:spacing w:line="460" w:lineRule="exact"/>
        <w:jc w:val="left"/>
        <w:outlineLvl w:val="1"/>
        <w:rPr>
          <w:rFonts w:hint="eastAsia" w:ascii="仿宋" w:hAnsi="仿宋" w:eastAsia="仿宋" w:cs="华文中宋"/>
          <w:b/>
          <w:sz w:val="24"/>
        </w:rPr>
      </w:pPr>
      <w:r>
        <w:rPr>
          <w:rFonts w:hint="eastAsia" w:ascii="仿宋" w:hAnsi="仿宋" w:eastAsia="仿宋" w:cs="华文中宋"/>
          <w:b/>
          <w:sz w:val="24"/>
        </w:rPr>
        <w:t>五、联合体投标注意事项</w:t>
      </w:r>
    </w:p>
    <w:p w14:paraId="2A9C1ADD">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1、联合体各方均应当符合《政府采购法》第二十二条规定的条件，联合体各方均应按照采购文件要求提供相关材料。</w:t>
      </w:r>
    </w:p>
    <w:p w14:paraId="41BF590A">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2、本项目有特定资格条件要求的，联合体各方的同类资质按照资质等级较低的确定联合体资质等级。联合体各方不得再单独参加或者与其他供应商另外组成联合体参加本项目同一包的采购活动。</w:t>
      </w:r>
    </w:p>
    <w:p w14:paraId="64C7BCC8">
      <w:pPr>
        <w:spacing w:line="460" w:lineRule="exact"/>
        <w:ind w:firstLine="420" w:firstLineChars="200"/>
        <w:jc w:val="left"/>
        <w:rPr>
          <w:rFonts w:hint="eastAsia" w:ascii="仿宋" w:hAnsi="仿宋" w:eastAsia="仿宋" w:cs="华文中宋"/>
        </w:rPr>
      </w:pPr>
      <w:r>
        <w:rPr>
          <w:rFonts w:hint="eastAsia" w:ascii="仿宋" w:hAnsi="仿宋" w:eastAsia="仿宋" w:cs="华文中宋"/>
        </w:rPr>
        <w:t>3、联合体各方之间应当签订联合投标协议，明确约定联合体各方承担的工作和相应的责任，并将联合投标协议连同投标文件一并提交。</w:t>
      </w:r>
    </w:p>
    <w:p w14:paraId="5DA230ED">
      <w:pPr>
        <w:spacing w:line="460" w:lineRule="exact"/>
        <w:jc w:val="left"/>
        <w:rPr>
          <w:rFonts w:hint="eastAsia" w:ascii="仿宋" w:hAnsi="仿宋" w:eastAsia="仿宋" w:cs="华文中宋"/>
          <w:b/>
          <w:szCs w:val="21"/>
        </w:rPr>
      </w:pPr>
      <w:r>
        <w:rPr>
          <w:rFonts w:hint="eastAsia" w:ascii="仿宋" w:hAnsi="仿宋" w:eastAsia="仿宋" w:cs="华文中宋"/>
          <w:b/>
          <w:sz w:val="24"/>
        </w:rPr>
        <w:t>联合投标协议书格式</w:t>
      </w:r>
    </w:p>
    <w:p w14:paraId="323BDFFF">
      <w:pPr>
        <w:spacing w:line="460" w:lineRule="exact"/>
        <w:jc w:val="center"/>
        <w:rPr>
          <w:rFonts w:hint="eastAsia" w:ascii="仿宋" w:hAnsi="仿宋" w:eastAsia="仿宋" w:cs="华文中宋"/>
          <w:b/>
          <w:szCs w:val="21"/>
        </w:rPr>
      </w:pPr>
      <w:r>
        <w:rPr>
          <w:rFonts w:hint="eastAsia" w:ascii="仿宋" w:hAnsi="仿宋" w:eastAsia="仿宋" w:cs="华文中宋"/>
          <w:b/>
          <w:sz w:val="24"/>
        </w:rPr>
        <w:t>《联合投标协议书》</w:t>
      </w:r>
    </w:p>
    <w:p w14:paraId="3E0D02B1">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联合投标各方：</w:t>
      </w:r>
    </w:p>
    <w:p w14:paraId="142D1DF7">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甲方：</w:t>
      </w:r>
    </w:p>
    <w:p w14:paraId="21E34228">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法定代表人：</w:t>
      </w:r>
    </w:p>
    <w:p w14:paraId="266DBF91">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住所：</w:t>
      </w:r>
    </w:p>
    <w:p w14:paraId="5B5AD8A5">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乙方：</w:t>
      </w:r>
    </w:p>
    <w:p w14:paraId="473609E8">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法定代表人：</w:t>
      </w:r>
    </w:p>
    <w:p w14:paraId="7F26EC8F">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住所：</w:t>
      </w:r>
    </w:p>
    <w:p w14:paraId="134E1DA4">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（如果有的话，可按甲、乙、丙、丁…序列增加）</w:t>
      </w:r>
    </w:p>
    <w:p w14:paraId="36D3E170">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根据《政府采购法》第二十四条之规定，为响应长治市公共资源交易中心（长治市政府采购中心）组织实施的项目（项目名称、招标编号）的招标活动，各方经协商，就联合进行投标之事宜，达成如下协议：</w:t>
      </w:r>
    </w:p>
    <w:p w14:paraId="797C5CC0">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一、各方一致决定，以</w:t>
      </w:r>
      <w:r>
        <w:rPr>
          <w:rFonts w:hint="eastAsia" w:ascii="仿宋" w:hAnsi="仿宋" w:eastAsia="仿宋"/>
          <w:snapToGrid w:val="0"/>
          <w:u w:val="single"/>
        </w:rPr>
        <w:t xml:space="preserve">          </w:t>
      </w:r>
      <w:r>
        <w:rPr>
          <w:rFonts w:hint="eastAsia" w:ascii="仿宋" w:hAnsi="仿宋" w:eastAsia="仿宋" w:cs="华文中宋"/>
          <w:sz w:val="21"/>
          <w:szCs w:val="21"/>
        </w:rPr>
        <w:t>为主办人进行投标，并按照招标文件的规定分别提交资格文件。</w:t>
      </w:r>
    </w:p>
    <w:p w14:paraId="32FF3480">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38DEAFF">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三、联合投标其余各方保证对主办人为响应本次招标而提供的货物（服务）和相关服务提供全部质量保证及售后服务支持。</w:t>
      </w:r>
    </w:p>
    <w:p w14:paraId="767CD99A">
      <w:pPr>
        <w:pStyle w:val="34"/>
        <w:widowControl w:val="0"/>
        <w:adjustRightInd w:val="0"/>
        <w:snapToGrid w:val="0"/>
        <w:spacing w:before="0" w:beforeAutospacing="0" w:after="0" w:afterAutospacing="0" w:line="460" w:lineRule="exact"/>
        <w:ind w:firstLine="420" w:firstLineChars="200"/>
        <w:jc w:val="both"/>
        <w:outlineLvl w:val="1"/>
        <w:rPr>
          <w:rFonts w:hint="eastAsia" w:ascii="仿宋" w:hAnsi="仿宋" w:eastAsia="仿宋" w:cs="华文中宋"/>
        </w:rPr>
      </w:pPr>
      <w:r>
        <w:rPr>
          <w:rFonts w:hint="eastAsia" w:ascii="仿宋" w:hAnsi="仿宋" w:eastAsia="仿宋" w:cs="华文中宋"/>
          <w:sz w:val="21"/>
          <w:szCs w:val="21"/>
        </w:rPr>
        <w:t>四、本次联合投标中，甲方承担的工作和义务为:</w:t>
      </w:r>
    </w:p>
    <w:p w14:paraId="2EB4E627">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乙方承担的工作和义务为：</w:t>
      </w:r>
    </w:p>
    <w:p w14:paraId="6CEE2DB9">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五、本协议提交招标方后，联合投标各方不得以任何形式对上述实质内容进行修改或撤销。</w:t>
      </w:r>
    </w:p>
    <w:p w14:paraId="085CFDF5">
      <w:pPr>
        <w:pStyle w:val="34"/>
        <w:widowControl w:val="0"/>
        <w:adjustRightInd w:val="0"/>
        <w:snapToGrid w:val="0"/>
        <w:spacing w:before="0" w:beforeAutospacing="0" w:after="0" w:afterAutospacing="0" w:line="460" w:lineRule="exact"/>
        <w:ind w:firstLine="420" w:firstLineChars="200"/>
        <w:jc w:val="both"/>
        <w:rPr>
          <w:rFonts w:hint="eastAsia" w:ascii="仿宋" w:hAnsi="仿宋" w:eastAsia="仿宋" w:cs="华文中宋"/>
        </w:rPr>
      </w:pPr>
      <w:r>
        <w:rPr>
          <w:rFonts w:hint="eastAsia" w:ascii="仿宋" w:hAnsi="仿宋" w:eastAsia="仿宋" w:cs="华文中宋"/>
          <w:sz w:val="21"/>
          <w:szCs w:val="21"/>
        </w:rPr>
        <w:t>六、本协议一式三份，甲、乙双方各持一份，另一份作为投标文件的组成部分。</w:t>
      </w:r>
    </w:p>
    <w:p w14:paraId="72875B45">
      <w:pPr>
        <w:spacing w:line="460" w:lineRule="exact"/>
        <w:rPr>
          <w:rFonts w:hint="eastAsia" w:ascii="仿宋" w:hAnsi="仿宋" w:eastAsia="仿宋" w:cs="华文中宋"/>
          <w:szCs w:val="21"/>
        </w:rPr>
      </w:pPr>
      <w:r>
        <w:rPr>
          <w:rFonts w:hint="eastAsia" w:ascii="仿宋" w:hAnsi="仿宋" w:eastAsia="仿宋" w:cs="华文中宋"/>
          <w:szCs w:val="21"/>
        </w:rPr>
        <w:t>甲方（</w:t>
      </w:r>
      <w:r>
        <w:rPr>
          <w:rFonts w:hint="eastAsia" w:ascii="仿宋" w:hAnsi="仿宋" w:eastAsia="仿宋"/>
          <w:spacing w:val="20"/>
          <w:szCs w:val="21"/>
        </w:rPr>
        <w:t>电子公章</w:t>
      </w:r>
      <w:r>
        <w:rPr>
          <w:rFonts w:hint="eastAsia" w:ascii="仿宋" w:hAnsi="仿宋" w:eastAsia="仿宋"/>
          <w:szCs w:val="21"/>
        </w:rPr>
        <w:t xml:space="preserve">）：                 </w:t>
      </w:r>
      <w:r>
        <w:rPr>
          <w:rFonts w:hint="eastAsia" w:ascii="仿宋" w:hAnsi="仿宋" w:eastAsia="仿宋" w:cs="华文中宋"/>
          <w:szCs w:val="21"/>
        </w:rPr>
        <w:t>乙方（</w:t>
      </w:r>
      <w:r>
        <w:rPr>
          <w:rFonts w:hint="eastAsia" w:ascii="仿宋" w:hAnsi="仿宋" w:eastAsia="仿宋"/>
          <w:spacing w:val="20"/>
          <w:szCs w:val="21"/>
        </w:rPr>
        <w:t>电子公章</w:t>
      </w:r>
      <w:r>
        <w:rPr>
          <w:rFonts w:hint="eastAsia" w:ascii="仿宋" w:hAnsi="仿宋" w:eastAsia="仿宋" w:cs="华文中宋"/>
          <w:szCs w:val="21"/>
        </w:rPr>
        <w:t>）：</w:t>
      </w:r>
    </w:p>
    <w:p w14:paraId="4DC559E8">
      <w:pPr>
        <w:spacing w:line="460" w:lineRule="exact"/>
        <w:rPr>
          <w:rFonts w:hint="eastAsia" w:ascii="仿宋" w:hAnsi="仿宋" w:eastAsia="仿宋" w:cs="华文中宋"/>
          <w:szCs w:val="21"/>
        </w:rPr>
      </w:pPr>
      <w:r>
        <w:rPr>
          <w:rFonts w:hint="eastAsia" w:ascii="仿宋" w:hAnsi="仿宋" w:eastAsia="仿宋" w:cs="华文中宋"/>
          <w:szCs w:val="21"/>
        </w:rPr>
        <w:t>法定代表人（</w:t>
      </w:r>
      <w:r>
        <w:rPr>
          <w:rFonts w:hint="eastAsia" w:ascii="仿宋" w:hAnsi="仿宋" w:eastAsia="仿宋"/>
          <w:spacing w:val="20"/>
          <w:szCs w:val="21"/>
        </w:rPr>
        <w:t>法定代表人电子签章</w:t>
      </w:r>
      <w:r>
        <w:rPr>
          <w:rFonts w:hint="eastAsia" w:ascii="仿宋" w:hAnsi="仿宋" w:eastAsia="仿宋"/>
          <w:szCs w:val="21"/>
        </w:rPr>
        <w:t xml:space="preserve">）：    </w:t>
      </w:r>
      <w:r>
        <w:rPr>
          <w:rFonts w:hint="eastAsia" w:ascii="仿宋" w:hAnsi="仿宋" w:eastAsia="仿宋" w:cs="华文中宋"/>
          <w:szCs w:val="21"/>
        </w:rPr>
        <w:t>法定代表人（</w:t>
      </w:r>
      <w:r>
        <w:rPr>
          <w:rFonts w:hint="eastAsia" w:ascii="仿宋" w:hAnsi="仿宋" w:eastAsia="仿宋"/>
          <w:spacing w:val="20"/>
          <w:szCs w:val="21"/>
        </w:rPr>
        <w:t>法定代表人电子签章</w:t>
      </w:r>
      <w:r>
        <w:rPr>
          <w:rFonts w:hint="eastAsia" w:ascii="仿宋" w:hAnsi="仿宋" w:eastAsia="仿宋" w:cs="华文中宋"/>
          <w:szCs w:val="21"/>
        </w:rPr>
        <w:t>）：</w:t>
      </w:r>
    </w:p>
    <w:p w14:paraId="2716EC3B">
      <w:pPr>
        <w:spacing w:line="460" w:lineRule="exact"/>
        <w:rPr>
          <w:rFonts w:hint="eastAsia" w:ascii="仿宋" w:hAnsi="仿宋" w:eastAsia="仿宋" w:cs="华文中宋"/>
          <w:szCs w:val="21"/>
        </w:rPr>
      </w:pPr>
      <w:r>
        <w:rPr>
          <w:rFonts w:hint="eastAsia" w:ascii="仿宋" w:hAnsi="仿宋" w:eastAsia="仿宋" w:cs="华文中宋"/>
          <w:szCs w:val="21"/>
        </w:rPr>
        <w:t>20  年  月  日                             20  年  月  日</w:t>
      </w:r>
    </w:p>
    <w:p w14:paraId="357149D5">
      <w:pPr>
        <w:rPr>
          <w:rFonts w:hint="eastAsia" w:ascii="仿宋" w:hAnsi="仿宋" w:eastAsia="仿宋" w:cs="华文中宋"/>
          <w:b/>
          <w:spacing w:val="20"/>
          <w:sz w:val="28"/>
          <w:szCs w:val="28"/>
        </w:rPr>
      </w:pPr>
    </w:p>
    <w:p w14:paraId="562A4546">
      <w:pPr>
        <w:rPr>
          <w:rFonts w:hint="eastAsia" w:ascii="仿宋" w:hAnsi="仿宋" w:eastAsia="仿宋" w:cs="华文中宋"/>
          <w:b/>
          <w:spacing w:val="20"/>
          <w:sz w:val="28"/>
          <w:szCs w:val="28"/>
        </w:rPr>
      </w:pPr>
    </w:p>
    <w:p w14:paraId="2EB0608D">
      <w:pPr>
        <w:rPr>
          <w:rFonts w:hint="eastAsia" w:ascii="仿宋" w:hAnsi="仿宋" w:eastAsia="仿宋" w:cs="华文中宋"/>
          <w:b/>
          <w:spacing w:val="20"/>
          <w:sz w:val="28"/>
          <w:szCs w:val="28"/>
        </w:rPr>
      </w:pPr>
    </w:p>
    <w:p w14:paraId="3F74DE0F">
      <w:pPr>
        <w:rPr>
          <w:rFonts w:hint="eastAsia" w:ascii="仿宋" w:hAnsi="仿宋" w:eastAsia="仿宋" w:cs="华文中宋"/>
          <w:b/>
          <w:spacing w:val="20"/>
          <w:sz w:val="28"/>
          <w:szCs w:val="28"/>
        </w:rPr>
      </w:pPr>
    </w:p>
    <w:p w14:paraId="0177C151">
      <w:pPr>
        <w:rPr>
          <w:rFonts w:hint="eastAsia" w:ascii="仿宋" w:hAnsi="仿宋" w:eastAsia="仿宋" w:cs="华文中宋"/>
          <w:b/>
          <w:spacing w:val="20"/>
          <w:sz w:val="28"/>
          <w:szCs w:val="28"/>
        </w:rPr>
      </w:pPr>
    </w:p>
    <w:p w14:paraId="6A3FE810">
      <w:pPr>
        <w:rPr>
          <w:rFonts w:hint="eastAsia" w:ascii="仿宋" w:hAnsi="仿宋" w:eastAsia="仿宋" w:cs="华文中宋"/>
          <w:b/>
          <w:spacing w:val="20"/>
          <w:sz w:val="28"/>
          <w:szCs w:val="28"/>
        </w:rPr>
      </w:pPr>
    </w:p>
    <w:p w14:paraId="30B68B07">
      <w:pPr>
        <w:rPr>
          <w:rFonts w:hint="eastAsia" w:ascii="仿宋" w:hAnsi="仿宋" w:eastAsia="仿宋" w:cs="华文中宋"/>
          <w:b/>
          <w:spacing w:val="20"/>
          <w:sz w:val="28"/>
          <w:szCs w:val="28"/>
        </w:rPr>
      </w:pPr>
    </w:p>
    <w:p w14:paraId="660048FB">
      <w:pPr>
        <w:rPr>
          <w:rFonts w:hint="eastAsia" w:ascii="仿宋" w:hAnsi="仿宋" w:eastAsia="仿宋" w:cs="华文中宋"/>
          <w:b/>
          <w:spacing w:val="20"/>
          <w:sz w:val="28"/>
          <w:szCs w:val="28"/>
        </w:rPr>
      </w:pPr>
    </w:p>
    <w:p w14:paraId="33FCC34A">
      <w:pPr>
        <w:rPr>
          <w:rFonts w:hint="eastAsia" w:ascii="仿宋" w:hAnsi="仿宋" w:eastAsia="仿宋" w:cs="华文中宋"/>
          <w:b/>
          <w:spacing w:val="20"/>
          <w:sz w:val="28"/>
          <w:szCs w:val="28"/>
        </w:rPr>
      </w:pPr>
    </w:p>
    <w:p w14:paraId="02DCBC43">
      <w:pPr>
        <w:rPr>
          <w:rFonts w:hint="eastAsia" w:ascii="仿宋" w:hAnsi="仿宋" w:eastAsia="仿宋" w:cs="华文中宋"/>
          <w:b/>
          <w:spacing w:val="20"/>
          <w:sz w:val="28"/>
          <w:szCs w:val="28"/>
        </w:rPr>
      </w:pPr>
    </w:p>
    <w:p w14:paraId="692F09AA">
      <w:pPr>
        <w:rPr>
          <w:rFonts w:hint="eastAsia" w:ascii="仿宋" w:hAnsi="仿宋" w:eastAsia="仿宋" w:cs="华文中宋"/>
          <w:b/>
          <w:spacing w:val="20"/>
          <w:sz w:val="28"/>
          <w:szCs w:val="28"/>
        </w:rPr>
      </w:pPr>
    </w:p>
    <w:p w14:paraId="4C92A8DC">
      <w:pPr>
        <w:rPr>
          <w:rFonts w:hint="eastAsia" w:ascii="仿宋" w:hAnsi="仿宋" w:eastAsia="仿宋" w:cs="华文中宋"/>
          <w:b/>
          <w:spacing w:val="20"/>
          <w:sz w:val="28"/>
          <w:szCs w:val="28"/>
        </w:rPr>
      </w:pPr>
    </w:p>
    <w:p w14:paraId="3164D232">
      <w:pPr>
        <w:rPr>
          <w:rFonts w:hint="eastAsia" w:ascii="仿宋" w:hAnsi="仿宋" w:eastAsia="仿宋" w:cs="华文中宋"/>
          <w:b/>
          <w:spacing w:val="20"/>
          <w:sz w:val="28"/>
          <w:szCs w:val="28"/>
        </w:rPr>
      </w:pPr>
    </w:p>
    <w:p w14:paraId="03E08C94">
      <w:pPr>
        <w:rPr>
          <w:rFonts w:hint="eastAsia" w:ascii="仿宋" w:hAnsi="仿宋" w:eastAsia="仿宋" w:cs="华文中宋"/>
          <w:b/>
          <w:spacing w:val="20"/>
          <w:sz w:val="28"/>
          <w:szCs w:val="28"/>
        </w:rPr>
      </w:pPr>
      <w:r>
        <w:rPr>
          <w:rFonts w:hint="eastAsia" w:ascii="仿宋" w:hAnsi="仿宋" w:eastAsia="仿宋" w:cs="华文中宋"/>
          <w:b/>
          <w:spacing w:val="20"/>
          <w:sz w:val="28"/>
          <w:szCs w:val="28"/>
        </w:rPr>
        <w:t>商务技术文件格式</w:t>
      </w:r>
    </w:p>
    <w:p w14:paraId="587DB705">
      <w:pPr>
        <w:rPr>
          <w:rFonts w:hint="eastAsia" w:ascii="仿宋" w:hAnsi="仿宋" w:eastAsia="仿宋" w:cs="华文中宋"/>
          <w:b/>
          <w:spacing w:val="20"/>
          <w:szCs w:val="21"/>
        </w:rPr>
      </w:pPr>
    </w:p>
    <w:p w14:paraId="69E32FED">
      <w:pPr>
        <w:outlineLvl w:val="2"/>
        <w:rPr>
          <w:rFonts w:hint="eastAsia" w:ascii="仿宋" w:hAnsi="仿宋" w:eastAsia="仿宋" w:cs="华文中宋"/>
          <w:b/>
          <w:sz w:val="24"/>
        </w:rPr>
      </w:pPr>
      <w:r>
        <w:rPr>
          <w:rFonts w:hint="eastAsia" w:ascii="仿宋" w:hAnsi="仿宋" w:eastAsia="仿宋" w:cs="华文中宋"/>
          <w:b/>
          <w:spacing w:val="20"/>
          <w:sz w:val="24"/>
        </w:rPr>
        <w:t>投标文件（商务技术文件）</w:t>
      </w:r>
      <w:r>
        <w:rPr>
          <w:rFonts w:hint="eastAsia" w:ascii="仿宋" w:hAnsi="仿宋" w:eastAsia="仿宋" w:cs="华文中宋"/>
          <w:b/>
          <w:sz w:val="24"/>
        </w:rPr>
        <w:t>封面及目录格式</w:t>
      </w:r>
    </w:p>
    <w:p w14:paraId="4BB293A1">
      <w:pPr>
        <w:jc w:val="right"/>
        <w:rPr>
          <w:rFonts w:hint="eastAsia" w:ascii="仿宋" w:hAnsi="仿宋" w:eastAsia="仿宋" w:cs="华文中宋"/>
          <w:szCs w:val="21"/>
        </w:rPr>
      </w:pPr>
    </w:p>
    <w:p w14:paraId="1CD65CFC">
      <w:pPr>
        <w:jc w:val="center"/>
        <w:rPr>
          <w:rFonts w:hint="eastAsia" w:ascii="仿宋" w:hAnsi="仿宋" w:eastAsia="仿宋" w:cs="华文中宋"/>
          <w:b/>
          <w:spacing w:val="60"/>
          <w:sz w:val="84"/>
          <w:szCs w:val="84"/>
        </w:rPr>
      </w:pPr>
      <w:r>
        <w:rPr>
          <w:rFonts w:hint="eastAsia" w:ascii="仿宋" w:hAnsi="仿宋" w:eastAsia="仿宋" w:cs="华文中宋"/>
          <w:b/>
          <w:spacing w:val="60"/>
          <w:sz w:val="84"/>
          <w:szCs w:val="84"/>
        </w:rPr>
        <w:t>投 标 文 件</w:t>
      </w:r>
    </w:p>
    <w:p w14:paraId="66B9ECB0">
      <w:pPr>
        <w:jc w:val="center"/>
        <w:rPr>
          <w:rFonts w:hint="eastAsia" w:ascii="仿宋" w:hAnsi="仿宋" w:eastAsia="仿宋" w:cs="华文中宋"/>
          <w:b/>
          <w:spacing w:val="60"/>
          <w:sz w:val="48"/>
          <w:szCs w:val="48"/>
        </w:rPr>
      </w:pPr>
      <w:r>
        <w:rPr>
          <w:rFonts w:hint="eastAsia" w:ascii="仿宋" w:hAnsi="仿宋" w:eastAsia="仿宋" w:cs="华文中宋"/>
          <w:b/>
          <w:spacing w:val="60"/>
          <w:sz w:val="48"/>
          <w:szCs w:val="48"/>
        </w:rPr>
        <w:t>（商务技术文件）</w:t>
      </w:r>
    </w:p>
    <w:p w14:paraId="05B9FE2C">
      <w:pPr>
        <w:rPr>
          <w:rFonts w:hint="eastAsia" w:ascii="仿宋" w:hAnsi="仿宋" w:eastAsia="仿宋" w:cs="华文中宋"/>
          <w:b/>
          <w:sz w:val="44"/>
          <w:szCs w:val="44"/>
        </w:rPr>
      </w:pPr>
    </w:p>
    <w:p w14:paraId="4B58967B">
      <w:pPr>
        <w:ind w:firstLine="542" w:firstLineChars="150"/>
        <w:rPr>
          <w:rFonts w:hint="eastAsia" w:ascii="仿宋" w:hAnsi="仿宋" w:eastAsia="仿宋" w:cs="华文中宋"/>
          <w:b/>
          <w:sz w:val="44"/>
          <w:szCs w:val="44"/>
        </w:rPr>
      </w:pPr>
      <w:r>
        <w:rPr>
          <w:rFonts w:hint="eastAsia" w:ascii="仿宋" w:hAnsi="仿宋" w:eastAsia="仿宋" w:cs="华文中宋"/>
          <w:b/>
          <w:spacing w:val="20"/>
          <w:sz w:val="32"/>
          <w:szCs w:val="32"/>
        </w:rPr>
        <w:t>项目名称</w:t>
      </w:r>
      <w:r>
        <w:rPr>
          <w:rFonts w:hint="eastAsia" w:ascii="仿宋" w:hAnsi="仿宋" w:eastAsia="仿宋" w:cs="华文中宋"/>
          <w:b/>
          <w:sz w:val="32"/>
          <w:szCs w:val="32"/>
        </w:rPr>
        <w:t>：</w:t>
      </w:r>
    </w:p>
    <w:p w14:paraId="2091C4E0">
      <w:pPr>
        <w:ind w:firstLine="542" w:firstLineChars="150"/>
        <w:rPr>
          <w:rFonts w:hint="eastAsia" w:ascii="仿宋" w:hAnsi="仿宋" w:eastAsia="仿宋" w:cs="华文中宋"/>
          <w:b/>
          <w:sz w:val="44"/>
          <w:szCs w:val="44"/>
        </w:rPr>
      </w:pPr>
      <w:r>
        <w:rPr>
          <w:rFonts w:hint="eastAsia" w:ascii="仿宋" w:hAnsi="仿宋" w:eastAsia="仿宋" w:cs="华文中宋"/>
          <w:b/>
          <w:spacing w:val="20"/>
          <w:sz w:val="32"/>
          <w:szCs w:val="32"/>
        </w:rPr>
        <w:t>项目编号：</w:t>
      </w:r>
    </w:p>
    <w:p w14:paraId="133A9733">
      <w:pPr>
        <w:ind w:firstLine="542" w:firstLineChars="150"/>
        <w:rPr>
          <w:rFonts w:hint="eastAsia" w:ascii="仿宋" w:hAnsi="仿宋" w:eastAsia="仿宋" w:cs="华文中宋"/>
          <w:b/>
          <w:spacing w:val="20"/>
          <w:sz w:val="32"/>
          <w:szCs w:val="32"/>
        </w:rPr>
      </w:pPr>
      <w:r>
        <w:rPr>
          <w:rFonts w:hint="eastAsia" w:ascii="仿宋" w:hAnsi="仿宋" w:eastAsia="仿宋" w:cs="华文中宋"/>
          <w:b/>
          <w:spacing w:val="20"/>
          <w:sz w:val="32"/>
          <w:szCs w:val="32"/>
        </w:rPr>
        <w:t>包    号：</w:t>
      </w:r>
    </w:p>
    <w:p w14:paraId="49C7407D">
      <w:pPr>
        <w:jc w:val="center"/>
        <w:rPr>
          <w:rFonts w:hint="eastAsia" w:ascii="仿宋" w:hAnsi="仿宋" w:eastAsia="仿宋" w:cs="华文中宋"/>
          <w:b/>
          <w:sz w:val="32"/>
          <w:szCs w:val="32"/>
        </w:rPr>
      </w:pPr>
    </w:p>
    <w:p w14:paraId="7C01E7C1">
      <w:pPr>
        <w:jc w:val="center"/>
        <w:rPr>
          <w:rFonts w:hint="eastAsia" w:ascii="仿宋" w:hAnsi="仿宋" w:eastAsia="仿宋" w:cs="华文中宋"/>
          <w:b/>
          <w:sz w:val="32"/>
          <w:szCs w:val="32"/>
        </w:rPr>
      </w:pPr>
    </w:p>
    <w:p w14:paraId="7024C9FA">
      <w:pPr>
        <w:jc w:val="center"/>
        <w:rPr>
          <w:rFonts w:hint="eastAsia" w:ascii="仿宋" w:hAnsi="仿宋" w:eastAsia="仿宋" w:cs="华文中宋"/>
          <w:b/>
          <w:sz w:val="32"/>
          <w:szCs w:val="32"/>
        </w:rPr>
      </w:pPr>
    </w:p>
    <w:p w14:paraId="4E656731">
      <w:pPr>
        <w:jc w:val="center"/>
        <w:rPr>
          <w:rFonts w:hint="eastAsia" w:ascii="仿宋" w:hAnsi="仿宋" w:eastAsia="仿宋" w:cs="华文中宋"/>
          <w:b/>
          <w:sz w:val="32"/>
          <w:szCs w:val="32"/>
        </w:rPr>
      </w:pPr>
    </w:p>
    <w:p w14:paraId="2334A7E2">
      <w:pPr>
        <w:jc w:val="center"/>
        <w:rPr>
          <w:rFonts w:hint="eastAsia" w:ascii="仿宋" w:hAnsi="仿宋" w:eastAsia="仿宋" w:cs="华文中宋"/>
          <w:b/>
          <w:spacing w:val="20"/>
          <w:sz w:val="32"/>
          <w:szCs w:val="32"/>
        </w:rPr>
      </w:pPr>
    </w:p>
    <w:p w14:paraId="36193DDA">
      <w:pPr>
        <w:jc w:val="center"/>
        <w:rPr>
          <w:rFonts w:hint="eastAsia" w:ascii="仿宋" w:hAnsi="仿宋" w:eastAsia="仿宋" w:cs="华文中宋"/>
          <w:b/>
          <w:spacing w:val="20"/>
          <w:sz w:val="32"/>
          <w:szCs w:val="32"/>
        </w:rPr>
      </w:pPr>
    </w:p>
    <w:p w14:paraId="0166A93E">
      <w:pPr>
        <w:jc w:val="center"/>
        <w:rPr>
          <w:rFonts w:hint="eastAsia" w:ascii="仿宋" w:hAnsi="仿宋" w:eastAsia="仿宋" w:cs="华文中宋"/>
          <w:b/>
          <w:spacing w:val="20"/>
          <w:sz w:val="32"/>
          <w:szCs w:val="32"/>
        </w:rPr>
      </w:pPr>
    </w:p>
    <w:p w14:paraId="5A776938">
      <w:pPr>
        <w:spacing w:line="360" w:lineRule="auto"/>
        <w:ind w:firstLine="1445" w:firstLineChars="400"/>
        <w:jc w:val="left"/>
        <w:rPr>
          <w:rFonts w:hint="eastAsia" w:ascii="仿宋" w:hAnsi="仿宋" w:eastAsia="仿宋"/>
          <w:b/>
          <w:spacing w:val="20"/>
          <w:sz w:val="32"/>
          <w:szCs w:val="32"/>
        </w:rPr>
      </w:pPr>
      <w:r>
        <w:rPr>
          <w:rFonts w:hint="eastAsia" w:ascii="仿宋" w:hAnsi="仿宋" w:eastAsia="仿宋" w:cs="华文中宋"/>
          <w:b/>
          <w:spacing w:val="20"/>
          <w:sz w:val="32"/>
          <w:szCs w:val="32"/>
        </w:rPr>
        <w:t>投标供应商单位名称：</w:t>
      </w:r>
    </w:p>
    <w:p w14:paraId="320C5DF1">
      <w:pPr>
        <w:jc w:val="center"/>
        <w:rPr>
          <w:rFonts w:hint="eastAsia" w:ascii="仿宋" w:hAnsi="仿宋" w:eastAsia="仿宋" w:cs="华文中宋"/>
          <w:b/>
          <w:spacing w:val="20"/>
          <w:sz w:val="32"/>
          <w:szCs w:val="32"/>
        </w:rPr>
      </w:pPr>
      <w:r>
        <w:rPr>
          <w:rFonts w:hint="eastAsia" w:ascii="仿宋" w:hAnsi="仿宋" w:eastAsia="仿宋" w:cs="华文中宋"/>
          <w:b/>
          <w:spacing w:val="20"/>
          <w:sz w:val="32"/>
          <w:szCs w:val="32"/>
        </w:rPr>
        <w:t>（加盖</w:t>
      </w:r>
      <w:r>
        <w:rPr>
          <w:rFonts w:hint="eastAsia" w:ascii="仿宋" w:hAnsi="仿宋" w:eastAsia="仿宋"/>
          <w:b/>
          <w:spacing w:val="20"/>
          <w:sz w:val="32"/>
          <w:szCs w:val="32"/>
        </w:rPr>
        <w:t>电子公章</w:t>
      </w:r>
      <w:r>
        <w:rPr>
          <w:rFonts w:hint="eastAsia" w:ascii="仿宋" w:hAnsi="仿宋" w:eastAsia="仿宋" w:cs="华文中宋"/>
          <w:b/>
          <w:spacing w:val="20"/>
          <w:sz w:val="32"/>
          <w:szCs w:val="32"/>
        </w:rPr>
        <w:t>）</w:t>
      </w:r>
    </w:p>
    <w:p w14:paraId="1F7CA844">
      <w:pPr>
        <w:jc w:val="center"/>
        <w:rPr>
          <w:rFonts w:hint="eastAsia" w:ascii="仿宋" w:hAnsi="仿宋" w:eastAsia="仿宋" w:cs="华文中宋"/>
          <w:b/>
          <w:sz w:val="32"/>
          <w:szCs w:val="32"/>
        </w:rPr>
      </w:pPr>
      <w:r>
        <w:rPr>
          <w:rFonts w:hint="eastAsia" w:ascii="仿宋" w:hAnsi="仿宋" w:eastAsia="仿宋" w:cs="华文中宋"/>
          <w:b/>
          <w:sz w:val="32"/>
          <w:szCs w:val="32"/>
        </w:rPr>
        <w:t>二〇   年  月   日</w:t>
      </w:r>
    </w:p>
    <w:p w14:paraId="0C4FF7A5">
      <w:pPr>
        <w:rPr>
          <w:rFonts w:hint="eastAsia" w:ascii="仿宋" w:hAnsi="仿宋" w:eastAsia="仿宋" w:cs="华文中宋"/>
          <w:b/>
          <w:spacing w:val="20"/>
          <w:sz w:val="32"/>
          <w:szCs w:val="32"/>
        </w:rPr>
      </w:pPr>
      <w:r>
        <w:rPr>
          <w:rFonts w:hint="eastAsia" w:ascii="仿宋" w:hAnsi="仿宋" w:eastAsia="仿宋"/>
          <w:b/>
          <w:spacing w:val="20"/>
          <w:sz w:val="32"/>
          <w:szCs w:val="32"/>
        </w:rPr>
        <w:br w:type="page"/>
      </w:r>
    </w:p>
    <w:p w14:paraId="72DC3E98">
      <w:pPr>
        <w:spacing w:line="400" w:lineRule="exact"/>
        <w:ind w:firstLine="3144" w:firstLineChars="1305"/>
        <w:rPr>
          <w:rFonts w:hint="eastAsia" w:ascii="仿宋" w:hAnsi="仿宋" w:eastAsia="仿宋" w:cs="华文中宋"/>
          <w:b/>
          <w:sz w:val="24"/>
        </w:rPr>
      </w:pPr>
      <w:r>
        <w:rPr>
          <w:rFonts w:hint="eastAsia" w:ascii="仿宋" w:hAnsi="仿宋" w:eastAsia="仿宋" w:cs="华文中宋"/>
          <w:b/>
          <w:sz w:val="24"/>
        </w:rPr>
        <w:t>商  务  技  术  文  件</w:t>
      </w:r>
    </w:p>
    <w:p w14:paraId="065A3C44">
      <w:pPr>
        <w:spacing w:line="400" w:lineRule="exact"/>
        <w:ind w:firstLine="4127" w:firstLineChars="1713"/>
        <w:rPr>
          <w:rFonts w:hint="eastAsia" w:ascii="仿宋" w:hAnsi="仿宋" w:eastAsia="仿宋" w:cs="华文中宋"/>
          <w:b/>
          <w:sz w:val="24"/>
        </w:rPr>
      </w:pPr>
    </w:p>
    <w:p w14:paraId="4EC6B7AC">
      <w:pPr>
        <w:spacing w:line="400" w:lineRule="exact"/>
        <w:ind w:firstLine="4007" w:firstLineChars="1663"/>
        <w:rPr>
          <w:rFonts w:hint="eastAsia" w:ascii="仿宋" w:hAnsi="仿宋" w:eastAsia="仿宋" w:cs="华文中宋"/>
          <w:b/>
          <w:sz w:val="24"/>
        </w:rPr>
      </w:pPr>
      <w:r>
        <w:rPr>
          <w:rFonts w:hint="eastAsia" w:ascii="仿宋" w:hAnsi="仿宋" w:eastAsia="仿宋" w:cs="华文中宋"/>
          <w:b/>
          <w:sz w:val="24"/>
        </w:rPr>
        <w:t>目    录</w:t>
      </w:r>
    </w:p>
    <w:p w14:paraId="38811973">
      <w:pPr>
        <w:pStyle w:val="25"/>
        <w:snapToGrid w:val="0"/>
        <w:spacing w:line="360" w:lineRule="auto"/>
        <w:rPr>
          <w:rFonts w:hint="eastAsia" w:ascii="仿宋" w:hAnsi="仿宋" w:eastAsia="仿宋"/>
          <w:b/>
          <w:bCs/>
          <w:kern w:val="0"/>
        </w:rPr>
      </w:pPr>
      <w:r>
        <w:rPr>
          <w:rFonts w:hint="eastAsia" w:ascii="仿宋" w:hAnsi="仿宋" w:eastAsia="仿宋"/>
          <w:b/>
          <w:bCs/>
          <w:kern w:val="0"/>
        </w:rPr>
        <w:t>一、投标人代表的证明……………………………………………………………………页码</w:t>
      </w:r>
    </w:p>
    <w:p w14:paraId="4BBA340F">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法定代表人（负责人）身份证明书格式……………………………………………</w:t>
      </w:r>
    </w:p>
    <w:p w14:paraId="416BF0C7">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法定代表人（负责人）授权委托书格式……………………………………………</w:t>
      </w:r>
    </w:p>
    <w:p w14:paraId="6500C726">
      <w:pPr>
        <w:pStyle w:val="25"/>
        <w:snapToGrid w:val="0"/>
        <w:spacing w:line="360" w:lineRule="auto"/>
        <w:rPr>
          <w:rFonts w:hint="eastAsia" w:ascii="仿宋" w:hAnsi="仿宋" w:eastAsia="仿宋"/>
          <w:b/>
          <w:bCs/>
          <w:kern w:val="0"/>
        </w:rPr>
      </w:pPr>
      <w:r>
        <w:rPr>
          <w:rFonts w:hint="eastAsia" w:ascii="仿宋" w:hAnsi="仿宋" w:eastAsia="仿宋"/>
          <w:b/>
          <w:bCs/>
          <w:kern w:val="0"/>
        </w:rPr>
        <w:t>二、投标函……………………………………………………………………………………</w:t>
      </w:r>
    </w:p>
    <w:p w14:paraId="69E4FA3B">
      <w:pPr>
        <w:pStyle w:val="25"/>
        <w:snapToGrid w:val="0"/>
        <w:spacing w:line="360" w:lineRule="auto"/>
        <w:outlineLvl w:val="1"/>
        <w:rPr>
          <w:rFonts w:hint="eastAsia" w:ascii="仿宋" w:hAnsi="仿宋" w:eastAsia="仿宋"/>
          <w:b/>
          <w:bCs/>
          <w:kern w:val="0"/>
        </w:rPr>
      </w:pPr>
      <w:r>
        <w:rPr>
          <w:rFonts w:hint="eastAsia" w:ascii="仿宋" w:hAnsi="仿宋" w:eastAsia="仿宋"/>
          <w:b/>
          <w:bCs/>
          <w:kern w:val="0"/>
        </w:rPr>
        <w:t>三、对商务要求的响应内容…………………………………………………………………</w:t>
      </w:r>
    </w:p>
    <w:p w14:paraId="1060AC30">
      <w:pPr>
        <w:pStyle w:val="25"/>
        <w:snapToGrid w:val="0"/>
        <w:spacing w:line="360" w:lineRule="auto"/>
        <w:rPr>
          <w:rFonts w:hint="eastAsia" w:ascii="仿宋" w:hAnsi="仿宋" w:eastAsia="仿宋"/>
          <w:b/>
          <w:bCs/>
          <w:kern w:val="0"/>
        </w:rPr>
      </w:pPr>
      <w:r>
        <w:rPr>
          <w:rFonts w:hint="eastAsia" w:ascii="仿宋" w:hAnsi="仿宋" w:eastAsia="仿宋"/>
          <w:b/>
          <w:bCs/>
          <w:kern w:val="0"/>
        </w:rPr>
        <w:t>四、对服务要求的响应内容…………………………………………………………………</w:t>
      </w:r>
    </w:p>
    <w:p w14:paraId="67BA5F7D">
      <w:pPr>
        <w:pStyle w:val="25"/>
        <w:snapToGrid w:val="0"/>
        <w:spacing w:line="360" w:lineRule="auto"/>
        <w:rPr>
          <w:rFonts w:hint="eastAsia" w:ascii="仿宋" w:hAnsi="仿宋" w:eastAsia="仿宋"/>
          <w:b/>
          <w:bCs/>
          <w:kern w:val="0"/>
        </w:rPr>
      </w:pPr>
      <w:r>
        <w:rPr>
          <w:rFonts w:hint="eastAsia" w:ascii="仿宋" w:hAnsi="仿宋" w:eastAsia="仿宋"/>
          <w:b/>
          <w:bCs/>
          <w:kern w:val="0"/>
        </w:rPr>
        <w:t>五、涉及政府采购政策要求内容（若涉及）………………………………………………</w:t>
      </w:r>
    </w:p>
    <w:p w14:paraId="73EE2522">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（一）中小企业声明函（若涉及）……………………………………………………</w:t>
      </w:r>
    </w:p>
    <w:p w14:paraId="12138AAE">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（二）残疾人福利性单位声明函（若涉及）………………………………………</w:t>
      </w:r>
    </w:p>
    <w:p w14:paraId="12BBFC79">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（三）监狱企业证明函（若涉及）…………………………………………………</w:t>
      </w:r>
    </w:p>
    <w:p w14:paraId="20014FC5">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w:t>
      </w:r>
      <w:r>
        <w:rPr>
          <w:rFonts w:hint="eastAsia" w:ascii="仿宋" w:hAnsi="仿宋" w:eastAsia="仿宋"/>
          <w:b/>
          <w:bCs/>
          <w:kern w:val="0"/>
          <w:lang w:val="en-US" w:eastAsia="zh-CN"/>
        </w:rPr>
        <w:t>四</w:t>
      </w:r>
      <w:r>
        <w:rPr>
          <w:rFonts w:hint="eastAsia" w:ascii="仿宋" w:hAnsi="仿宋" w:eastAsia="仿宋"/>
          <w:b/>
          <w:bCs/>
          <w:kern w:val="0"/>
        </w:rPr>
        <w:t>）关于符合本国产品标准的声明函</w:t>
      </w:r>
      <w:r>
        <w:rPr>
          <w:rFonts w:hint="eastAsia" w:ascii="仿宋" w:hAnsi="仿宋" w:eastAsia="仿宋"/>
          <w:b/>
          <w:bCs/>
          <w:kern w:val="0"/>
          <w:lang w:eastAsia="zh-CN"/>
        </w:rPr>
        <w:t>（</w:t>
      </w:r>
      <w:r>
        <w:rPr>
          <w:rFonts w:hint="eastAsia" w:ascii="仿宋" w:hAnsi="仿宋" w:eastAsia="仿宋"/>
          <w:b/>
          <w:bCs/>
          <w:kern w:val="0"/>
          <w:lang w:val="en-US" w:eastAsia="zh-CN"/>
        </w:rPr>
        <w:t>涉及</w:t>
      </w:r>
      <w:r>
        <w:rPr>
          <w:rFonts w:hint="eastAsia" w:ascii="仿宋" w:hAnsi="仿宋" w:eastAsia="仿宋"/>
          <w:b/>
          <w:bCs/>
          <w:kern w:val="0"/>
          <w:lang w:eastAsia="zh-CN"/>
        </w:rPr>
        <w:t>）</w:t>
      </w:r>
      <w:r>
        <w:rPr>
          <w:rFonts w:hint="eastAsia" w:ascii="仿宋" w:hAnsi="仿宋" w:eastAsia="仿宋"/>
          <w:b/>
          <w:bCs/>
          <w:kern w:val="0"/>
        </w:rPr>
        <w:t>……………………………………</w:t>
      </w:r>
    </w:p>
    <w:p w14:paraId="50D15777">
      <w:pPr>
        <w:pStyle w:val="25"/>
        <w:snapToGrid w:val="0"/>
        <w:spacing w:line="360" w:lineRule="auto"/>
        <w:ind w:firstLine="422" w:firstLineChars="200"/>
        <w:rPr>
          <w:rFonts w:hint="eastAsia" w:ascii="仿宋" w:hAnsi="仿宋" w:eastAsia="仿宋"/>
          <w:b/>
          <w:bCs/>
          <w:kern w:val="0"/>
        </w:rPr>
      </w:pPr>
      <w:r>
        <w:rPr>
          <w:rFonts w:hint="eastAsia" w:ascii="仿宋" w:hAnsi="仿宋" w:eastAsia="仿宋"/>
          <w:b/>
          <w:bCs/>
          <w:kern w:val="0"/>
        </w:rPr>
        <w:t>（</w:t>
      </w:r>
      <w:r>
        <w:rPr>
          <w:rFonts w:hint="eastAsia" w:ascii="仿宋" w:hAnsi="仿宋" w:eastAsia="仿宋"/>
          <w:b/>
          <w:bCs/>
          <w:kern w:val="0"/>
          <w:lang w:val="en-US" w:eastAsia="zh-CN"/>
        </w:rPr>
        <w:t>五</w:t>
      </w:r>
      <w:r>
        <w:rPr>
          <w:rFonts w:hint="eastAsia" w:ascii="仿宋" w:hAnsi="仿宋" w:eastAsia="仿宋"/>
          <w:b/>
          <w:bCs/>
          <w:kern w:val="0"/>
        </w:rPr>
        <w:t>）政府采购绿色产品明细表（若涉及）…………………………………………</w:t>
      </w:r>
    </w:p>
    <w:p w14:paraId="0A156233">
      <w:pPr>
        <w:pStyle w:val="25"/>
        <w:snapToGrid w:val="0"/>
        <w:spacing w:line="360" w:lineRule="auto"/>
        <w:rPr>
          <w:rFonts w:hint="eastAsia" w:ascii="仿宋" w:hAnsi="仿宋" w:eastAsia="仿宋"/>
          <w:b/>
          <w:bCs/>
          <w:kern w:val="0"/>
        </w:rPr>
      </w:pPr>
      <w:r>
        <w:rPr>
          <w:rFonts w:hint="eastAsia" w:ascii="仿宋" w:hAnsi="仿宋" w:eastAsia="仿宋"/>
          <w:b/>
          <w:bCs/>
          <w:kern w:val="0"/>
        </w:rPr>
        <w:t>六、</w:t>
      </w:r>
      <w:r>
        <w:rPr>
          <w:rFonts w:hint="eastAsia" w:ascii="仿宋" w:hAnsi="仿宋" w:eastAsia="仿宋"/>
          <w:b/>
          <w:bCs/>
        </w:rPr>
        <w:t>招标文件要求或投标人认为需要提供的其他商务技术材料/文件</w:t>
      </w:r>
      <w:r>
        <w:rPr>
          <w:rFonts w:hint="eastAsia" w:ascii="仿宋" w:hAnsi="仿宋" w:eastAsia="仿宋"/>
          <w:b/>
          <w:bCs/>
          <w:kern w:val="0"/>
        </w:rPr>
        <w:t>…………………</w:t>
      </w:r>
    </w:p>
    <w:p w14:paraId="7164FC91">
      <w:pPr>
        <w:pStyle w:val="25"/>
        <w:snapToGrid w:val="0"/>
        <w:spacing w:line="360" w:lineRule="auto"/>
        <w:rPr>
          <w:rFonts w:hint="eastAsia" w:ascii="仿宋" w:hAnsi="仿宋" w:eastAsia="仿宋"/>
          <w:b/>
          <w:kern w:val="0"/>
        </w:rPr>
      </w:pPr>
      <w:r>
        <w:rPr>
          <w:rFonts w:hint="eastAsia" w:ascii="仿宋" w:hAnsi="仿宋" w:eastAsia="仿宋"/>
          <w:b/>
          <w:bCs/>
          <w:kern w:val="0"/>
        </w:rPr>
        <w:t>七、开标一览表报价明细表……</w:t>
      </w:r>
      <w:r>
        <w:rPr>
          <w:rFonts w:hint="eastAsia" w:ascii="仿宋" w:hAnsi="仿宋" w:eastAsia="仿宋"/>
          <w:b/>
          <w:kern w:val="0"/>
        </w:rPr>
        <w:t>……………………………………………………………</w:t>
      </w:r>
    </w:p>
    <w:p w14:paraId="4A3A2FCD">
      <w:pPr>
        <w:spacing w:line="360" w:lineRule="auto"/>
        <w:ind w:left="315" w:leftChars="150" w:firstLine="105" w:firstLineChars="50"/>
        <w:rPr>
          <w:rFonts w:hint="eastAsia" w:ascii="仿宋" w:hAnsi="仿宋" w:eastAsia="仿宋" w:cs="华文中宋"/>
          <w:szCs w:val="21"/>
        </w:rPr>
      </w:pPr>
    </w:p>
    <w:p w14:paraId="35489F52">
      <w:pPr>
        <w:pStyle w:val="25"/>
        <w:snapToGrid w:val="0"/>
        <w:spacing w:line="360" w:lineRule="auto"/>
        <w:rPr>
          <w:rFonts w:hint="eastAsia" w:ascii="仿宋" w:hAnsi="仿宋" w:eastAsia="仿宋"/>
          <w:kern w:val="0"/>
        </w:rPr>
      </w:pPr>
    </w:p>
    <w:p w14:paraId="3E14CA15">
      <w:pPr>
        <w:pStyle w:val="34"/>
        <w:widowControl w:val="0"/>
        <w:snapToGrid w:val="0"/>
        <w:spacing w:before="0" w:beforeAutospacing="0" w:after="0" w:afterAutospacing="0" w:line="400" w:lineRule="exact"/>
        <w:jc w:val="both"/>
        <w:rPr>
          <w:rFonts w:hint="eastAsia" w:ascii="仿宋" w:hAnsi="仿宋" w:eastAsia="仿宋" w:cs="华文中宋"/>
        </w:rPr>
      </w:pPr>
      <w:r>
        <w:rPr>
          <w:rFonts w:hint="eastAsia" w:ascii="仿宋" w:hAnsi="仿宋" w:eastAsia="仿宋"/>
        </w:rPr>
        <w:t>说明：目录内容和排序须按投标人须知前附表中投标人应提交的商务技术文件内容及顺序排列。</w:t>
      </w:r>
    </w:p>
    <w:p w14:paraId="3E99516F">
      <w:pPr>
        <w:snapToGrid w:val="0"/>
        <w:ind w:left="422" w:hanging="422" w:hangingChars="200"/>
        <w:rPr>
          <w:rFonts w:hint="eastAsia" w:ascii="仿宋" w:hAnsi="仿宋" w:eastAsia="仿宋" w:cs="华文中宋"/>
          <w:b/>
        </w:rPr>
      </w:pPr>
    </w:p>
    <w:p w14:paraId="1AD5E5F2">
      <w:pPr>
        <w:snapToGrid w:val="0"/>
        <w:ind w:left="422" w:hanging="422" w:hangingChars="200"/>
        <w:rPr>
          <w:rFonts w:hint="eastAsia" w:ascii="仿宋" w:hAnsi="仿宋" w:eastAsia="仿宋" w:cs="华文中宋"/>
          <w:b/>
        </w:rPr>
      </w:pPr>
    </w:p>
    <w:p w14:paraId="1AE3277E">
      <w:pPr>
        <w:spacing w:line="480" w:lineRule="exact"/>
        <w:rPr>
          <w:rFonts w:hint="eastAsia" w:ascii="仿宋" w:hAnsi="仿宋" w:eastAsia="仿宋" w:cs="华文中宋"/>
          <w:b/>
        </w:rPr>
      </w:pPr>
    </w:p>
    <w:p w14:paraId="176ED78E">
      <w:pPr>
        <w:spacing w:line="480" w:lineRule="exact"/>
        <w:rPr>
          <w:rFonts w:hint="eastAsia" w:ascii="仿宋" w:hAnsi="仿宋" w:eastAsia="仿宋" w:cs="华文中宋"/>
          <w:b/>
        </w:rPr>
      </w:pPr>
    </w:p>
    <w:p w14:paraId="125020B4">
      <w:pPr>
        <w:pStyle w:val="74"/>
        <w:rPr>
          <w:rFonts w:hint="eastAsia"/>
        </w:rPr>
      </w:pPr>
    </w:p>
    <w:p w14:paraId="2703631F">
      <w:pPr>
        <w:pStyle w:val="74"/>
        <w:rPr>
          <w:rFonts w:hint="eastAsia"/>
        </w:rPr>
      </w:pPr>
    </w:p>
    <w:p w14:paraId="47FE6BE9">
      <w:pPr>
        <w:pStyle w:val="74"/>
        <w:rPr>
          <w:rFonts w:hint="eastAsia"/>
        </w:rPr>
      </w:pPr>
    </w:p>
    <w:p w14:paraId="067EA6B6">
      <w:pPr>
        <w:pStyle w:val="74"/>
        <w:rPr>
          <w:rFonts w:hint="eastAsia"/>
        </w:rPr>
      </w:pPr>
    </w:p>
    <w:p w14:paraId="43CE3828">
      <w:pPr>
        <w:pStyle w:val="74"/>
        <w:rPr>
          <w:rFonts w:hint="eastAsia"/>
        </w:rPr>
      </w:pPr>
    </w:p>
    <w:p w14:paraId="594D3E88">
      <w:pPr>
        <w:pStyle w:val="74"/>
        <w:rPr>
          <w:rFonts w:hint="eastAsia"/>
        </w:rPr>
      </w:pPr>
    </w:p>
    <w:p w14:paraId="0364C5BF">
      <w:pPr>
        <w:pStyle w:val="74"/>
        <w:rPr>
          <w:rFonts w:hint="eastAsia"/>
        </w:rPr>
      </w:pPr>
    </w:p>
    <w:p w14:paraId="4C02D7CC">
      <w:pPr>
        <w:pStyle w:val="74"/>
        <w:rPr>
          <w:rFonts w:hint="eastAsia"/>
        </w:rPr>
      </w:pPr>
    </w:p>
    <w:p w14:paraId="241D9BC8">
      <w:pPr>
        <w:pStyle w:val="74"/>
        <w:rPr>
          <w:rFonts w:hint="eastAsia"/>
        </w:rPr>
      </w:pPr>
    </w:p>
    <w:p w14:paraId="1EEE0600">
      <w:pPr>
        <w:pStyle w:val="74"/>
        <w:rPr>
          <w:rFonts w:hint="eastAsia"/>
        </w:rPr>
      </w:pPr>
    </w:p>
    <w:p w14:paraId="2C68E646">
      <w:pPr>
        <w:pStyle w:val="74"/>
        <w:rPr>
          <w:rFonts w:hint="eastAsia"/>
        </w:rPr>
      </w:pPr>
    </w:p>
    <w:p w14:paraId="4F56CEB7">
      <w:pPr>
        <w:pStyle w:val="74"/>
        <w:rPr>
          <w:rFonts w:hint="eastAsia"/>
        </w:rPr>
      </w:pPr>
    </w:p>
    <w:p w14:paraId="504520AA">
      <w:pPr>
        <w:pStyle w:val="74"/>
        <w:rPr>
          <w:rFonts w:hint="eastAsia"/>
        </w:rPr>
      </w:pPr>
    </w:p>
    <w:p w14:paraId="0702FFF7">
      <w:pPr>
        <w:pStyle w:val="74"/>
        <w:rPr>
          <w:rFonts w:hint="eastAsia"/>
        </w:rPr>
      </w:pPr>
    </w:p>
    <w:p w14:paraId="192250EB">
      <w:pPr>
        <w:pStyle w:val="74"/>
        <w:rPr>
          <w:rFonts w:hint="eastAsia"/>
        </w:rPr>
      </w:pPr>
    </w:p>
    <w:p w14:paraId="548704F6">
      <w:pPr>
        <w:pStyle w:val="74"/>
        <w:rPr>
          <w:rFonts w:hint="eastAsia"/>
        </w:rPr>
      </w:pPr>
    </w:p>
    <w:p w14:paraId="5AD6370B">
      <w:pPr>
        <w:snapToGrid w:val="0"/>
        <w:spacing w:line="276" w:lineRule="auto"/>
        <w:outlineLvl w:val="1"/>
        <w:rPr>
          <w:rFonts w:hint="eastAsia" w:ascii="仿宋" w:hAnsi="仿宋" w:eastAsia="仿宋" w:cs="华文中宋"/>
          <w:b/>
        </w:rPr>
      </w:pPr>
      <w:r>
        <w:rPr>
          <w:rFonts w:hint="eastAsia" w:ascii="仿宋" w:hAnsi="仿宋" w:eastAsia="仿宋" w:cs="华文中宋"/>
          <w:b/>
          <w:sz w:val="24"/>
        </w:rPr>
        <w:t>一、投标人</w:t>
      </w:r>
      <w:r>
        <w:rPr>
          <w:rFonts w:hint="eastAsia" w:ascii="仿宋" w:hAnsi="仿宋" w:eastAsia="仿宋" w:cs="华文中宋"/>
          <w:b/>
          <w:bCs/>
          <w:spacing w:val="20"/>
          <w:sz w:val="24"/>
        </w:rPr>
        <w:t>代表的证明</w:t>
      </w:r>
      <w:r>
        <w:rPr>
          <w:rFonts w:hint="eastAsia" w:ascii="仿宋" w:hAnsi="仿宋" w:eastAsia="仿宋" w:cs="华文中宋"/>
          <w:b/>
          <w:sz w:val="24"/>
        </w:rPr>
        <w:t>格式</w:t>
      </w:r>
    </w:p>
    <w:p w14:paraId="670A8D7D">
      <w:pPr>
        <w:snapToGrid w:val="0"/>
        <w:spacing w:line="360" w:lineRule="auto"/>
        <w:ind w:left="502" w:hanging="502" w:hangingChars="200"/>
        <w:jc w:val="left"/>
        <w:outlineLvl w:val="2"/>
        <w:rPr>
          <w:rFonts w:hint="eastAsia" w:ascii="仿宋" w:hAnsi="仿宋" w:eastAsia="仿宋"/>
          <w:bCs/>
          <w:spacing w:val="6"/>
          <w:szCs w:val="21"/>
        </w:rPr>
      </w:pPr>
      <w:r>
        <w:rPr>
          <w:rFonts w:hint="eastAsia" w:ascii="仿宋" w:hAnsi="仿宋" w:eastAsia="仿宋"/>
          <w:b/>
          <w:bCs/>
          <w:spacing w:val="20"/>
          <w:szCs w:val="21"/>
        </w:rPr>
        <w:t>法定代表人（负责人）身份证明书格式</w:t>
      </w:r>
    </w:p>
    <w:p w14:paraId="1AE2F537">
      <w:pPr>
        <w:snapToGrid w:val="0"/>
        <w:spacing w:line="360" w:lineRule="auto"/>
        <w:ind w:left="502" w:hanging="502" w:hangingChars="200"/>
        <w:jc w:val="center"/>
        <w:rPr>
          <w:rFonts w:hint="eastAsia" w:ascii="仿宋" w:hAnsi="仿宋" w:eastAsia="仿宋"/>
          <w:b/>
          <w:bCs/>
          <w:spacing w:val="20"/>
          <w:szCs w:val="21"/>
        </w:rPr>
      </w:pPr>
    </w:p>
    <w:p w14:paraId="0FE5FBAD">
      <w:pPr>
        <w:snapToGrid w:val="0"/>
        <w:spacing w:line="276" w:lineRule="auto"/>
        <w:ind w:left="562" w:hanging="562" w:hangingChars="200"/>
        <w:jc w:val="center"/>
        <w:rPr>
          <w:rFonts w:hint="eastAsia" w:ascii="仿宋" w:hAnsi="仿宋" w:eastAsia="仿宋" w:cs="华文中宋"/>
          <w:bCs/>
          <w:spacing w:val="6"/>
          <w:sz w:val="24"/>
        </w:rPr>
      </w:pPr>
      <w:r>
        <w:rPr>
          <w:rFonts w:hint="eastAsia" w:ascii="仿宋" w:hAnsi="仿宋" w:eastAsia="仿宋" w:cs="华文中宋"/>
          <w:b/>
          <w:spacing w:val="20"/>
          <w:sz w:val="24"/>
        </w:rPr>
        <w:t>法定代表人（负责人）身份证明书</w:t>
      </w:r>
    </w:p>
    <w:p w14:paraId="04F4D446">
      <w:pPr>
        <w:spacing w:line="360" w:lineRule="auto"/>
        <w:rPr>
          <w:rFonts w:hint="eastAsia" w:ascii="仿宋" w:hAnsi="仿宋" w:eastAsia="仿宋" w:cs="华文中宋"/>
          <w:spacing w:val="6"/>
          <w:szCs w:val="21"/>
          <w:u w:val="single"/>
        </w:rPr>
      </w:pPr>
      <w:r>
        <w:rPr>
          <w:rFonts w:hint="eastAsia" w:ascii="仿宋" w:hAnsi="仿宋" w:eastAsia="仿宋" w:cs="华文中宋"/>
          <w:spacing w:val="6"/>
          <w:szCs w:val="21"/>
        </w:rPr>
        <w:t>单位名称：</w:t>
      </w:r>
    </w:p>
    <w:p w14:paraId="3F802C4A">
      <w:pPr>
        <w:spacing w:line="360" w:lineRule="auto"/>
        <w:rPr>
          <w:rFonts w:hint="eastAsia" w:ascii="仿宋" w:hAnsi="仿宋" w:eastAsia="仿宋" w:cs="华文中宋"/>
          <w:spacing w:val="6"/>
          <w:szCs w:val="21"/>
          <w:u w:val="single"/>
        </w:rPr>
      </w:pPr>
      <w:r>
        <w:rPr>
          <w:rFonts w:hint="eastAsia" w:ascii="仿宋" w:hAnsi="仿宋" w:eastAsia="仿宋" w:cs="华文中宋"/>
          <w:spacing w:val="6"/>
          <w:szCs w:val="21"/>
        </w:rPr>
        <w:t>单位性质：</w:t>
      </w:r>
    </w:p>
    <w:p w14:paraId="332FE8D4">
      <w:pPr>
        <w:spacing w:line="360" w:lineRule="auto"/>
        <w:rPr>
          <w:rFonts w:hint="eastAsia" w:ascii="仿宋" w:hAnsi="仿宋" w:eastAsia="仿宋" w:cs="华文中宋"/>
          <w:spacing w:val="6"/>
          <w:szCs w:val="21"/>
        </w:rPr>
      </w:pPr>
      <w:r>
        <w:rPr>
          <w:rFonts w:hint="eastAsia" w:ascii="仿宋" w:hAnsi="仿宋" w:eastAsia="仿宋" w:cs="华文中宋"/>
          <w:spacing w:val="6"/>
          <w:szCs w:val="21"/>
        </w:rPr>
        <w:t>地    址：</w:t>
      </w:r>
    </w:p>
    <w:p w14:paraId="5003CD9A">
      <w:pPr>
        <w:spacing w:line="360" w:lineRule="auto"/>
        <w:rPr>
          <w:rFonts w:hint="eastAsia" w:ascii="仿宋" w:hAnsi="仿宋" w:eastAsia="仿宋" w:cs="华文中宋"/>
          <w:spacing w:val="6"/>
          <w:szCs w:val="21"/>
        </w:rPr>
      </w:pPr>
      <w:r>
        <w:rPr>
          <w:rFonts w:hint="eastAsia" w:ascii="仿宋" w:hAnsi="仿宋" w:eastAsia="仿宋" w:cs="华文中宋"/>
          <w:spacing w:val="6"/>
          <w:szCs w:val="21"/>
        </w:rPr>
        <w:t>成立时间：      年    月    日</w:t>
      </w:r>
    </w:p>
    <w:p w14:paraId="3CF37CD0">
      <w:pPr>
        <w:spacing w:line="360" w:lineRule="auto"/>
        <w:rPr>
          <w:rFonts w:hint="eastAsia" w:ascii="仿宋" w:hAnsi="仿宋" w:eastAsia="仿宋" w:cs="华文中宋"/>
          <w:spacing w:val="6"/>
          <w:szCs w:val="21"/>
        </w:rPr>
      </w:pPr>
      <w:r>
        <w:rPr>
          <w:rFonts w:hint="eastAsia" w:ascii="仿宋" w:hAnsi="仿宋" w:eastAsia="仿宋" w:cs="华文中宋"/>
          <w:spacing w:val="6"/>
          <w:szCs w:val="21"/>
        </w:rPr>
        <w:t xml:space="preserve">经营期限：    </w:t>
      </w:r>
    </w:p>
    <w:p w14:paraId="640818AB">
      <w:pPr>
        <w:spacing w:line="360" w:lineRule="auto"/>
        <w:rPr>
          <w:rFonts w:hint="eastAsia" w:ascii="仿宋" w:hAnsi="仿宋" w:eastAsia="仿宋" w:cs="华文中宋"/>
          <w:spacing w:val="6"/>
          <w:szCs w:val="21"/>
        </w:rPr>
      </w:pPr>
      <w:r>
        <w:rPr>
          <w:rFonts w:hint="eastAsia" w:ascii="仿宋" w:hAnsi="仿宋" w:eastAsia="仿宋" w:cs="华文中宋"/>
          <w:spacing w:val="6"/>
          <w:szCs w:val="21"/>
        </w:rPr>
        <w:t xml:space="preserve">姓    名：                      性  别：                 </w:t>
      </w:r>
    </w:p>
    <w:p w14:paraId="25A7418C">
      <w:pPr>
        <w:spacing w:line="360" w:lineRule="auto"/>
        <w:rPr>
          <w:rFonts w:hint="eastAsia" w:ascii="仿宋" w:hAnsi="仿宋" w:eastAsia="仿宋" w:cs="华文中宋"/>
          <w:spacing w:val="6"/>
          <w:szCs w:val="21"/>
        </w:rPr>
      </w:pPr>
      <w:r>
        <w:rPr>
          <w:rFonts w:hint="eastAsia" w:ascii="仿宋" w:hAnsi="仿宋" w:eastAsia="仿宋" w:cs="华文中宋"/>
          <w:spacing w:val="6"/>
          <w:szCs w:val="21"/>
        </w:rPr>
        <w:t xml:space="preserve">身份证号：                      职  务：         </w:t>
      </w:r>
    </w:p>
    <w:p w14:paraId="1C8A6124">
      <w:pPr>
        <w:spacing w:line="360" w:lineRule="auto"/>
        <w:rPr>
          <w:rFonts w:hint="eastAsia" w:ascii="仿宋" w:hAnsi="仿宋" w:eastAsia="仿宋" w:cs="华文中宋"/>
          <w:spacing w:val="6"/>
          <w:szCs w:val="21"/>
        </w:rPr>
      </w:pPr>
      <w:r>
        <w:rPr>
          <w:rFonts w:hint="eastAsia" w:ascii="仿宋" w:hAnsi="仿宋" w:eastAsia="仿宋" w:cs="华文中宋"/>
          <w:spacing w:val="6"/>
          <w:szCs w:val="21"/>
        </w:rPr>
        <w:t xml:space="preserve">系 </w:t>
      </w:r>
      <w:r>
        <w:rPr>
          <w:rFonts w:hint="eastAsia" w:ascii="仿宋" w:hAnsi="仿宋" w:eastAsia="仿宋" w:cs="华文中宋"/>
          <w:spacing w:val="6"/>
          <w:szCs w:val="21"/>
          <w:u w:val="single"/>
        </w:rPr>
        <w:t xml:space="preserve">      （投标人名称）          </w:t>
      </w:r>
      <w:r>
        <w:rPr>
          <w:rFonts w:hint="eastAsia" w:ascii="仿宋" w:hAnsi="仿宋" w:eastAsia="仿宋" w:cs="华文中宋"/>
          <w:spacing w:val="6"/>
          <w:szCs w:val="21"/>
        </w:rPr>
        <w:t xml:space="preserve">的法定代表人（负责人）。 </w:t>
      </w:r>
    </w:p>
    <w:p w14:paraId="03BD6E49">
      <w:pPr>
        <w:spacing w:line="360" w:lineRule="auto"/>
        <w:ind w:firstLine="444" w:firstLineChars="200"/>
        <w:rPr>
          <w:rFonts w:hint="eastAsia" w:ascii="仿宋" w:hAnsi="仿宋" w:eastAsia="仿宋" w:cs="华文中宋"/>
          <w:spacing w:val="6"/>
          <w:szCs w:val="21"/>
        </w:rPr>
      </w:pPr>
      <w:r>
        <w:rPr>
          <w:rFonts w:hint="eastAsia" w:ascii="仿宋" w:hAnsi="仿宋" w:eastAsia="仿宋" w:cs="华文中宋"/>
          <w:spacing w:val="6"/>
          <w:szCs w:val="21"/>
        </w:rPr>
        <w:t xml:space="preserve">特此证明。   </w:t>
      </w:r>
    </w:p>
    <w:p w14:paraId="153C8F95">
      <w:pPr>
        <w:tabs>
          <w:tab w:val="left" w:pos="4000"/>
        </w:tabs>
        <w:snapToGrid w:val="0"/>
        <w:spacing w:line="360" w:lineRule="auto"/>
        <w:rPr>
          <w:rFonts w:hint="eastAsia" w:ascii="仿宋" w:hAnsi="仿宋" w:eastAsia="仿宋" w:cs="华文中宋"/>
          <w:spacing w:val="20"/>
          <w:szCs w:val="21"/>
        </w:rPr>
      </w:pPr>
      <w:r>
        <w:rPr>
          <w:rFonts w:hint="eastAsia" w:ascii="仿宋" w:hAnsi="仿宋" w:eastAsia="仿宋" w:cs="华文中宋"/>
          <w:spacing w:val="20"/>
          <w:szCs w:val="21"/>
        </w:rPr>
        <w:tab/>
      </w:r>
      <w:r>
        <w:rPr>
          <w:rFonts w:hint="eastAsia" w:ascii="仿宋" w:hAnsi="仿宋" w:eastAsia="仿宋" w:cs="华文中宋"/>
          <w:spacing w:val="20"/>
          <w:szCs w:val="21"/>
        </w:rPr>
        <w:t>投标人：</w:t>
      </w:r>
      <w:r>
        <w:rPr>
          <w:rFonts w:hint="eastAsia" w:ascii="仿宋" w:hAnsi="仿宋" w:eastAsia="仿宋"/>
          <w:spacing w:val="20"/>
          <w:szCs w:val="21"/>
          <w:u w:val="single"/>
        </w:rPr>
        <w:t xml:space="preserve">                </w:t>
      </w:r>
      <w:r>
        <w:rPr>
          <w:rFonts w:hint="eastAsia" w:ascii="仿宋" w:hAnsi="仿宋" w:eastAsia="仿宋" w:cs="华文中宋"/>
          <w:spacing w:val="20"/>
          <w:szCs w:val="21"/>
        </w:rPr>
        <w:t xml:space="preserve"> (</w:t>
      </w:r>
      <w:r>
        <w:rPr>
          <w:rFonts w:hint="eastAsia" w:ascii="仿宋" w:hAnsi="仿宋" w:eastAsia="仿宋"/>
          <w:spacing w:val="20"/>
          <w:szCs w:val="21"/>
        </w:rPr>
        <w:t>电子公章</w:t>
      </w:r>
      <w:r>
        <w:rPr>
          <w:rFonts w:hint="eastAsia" w:ascii="仿宋" w:hAnsi="仿宋" w:eastAsia="仿宋" w:cs="华文中宋"/>
          <w:spacing w:val="20"/>
          <w:szCs w:val="21"/>
        </w:rPr>
        <w:t>)</w:t>
      </w:r>
    </w:p>
    <w:p w14:paraId="4F5D0F49">
      <w:pPr>
        <w:tabs>
          <w:tab w:val="left" w:pos="4490"/>
        </w:tabs>
        <w:snapToGrid w:val="0"/>
        <w:spacing w:line="360" w:lineRule="auto"/>
        <w:rPr>
          <w:rFonts w:hint="eastAsia" w:ascii="仿宋" w:hAnsi="仿宋" w:eastAsia="仿宋" w:cs="华文中宋"/>
          <w:szCs w:val="21"/>
        </w:rPr>
      </w:pPr>
      <w:r>
        <w:rPr>
          <w:rFonts w:hint="eastAsia" w:ascii="仿宋" w:hAnsi="仿宋" w:eastAsia="仿宋" w:cs="华文中宋"/>
          <w:spacing w:val="20"/>
          <w:szCs w:val="21"/>
        </w:rPr>
        <w:tab/>
      </w:r>
      <w:r>
        <w:rPr>
          <w:rFonts w:hint="eastAsia" w:ascii="仿宋" w:hAnsi="仿宋" w:eastAsia="仿宋" w:cs="华文中宋"/>
          <w:spacing w:val="20"/>
          <w:szCs w:val="21"/>
        </w:rPr>
        <w:t>年   月   日</w:t>
      </w:r>
    </w:p>
    <w:p w14:paraId="40203A49">
      <w:pPr>
        <w:spacing w:line="276" w:lineRule="auto"/>
        <w:rPr>
          <w:rFonts w:hint="eastAsia" w:ascii="仿宋" w:hAnsi="仿宋" w:eastAsia="仿宋" w:cs="华文中宋"/>
          <w:b/>
          <w:szCs w:val="21"/>
        </w:rPr>
      </w:pPr>
      <w:r>
        <w:rPr>
          <w:rFonts w:hint="eastAsia" w:ascii="仿宋" w:hAnsi="仿宋" w:eastAsia="仿宋" w:cs="华文中宋"/>
          <w:b/>
          <w:szCs w:val="21"/>
        </w:rPr>
        <w:t>附法定代表人有效的身份证正反两面</w:t>
      </w:r>
      <w:r>
        <w:rPr>
          <w:rFonts w:hint="eastAsia" w:ascii="仿宋" w:hAnsi="仿宋" w:eastAsia="仿宋"/>
          <w:b/>
          <w:szCs w:val="21"/>
        </w:rPr>
        <w:t>扫描件</w:t>
      </w:r>
    </w:p>
    <w:tbl>
      <w:tblPr>
        <w:tblStyle w:val="3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25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4615" w:type="dxa"/>
            <w:tcBorders>
              <w:top w:val="single" w:color="auto" w:sz="4" w:space="0"/>
              <w:left w:val="single" w:color="auto" w:sz="4" w:space="0"/>
              <w:bottom w:val="single" w:color="auto" w:sz="4" w:space="0"/>
              <w:right w:val="single" w:color="auto" w:sz="4" w:space="0"/>
            </w:tcBorders>
          </w:tcPr>
          <w:p w14:paraId="2F68E966">
            <w:pPr>
              <w:rPr>
                <w:rFonts w:hint="eastAsia" w:ascii="仿宋" w:hAnsi="仿宋" w:eastAsia="仿宋" w:cs="华文中宋"/>
                <w:b/>
                <w:szCs w:val="21"/>
              </w:rPr>
            </w:pPr>
          </w:p>
        </w:tc>
        <w:tc>
          <w:tcPr>
            <w:tcW w:w="4615" w:type="dxa"/>
            <w:tcBorders>
              <w:top w:val="single" w:color="auto" w:sz="4" w:space="0"/>
              <w:left w:val="single" w:color="auto" w:sz="4" w:space="0"/>
              <w:bottom w:val="single" w:color="auto" w:sz="4" w:space="0"/>
              <w:right w:val="single" w:color="auto" w:sz="4" w:space="0"/>
            </w:tcBorders>
          </w:tcPr>
          <w:p w14:paraId="66CEB097">
            <w:pPr>
              <w:rPr>
                <w:rFonts w:hint="eastAsia" w:ascii="仿宋" w:hAnsi="仿宋" w:eastAsia="仿宋" w:cs="华文中宋"/>
                <w:b/>
                <w:szCs w:val="21"/>
              </w:rPr>
            </w:pPr>
          </w:p>
        </w:tc>
      </w:tr>
    </w:tbl>
    <w:p w14:paraId="5D13ECAD">
      <w:pPr>
        <w:snapToGrid w:val="0"/>
        <w:spacing w:before="100" w:beforeAutospacing="1" w:after="100" w:afterAutospacing="1" w:line="360" w:lineRule="auto"/>
        <w:rPr>
          <w:rFonts w:hint="eastAsia" w:ascii="仿宋" w:hAnsi="仿宋" w:eastAsia="仿宋"/>
          <w:b/>
          <w:bCs/>
          <w:sz w:val="24"/>
        </w:rPr>
      </w:pPr>
    </w:p>
    <w:p w14:paraId="606B9C03">
      <w:pPr>
        <w:snapToGrid w:val="0"/>
        <w:spacing w:before="100" w:beforeAutospacing="1" w:after="100" w:afterAutospacing="1" w:line="360" w:lineRule="auto"/>
        <w:rPr>
          <w:rFonts w:hint="eastAsia" w:ascii="仿宋" w:hAnsi="仿宋" w:eastAsia="仿宋"/>
          <w:b/>
          <w:bCs/>
          <w:sz w:val="24"/>
        </w:rPr>
      </w:pPr>
    </w:p>
    <w:p w14:paraId="1B4CFFE6">
      <w:pPr>
        <w:snapToGrid w:val="0"/>
        <w:spacing w:before="100" w:beforeAutospacing="1" w:after="100" w:afterAutospacing="1" w:line="360" w:lineRule="auto"/>
        <w:rPr>
          <w:rFonts w:hint="eastAsia" w:ascii="仿宋" w:hAnsi="仿宋" w:eastAsia="仿宋"/>
          <w:b/>
          <w:bCs/>
          <w:sz w:val="24"/>
        </w:rPr>
      </w:pPr>
    </w:p>
    <w:p w14:paraId="7401E81A">
      <w:pPr>
        <w:snapToGrid w:val="0"/>
        <w:spacing w:before="100" w:beforeAutospacing="1" w:after="100" w:afterAutospacing="1" w:line="360" w:lineRule="auto"/>
        <w:rPr>
          <w:rFonts w:hint="eastAsia" w:ascii="仿宋" w:hAnsi="仿宋" w:eastAsia="仿宋"/>
          <w:b/>
          <w:bCs/>
          <w:sz w:val="24"/>
        </w:rPr>
      </w:pPr>
    </w:p>
    <w:p w14:paraId="08322D94">
      <w:pPr>
        <w:pStyle w:val="74"/>
        <w:rPr>
          <w:rFonts w:hint="eastAsia"/>
        </w:rPr>
      </w:pPr>
    </w:p>
    <w:p w14:paraId="080B2B42">
      <w:pPr>
        <w:snapToGrid w:val="0"/>
        <w:spacing w:beforeAutospacing="1" w:afterAutospacing="1" w:line="276" w:lineRule="auto"/>
        <w:rPr>
          <w:rFonts w:hint="eastAsia" w:ascii="仿宋" w:hAnsi="仿宋" w:eastAsia="仿宋" w:cs="华文中宋"/>
          <w:b/>
          <w:sz w:val="24"/>
        </w:rPr>
      </w:pPr>
    </w:p>
    <w:p w14:paraId="2F874810">
      <w:pPr>
        <w:snapToGrid w:val="0"/>
        <w:spacing w:line="360" w:lineRule="auto"/>
        <w:rPr>
          <w:rFonts w:hint="eastAsia" w:ascii="仿宋" w:hAnsi="仿宋" w:eastAsia="仿宋" w:cs="华文中宋"/>
          <w:b/>
          <w:sz w:val="24"/>
        </w:rPr>
      </w:pPr>
    </w:p>
    <w:p w14:paraId="73E4536B">
      <w:pPr>
        <w:snapToGrid w:val="0"/>
        <w:spacing w:line="360" w:lineRule="auto"/>
        <w:rPr>
          <w:rFonts w:hint="eastAsia" w:ascii="仿宋" w:hAnsi="仿宋" w:eastAsia="仿宋" w:cs="华文中宋"/>
          <w:b/>
          <w:bCs/>
          <w:sz w:val="24"/>
        </w:rPr>
      </w:pPr>
      <w:r>
        <w:rPr>
          <w:rFonts w:hint="eastAsia" w:ascii="仿宋" w:hAnsi="仿宋" w:eastAsia="仿宋" w:cs="华文中宋"/>
          <w:b/>
          <w:sz w:val="24"/>
        </w:rPr>
        <w:t>法定代表人（负责人）授权委托书格式</w:t>
      </w:r>
    </w:p>
    <w:p w14:paraId="19612643">
      <w:pPr>
        <w:snapToGrid w:val="0"/>
        <w:spacing w:line="360" w:lineRule="auto"/>
        <w:ind w:left="482" w:hanging="482" w:hangingChars="200"/>
        <w:jc w:val="center"/>
        <w:rPr>
          <w:rFonts w:hint="eastAsia" w:ascii="仿宋" w:hAnsi="仿宋" w:eastAsia="仿宋" w:cs="华文中宋"/>
          <w:b/>
          <w:sz w:val="24"/>
        </w:rPr>
      </w:pPr>
      <w:r>
        <w:rPr>
          <w:rFonts w:hint="eastAsia" w:ascii="仿宋" w:hAnsi="仿宋" w:eastAsia="仿宋" w:cs="华文中宋"/>
          <w:b/>
          <w:sz w:val="24"/>
        </w:rPr>
        <w:t xml:space="preserve"> 法定代表人（负责人）授权委托书   </w:t>
      </w:r>
    </w:p>
    <w:p w14:paraId="3F058B84">
      <w:pPr>
        <w:snapToGrid w:val="0"/>
        <w:spacing w:line="360" w:lineRule="auto"/>
        <w:rPr>
          <w:rFonts w:hint="eastAsia" w:ascii="仿宋" w:hAnsi="仿宋" w:eastAsia="仿宋" w:cs="华文中宋"/>
          <w:b/>
          <w:szCs w:val="21"/>
        </w:rPr>
      </w:pPr>
      <w:r>
        <w:rPr>
          <w:rFonts w:hint="eastAsia" w:ascii="仿宋" w:hAnsi="仿宋" w:eastAsia="仿宋"/>
          <w:szCs w:val="21"/>
        </w:rPr>
        <w:t>长治市公共资源交易中心（长治市政府采购中心）</w:t>
      </w:r>
      <w:r>
        <w:rPr>
          <w:rFonts w:hint="eastAsia" w:ascii="仿宋" w:hAnsi="仿宋" w:eastAsia="仿宋" w:cs="华文中宋"/>
          <w:b/>
          <w:szCs w:val="21"/>
        </w:rPr>
        <w:t>：</w:t>
      </w:r>
    </w:p>
    <w:p w14:paraId="52C6231D">
      <w:pPr>
        <w:snapToGrid w:val="0"/>
        <w:spacing w:line="360" w:lineRule="auto"/>
        <w:rPr>
          <w:rFonts w:hint="eastAsia" w:ascii="仿宋" w:hAnsi="仿宋" w:eastAsia="仿宋" w:cs="华文中宋"/>
          <w:szCs w:val="21"/>
        </w:rPr>
      </w:pPr>
      <w:r>
        <w:rPr>
          <w:rFonts w:hint="eastAsia" w:ascii="仿宋" w:hAnsi="仿宋" w:eastAsia="仿宋" w:cs="华文中宋"/>
          <w:szCs w:val="21"/>
        </w:rPr>
        <w:t xml:space="preserve">    本授权委托书声明：注册于（投标人住址）的（投标人名称）法定代表人（法定代表人姓名、职务、身份证号）代表本公司授权（投标人代表姓名、职务、身份证号）为本公司的合法代理人，就贵方组织项目，项目编号：，以本公司名义处理一切与之有关的事务。</w:t>
      </w:r>
    </w:p>
    <w:p w14:paraId="163DF969">
      <w:pPr>
        <w:snapToGrid w:val="0"/>
        <w:spacing w:line="360" w:lineRule="auto"/>
        <w:ind w:firstLine="420" w:firstLineChars="200"/>
        <w:rPr>
          <w:rFonts w:hint="eastAsia" w:ascii="仿宋" w:hAnsi="仿宋" w:eastAsia="仿宋" w:cs="华文中宋"/>
          <w:szCs w:val="21"/>
        </w:rPr>
      </w:pPr>
      <w:r>
        <w:rPr>
          <w:rFonts w:hint="eastAsia" w:ascii="仿宋" w:hAnsi="仿宋" w:eastAsia="仿宋" w:cs="华文中宋"/>
          <w:szCs w:val="21"/>
        </w:rPr>
        <w:t xml:space="preserve">本授权书于    年  月  日生效，特此声明。                                  </w:t>
      </w:r>
    </w:p>
    <w:p w14:paraId="6295FDDF">
      <w:pPr>
        <w:snapToGrid w:val="0"/>
        <w:spacing w:line="360" w:lineRule="auto"/>
        <w:jc w:val="right"/>
        <w:rPr>
          <w:rFonts w:hint="eastAsia" w:ascii="仿宋" w:hAnsi="仿宋" w:eastAsia="仿宋" w:cs="华文中宋"/>
          <w:szCs w:val="21"/>
        </w:rPr>
      </w:pPr>
      <w:r>
        <w:rPr>
          <w:rFonts w:hint="eastAsia" w:ascii="仿宋" w:hAnsi="仿宋" w:eastAsia="仿宋" w:cs="华文中宋"/>
          <w:szCs w:val="21"/>
        </w:rPr>
        <w:t>投标人：</w:t>
      </w:r>
      <w:r>
        <w:rPr>
          <w:rFonts w:hint="eastAsia" w:ascii="仿宋" w:hAnsi="仿宋" w:eastAsia="仿宋"/>
          <w:spacing w:val="20"/>
          <w:szCs w:val="21"/>
          <w:u w:val="single"/>
        </w:rPr>
        <w:t xml:space="preserve">                </w:t>
      </w:r>
      <w:r>
        <w:rPr>
          <w:rFonts w:hint="eastAsia" w:ascii="仿宋" w:hAnsi="仿宋" w:eastAsia="仿宋" w:cs="华文中宋"/>
          <w:szCs w:val="21"/>
        </w:rPr>
        <w:t>（</w:t>
      </w:r>
      <w:r>
        <w:rPr>
          <w:rFonts w:hint="eastAsia" w:ascii="仿宋" w:hAnsi="仿宋" w:eastAsia="仿宋"/>
          <w:spacing w:val="20"/>
          <w:szCs w:val="21"/>
        </w:rPr>
        <w:t>电子公章</w:t>
      </w:r>
      <w:r>
        <w:rPr>
          <w:rFonts w:hint="eastAsia" w:ascii="仿宋" w:hAnsi="仿宋" w:eastAsia="仿宋" w:cs="华文中宋"/>
          <w:szCs w:val="21"/>
        </w:rPr>
        <w:t>）</w:t>
      </w:r>
    </w:p>
    <w:p w14:paraId="2F392DDA">
      <w:pPr>
        <w:snapToGrid w:val="0"/>
        <w:spacing w:line="360" w:lineRule="auto"/>
        <w:ind w:left="5250" w:leftChars="200" w:hanging="4830" w:hangingChars="2300"/>
        <w:jc w:val="right"/>
        <w:rPr>
          <w:rFonts w:hint="eastAsia" w:ascii="仿宋" w:hAnsi="仿宋" w:eastAsia="仿宋" w:cs="华文中宋"/>
          <w:szCs w:val="21"/>
        </w:rPr>
      </w:pPr>
      <w:r>
        <w:rPr>
          <w:rFonts w:hint="eastAsia" w:ascii="仿宋" w:hAnsi="仿宋" w:eastAsia="仿宋" w:cs="华文中宋"/>
          <w:szCs w:val="21"/>
        </w:rPr>
        <w:t>法定代表人（负责人）：</w:t>
      </w:r>
      <w:r>
        <w:rPr>
          <w:rFonts w:hint="eastAsia" w:ascii="仿宋" w:hAnsi="仿宋" w:eastAsia="仿宋"/>
          <w:spacing w:val="20"/>
          <w:szCs w:val="21"/>
          <w:u w:val="single"/>
        </w:rPr>
        <w:t xml:space="preserve">           </w:t>
      </w:r>
      <w:r>
        <w:rPr>
          <w:rFonts w:hint="eastAsia" w:ascii="仿宋" w:hAnsi="仿宋" w:eastAsia="仿宋" w:cs="华文中宋"/>
          <w:szCs w:val="21"/>
        </w:rPr>
        <w:t>（</w:t>
      </w:r>
      <w:r>
        <w:rPr>
          <w:rFonts w:hint="eastAsia" w:ascii="仿宋" w:hAnsi="仿宋" w:eastAsia="仿宋"/>
          <w:szCs w:val="21"/>
        </w:rPr>
        <w:t>法定代表人电子签</w:t>
      </w:r>
      <w:r>
        <w:rPr>
          <w:rFonts w:hint="eastAsia" w:ascii="仿宋" w:hAnsi="仿宋" w:eastAsia="仿宋" w:cs="华文中宋"/>
          <w:szCs w:val="21"/>
        </w:rPr>
        <w:t>章</w:t>
      </w:r>
      <w:r>
        <w:rPr>
          <w:rFonts w:hint="eastAsia" w:ascii="仿宋" w:hAnsi="仿宋" w:eastAsia="仿宋"/>
          <w:szCs w:val="21"/>
        </w:rPr>
        <w:t xml:space="preserve">）                                                                               </w:t>
      </w:r>
      <w:r>
        <w:rPr>
          <w:rFonts w:hint="eastAsia" w:ascii="仿宋" w:hAnsi="仿宋" w:eastAsia="仿宋" w:cs="华文中宋"/>
          <w:szCs w:val="21"/>
        </w:rPr>
        <w:t>年  月  日</w:t>
      </w:r>
    </w:p>
    <w:p w14:paraId="3FA0D5DE">
      <w:pPr>
        <w:spacing w:line="276" w:lineRule="auto"/>
        <w:rPr>
          <w:rFonts w:hint="eastAsia" w:ascii="仿宋" w:hAnsi="仿宋" w:eastAsia="仿宋" w:cs="华文中宋"/>
          <w:b/>
          <w:szCs w:val="21"/>
        </w:rPr>
      </w:pPr>
      <w:r>
        <w:rPr>
          <w:rFonts w:hint="eastAsia" w:ascii="仿宋" w:hAnsi="仿宋" w:eastAsia="仿宋" w:cs="华文中宋"/>
          <w:b/>
          <w:szCs w:val="21"/>
        </w:rPr>
        <w:t>附投标人代表有效的身份证正反两面</w:t>
      </w:r>
      <w:r>
        <w:rPr>
          <w:rFonts w:hint="eastAsia" w:ascii="仿宋" w:hAnsi="仿宋" w:eastAsia="仿宋"/>
          <w:b/>
          <w:szCs w:val="21"/>
        </w:rPr>
        <w:t>扫描件</w:t>
      </w:r>
    </w:p>
    <w:tbl>
      <w:tblPr>
        <w:tblStyle w:val="3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7B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Borders>
              <w:top w:val="single" w:color="auto" w:sz="4" w:space="0"/>
              <w:left w:val="single" w:color="auto" w:sz="4" w:space="0"/>
              <w:bottom w:val="single" w:color="auto" w:sz="4" w:space="0"/>
              <w:right w:val="single" w:color="auto" w:sz="4" w:space="0"/>
            </w:tcBorders>
          </w:tcPr>
          <w:p w14:paraId="18397F0A">
            <w:pPr>
              <w:rPr>
                <w:rFonts w:hint="eastAsia" w:ascii="仿宋" w:hAnsi="仿宋" w:eastAsia="仿宋" w:cs="华文中宋"/>
                <w:b/>
                <w:szCs w:val="21"/>
              </w:rPr>
            </w:pPr>
          </w:p>
        </w:tc>
        <w:tc>
          <w:tcPr>
            <w:tcW w:w="4615" w:type="dxa"/>
            <w:tcBorders>
              <w:top w:val="single" w:color="auto" w:sz="4" w:space="0"/>
              <w:left w:val="single" w:color="auto" w:sz="4" w:space="0"/>
              <w:bottom w:val="single" w:color="auto" w:sz="4" w:space="0"/>
              <w:right w:val="single" w:color="auto" w:sz="4" w:space="0"/>
            </w:tcBorders>
          </w:tcPr>
          <w:p w14:paraId="70CB70DB">
            <w:pPr>
              <w:rPr>
                <w:rFonts w:hint="eastAsia" w:ascii="仿宋" w:hAnsi="仿宋" w:eastAsia="仿宋" w:cs="华文中宋"/>
                <w:b/>
                <w:szCs w:val="21"/>
              </w:rPr>
            </w:pPr>
          </w:p>
        </w:tc>
      </w:tr>
    </w:tbl>
    <w:p w14:paraId="17237FE7">
      <w:pPr>
        <w:spacing w:line="276" w:lineRule="auto"/>
        <w:outlineLvl w:val="1"/>
        <w:rPr>
          <w:rFonts w:hint="eastAsia" w:ascii="仿宋" w:hAnsi="仿宋" w:eastAsia="仿宋" w:cs="华文中宋"/>
          <w:bCs/>
          <w:sz w:val="24"/>
        </w:rPr>
      </w:pPr>
      <w:r>
        <w:rPr>
          <w:rFonts w:hint="eastAsia" w:ascii="仿宋" w:hAnsi="仿宋" w:eastAsia="仿宋"/>
          <w:b/>
          <w:szCs w:val="21"/>
        </w:rPr>
        <w:br w:type="page"/>
      </w:r>
      <w:r>
        <w:rPr>
          <w:rFonts w:hint="eastAsia" w:ascii="仿宋" w:hAnsi="仿宋" w:eastAsia="仿宋" w:cs="华文中宋"/>
          <w:b/>
          <w:sz w:val="24"/>
        </w:rPr>
        <w:t>二、 投标函格式</w:t>
      </w:r>
    </w:p>
    <w:p w14:paraId="47EE8268">
      <w:pPr>
        <w:spacing w:line="276" w:lineRule="auto"/>
        <w:jc w:val="center"/>
        <w:rPr>
          <w:rFonts w:hint="eastAsia" w:ascii="仿宋" w:hAnsi="仿宋" w:eastAsia="仿宋" w:cs="华文中宋"/>
          <w:bCs/>
          <w:sz w:val="24"/>
        </w:rPr>
      </w:pPr>
      <w:r>
        <w:rPr>
          <w:rFonts w:hint="eastAsia" w:ascii="仿宋" w:hAnsi="仿宋" w:eastAsia="仿宋" w:cs="华文中宋"/>
          <w:b/>
          <w:sz w:val="24"/>
        </w:rPr>
        <w:t>投  标  函</w:t>
      </w:r>
    </w:p>
    <w:p w14:paraId="240DA02E">
      <w:pPr>
        <w:tabs>
          <w:tab w:val="left" w:pos="4860"/>
        </w:tabs>
        <w:spacing w:line="360" w:lineRule="auto"/>
        <w:rPr>
          <w:rFonts w:hint="eastAsia" w:ascii="仿宋" w:hAnsi="仿宋" w:eastAsia="仿宋" w:cs="华文中宋"/>
        </w:rPr>
      </w:pPr>
      <w:r>
        <w:rPr>
          <w:rFonts w:hint="eastAsia" w:ascii="仿宋" w:hAnsi="仿宋" w:eastAsia="仿宋"/>
          <w:b/>
          <w:bCs/>
          <w:szCs w:val="21"/>
        </w:rPr>
        <w:t>长治市公共资源交易中心（长治市政府采购中心）</w:t>
      </w:r>
      <w:r>
        <w:rPr>
          <w:rFonts w:hint="eastAsia" w:ascii="仿宋" w:hAnsi="仿宋" w:eastAsia="仿宋" w:cs="华文中宋"/>
          <w:b/>
          <w:szCs w:val="21"/>
        </w:rPr>
        <w:t>：</w:t>
      </w:r>
    </w:p>
    <w:p w14:paraId="39C6DABB">
      <w:pPr>
        <w:pStyle w:val="34"/>
        <w:widowControl w:val="0"/>
        <w:snapToGrid w:val="0"/>
        <w:spacing w:before="0" w:beforeAutospacing="0" w:after="0" w:afterAutospacing="0" w:line="360" w:lineRule="auto"/>
        <w:ind w:firstLine="420" w:firstLineChars="200"/>
        <w:jc w:val="both"/>
        <w:rPr>
          <w:rFonts w:hint="eastAsia" w:ascii="仿宋" w:hAnsi="仿宋" w:eastAsia="仿宋" w:cs="华文中宋"/>
          <w:sz w:val="21"/>
          <w:szCs w:val="21"/>
        </w:rPr>
      </w:pPr>
      <w:r>
        <w:rPr>
          <w:rFonts w:hint="eastAsia" w:ascii="仿宋" w:hAnsi="仿宋" w:eastAsia="仿宋" w:cs="华文中宋"/>
          <w:kern w:val="2"/>
          <w:sz w:val="21"/>
          <w:szCs w:val="21"/>
        </w:rPr>
        <w:t>(投标人全称)授权(投标人代表姓名)(职务、职称)为我方代表，参加贵方组织的(项目名称、项目编号)招标的有关活动，并对此项目进行投标。为此：</w:t>
      </w:r>
    </w:p>
    <w:p w14:paraId="1CC1FF7E">
      <w:pPr>
        <w:pStyle w:val="34"/>
        <w:widowControl w:val="0"/>
        <w:tabs>
          <w:tab w:val="left" w:pos="1711"/>
        </w:tabs>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1、我方已仔细研究了本项目招标文件的全部内容，愿意以以下投标报价，按照招标文件要求及合同约定完成项目。</w:t>
      </w:r>
    </w:p>
    <w:p w14:paraId="59734A28">
      <w:pPr>
        <w:pStyle w:val="34"/>
        <w:widowControl w:val="0"/>
        <w:tabs>
          <w:tab w:val="left" w:pos="1711"/>
        </w:tabs>
        <w:adjustRightInd w:val="0"/>
        <w:snapToGrid w:val="0"/>
        <w:spacing w:before="0" w:beforeAutospacing="0" w:after="0" w:afterAutospacing="0" w:line="360" w:lineRule="auto"/>
        <w:ind w:firstLine="420" w:firstLineChars="200"/>
        <w:jc w:val="both"/>
        <w:outlineLvl w:val="2"/>
        <w:rPr>
          <w:rFonts w:hint="eastAsia" w:ascii="仿宋" w:hAnsi="仿宋" w:eastAsia="仿宋" w:cs="华文中宋"/>
        </w:rPr>
      </w:pPr>
      <w:r>
        <w:rPr>
          <w:rFonts w:hint="eastAsia" w:ascii="仿宋" w:hAnsi="仿宋" w:eastAsia="仿宋" w:cs="华文中宋"/>
          <w:sz w:val="21"/>
          <w:szCs w:val="21"/>
        </w:rPr>
        <w:t>第一包：人民币（大写）元（￥元）</w:t>
      </w:r>
    </w:p>
    <w:p w14:paraId="36F0C204">
      <w:pPr>
        <w:pStyle w:val="34"/>
        <w:widowControl w:val="0"/>
        <w:tabs>
          <w:tab w:val="left" w:pos="1711"/>
        </w:tabs>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第二包：人民币（大写）元（￥元）</w:t>
      </w:r>
    </w:p>
    <w:p w14:paraId="4D4FD2FE">
      <w:pPr>
        <w:pStyle w:val="34"/>
        <w:widowControl w:val="0"/>
        <w:tabs>
          <w:tab w:val="left" w:pos="1711"/>
        </w:tabs>
        <w:adjustRightInd w:val="0"/>
        <w:snapToGrid w:val="0"/>
        <w:spacing w:before="0" w:beforeAutospacing="0" w:after="0" w:afterAutospacing="0" w:line="360" w:lineRule="auto"/>
        <w:ind w:firstLine="420" w:firstLineChars="200"/>
        <w:jc w:val="both"/>
        <w:rPr>
          <w:rFonts w:hint="eastAsia" w:ascii="仿宋" w:hAnsi="仿宋" w:eastAsia="仿宋" w:cs="华文中宋"/>
          <w:u w:val="single"/>
        </w:rPr>
      </w:pPr>
      <w:r>
        <w:rPr>
          <w:rFonts w:hint="eastAsia" w:ascii="仿宋" w:hAnsi="仿宋" w:eastAsia="仿宋" w:cs="华文中宋"/>
          <w:sz w:val="21"/>
          <w:szCs w:val="21"/>
        </w:rPr>
        <w:t>……</w:t>
      </w:r>
    </w:p>
    <w:p w14:paraId="0A5E3551">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2、我方同意在本项目招标文件中规定的投标文件有效期</w:t>
      </w:r>
      <w:r>
        <w:rPr>
          <w:rFonts w:hint="eastAsia" w:ascii="仿宋" w:hAnsi="仿宋" w:eastAsia="仿宋" w:cs="华文中宋"/>
          <w:sz w:val="21"/>
          <w:szCs w:val="21"/>
          <w:u w:val="single"/>
        </w:rPr>
        <w:t>90</w:t>
      </w:r>
      <w:r>
        <w:rPr>
          <w:rFonts w:hint="eastAsia" w:ascii="仿宋" w:hAnsi="仿宋" w:eastAsia="仿宋" w:cs="华文中宋"/>
          <w:sz w:val="21"/>
          <w:szCs w:val="21"/>
        </w:rPr>
        <w:t>个日历天内（自递交投标文件之日起计算）遵守本投标文件中的承诺且在此期限期满之前均具有约束力。如果中标，投标文件有效期延长至合同履约完毕。</w:t>
      </w:r>
    </w:p>
    <w:p w14:paraId="5B300C23">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3、我方承诺已经具备《中华人民共和国政府采购法》中规定的参加政府采购活动的供应商应当具备的全部条件和本招标文件规定的特定资质要求。</w:t>
      </w:r>
    </w:p>
    <w:p w14:paraId="5D4E7EE4">
      <w:pPr>
        <w:snapToGrid w:val="0"/>
        <w:spacing w:line="360" w:lineRule="auto"/>
        <w:ind w:firstLine="420" w:firstLineChars="200"/>
        <w:outlineLvl w:val="2"/>
        <w:rPr>
          <w:rFonts w:hint="eastAsia" w:ascii="仿宋" w:hAnsi="仿宋" w:eastAsia="仿宋" w:cs="华文中宋"/>
          <w:szCs w:val="21"/>
        </w:rPr>
      </w:pPr>
      <w:r>
        <w:rPr>
          <w:rFonts w:hint="eastAsia" w:ascii="仿宋" w:hAnsi="仿宋" w:eastAsia="仿宋" w:cs="华文中宋"/>
          <w:szCs w:val="21"/>
        </w:rPr>
        <w:t>4、提供投标须知规定的全部投标文件。</w:t>
      </w:r>
    </w:p>
    <w:p w14:paraId="2766EB6A">
      <w:pPr>
        <w:snapToGrid w:val="0"/>
        <w:spacing w:line="360" w:lineRule="auto"/>
        <w:ind w:firstLine="420" w:firstLineChars="200"/>
        <w:rPr>
          <w:rFonts w:hint="eastAsia" w:ascii="仿宋" w:hAnsi="仿宋" w:eastAsia="仿宋" w:cs="华文中宋"/>
          <w:kern w:val="0"/>
          <w:szCs w:val="21"/>
        </w:rPr>
      </w:pPr>
      <w:r>
        <w:rPr>
          <w:rFonts w:hint="eastAsia" w:ascii="仿宋" w:hAnsi="仿宋" w:eastAsia="仿宋" w:cs="华文中宋"/>
          <w:kern w:val="0"/>
          <w:szCs w:val="21"/>
        </w:rPr>
        <w:t>5、按招标文件要求提供和交付的货物（服务）的投标报价详见开标一览表报价明细表。</w:t>
      </w:r>
    </w:p>
    <w:p w14:paraId="3261FB47">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6、我方承诺：完全理解投标报价超过招标文件公布的预算金额时，导致投标无效。</w:t>
      </w:r>
    </w:p>
    <w:p w14:paraId="73F1AE5A">
      <w:pPr>
        <w:pStyle w:val="34"/>
        <w:widowControl w:val="0"/>
        <w:tabs>
          <w:tab w:val="left" w:pos="1680"/>
        </w:tabs>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7、保证忠实地执行双方所签订的合同，并承担合同约定的责任和义务。</w:t>
      </w:r>
    </w:p>
    <w:p w14:paraId="19BAB18D">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8、承诺完全满足和响应招标文件中的各项商务和技术要求。</w:t>
      </w:r>
    </w:p>
    <w:p w14:paraId="2A3A35A2">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9、保证遵守招标文件的所有规定。</w:t>
      </w:r>
    </w:p>
    <w:p w14:paraId="16283F4D">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sz w:val="21"/>
          <w:szCs w:val="21"/>
        </w:rPr>
      </w:pPr>
      <w:r>
        <w:rPr>
          <w:rFonts w:hint="eastAsia" w:ascii="仿宋" w:hAnsi="仿宋" w:eastAsia="仿宋" w:cs="华文中宋"/>
          <w:sz w:val="21"/>
          <w:szCs w:val="21"/>
        </w:rPr>
        <w:t>10、对贵方在本次招标公告刊登的媒体上发布的公告或与本项目有关的通知，我方会及时查看获取。若因线路故障等其他原因导致通知延迟获取或无法获取，责任由我方自负。</w:t>
      </w:r>
    </w:p>
    <w:p w14:paraId="21113056">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11、如果在开标后规定的投标有效期内撤回投标，我方的投标保证金可被贵方没收。</w:t>
      </w:r>
    </w:p>
    <w:p w14:paraId="2B781209">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12、我方完全理解贵方不一定接受最低价的投标或收到的任何投标。</w:t>
      </w:r>
    </w:p>
    <w:p w14:paraId="38589EFD">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13、我方愿意向贵方提供任何与本项投标有关的数据、情况和技术资料。若贵方需要，我方愿意提供我方做出的一切承诺的证明材料。</w:t>
      </w:r>
    </w:p>
    <w:p w14:paraId="3AD820D5">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14、我方已详细审核全部投标文件，包括投标文件修改书（如有的话）、参考资料及有关附件，确认无误。</w:t>
      </w:r>
    </w:p>
    <w:p w14:paraId="10706BD1">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华文中宋"/>
        </w:rPr>
      </w:pPr>
      <w:r>
        <w:rPr>
          <w:rFonts w:hint="eastAsia" w:ascii="仿宋" w:hAnsi="仿宋" w:eastAsia="仿宋" w:cs="华文中宋"/>
          <w:sz w:val="21"/>
          <w:szCs w:val="21"/>
        </w:rPr>
        <w:t>15、我方承诺：采购人若需追加采购本项目招标文件所列货物及相关服务的，在不改变合同其他实质性条款的前提下，按相同或更优惠的折扣率保证供货。</w:t>
      </w:r>
    </w:p>
    <w:p w14:paraId="43E4DBA3">
      <w:pPr>
        <w:pStyle w:val="34"/>
        <w:widowControl w:val="0"/>
        <w:adjustRightInd w:val="0"/>
        <w:snapToGrid w:val="0"/>
        <w:spacing w:before="0" w:beforeAutospacing="0" w:after="0" w:afterAutospacing="0" w:line="360" w:lineRule="auto"/>
        <w:ind w:firstLine="420" w:firstLineChars="200"/>
        <w:jc w:val="both"/>
        <w:outlineLvl w:val="2"/>
        <w:rPr>
          <w:rFonts w:hint="eastAsia" w:ascii="仿宋" w:hAnsi="仿宋" w:eastAsia="仿宋" w:cs="华文中宋"/>
        </w:rPr>
      </w:pPr>
      <w:r>
        <w:rPr>
          <w:rFonts w:hint="eastAsia" w:ascii="仿宋" w:hAnsi="仿宋" w:eastAsia="仿宋" w:cs="华文中宋"/>
          <w:sz w:val="21"/>
          <w:szCs w:val="21"/>
        </w:rPr>
        <w:t>16、我方承诺接受招标文件中合同全部条款且无任何异议。</w:t>
      </w:r>
    </w:p>
    <w:p w14:paraId="3DCAC439">
      <w:pPr>
        <w:snapToGrid w:val="0"/>
        <w:spacing w:line="360" w:lineRule="auto"/>
        <w:rPr>
          <w:rFonts w:hint="eastAsia" w:ascii="仿宋" w:hAnsi="仿宋" w:eastAsia="仿宋" w:cs="华文中宋"/>
          <w:szCs w:val="21"/>
        </w:rPr>
      </w:pPr>
      <w:r>
        <w:rPr>
          <w:rFonts w:hint="eastAsia" w:ascii="仿宋" w:hAnsi="仿宋" w:eastAsia="仿宋" w:cs="华文中宋"/>
          <w:szCs w:val="21"/>
        </w:rPr>
        <w:t>所有有关本次投标的一切往来联系方式为：</w:t>
      </w:r>
    </w:p>
    <w:p w14:paraId="26D6878A">
      <w:pPr>
        <w:snapToGrid w:val="0"/>
        <w:spacing w:line="360" w:lineRule="auto"/>
        <w:rPr>
          <w:rFonts w:hint="eastAsia" w:ascii="仿宋" w:hAnsi="仿宋" w:eastAsia="仿宋" w:cs="华文中宋"/>
          <w:szCs w:val="21"/>
        </w:rPr>
      </w:pPr>
      <w:r>
        <w:rPr>
          <w:rFonts w:hint="eastAsia" w:ascii="仿宋" w:hAnsi="仿宋" w:eastAsia="仿宋" w:cs="华文中宋"/>
          <w:szCs w:val="21"/>
        </w:rPr>
        <w:t>地址：</w:t>
      </w:r>
      <w:r>
        <w:rPr>
          <w:rFonts w:hint="eastAsia" w:ascii="仿宋" w:hAnsi="仿宋" w:eastAsia="仿宋"/>
          <w:spacing w:val="20"/>
          <w:szCs w:val="21"/>
          <w:u w:val="single"/>
        </w:rPr>
        <w:t xml:space="preserve">                </w:t>
      </w:r>
      <w:r>
        <w:rPr>
          <w:rFonts w:hint="eastAsia" w:ascii="仿宋" w:hAnsi="仿宋" w:eastAsia="仿宋" w:cs="华文中宋"/>
          <w:szCs w:val="21"/>
        </w:rPr>
        <w:tab/>
      </w:r>
      <w:r>
        <w:rPr>
          <w:rFonts w:hint="eastAsia" w:ascii="仿宋" w:hAnsi="仿宋" w:eastAsia="仿宋" w:cs="华文中宋"/>
          <w:szCs w:val="21"/>
        </w:rPr>
        <w:t xml:space="preserve">          邮编：</w:t>
      </w:r>
      <w:r>
        <w:rPr>
          <w:rFonts w:hint="eastAsia" w:ascii="仿宋" w:hAnsi="仿宋" w:eastAsia="仿宋"/>
          <w:spacing w:val="20"/>
          <w:szCs w:val="21"/>
          <w:u w:val="single"/>
        </w:rPr>
        <w:t xml:space="preserve">                </w:t>
      </w:r>
    </w:p>
    <w:p w14:paraId="0F1A81E4">
      <w:pPr>
        <w:snapToGrid w:val="0"/>
        <w:spacing w:line="360" w:lineRule="auto"/>
        <w:rPr>
          <w:rFonts w:hint="eastAsia" w:ascii="仿宋" w:hAnsi="仿宋" w:eastAsia="仿宋" w:cs="华文中宋"/>
          <w:szCs w:val="21"/>
        </w:rPr>
      </w:pPr>
      <w:r>
        <w:rPr>
          <w:rFonts w:hint="eastAsia" w:ascii="仿宋" w:hAnsi="仿宋" w:eastAsia="仿宋" w:cs="华文中宋"/>
          <w:szCs w:val="21"/>
        </w:rPr>
        <w:t>电话：</w:t>
      </w:r>
      <w:r>
        <w:rPr>
          <w:rFonts w:hint="eastAsia" w:ascii="仿宋" w:hAnsi="仿宋" w:eastAsia="仿宋"/>
          <w:spacing w:val="20"/>
          <w:szCs w:val="21"/>
          <w:u w:val="single"/>
        </w:rPr>
        <w:t xml:space="preserve">                </w:t>
      </w:r>
      <w:r>
        <w:rPr>
          <w:rFonts w:hint="eastAsia" w:ascii="仿宋" w:hAnsi="仿宋" w:eastAsia="仿宋" w:cs="华文中宋"/>
          <w:szCs w:val="21"/>
        </w:rPr>
        <w:tab/>
      </w:r>
      <w:r>
        <w:rPr>
          <w:rFonts w:hint="eastAsia" w:ascii="仿宋" w:hAnsi="仿宋" w:eastAsia="仿宋" w:cs="华文中宋"/>
          <w:szCs w:val="21"/>
        </w:rPr>
        <w:t xml:space="preserve">          传真：</w:t>
      </w:r>
      <w:r>
        <w:rPr>
          <w:rFonts w:hint="eastAsia" w:ascii="仿宋" w:hAnsi="仿宋" w:eastAsia="仿宋"/>
          <w:spacing w:val="20"/>
          <w:szCs w:val="21"/>
          <w:u w:val="single"/>
        </w:rPr>
        <w:t xml:space="preserve">                </w:t>
      </w:r>
    </w:p>
    <w:p w14:paraId="06F5C99E">
      <w:pPr>
        <w:tabs>
          <w:tab w:val="left" w:pos="480"/>
        </w:tabs>
        <w:snapToGrid w:val="0"/>
        <w:spacing w:line="360" w:lineRule="auto"/>
        <w:rPr>
          <w:rFonts w:hint="eastAsia" w:ascii="仿宋" w:hAnsi="仿宋" w:eastAsia="仿宋" w:cs="华文中宋"/>
          <w:szCs w:val="21"/>
        </w:rPr>
      </w:pPr>
      <w:r>
        <w:rPr>
          <w:rFonts w:hint="eastAsia" w:ascii="仿宋" w:hAnsi="仿宋" w:eastAsia="仿宋" w:cs="华文中宋"/>
          <w:szCs w:val="21"/>
        </w:rPr>
        <w:t>投标人代表姓名：</w:t>
      </w:r>
      <w:r>
        <w:rPr>
          <w:rFonts w:hint="eastAsia" w:ascii="仿宋" w:hAnsi="仿宋" w:eastAsia="仿宋"/>
          <w:spacing w:val="20"/>
          <w:szCs w:val="21"/>
          <w:u w:val="single"/>
        </w:rPr>
        <w:t xml:space="preserve">                </w:t>
      </w:r>
    </w:p>
    <w:p w14:paraId="1E44784F">
      <w:pPr>
        <w:tabs>
          <w:tab w:val="left" w:pos="480"/>
        </w:tabs>
        <w:snapToGrid w:val="0"/>
        <w:spacing w:line="360" w:lineRule="auto"/>
        <w:rPr>
          <w:rFonts w:hint="eastAsia" w:ascii="仿宋" w:hAnsi="仿宋" w:eastAsia="仿宋"/>
          <w:spacing w:val="20"/>
          <w:szCs w:val="21"/>
          <w:u w:val="single"/>
        </w:rPr>
      </w:pPr>
      <w:r>
        <w:rPr>
          <w:rFonts w:hint="eastAsia" w:ascii="仿宋" w:hAnsi="仿宋" w:eastAsia="仿宋" w:cs="华文中宋"/>
          <w:szCs w:val="21"/>
        </w:rPr>
        <w:t>投标人代表联系电话：</w:t>
      </w:r>
      <w:r>
        <w:rPr>
          <w:rFonts w:hint="eastAsia" w:ascii="仿宋" w:hAnsi="仿宋" w:eastAsia="仿宋"/>
          <w:spacing w:val="20"/>
          <w:szCs w:val="21"/>
          <w:u w:val="single"/>
        </w:rPr>
        <w:t xml:space="preserve">                </w:t>
      </w:r>
      <w:r>
        <w:rPr>
          <w:rFonts w:hint="eastAsia" w:ascii="仿宋" w:hAnsi="仿宋" w:eastAsia="仿宋" w:cs="华文中宋"/>
          <w:szCs w:val="21"/>
        </w:rPr>
        <w:t xml:space="preserve"> （办公）</w:t>
      </w:r>
      <w:r>
        <w:rPr>
          <w:rFonts w:hint="eastAsia" w:ascii="仿宋" w:hAnsi="仿宋" w:eastAsia="仿宋"/>
          <w:spacing w:val="20"/>
          <w:szCs w:val="21"/>
          <w:u w:val="single"/>
        </w:rPr>
        <w:t xml:space="preserve">                </w:t>
      </w:r>
      <w:r>
        <w:rPr>
          <w:rFonts w:hint="eastAsia" w:ascii="仿宋" w:hAnsi="仿宋" w:eastAsia="仿宋" w:cs="华文中宋"/>
          <w:szCs w:val="21"/>
        </w:rPr>
        <w:t>（手机）</w:t>
      </w:r>
    </w:p>
    <w:p w14:paraId="43C8343C">
      <w:pPr>
        <w:tabs>
          <w:tab w:val="left" w:pos="480"/>
        </w:tabs>
        <w:snapToGrid w:val="0"/>
        <w:spacing w:line="360" w:lineRule="auto"/>
        <w:rPr>
          <w:rFonts w:hint="eastAsia" w:ascii="仿宋" w:hAnsi="仿宋" w:eastAsia="仿宋" w:cs="华文中宋"/>
          <w:szCs w:val="21"/>
        </w:rPr>
      </w:pPr>
      <w:r>
        <w:rPr>
          <w:rFonts w:hint="eastAsia" w:ascii="仿宋" w:hAnsi="仿宋" w:eastAsia="仿宋" w:cs="华文中宋"/>
          <w:szCs w:val="21"/>
        </w:rPr>
        <w:t>E-mail：</w:t>
      </w:r>
      <w:r>
        <w:rPr>
          <w:rFonts w:hint="eastAsia" w:ascii="仿宋" w:hAnsi="仿宋" w:eastAsia="仿宋"/>
          <w:spacing w:val="20"/>
          <w:szCs w:val="21"/>
          <w:u w:val="single"/>
        </w:rPr>
        <w:t xml:space="preserve">                </w:t>
      </w:r>
    </w:p>
    <w:p w14:paraId="7288AAD9">
      <w:pPr>
        <w:snapToGrid w:val="0"/>
        <w:spacing w:line="360" w:lineRule="auto"/>
        <w:ind w:firstLine="3885" w:firstLineChars="1850"/>
        <w:jc w:val="right"/>
        <w:rPr>
          <w:rFonts w:hint="eastAsia" w:ascii="仿宋" w:hAnsi="仿宋" w:eastAsia="仿宋" w:cs="华文中宋"/>
          <w:szCs w:val="21"/>
        </w:rPr>
      </w:pPr>
      <w:r>
        <w:rPr>
          <w:rFonts w:hint="eastAsia" w:ascii="仿宋" w:hAnsi="仿宋" w:eastAsia="仿宋" w:cs="华文中宋"/>
          <w:szCs w:val="21"/>
        </w:rPr>
        <w:t>投标人</w:t>
      </w:r>
      <w:r>
        <w:rPr>
          <w:rFonts w:hint="eastAsia" w:ascii="仿宋" w:hAnsi="仿宋" w:eastAsia="仿宋"/>
          <w:szCs w:val="21"/>
        </w:rPr>
        <w:t>：</w:t>
      </w:r>
      <w:r>
        <w:rPr>
          <w:rFonts w:hint="eastAsia" w:ascii="仿宋" w:hAnsi="仿宋" w:eastAsia="仿宋"/>
          <w:spacing w:val="20"/>
          <w:szCs w:val="21"/>
          <w:u w:val="single"/>
        </w:rPr>
        <w:t xml:space="preserve">                </w:t>
      </w:r>
      <w:r>
        <w:rPr>
          <w:rFonts w:hint="eastAsia" w:ascii="仿宋" w:hAnsi="仿宋" w:eastAsia="仿宋"/>
          <w:szCs w:val="21"/>
        </w:rPr>
        <w:t>（</w:t>
      </w:r>
      <w:r>
        <w:rPr>
          <w:rFonts w:hint="eastAsia" w:ascii="仿宋" w:hAnsi="仿宋" w:eastAsia="仿宋"/>
          <w:spacing w:val="20"/>
          <w:szCs w:val="21"/>
        </w:rPr>
        <w:t>电子公章</w:t>
      </w:r>
      <w:r>
        <w:rPr>
          <w:rFonts w:hint="eastAsia" w:ascii="仿宋" w:hAnsi="仿宋" w:eastAsia="仿宋"/>
          <w:szCs w:val="21"/>
        </w:rPr>
        <w:t xml:space="preserve">）                                                                                </w:t>
      </w:r>
    </w:p>
    <w:p w14:paraId="000F4ADC">
      <w:pPr>
        <w:snapToGrid w:val="0"/>
        <w:spacing w:line="360" w:lineRule="auto"/>
        <w:ind w:left="5670" w:leftChars="1850" w:hanging="1785" w:hangingChars="850"/>
        <w:jc w:val="right"/>
        <w:rPr>
          <w:rFonts w:hint="eastAsia" w:ascii="仿宋" w:hAnsi="仿宋" w:eastAsia="仿宋"/>
          <w:szCs w:val="21"/>
        </w:rPr>
      </w:pPr>
      <w:r>
        <w:rPr>
          <w:rFonts w:hint="eastAsia" w:ascii="仿宋" w:hAnsi="仿宋" w:eastAsia="仿宋" w:cs="华文中宋"/>
          <w:szCs w:val="21"/>
        </w:rPr>
        <w:t>年  月  日</w:t>
      </w:r>
    </w:p>
    <w:p w14:paraId="65B78F7E">
      <w:pPr>
        <w:spacing w:line="360" w:lineRule="exact"/>
        <w:ind w:left="315" w:hanging="315" w:hangingChars="150"/>
        <w:rPr>
          <w:rFonts w:hint="eastAsia" w:ascii="仿宋" w:hAnsi="仿宋" w:eastAsia="仿宋" w:cs="华文中宋"/>
          <w:kern w:val="0"/>
          <w:szCs w:val="21"/>
        </w:rPr>
      </w:pPr>
      <w:r>
        <w:rPr>
          <w:rFonts w:hint="eastAsia" w:ascii="仿宋" w:hAnsi="仿宋" w:eastAsia="仿宋" w:cs="华文中宋"/>
          <w:kern w:val="0"/>
          <w:szCs w:val="21"/>
        </w:rPr>
        <w:t>注：内容完整，不得留空。</w:t>
      </w:r>
    </w:p>
    <w:p w14:paraId="4E08D01B">
      <w:pPr>
        <w:spacing w:line="360" w:lineRule="exact"/>
        <w:ind w:left="361" w:hanging="361" w:hangingChars="150"/>
        <w:rPr>
          <w:rFonts w:hint="eastAsia" w:ascii="仿宋" w:hAnsi="仿宋" w:eastAsia="仿宋" w:cs="华文中宋"/>
          <w:b/>
          <w:sz w:val="24"/>
        </w:rPr>
      </w:pPr>
    </w:p>
    <w:p w14:paraId="43248289">
      <w:pPr>
        <w:spacing w:line="360" w:lineRule="exact"/>
        <w:ind w:left="361" w:hanging="361" w:hangingChars="150"/>
        <w:outlineLvl w:val="1"/>
        <w:rPr>
          <w:rFonts w:hint="eastAsia" w:ascii="仿宋" w:hAnsi="仿宋" w:eastAsia="仿宋" w:cs="华文中宋"/>
          <w:b/>
          <w:sz w:val="24"/>
        </w:rPr>
      </w:pPr>
      <w:r>
        <w:rPr>
          <w:rFonts w:hint="eastAsia" w:ascii="仿宋" w:hAnsi="仿宋" w:eastAsia="仿宋" w:cs="华文中宋"/>
          <w:b/>
          <w:sz w:val="24"/>
        </w:rPr>
        <w:t>三、对商务要求的响应内容</w:t>
      </w:r>
    </w:p>
    <w:p w14:paraId="6AB09CBB">
      <w:pPr>
        <w:spacing w:line="360" w:lineRule="exact"/>
        <w:ind w:left="315" w:leftChars="150" w:firstLine="105" w:firstLineChars="50"/>
        <w:rPr>
          <w:rFonts w:hint="eastAsia" w:ascii="仿宋" w:hAnsi="仿宋" w:eastAsia="仿宋" w:cs="华文中宋"/>
          <w:szCs w:val="21"/>
        </w:rPr>
      </w:pPr>
      <w:r>
        <w:rPr>
          <w:rFonts w:hint="eastAsia" w:ascii="仿宋" w:hAnsi="仿宋" w:eastAsia="仿宋" w:cs="华文中宋"/>
          <w:szCs w:val="21"/>
        </w:rPr>
        <w:t>根据本文件第四部分商务要求中的内容（例如：服务期限等）进行响应。</w:t>
      </w:r>
    </w:p>
    <w:p w14:paraId="14799F68">
      <w:pPr>
        <w:spacing w:line="360" w:lineRule="exact"/>
        <w:ind w:left="315" w:leftChars="150" w:firstLine="105" w:firstLineChars="50"/>
        <w:rPr>
          <w:rFonts w:hint="eastAsia" w:ascii="仿宋" w:hAnsi="仿宋" w:eastAsia="仿宋" w:cs="华文中宋"/>
          <w:szCs w:val="21"/>
        </w:rPr>
      </w:pPr>
    </w:p>
    <w:p w14:paraId="18E51AB9">
      <w:pPr>
        <w:spacing w:line="360" w:lineRule="exact"/>
        <w:ind w:left="315" w:leftChars="150" w:firstLine="105" w:firstLineChars="50"/>
        <w:rPr>
          <w:rFonts w:hint="eastAsia" w:ascii="仿宋" w:hAnsi="仿宋" w:eastAsia="仿宋" w:cs="华文中宋"/>
          <w:szCs w:val="21"/>
        </w:rPr>
      </w:pPr>
      <w:r>
        <w:rPr>
          <w:rFonts w:hint="eastAsia" w:ascii="仿宋" w:hAnsi="仿宋" w:eastAsia="仿宋" w:cs="华文中宋"/>
          <w:szCs w:val="21"/>
        </w:rPr>
        <w:t>按照本采购文件第四部分采购需求内容进行响应，格式自拟。加盖投标人电子公章。</w:t>
      </w:r>
    </w:p>
    <w:p w14:paraId="283ED8B1">
      <w:pPr>
        <w:spacing w:line="360" w:lineRule="exact"/>
        <w:ind w:left="315" w:leftChars="150" w:firstLine="105" w:firstLineChars="50"/>
        <w:rPr>
          <w:rFonts w:hint="eastAsia" w:ascii="仿宋" w:hAnsi="仿宋" w:eastAsia="仿宋" w:cs="华文中宋"/>
          <w:szCs w:val="21"/>
        </w:rPr>
      </w:pPr>
    </w:p>
    <w:p w14:paraId="0E0BBB98">
      <w:pPr>
        <w:spacing w:line="360" w:lineRule="exact"/>
        <w:ind w:left="361" w:hanging="361" w:hangingChars="150"/>
        <w:outlineLvl w:val="1"/>
        <w:rPr>
          <w:rFonts w:hint="eastAsia" w:ascii="仿宋" w:hAnsi="仿宋" w:eastAsia="仿宋" w:cs="华文中宋"/>
          <w:b/>
          <w:sz w:val="24"/>
        </w:rPr>
      </w:pPr>
      <w:r>
        <w:rPr>
          <w:rFonts w:hint="eastAsia" w:ascii="仿宋" w:hAnsi="仿宋" w:eastAsia="仿宋" w:cs="华文中宋"/>
          <w:b/>
          <w:sz w:val="24"/>
        </w:rPr>
        <w:t>四、对服务要求的响应内容</w:t>
      </w:r>
    </w:p>
    <w:p w14:paraId="73288005">
      <w:pPr>
        <w:spacing w:line="360" w:lineRule="exact"/>
        <w:ind w:left="315" w:leftChars="150" w:firstLine="105" w:firstLineChars="50"/>
        <w:rPr>
          <w:rFonts w:hint="eastAsia" w:ascii="仿宋" w:hAnsi="仿宋" w:eastAsia="仿宋" w:cs="华文中宋"/>
          <w:szCs w:val="21"/>
        </w:rPr>
      </w:pPr>
      <w:r>
        <w:rPr>
          <w:rFonts w:hint="eastAsia" w:ascii="仿宋" w:hAnsi="仿宋" w:eastAsia="仿宋" w:cs="华文中宋"/>
          <w:szCs w:val="21"/>
        </w:rPr>
        <w:t>根据本文件第四部分服务要求中的内容进行响应。</w:t>
      </w:r>
    </w:p>
    <w:p w14:paraId="73C43CCB">
      <w:pPr>
        <w:spacing w:line="360" w:lineRule="exact"/>
        <w:ind w:firstLine="420" w:firstLineChars="200"/>
        <w:rPr>
          <w:rFonts w:hint="eastAsia" w:ascii="仿宋" w:hAnsi="仿宋" w:eastAsia="仿宋" w:cs="华文中宋"/>
          <w:szCs w:val="21"/>
        </w:rPr>
      </w:pPr>
    </w:p>
    <w:p w14:paraId="4A5D370D">
      <w:pPr>
        <w:spacing w:line="360" w:lineRule="exact"/>
        <w:ind w:firstLine="420" w:firstLineChars="200"/>
        <w:rPr>
          <w:rFonts w:hint="eastAsia" w:ascii="仿宋" w:hAnsi="仿宋" w:eastAsia="仿宋" w:cs="华文中宋"/>
          <w:szCs w:val="21"/>
        </w:rPr>
      </w:pPr>
      <w:r>
        <w:rPr>
          <w:rFonts w:hint="eastAsia" w:ascii="仿宋" w:hAnsi="仿宋" w:eastAsia="仿宋" w:cs="华文中宋"/>
          <w:szCs w:val="21"/>
        </w:rPr>
        <w:t>按照本采购文件第四部分采购需求内容进行响应，格式自拟。加盖投标人电子公章。</w:t>
      </w:r>
    </w:p>
    <w:p w14:paraId="7515B893">
      <w:pPr>
        <w:spacing w:line="360" w:lineRule="exact"/>
        <w:ind w:left="315" w:leftChars="150" w:firstLine="105" w:firstLineChars="50"/>
        <w:rPr>
          <w:rFonts w:hint="eastAsia" w:ascii="仿宋" w:hAnsi="仿宋" w:eastAsia="仿宋" w:cs="华文中宋"/>
          <w:b/>
          <w:szCs w:val="21"/>
        </w:rPr>
      </w:pPr>
    </w:p>
    <w:p w14:paraId="5D56CAD9">
      <w:pPr>
        <w:tabs>
          <w:tab w:val="left" w:pos="1680"/>
        </w:tabs>
        <w:snapToGrid w:val="0"/>
        <w:spacing w:line="360" w:lineRule="auto"/>
        <w:outlineLvl w:val="1"/>
        <w:rPr>
          <w:rFonts w:hint="eastAsia" w:ascii="仿宋" w:hAnsi="仿宋" w:eastAsia="仿宋" w:cs="华文中宋"/>
          <w:b/>
          <w:sz w:val="24"/>
        </w:rPr>
      </w:pPr>
      <w:r>
        <w:rPr>
          <w:rFonts w:hint="eastAsia" w:ascii="仿宋" w:hAnsi="仿宋" w:eastAsia="仿宋" w:cs="华文中宋"/>
          <w:b/>
          <w:sz w:val="24"/>
        </w:rPr>
        <w:t>五、涉及政府采购政策要求内容</w:t>
      </w:r>
    </w:p>
    <w:p w14:paraId="65B0D2F4">
      <w:pPr>
        <w:tabs>
          <w:tab w:val="left" w:pos="1680"/>
        </w:tabs>
        <w:snapToGrid w:val="0"/>
        <w:spacing w:line="360" w:lineRule="auto"/>
        <w:outlineLvl w:val="2"/>
        <w:rPr>
          <w:rFonts w:hint="eastAsia" w:ascii="仿宋" w:hAnsi="仿宋" w:eastAsia="仿宋" w:cs="华文中宋"/>
          <w:b/>
          <w:sz w:val="24"/>
        </w:rPr>
      </w:pPr>
      <w:r>
        <w:rPr>
          <w:rFonts w:hint="eastAsia" w:ascii="仿宋" w:hAnsi="仿宋" w:eastAsia="仿宋" w:cs="华文中宋"/>
          <w:b/>
          <w:sz w:val="24"/>
        </w:rPr>
        <w:t>（一）中小企业声明函格式</w:t>
      </w:r>
    </w:p>
    <w:p w14:paraId="4B99B89A">
      <w:pPr>
        <w:tabs>
          <w:tab w:val="left" w:pos="1680"/>
        </w:tabs>
        <w:snapToGrid w:val="0"/>
        <w:spacing w:line="360" w:lineRule="auto"/>
        <w:jc w:val="center"/>
        <w:rPr>
          <w:rFonts w:hint="eastAsia" w:ascii="华文中宋" w:hAnsi="华文中宋" w:eastAsia="华文中宋"/>
          <w:b/>
          <w:sz w:val="24"/>
        </w:rPr>
      </w:pPr>
      <w:bookmarkStart w:id="95" w:name="OLE_LINK14"/>
      <w:bookmarkStart w:id="96" w:name="OLE_LINK13"/>
      <w:r>
        <w:rPr>
          <w:rFonts w:hint="eastAsia" w:ascii="华文中宋" w:hAnsi="华文中宋" w:eastAsia="华文中宋"/>
          <w:b/>
          <w:sz w:val="24"/>
        </w:rPr>
        <w:t>中小企业声明函</w:t>
      </w:r>
    </w:p>
    <w:p w14:paraId="634BBD3E">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本公司郑重声明，根据《政府采购促进中小企业发展管理办法》（财库﹝2020﹞46 号）的规定，本公司参加（单位名称）的（项目名称）采购活动，服务全部由符合政策要求的中小企业承接。相关企业的具体情况如下：</w:t>
      </w:r>
    </w:p>
    <w:p w14:paraId="6BA7D06F">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1.</w:t>
      </w:r>
      <w:r>
        <w:rPr>
          <w:rFonts w:hint="eastAsia" w:ascii="仿宋" w:hAnsi="仿宋" w:eastAsia="仿宋" w:cs="Times New Roman"/>
          <w:kern w:val="2"/>
          <w:sz w:val="21"/>
          <w:szCs w:val="22"/>
          <w:u w:val="single"/>
        </w:rPr>
        <w:t>（标的名称）</w:t>
      </w:r>
      <w:r>
        <w:rPr>
          <w:rFonts w:hint="eastAsia" w:ascii="仿宋" w:hAnsi="仿宋" w:eastAsia="仿宋" w:cs="Times New Roman"/>
          <w:kern w:val="2"/>
          <w:sz w:val="21"/>
          <w:szCs w:val="22"/>
        </w:rPr>
        <w:t xml:space="preserve"> ，属于</w:t>
      </w:r>
      <w:r>
        <w:rPr>
          <w:rFonts w:hint="eastAsia" w:ascii="仿宋" w:hAnsi="仿宋" w:eastAsia="仿宋" w:cs="Times New Roman"/>
          <w:kern w:val="2"/>
          <w:sz w:val="21"/>
          <w:szCs w:val="22"/>
          <w:u w:val="single"/>
        </w:rPr>
        <w:t>（采购文件中明确的所属行业）</w:t>
      </w:r>
      <w:r>
        <w:rPr>
          <w:rFonts w:hint="eastAsia" w:ascii="仿宋" w:hAnsi="仿宋" w:eastAsia="仿宋" w:cs="Times New Roman"/>
          <w:kern w:val="2"/>
          <w:sz w:val="21"/>
          <w:szCs w:val="22"/>
        </w:rPr>
        <w:t xml:space="preserve">；承接企业为（企业名称），从业人员（人数）人,营业收入为（小写）万元,资产总额为（小写）万元,属于(中型企业、小型企业、微型企业); </w:t>
      </w:r>
    </w:p>
    <w:p w14:paraId="1FF41528">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2.</w:t>
      </w:r>
      <w:r>
        <w:rPr>
          <w:rFonts w:hint="eastAsia" w:ascii="仿宋" w:hAnsi="仿宋" w:eastAsia="仿宋" w:cs="Times New Roman"/>
          <w:kern w:val="2"/>
          <w:sz w:val="21"/>
          <w:szCs w:val="22"/>
          <w:u w:val="single"/>
        </w:rPr>
        <w:t xml:space="preserve">（标的名称） </w:t>
      </w:r>
      <w:r>
        <w:rPr>
          <w:rFonts w:hint="eastAsia" w:ascii="仿宋" w:hAnsi="仿宋" w:eastAsia="仿宋" w:cs="Times New Roman"/>
          <w:kern w:val="2"/>
          <w:sz w:val="21"/>
          <w:szCs w:val="22"/>
        </w:rPr>
        <w:t>，属于</w:t>
      </w:r>
      <w:r>
        <w:rPr>
          <w:rFonts w:hint="eastAsia" w:ascii="仿宋" w:hAnsi="仿宋" w:eastAsia="仿宋" w:cs="Times New Roman"/>
          <w:kern w:val="2"/>
          <w:sz w:val="21"/>
          <w:szCs w:val="22"/>
          <w:u w:val="single"/>
        </w:rPr>
        <w:t>（采购文件中明确的所属行业</w:t>
      </w:r>
      <w:r>
        <w:rPr>
          <w:rFonts w:hint="eastAsia" w:ascii="仿宋" w:hAnsi="仿宋" w:eastAsia="仿宋" w:cs="Times New Roman"/>
          <w:kern w:val="2"/>
          <w:sz w:val="21"/>
          <w:szCs w:val="22"/>
        </w:rPr>
        <w:t xml:space="preserve">）；承接企业为（企业名称），从业人员（人数）人,营业收入为（小写）万元,资产总额为（小写）万元,属于(中型企业、小型企业、微型企业); </w:t>
      </w:r>
    </w:p>
    <w:p w14:paraId="71DC697C">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w:t>
      </w:r>
    </w:p>
    <w:p w14:paraId="2FC79E9A">
      <w:pPr>
        <w:pStyle w:val="34"/>
        <w:widowControl w:val="0"/>
        <w:adjustRightInd w:val="0"/>
        <w:snapToGrid w:val="0"/>
        <w:spacing w:before="0" w:beforeAutospacing="0" w:after="0" w:afterAutospacing="0" w:line="360" w:lineRule="auto"/>
        <w:ind w:firstLine="420" w:firstLineChars="2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以上企业，不属于大企业的分支机构，不存在控股股东为大企业的情形，也不存在与大企业的负责人为同一人的情形。 本企业对上述声明内容的真实性负责。如有虚假，将依法承担相应责任。</w:t>
      </w:r>
    </w:p>
    <w:p w14:paraId="181C4ACC">
      <w:pPr>
        <w:pStyle w:val="34"/>
        <w:widowControl w:val="0"/>
        <w:adjustRightInd w:val="0"/>
        <w:snapToGrid w:val="0"/>
        <w:spacing w:before="0" w:beforeAutospacing="0" w:after="0" w:afterAutospacing="0" w:line="360" w:lineRule="auto"/>
        <w:ind w:firstLine="4410" w:firstLineChars="21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企业名称(法人电子印章)：</w:t>
      </w:r>
    </w:p>
    <w:p w14:paraId="106E2737">
      <w:pPr>
        <w:pStyle w:val="34"/>
        <w:widowControl w:val="0"/>
        <w:adjustRightInd w:val="0"/>
        <w:snapToGrid w:val="0"/>
        <w:spacing w:before="0" w:beforeAutospacing="0" w:after="0" w:afterAutospacing="0" w:line="360" w:lineRule="auto"/>
        <w:ind w:firstLine="5460" w:firstLineChars="2600"/>
        <w:jc w:val="both"/>
        <w:rPr>
          <w:rFonts w:hint="eastAsia" w:ascii="仿宋" w:hAnsi="仿宋" w:eastAsia="仿宋" w:cs="Times New Roman"/>
          <w:kern w:val="2"/>
          <w:sz w:val="21"/>
          <w:szCs w:val="22"/>
        </w:rPr>
      </w:pPr>
      <w:r>
        <w:rPr>
          <w:rFonts w:hint="eastAsia" w:ascii="仿宋" w:hAnsi="仿宋" w:eastAsia="仿宋" w:cs="Times New Roman"/>
          <w:kern w:val="2"/>
          <w:sz w:val="21"/>
          <w:szCs w:val="22"/>
        </w:rPr>
        <w:t>日期:</w:t>
      </w:r>
    </w:p>
    <w:p w14:paraId="6CE317CF">
      <w:pPr>
        <w:tabs>
          <w:tab w:val="left" w:pos="1680"/>
        </w:tabs>
        <w:spacing w:line="360" w:lineRule="auto"/>
        <w:jc w:val="left"/>
        <w:rPr>
          <w:rFonts w:hint="eastAsia" w:ascii="仿宋" w:hAnsi="仿宋" w:eastAsia="仿宋"/>
          <w:szCs w:val="22"/>
        </w:rPr>
      </w:pPr>
      <w:r>
        <w:rPr>
          <w:rFonts w:hint="eastAsia" w:ascii="仿宋" w:hAnsi="仿宋" w:eastAsia="仿宋"/>
          <w:szCs w:val="22"/>
        </w:rPr>
        <w:t>注：1.</w:t>
      </w:r>
      <w:r>
        <w:rPr>
          <w:rFonts w:ascii="仿宋" w:hAnsi="仿宋" w:eastAsia="仿宋"/>
          <w:szCs w:val="22"/>
        </w:rPr>
        <w:t>从业人员、营业收入、资产总额填报上一年度数据，无上一年度数据的新成立企业可不填报。</w:t>
      </w:r>
    </w:p>
    <w:p w14:paraId="5F154E31">
      <w:pPr>
        <w:tabs>
          <w:tab w:val="left" w:pos="1680"/>
        </w:tabs>
        <w:spacing w:line="360" w:lineRule="auto"/>
        <w:ind w:firstLine="420" w:firstLineChars="200"/>
        <w:jc w:val="left"/>
        <w:rPr>
          <w:rFonts w:hint="eastAsia" w:ascii="仿宋" w:hAnsi="仿宋" w:eastAsia="仿宋"/>
          <w:szCs w:val="22"/>
        </w:rPr>
      </w:pPr>
      <w:r>
        <w:rPr>
          <w:rFonts w:hint="eastAsia" w:ascii="仿宋" w:hAnsi="仿宋" w:eastAsia="仿宋"/>
          <w:szCs w:val="22"/>
        </w:rPr>
        <w:t>2.中标人享受《政府采购促进中小企业发展管理办法》规定的中小企业扶持政策的，随中标结果公开中标人的《中小企业声明函》。</w:t>
      </w:r>
    </w:p>
    <w:p w14:paraId="4F65A084">
      <w:pPr>
        <w:tabs>
          <w:tab w:val="left" w:pos="1680"/>
        </w:tabs>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本项目标的按照中小企业划型标准规定：所属行业为软件和信息技术服务业。</w:t>
      </w:r>
    </w:p>
    <w:p w14:paraId="08CBC551">
      <w:pPr>
        <w:tabs>
          <w:tab w:val="left" w:pos="1680"/>
        </w:tabs>
        <w:spacing w:line="360" w:lineRule="auto"/>
        <w:ind w:firstLine="420" w:firstLineChars="200"/>
        <w:jc w:val="left"/>
        <w:rPr>
          <w:rFonts w:hint="eastAsia" w:ascii="仿宋" w:hAnsi="仿宋" w:eastAsia="仿宋"/>
          <w:szCs w:val="22"/>
        </w:rPr>
      </w:pPr>
    </w:p>
    <w:p w14:paraId="0C5D7458">
      <w:pPr>
        <w:pStyle w:val="74"/>
        <w:rPr>
          <w:rFonts w:hint="eastAsia"/>
        </w:rPr>
      </w:pPr>
    </w:p>
    <w:p w14:paraId="7845051E">
      <w:pPr>
        <w:spacing w:line="360" w:lineRule="auto"/>
        <w:jc w:val="left"/>
        <w:outlineLvl w:val="2"/>
        <w:rPr>
          <w:rFonts w:hint="eastAsia" w:ascii="仿宋" w:hAnsi="仿宋" w:eastAsia="仿宋" w:cs="华文中宋"/>
          <w:b/>
          <w:spacing w:val="6"/>
          <w:sz w:val="24"/>
        </w:rPr>
      </w:pPr>
    </w:p>
    <w:p w14:paraId="0AE25619">
      <w:pPr>
        <w:spacing w:line="360" w:lineRule="auto"/>
        <w:jc w:val="left"/>
        <w:outlineLvl w:val="2"/>
        <w:rPr>
          <w:rFonts w:hint="eastAsia" w:ascii="仿宋" w:hAnsi="仿宋" w:eastAsia="仿宋" w:cs="华文中宋"/>
          <w:b/>
          <w:spacing w:val="6"/>
          <w:sz w:val="24"/>
        </w:rPr>
      </w:pPr>
      <w:r>
        <w:rPr>
          <w:rFonts w:hint="eastAsia" w:ascii="仿宋" w:hAnsi="仿宋" w:eastAsia="仿宋" w:cs="华文中宋"/>
          <w:b/>
          <w:spacing w:val="6"/>
          <w:sz w:val="24"/>
        </w:rPr>
        <w:t>（二）残疾人福利性单位声明函</w:t>
      </w:r>
      <w:r>
        <w:rPr>
          <w:rFonts w:hint="eastAsia" w:ascii="仿宋" w:hAnsi="仿宋" w:eastAsia="仿宋" w:cs="华文中宋"/>
          <w:b/>
          <w:sz w:val="24"/>
        </w:rPr>
        <w:t>格式</w:t>
      </w:r>
      <w:bookmarkEnd w:id="95"/>
      <w:bookmarkEnd w:id="96"/>
    </w:p>
    <w:p w14:paraId="280DBCD9">
      <w:pPr>
        <w:spacing w:line="360" w:lineRule="auto"/>
        <w:jc w:val="center"/>
        <w:outlineLvl w:val="3"/>
        <w:rPr>
          <w:rFonts w:hint="eastAsia" w:ascii="仿宋" w:hAnsi="仿宋" w:eastAsia="仿宋" w:cs="华文中宋"/>
          <w:b/>
          <w:sz w:val="24"/>
        </w:rPr>
      </w:pPr>
      <w:r>
        <w:rPr>
          <w:rFonts w:hint="eastAsia" w:ascii="仿宋" w:hAnsi="仿宋" w:eastAsia="仿宋" w:cs="华文中宋"/>
          <w:b/>
          <w:spacing w:val="6"/>
          <w:sz w:val="24"/>
        </w:rPr>
        <w:t>残疾人福利性单位声明函</w:t>
      </w:r>
    </w:p>
    <w:p w14:paraId="32129A6A">
      <w:pPr>
        <w:spacing w:line="360" w:lineRule="auto"/>
        <w:ind w:firstLine="444" w:firstLineChars="200"/>
        <w:rPr>
          <w:rFonts w:hint="eastAsia" w:ascii="仿宋" w:hAnsi="仿宋" w:eastAsia="仿宋" w:cs="华文中宋"/>
          <w:spacing w:val="6"/>
          <w:szCs w:val="21"/>
        </w:rPr>
      </w:pPr>
      <w:r>
        <w:rPr>
          <w:rFonts w:hint="eastAsia" w:ascii="仿宋" w:hAnsi="仿宋" w:eastAsia="仿宋" w:cs="华文中宋"/>
          <w:spacing w:val="6"/>
          <w:szCs w:val="21"/>
        </w:rPr>
        <w:t>本单位郑重声明，根据《财政部 民政部 中国残疾人联合会关于促进残疾人就业政府采购政策的通知》（财库</w:t>
      </w:r>
      <w:r>
        <w:rPr>
          <w:rFonts w:hint="eastAsia" w:ascii="仿宋" w:hAnsi="仿宋" w:eastAsia="仿宋" w:cs="华文中宋"/>
          <w:szCs w:val="21"/>
        </w:rPr>
        <w:t>〔2017〕 141</w:t>
      </w:r>
      <w:r>
        <w:rPr>
          <w:rFonts w:hint="eastAsia" w:ascii="仿宋" w:hAnsi="仿宋" w:eastAsia="仿宋" w:cs="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提供的服务（不包括使用非残疾人福利性单位注册商标的货物）。</w:t>
      </w:r>
    </w:p>
    <w:p w14:paraId="0EBA9639">
      <w:pPr>
        <w:spacing w:line="360" w:lineRule="auto"/>
        <w:ind w:firstLine="444" w:firstLineChars="200"/>
        <w:rPr>
          <w:rFonts w:hint="eastAsia" w:ascii="仿宋" w:hAnsi="仿宋" w:eastAsia="仿宋" w:cs="华文中宋"/>
          <w:spacing w:val="6"/>
          <w:szCs w:val="21"/>
        </w:rPr>
      </w:pPr>
      <w:r>
        <w:rPr>
          <w:rFonts w:hint="eastAsia" w:ascii="仿宋" w:hAnsi="仿宋" w:eastAsia="仿宋" w:cs="华文中宋"/>
          <w:spacing w:val="6"/>
          <w:szCs w:val="21"/>
        </w:rPr>
        <w:t>本单位对上述声明的真实性负责。如有虚假，将依法承担相应责任。</w:t>
      </w:r>
    </w:p>
    <w:p w14:paraId="2721C7A6">
      <w:pPr>
        <w:spacing w:line="360" w:lineRule="auto"/>
        <w:ind w:firstLine="444" w:firstLineChars="200"/>
        <w:rPr>
          <w:rFonts w:hint="eastAsia" w:ascii="仿宋" w:hAnsi="仿宋" w:eastAsia="仿宋" w:cs="华文中宋"/>
          <w:spacing w:val="6"/>
          <w:szCs w:val="21"/>
        </w:rPr>
      </w:pPr>
    </w:p>
    <w:p w14:paraId="55F4F4F5">
      <w:pPr>
        <w:tabs>
          <w:tab w:val="left" w:pos="4860"/>
        </w:tabs>
        <w:spacing w:line="360" w:lineRule="auto"/>
        <w:ind w:right="1560" w:firstLine="444" w:firstLineChars="200"/>
        <w:jc w:val="right"/>
        <w:rPr>
          <w:rFonts w:hint="eastAsia" w:ascii="仿宋" w:hAnsi="仿宋" w:eastAsia="仿宋" w:cs="华文中宋"/>
          <w:spacing w:val="6"/>
          <w:szCs w:val="21"/>
        </w:rPr>
      </w:pPr>
      <w:r>
        <w:rPr>
          <w:rFonts w:hint="eastAsia" w:ascii="仿宋" w:hAnsi="仿宋" w:eastAsia="仿宋" w:cs="华文中宋"/>
          <w:spacing w:val="6"/>
          <w:szCs w:val="21"/>
        </w:rPr>
        <w:t xml:space="preserve">                          投标人：</w:t>
      </w:r>
      <w:r>
        <w:rPr>
          <w:rFonts w:hint="eastAsia" w:ascii="仿宋" w:hAnsi="仿宋" w:eastAsia="仿宋"/>
          <w:spacing w:val="20"/>
          <w:szCs w:val="21"/>
          <w:u w:val="single"/>
        </w:rPr>
        <w:t xml:space="preserve">            </w:t>
      </w:r>
      <w:r>
        <w:rPr>
          <w:rFonts w:hint="eastAsia" w:ascii="仿宋" w:hAnsi="仿宋" w:eastAsia="仿宋" w:cs="华文中宋"/>
          <w:spacing w:val="6"/>
          <w:szCs w:val="21"/>
        </w:rPr>
        <w:t>（</w:t>
      </w:r>
      <w:r>
        <w:rPr>
          <w:rFonts w:hint="eastAsia" w:ascii="仿宋" w:hAnsi="仿宋" w:eastAsia="仿宋" w:cs="华文中宋"/>
          <w:spacing w:val="20"/>
          <w:szCs w:val="21"/>
        </w:rPr>
        <w:t>电子公章</w:t>
      </w:r>
      <w:r>
        <w:rPr>
          <w:rFonts w:hint="eastAsia" w:ascii="仿宋" w:hAnsi="仿宋" w:eastAsia="仿宋" w:cs="华文中宋"/>
          <w:spacing w:val="6"/>
          <w:szCs w:val="21"/>
        </w:rPr>
        <w:t>）</w:t>
      </w:r>
    </w:p>
    <w:p w14:paraId="31664A0D">
      <w:pPr>
        <w:tabs>
          <w:tab w:val="left" w:pos="4860"/>
        </w:tabs>
        <w:spacing w:line="360" w:lineRule="auto"/>
        <w:ind w:right="1560" w:firstLine="444" w:firstLineChars="200"/>
        <w:jc w:val="right"/>
        <w:rPr>
          <w:rFonts w:hint="eastAsia" w:ascii="仿宋" w:hAnsi="仿宋" w:eastAsia="仿宋" w:cs="华文中宋"/>
          <w:b/>
          <w:sz w:val="24"/>
        </w:rPr>
      </w:pPr>
      <w:r>
        <w:rPr>
          <w:rFonts w:hint="eastAsia" w:ascii="仿宋" w:hAnsi="仿宋" w:eastAsia="仿宋" w:cs="华文中宋"/>
          <w:spacing w:val="6"/>
          <w:szCs w:val="21"/>
        </w:rPr>
        <w:t xml:space="preserve">                    日  期：</w:t>
      </w:r>
    </w:p>
    <w:p w14:paraId="3C338F8B">
      <w:pPr>
        <w:spacing w:line="360" w:lineRule="auto"/>
        <w:ind w:firstLine="420" w:firstLineChars="200"/>
        <w:rPr>
          <w:rFonts w:hint="eastAsia" w:ascii="仿宋" w:hAnsi="仿宋" w:eastAsia="仿宋"/>
          <w:szCs w:val="22"/>
        </w:rPr>
      </w:pPr>
      <w:r>
        <w:rPr>
          <w:rFonts w:hint="eastAsia" w:ascii="仿宋" w:hAnsi="仿宋" w:eastAsia="仿宋"/>
          <w:szCs w:val="22"/>
        </w:rPr>
        <w:t>注：中标人为残疾人福利性单位的，随中标结果公开中标人的《残疾人福利性单位声明函》。</w:t>
      </w:r>
    </w:p>
    <w:p w14:paraId="21169187">
      <w:pPr>
        <w:spacing w:line="360" w:lineRule="auto"/>
        <w:rPr>
          <w:rFonts w:hint="eastAsia" w:ascii="仿宋" w:hAnsi="仿宋" w:eastAsia="仿宋"/>
          <w:b/>
          <w:szCs w:val="21"/>
        </w:rPr>
      </w:pPr>
    </w:p>
    <w:p w14:paraId="79D9AD33">
      <w:pPr>
        <w:spacing w:line="360" w:lineRule="auto"/>
        <w:jc w:val="left"/>
        <w:outlineLvl w:val="2"/>
        <w:rPr>
          <w:rFonts w:hint="eastAsia" w:ascii="仿宋" w:hAnsi="仿宋" w:eastAsia="仿宋" w:cs="华文中宋"/>
          <w:b/>
          <w:spacing w:val="6"/>
          <w:sz w:val="24"/>
        </w:rPr>
      </w:pPr>
      <w:r>
        <w:rPr>
          <w:rFonts w:hint="eastAsia" w:ascii="仿宋" w:hAnsi="仿宋" w:eastAsia="仿宋" w:cs="华文中宋"/>
          <w:b/>
          <w:spacing w:val="6"/>
          <w:sz w:val="24"/>
        </w:rPr>
        <w:t>（三）监狱企业证明函格式</w:t>
      </w:r>
    </w:p>
    <w:p w14:paraId="2ED67078">
      <w:pPr>
        <w:spacing w:line="360" w:lineRule="auto"/>
        <w:ind w:firstLine="420" w:firstLineChars="200"/>
        <w:rPr>
          <w:rFonts w:hint="eastAsia" w:ascii="仿宋" w:hAnsi="仿宋" w:eastAsia="仿宋"/>
          <w:szCs w:val="21"/>
        </w:rPr>
      </w:pPr>
      <w:r>
        <w:rPr>
          <w:rFonts w:hint="eastAsia" w:ascii="仿宋" w:hAnsi="仿宋" w:eastAsia="仿宋"/>
          <w:szCs w:val="21"/>
        </w:rPr>
        <w:t>监狱企业参加投标视同小微企业，需提供由省级以上监狱管理局或戒毒管理局出具的属于监狱企业的证明文件。</w:t>
      </w:r>
    </w:p>
    <w:p w14:paraId="73A577A5">
      <w:pPr>
        <w:adjustRightInd w:val="0"/>
        <w:snapToGrid w:val="0"/>
        <w:spacing w:line="480" w:lineRule="exact"/>
        <w:ind w:right="480"/>
        <w:jc w:val="center"/>
        <w:rPr>
          <w:rFonts w:hint="eastAsia" w:ascii="仿宋" w:hAnsi="仿宋" w:eastAsia="仿宋" w:cs="宋体"/>
          <w:kern w:val="0"/>
          <w:sz w:val="24"/>
          <w:szCs w:val="21"/>
        </w:rPr>
      </w:pPr>
      <w:r>
        <w:rPr>
          <w:rFonts w:hint="eastAsia" w:ascii="仿宋" w:hAnsi="仿宋" w:eastAsia="仿宋" w:cs="华文中宋"/>
          <w:b/>
          <w:sz w:val="24"/>
        </w:rPr>
        <w:t>监狱企业证明函</w:t>
      </w:r>
    </w:p>
    <w:p w14:paraId="2DEBDCCB">
      <w:pPr>
        <w:adjustRightInd w:val="0"/>
        <w:snapToGrid w:val="0"/>
        <w:spacing w:line="480" w:lineRule="exact"/>
        <w:ind w:firstLine="444" w:firstLineChars="200"/>
        <w:rPr>
          <w:rFonts w:hint="eastAsia" w:ascii="仿宋" w:hAnsi="仿宋" w:eastAsia="仿宋" w:cs="华文中宋"/>
          <w:spacing w:val="6"/>
          <w:szCs w:val="21"/>
        </w:rPr>
      </w:pPr>
      <w:r>
        <w:rPr>
          <w:rFonts w:hint="eastAsia" w:ascii="仿宋" w:hAnsi="仿宋" w:eastAsia="仿宋" w:cs="华文中宋"/>
          <w:spacing w:val="6"/>
          <w:szCs w:val="21"/>
        </w:rPr>
        <w:t>根据《财政部 司法部关于政府采购支持监狱企业发展有关问题的通知》（财库〔2014〕68号）的规定，</w:t>
      </w:r>
      <w:r>
        <w:rPr>
          <w:rFonts w:hint="eastAsia" w:ascii="仿宋" w:hAnsi="仿宋" w:eastAsia="仿宋" w:cs="华文中宋"/>
          <w:spacing w:val="6"/>
          <w:szCs w:val="21"/>
          <w:u w:val="single"/>
        </w:rPr>
        <w:t xml:space="preserve">          </w:t>
      </w:r>
      <w:r>
        <w:rPr>
          <w:rFonts w:hint="eastAsia" w:ascii="仿宋" w:hAnsi="仿宋" w:eastAsia="仿宋" w:cs="华文中宋"/>
          <w:spacing w:val="6"/>
          <w:szCs w:val="21"/>
        </w:rPr>
        <w:t>（填写供应商法定全称）为监狱企业。</w:t>
      </w:r>
    </w:p>
    <w:p w14:paraId="4C82284B">
      <w:pPr>
        <w:tabs>
          <w:tab w:val="left" w:pos="1680"/>
        </w:tabs>
        <w:snapToGrid w:val="0"/>
        <w:spacing w:line="360" w:lineRule="auto"/>
        <w:ind w:firstLine="444" w:firstLineChars="200"/>
        <w:rPr>
          <w:rFonts w:hint="eastAsia" w:ascii="仿宋" w:hAnsi="仿宋" w:eastAsia="仿宋" w:cs="华文中宋"/>
          <w:spacing w:val="6"/>
          <w:szCs w:val="21"/>
        </w:rPr>
      </w:pPr>
      <w:r>
        <w:rPr>
          <w:rFonts w:hint="eastAsia" w:ascii="仿宋" w:hAnsi="仿宋" w:eastAsia="仿宋" w:cs="华文中宋"/>
          <w:spacing w:val="6"/>
          <w:szCs w:val="21"/>
        </w:rPr>
        <w:t>特此证明。</w:t>
      </w:r>
    </w:p>
    <w:p w14:paraId="3850A934">
      <w:pPr>
        <w:tabs>
          <w:tab w:val="left" w:pos="1680"/>
        </w:tabs>
        <w:snapToGrid w:val="0"/>
        <w:spacing w:line="360" w:lineRule="auto"/>
        <w:ind w:firstLine="444" w:firstLineChars="200"/>
        <w:rPr>
          <w:rFonts w:hint="eastAsia" w:ascii="仿宋" w:hAnsi="仿宋" w:eastAsia="仿宋" w:cs="华文中宋"/>
          <w:spacing w:val="6"/>
          <w:szCs w:val="21"/>
        </w:rPr>
      </w:pPr>
    </w:p>
    <w:p w14:paraId="0977EF35">
      <w:pPr>
        <w:tabs>
          <w:tab w:val="left" w:pos="1680"/>
        </w:tabs>
        <w:snapToGrid w:val="0"/>
        <w:spacing w:line="360" w:lineRule="auto"/>
        <w:ind w:firstLine="444" w:firstLineChars="200"/>
        <w:rPr>
          <w:rFonts w:hint="eastAsia" w:ascii="仿宋" w:hAnsi="仿宋" w:eastAsia="仿宋" w:cs="华文中宋"/>
          <w:spacing w:val="6"/>
          <w:szCs w:val="21"/>
        </w:rPr>
      </w:pPr>
      <w:r>
        <w:rPr>
          <w:rFonts w:hint="eastAsia" w:ascii="仿宋" w:hAnsi="仿宋" w:eastAsia="仿宋" w:cs="华文中宋"/>
          <w:spacing w:val="6"/>
          <w:szCs w:val="21"/>
        </w:rPr>
        <w:t>省级以上监狱管理局、戒毒管理局（含新疆生产建设兵团）（盖章）：</w:t>
      </w:r>
    </w:p>
    <w:p w14:paraId="59208A63">
      <w:pPr>
        <w:tabs>
          <w:tab w:val="left" w:pos="4860"/>
        </w:tabs>
        <w:spacing w:line="360" w:lineRule="auto"/>
        <w:ind w:right="1560" w:firstLine="444" w:firstLineChars="200"/>
        <w:jc w:val="right"/>
        <w:rPr>
          <w:rFonts w:hint="eastAsia" w:ascii="仿宋" w:hAnsi="仿宋" w:eastAsia="仿宋" w:cs="华文中宋"/>
          <w:spacing w:val="6"/>
          <w:szCs w:val="21"/>
        </w:rPr>
      </w:pPr>
      <w:r>
        <w:rPr>
          <w:rFonts w:hint="eastAsia" w:ascii="仿宋" w:hAnsi="仿宋" w:eastAsia="仿宋" w:cs="华文中宋"/>
          <w:spacing w:val="6"/>
          <w:szCs w:val="21"/>
        </w:rPr>
        <w:t>投标人：</w:t>
      </w:r>
      <w:r>
        <w:rPr>
          <w:rFonts w:hint="eastAsia" w:ascii="仿宋" w:hAnsi="仿宋" w:eastAsia="仿宋"/>
          <w:spacing w:val="20"/>
          <w:szCs w:val="21"/>
          <w:u w:val="single"/>
        </w:rPr>
        <w:t xml:space="preserve">            </w:t>
      </w:r>
      <w:r>
        <w:rPr>
          <w:rFonts w:hint="eastAsia" w:ascii="仿宋" w:hAnsi="仿宋" w:eastAsia="仿宋" w:cs="华文中宋"/>
          <w:spacing w:val="6"/>
          <w:szCs w:val="21"/>
        </w:rPr>
        <w:t>（</w:t>
      </w:r>
      <w:r>
        <w:rPr>
          <w:rFonts w:hint="eastAsia" w:ascii="仿宋" w:hAnsi="仿宋" w:eastAsia="仿宋" w:cs="华文中宋"/>
          <w:spacing w:val="20"/>
          <w:szCs w:val="21"/>
        </w:rPr>
        <w:t>电子公章</w:t>
      </w:r>
      <w:r>
        <w:rPr>
          <w:rFonts w:hint="eastAsia" w:ascii="仿宋" w:hAnsi="仿宋" w:eastAsia="仿宋" w:cs="华文中宋"/>
          <w:spacing w:val="6"/>
          <w:szCs w:val="21"/>
        </w:rPr>
        <w:t>）</w:t>
      </w:r>
    </w:p>
    <w:p w14:paraId="5069D267">
      <w:pPr>
        <w:adjustRightInd w:val="0"/>
        <w:snapToGrid w:val="0"/>
        <w:spacing w:line="480" w:lineRule="exact"/>
        <w:ind w:firstLine="5328" w:firstLineChars="2400"/>
        <w:rPr>
          <w:rFonts w:hint="eastAsia" w:ascii="仿宋" w:hAnsi="仿宋" w:eastAsia="仿宋" w:cs="华文中宋"/>
          <w:spacing w:val="6"/>
          <w:szCs w:val="21"/>
        </w:rPr>
      </w:pPr>
      <w:r>
        <w:rPr>
          <w:rFonts w:hint="eastAsia" w:ascii="仿宋" w:hAnsi="仿宋" w:eastAsia="仿宋" w:cs="华文中宋"/>
          <w:spacing w:val="6"/>
          <w:szCs w:val="21"/>
        </w:rPr>
        <w:t>日 期：</w:t>
      </w:r>
    </w:p>
    <w:p w14:paraId="06B99C7A">
      <w:pPr>
        <w:adjustRightInd w:val="0"/>
        <w:snapToGrid w:val="0"/>
        <w:spacing w:line="480" w:lineRule="exact"/>
        <w:ind w:firstLine="5328" w:firstLineChars="2400"/>
        <w:rPr>
          <w:rFonts w:hint="eastAsia" w:ascii="仿宋" w:hAnsi="仿宋" w:eastAsia="仿宋" w:cs="华文中宋"/>
          <w:spacing w:val="6"/>
          <w:szCs w:val="21"/>
        </w:rPr>
      </w:pPr>
    </w:p>
    <w:p w14:paraId="19B4ACBE">
      <w:pPr>
        <w:adjustRightInd w:val="0"/>
        <w:snapToGrid w:val="0"/>
        <w:spacing w:line="480" w:lineRule="exact"/>
        <w:ind w:firstLine="5328" w:firstLineChars="2400"/>
        <w:rPr>
          <w:rFonts w:hint="eastAsia" w:ascii="仿宋" w:hAnsi="仿宋" w:eastAsia="仿宋" w:cs="华文中宋"/>
          <w:spacing w:val="6"/>
          <w:szCs w:val="21"/>
        </w:rPr>
      </w:pPr>
    </w:p>
    <w:p w14:paraId="0B18323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both"/>
        <w:textAlignment w:val="baseline"/>
        <w:rPr>
          <w:rFonts w:hint="eastAsia" w:ascii="华文中宋" w:hAnsi="华文中宋" w:eastAsia="华文中宋" w:cs="华文中宋"/>
          <w:b/>
          <w:color w:val="auto"/>
          <w:kern w:val="2"/>
          <w:sz w:val="24"/>
          <w:szCs w:val="22"/>
          <w:highlight w:val="none"/>
          <w:lang w:val="en-US" w:eastAsia="zh-CN" w:bidi="ar-SA"/>
        </w:rPr>
      </w:pPr>
      <w:r>
        <w:rPr>
          <w:rFonts w:hint="eastAsia" w:ascii="华文中宋" w:hAnsi="华文中宋" w:eastAsia="华文中宋" w:cs="华文中宋"/>
          <w:b/>
          <w:color w:val="auto"/>
          <w:sz w:val="24"/>
          <w:highlight w:val="none"/>
          <w:lang w:val="en-US" w:eastAsia="zh-CN"/>
        </w:rPr>
        <w:t>（四）</w:t>
      </w:r>
      <w:r>
        <w:rPr>
          <w:rFonts w:hint="eastAsia" w:ascii="华文中宋" w:hAnsi="华文中宋" w:eastAsia="华文中宋" w:cs="华文中宋"/>
          <w:b/>
          <w:color w:val="auto"/>
          <w:kern w:val="2"/>
          <w:sz w:val="24"/>
          <w:szCs w:val="22"/>
          <w:highlight w:val="none"/>
          <w:lang w:val="en-US" w:eastAsia="zh-CN" w:bidi="ar-SA"/>
        </w:rPr>
        <w:t>关于符合本国产品标准的声明函</w:t>
      </w:r>
    </w:p>
    <w:p w14:paraId="790EA7B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157" w:afterLines="50" w:afterAutospacing="0" w:line="560" w:lineRule="atLeast"/>
        <w:ind w:left="0" w:right="0" w:firstLine="0"/>
        <w:jc w:val="center"/>
        <w:textAlignment w:val="baseline"/>
        <w:rPr>
          <w:rFonts w:ascii="仿宋_GB2312" w:hAnsi="仿宋" w:eastAsia="仿宋_GB2312" w:cs="仿宋_GB2312"/>
          <w:b/>
          <w:bCs/>
          <w:i w:val="0"/>
          <w:iCs w:val="0"/>
          <w:caps w:val="0"/>
          <w:color w:val="000000"/>
          <w:spacing w:val="0"/>
          <w:sz w:val="28"/>
          <w:szCs w:val="28"/>
          <w:shd w:val="clear" w:color="auto" w:fill="FFFFFF"/>
          <w:vertAlign w:val="baseline"/>
        </w:rPr>
      </w:pPr>
      <w:r>
        <w:rPr>
          <w:rFonts w:ascii="仿宋_GB2312" w:hAnsi="仿宋" w:eastAsia="仿宋_GB2312" w:cs="仿宋_GB2312"/>
          <w:b/>
          <w:bCs/>
          <w:i w:val="0"/>
          <w:iCs w:val="0"/>
          <w:caps w:val="0"/>
          <w:color w:val="000000"/>
          <w:spacing w:val="0"/>
          <w:sz w:val="28"/>
          <w:szCs w:val="28"/>
          <w:shd w:val="clear" w:color="auto" w:fill="FFFFFF"/>
          <w:vertAlign w:val="baseline"/>
        </w:rPr>
        <w:t>关于符合本国产品标准的声明函</w:t>
      </w:r>
    </w:p>
    <w:p w14:paraId="43CAA76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color="auto" w:fill="FFFFFF"/>
          <w:vertAlign w:val="baseline"/>
        </w:rPr>
        <w:t> </w:t>
      </w:r>
      <w:r>
        <w:rPr>
          <w:rFonts w:hint="eastAsia" w:ascii="华文中宋" w:hAnsi="华文中宋" w:eastAsia="华文中宋" w:cs="华文中宋"/>
          <w:i w:val="0"/>
          <w:iCs w:val="0"/>
          <w:caps w:val="0"/>
          <w:color w:val="000000"/>
          <w:spacing w:val="0"/>
          <w:sz w:val="21"/>
          <w:szCs w:val="21"/>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B8DDEA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66CC63D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6479580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w:t>
      </w:r>
    </w:p>
    <w:p w14:paraId="227F09A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本公司（单位）对上述声明内容的真实性负责。如有虚假，愿承担相应法律责任。</w:t>
      </w:r>
    </w:p>
    <w:p w14:paraId="2455163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 </w:t>
      </w:r>
    </w:p>
    <w:p w14:paraId="0E1BEB0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0"/>
        <w:jc w:val="right"/>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公司（单位）名称（盖章）：　        </w:t>
      </w:r>
    </w:p>
    <w:p w14:paraId="48AE148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0"/>
        <w:jc w:val="right"/>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日期：　     年　  月　  日         </w:t>
      </w:r>
    </w:p>
    <w:p w14:paraId="1A22094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__________________</w:t>
      </w:r>
    </w:p>
    <w:p w14:paraId="390DCAA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1.产品如有型号，请在“产品名称”栏一并填写。</w:t>
      </w:r>
    </w:p>
    <w:p w14:paraId="558CD05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2.生产厂名与厂址应与生产厂营业执照载明的相关信息保持一致。</w:t>
      </w:r>
    </w:p>
    <w:p w14:paraId="10EAEA2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3.该产品的中国境内生产的组件成本占比相关要求实施前，“规定比例”栏可不填，下同。</w:t>
      </w:r>
    </w:p>
    <w:p w14:paraId="4012B7C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4.该产品的关键组件要求实施前，“关键组件”栏可不填，下同。</w:t>
      </w:r>
    </w:p>
    <w:p w14:paraId="4CF3CBC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vertAlign w:val="baseline"/>
        </w:rPr>
        <w:t>5.该产品的关键工序要求实施前，“关键工序”栏可不填，下同。</w:t>
      </w:r>
    </w:p>
    <w:p w14:paraId="5D39FC6C">
      <w:pPr>
        <w:spacing w:line="360" w:lineRule="auto"/>
        <w:rPr>
          <w:rFonts w:hint="eastAsia" w:ascii="华文中宋" w:hAnsi="华文中宋" w:eastAsia="华文中宋" w:cs="华文中宋"/>
          <w:b/>
          <w:sz w:val="24"/>
        </w:rPr>
      </w:pPr>
    </w:p>
    <w:p w14:paraId="03FCAB95">
      <w:pPr>
        <w:spacing w:line="360" w:lineRule="auto"/>
        <w:rPr>
          <w:rFonts w:hint="eastAsia" w:ascii="华文中宋" w:hAnsi="华文中宋" w:eastAsia="华文中宋" w:cs="华文中宋"/>
          <w:b/>
          <w:sz w:val="24"/>
        </w:rPr>
      </w:pPr>
      <w:r>
        <w:rPr>
          <w:rFonts w:hint="eastAsia" w:ascii="华文中宋" w:hAnsi="华文中宋" w:eastAsia="华文中宋" w:cs="华文中宋"/>
          <w:b/>
          <w:sz w:val="24"/>
        </w:rPr>
        <w:t>（</w:t>
      </w:r>
      <w:r>
        <w:rPr>
          <w:rFonts w:hint="eastAsia" w:ascii="华文中宋" w:hAnsi="华文中宋" w:eastAsia="华文中宋" w:cs="华文中宋"/>
          <w:b/>
          <w:sz w:val="24"/>
          <w:lang w:val="en-US" w:eastAsia="zh-CN"/>
        </w:rPr>
        <w:t>五</w:t>
      </w:r>
      <w:r>
        <w:rPr>
          <w:rFonts w:hint="eastAsia" w:ascii="华文中宋" w:hAnsi="华文中宋" w:eastAsia="华文中宋" w:cs="华文中宋"/>
          <w:b/>
          <w:sz w:val="24"/>
        </w:rPr>
        <w:t>）政府采购绿色产品明细表格式</w:t>
      </w:r>
    </w:p>
    <w:p w14:paraId="57FB66B6">
      <w:pPr>
        <w:spacing w:line="360" w:lineRule="auto"/>
        <w:ind w:left="2100" w:firstLine="420"/>
        <w:rPr>
          <w:rFonts w:hint="eastAsia" w:ascii="华文中宋" w:hAnsi="华文中宋" w:eastAsia="华文中宋" w:cs="华文中宋"/>
          <w:b/>
          <w:sz w:val="24"/>
        </w:rPr>
      </w:pPr>
      <w:r>
        <w:rPr>
          <w:rFonts w:hint="eastAsia" w:ascii="华文中宋" w:hAnsi="华文中宋" w:eastAsia="华文中宋" w:cs="华文中宋"/>
          <w:b/>
          <w:sz w:val="24"/>
        </w:rPr>
        <w:t>政府采购绿色产品明细表</w:t>
      </w: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20"/>
        <w:gridCol w:w="814"/>
        <w:gridCol w:w="653"/>
        <w:gridCol w:w="775"/>
        <w:gridCol w:w="801"/>
        <w:gridCol w:w="1236"/>
        <w:gridCol w:w="3401"/>
      </w:tblGrid>
      <w:tr w14:paraId="3B32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446" w:type="pct"/>
            <w:vAlign w:val="center"/>
          </w:tcPr>
          <w:p w14:paraId="2FE642C3">
            <w:pPr>
              <w:jc w:val="center"/>
              <w:rPr>
                <w:rFonts w:hint="eastAsia" w:ascii="华文中宋" w:hAnsi="华文中宋" w:eastAsia="华文中宋" w:cs="华文中宋"/>
                <w:szCs w:val="21"/>
              </w:rPr>
            </w:pPr>
            <w:r>
              <w:rPr>
                <w:rFonts w:hint="eastAsia" w:ascii="华文中宋" w:hAnsi="华文中宋" w:eastAsia="华文中宋" w:cs="华文中宋"/>
                <w:szCs w:val="21"/>
              </w:rPr>
              <w:t>包号/序号</w:t>
            </w:r>
          </w:p>
        </w:tc>
        <w:tc>
          <w:tcPr>
            <w:tcW w:w="390" w:type="pct"/>
            <w:vAlign w:val="center"/>
          </w:tcPr>
          <w:p w14:paraId="41487CB5">
            <w:pPr>
              <w:jc w:val="center"/>
              <w:rPr>
                <w:rFonts w:hint="eastAsia" w:ascii="华文中宋" w:hAnsi="华文中宋" w:eastAsia="华文中宋" w:cs="华文中宋"/>
                <w:szCs w:val="21"/>
              </w:rPr>
            </w:pPr>
            <w:r>
              <w:rPr>
                <w:rFonts w:hint="eastAsia" w:ascii="华文中宋" w:hAnsi="华文中宋" w:eastAsia="华文中宋" w:cs="华文中宋"/>
                <w:szCs w:val="21"/>
              </w:rPr>
              <w:t>产品名称</w:t>
            </w:r>
          </w:p>
        </w:tc>
        <w:tc>
          <w:tcPr>
            <w:tcW w:w="441" w:type="pct"/>
            <w:vAlign w:val="center"/>
          </w:tcPr>
          <w:p w14:paraId="3CF6E810">
            <w:pPr>
              <w:jc w:val="center"/>
              <w:rPr>
                <w:rFonts w:hint="eastAsia" w:ascii="华文中宋" w:hAnsi="华文中宋" w:eastAsia="华文中宋" w:cs="华文中宋"/>
                <w:szCs w:val="21"/>
              </w:rPr>
            </w:pPr>
            <w:r>
              <w:rPr>
                <w:rFonts w:hint="eastAsia" w:ascii="华文中宋" w:hAnsi="华文中宋" w:eastAsia="华文中宋" w:cs="华文中宋"/>
                <w:szCs w:val="21"/>
              </w:rPr>
              <w:t>制造商</w:t>
            </w:r>
          </w:p>
        </w:tc>
        <w:tc>
          <w:tcPr>
            <w:tcW w:w="354" w:type="pct"/>
            <w:vAlign w:val="center"/>
          </w:tcPr>
          <w:p w14:paraId="67C76B38">
            <w:pPr>
              <w:jc w:val="center"/>
              <w:rPr>
                <w:rFonts w:hint="eastAsia" w:ascii="华文中宋" w:hAnsi="华文中宋" w:eastAsia="华文中宋" w:cs="华文中宋"/>
                <w:szCs w:val="21"/>
              </w:rPr>
            </w:pPr>
            <w:r>
              <w:rPr>
                <w:rFonts w:hint="eastAsia" w:ascii="华文中宋" w:hAnsi="华文中宋" w:eastAsia="华文中宋" w:cs="华文中宋"/>
                <w:szCs w:val="21"/>
              </w:rPr>
              <w:t>产品型号</w:t>
            </w:r>
          </w:p>
        </w:tc>
        <w:tc>
          <w:tcPr>
            <w:tcW w:w="420" w:type="pct"/>
            <w:vAlign w:val="center"/>
          </w:tcPr>
          <w:p w14:paraId="0DA36786">
            <w:pPr>
              <w:jc w:val="center"/>
              <w:rPr>
                <w:rFonts w:hint="eastAsia" w:ascii="华文中宋" w:hAnsi="华文中宋" w:eastAsia="华文中宋" w:cs="华文中宋"/>
                <w:szCs w:val="21"/>
              </w:rPr>
            </w:pPr>
            <w:r>
              <w:rPr>
                <w:rFonts w:hint="eastAsia" w:ascii="华文中宋" w:hAnsi="华文中宋" w:eastAsia="华文中宋" w:cs="华文中宋"/>
                <w:szCs w:val="21"/>
              </w:rPr>
              <w:t>产品单价</w:t>
            </w:r>
          </w:p>
        </w:tc>
        <w:tc>
          <w:tcPr>
            <w:tcW w:w="434" w:type="pct"/>
            <w:vAlign w:val="center"/>
          </w:tcPr>
          <w:p w14:paraId="4573EC2B">
            <w:pPr>
              <w:jc w:val="center"/>
              <w:rPr>
                <w:rFonts w:hint="eastAsia" w:ascii="华文中宋" w:hAnsi="华文中宋" w:eastAsia="华文中宋" w:cs="华文中宋"/>
                <w:szCs w:val="21"/>
              </w:rPr>
            </w:pPr>
            <w:r>
              <w:rPr>
                <w:rFonts w:hint="eastAsia" w:ascii="华文中宋" w:hAnsi="华文中宋" w:eastAsia="华文中宋" w:cs="华文中宋"/>
                <w:szCs w:val="21"/>
              </w:rPr>
              <w:t>数量</w:t>
            </w:r>
          </w:p>
        </w:tc>
        <w:tc>
          <w:tcPr>
            <w:tcW w:w="670" w:type="pct"/>
            <w:vAlign w:val="center"/>
          </w:tcPr>
          <w:p w14:paraId="1493BE8E">
            <w:pPr>
              <w:jc w:val="center"/>
              <w:rPr>
                <w:rFonts w:hint="eastAsia" w:ascii="华文中宋" w:hAnsi="华文中宋" w:eastAsia="华文中宋" w:cs="华文中宋"/>
                <w:szCs w:val="21"/>
              </w:rPr>
            </w:pPr>
            <w:r>
              <w:rPr>
                <w:rFonts w:hint="eastAsia" w:ascii="华文中宋" w:hAnsi="华文中宋" w:eastAsia="华文中宋" w:cs="华文中宋"/>
                <w:szCs w:val="21"/>
              </w:rPr>
              <w:t>产品认证证书号</w:t>
            </w:r>
          </w:p>
        </w:tc>
        <w:tc>
          <w:tcPr>
            <w:tcW w:w="1843" w:type="pct"/>
            <w:vAlign w:val="center"/>
          </w:tcPr>
          <w:p w14:paraId="29BFD1B3">
            <w:pPr>
              <w:spacing w:line="360" w:lineRule="auto"/>
              <w:jc w:val="center"/>
              <w:rPr>
                <w:rFonts w:hint="eastAsia" w:ascii="华文中宋" w:hAnsi="华文中宋" w:eastAsia="华文中宋" w:cs="华文中宋"/>
                <w:szCs w:val="21"/>
              </w:rPr>
            </w:pPr>
            <w:r>
              <w:rPr>
                <w:rFonts w:hint="eastAsia" w:ascii="华文中宋" w:hAnsi="华文中宋" w:eastAsia="华文中宋" w:cs="华文中宋"/>
                <w:szCs w:val="21"/>
              </w:rPr>
              <w:t>认证证书有效截止日期</w:t>
            </w:r>
          </w:p>
        </w:tc>
      </w:tr>
      <w:tr w14:paraId="69A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tcPr>
          <w:p w14:paraId="6609F1B2">
            <w:pPr>
              <w:spacing w:line="360" w:lineRule="auto"/>
              <w:rPr>
                <w:rFonts w:hint="eastAsia" w:ascii="华文中宋" w:hAnsi="华文中宋" w:eastAsia="华文中宋" w:cs="华文中宋"/>
                <w:szCs w:val="21"/>
              </w:rPr>
            </w:pPr>
          </w:p>
        </w:tc>
        <w:tc>
          <w:tcPr>
            <w:tcW w:w="390" w:type="pct"/>
          </w:tcPr>
          <w:p w14:paraId="0EB81DE9">
            <w:pPr>
              <w:spacing w:line="360" w:lineRule="auto"/>
              <w:rPr>
                <w:rFonts w:hint="eastAsia" w:ascii="华文中宋" w:hAnsi="华文中宋" w:eastAsia="华文中宋" w:cs="华文中宋"/>
                <w:szCs w:val="21"/>
              </w:rPr>
            </w:pPr>
          </w:p>
        </w:tc>
        <w:tc>
          <w:tcPr>
            <w:tcW w:w="441" w:type="pct"/>
          </w:tcPr>
          <w:p w14:paraId="374FA3A3">
            <w:pPr>
              <w:spacing w:line="360" w:lineRule="auto"/>
              <w:rPr>
                <w:rFonts w:hint="eastAsia" w:ascii="华文中宋" w:hAnsi="华文中宋" w:eastAsia="华文中宋" w:cs="华文中宋"/>
                <w:szCs w:val="21"/>
              </w:rPr>
            </w:pPr>
          </w:p>
        </w:tc>
        <w:tc>
          <w:tcPr>
            <w:tcW w:w="354" w:type="pct"/>
          </w:tcPr>
          <w:p w14:paraId="36AC7176">
            <w:pPr>
              <w:spacing w:line="360" w:lineRule="auto"/>
              <w:rPr>
                <w:rFonts w:hint="eastAsia" w:ascii="华文中宋" w:hAnsi="华文中宋" w:eastAsia="华文中宋" w:cs="华文中宋"/>
                <w:szCs w:val="21"/>
              </w:rPr>
            </w:pPr>
          </w:p>
        </w:tc>
        <w:tc>
          <w:tcPr>
            <w:tcW w:w="420" w:type="pct"/>
          </w:tcPr>
          <w:p w14:paraId="4D36748E">
            <w:pPr>
              <w:spacing w:line="360" w:lineRule="auto"/>
              <w:rPr>
                <w:rFonts w:hint="eastAsia" w:ascii="华文中宋" w:hAnsi="华文中宋" w:eastAsia="华文中宋" w:cs="华文中宋"/>
                <w:szCs w:val="21"/>
              </w:rPr>
            </w:pPr>
          </w:p>
        </w:tc>
        <w:tc>
          <w:tcPr>
            <w:tcW w:w="434" w:type="pct"/>
          </w:tcPr>
          <w:p w14:paraId="02349B69">
            <w:pPr>
              <w:spacing w:line="360" w:lineRule="auto"/>
              <w:rPr>
                <w:rFonts w:hint="eastAsia" w:ascii="华文中宋" w:hAnsi="华文中宋" w:eastAsia="华文中宋" w:cs="华文中宋"/>
                <w:szCs w:val="21"/>
              </w:rPr>
            </w:pPr>
          </w:p>
        </w:tc>
        <w:tc>
          <w:tcPr>
            <w:tcW w:w="670" w:type="pct"/>
          </w:tcPr>
          <w:p w14:paraId="6A93F948">
            <w:pPr>
              <w:spacing w:line="360" w:lineRule="auto"/>
              <w:rPr>
                <w:rFonts w:hint="eastAsia" w:ascii="华文中宋" w:hAnsi="华文中宋" w:eastAsia="华文中宋" w:cs="华文中宋"/>
                <w:szCs w:val="21"/>
              </w:rPr>
            </w:pPr>
          </w:p>
        </w:tc>
        <w:tc>
          <w:tcPr>
            <w:tcW w:w="1843" w:type="pct"/>
          </w:tcPr>
          <w:p w14:paraId="4081CD72">
            <w:pPr>
              <w:spacing w:line="360" w:lineRule="auto"/>
              <w:rPr>
                <w:rFonts w:hint="eastAsia" w:ascii="华文中宋" w:hAnsi="华文中宋" w:eastAsia="华文中宋" w:cs="华文中宋"/>
                <w:szCs w:val="21"/>
              </w:rPr>
            </w:pPr>
          </w:p>
        </w:tc>
      </w:tr>
      <w:tr w14:paraId="375D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446" w:type="pct"/>
          </w:tcPr>
          <w:p w14:paraId="1D19F6BC">
            <w:pPr>
              <w:spacing w:line="360" w:lineRule="auto"/>
              <w:rPr>
                <w:rFonts w:hint="eastAsia" w:ascii="华文中宋" w:hAnsi="华文中宋" w:eastAsia="华文中宋" w:cs="华文中宋"/>
                <w:szCs w:val="21"/>
              </w:rPr>
            </w:pPr>
          </w:p>
        </w:tc>
        <w:tc>
          <w:tcPr>
            <w:tcW w:w="390" w:type="pct"/>
          </w:tcPr>
          <w:p w14:paraId="76E8AA2F">
            <w:pPr>
              <w:spacing w:line="360" w:lineRule="auto"/>
              <w:rPr>
                <w:rFonts w:hint="eastAsia" w:ascii="华文中宋" w:hAnsi="华文中宋" w:eastAsia="华文中宋" w:cs="华文中宋"/>
                <w:szCs w:val="21"/>
              </w:rPr>
            </w:pPr>
          </w:p>
        </w:tc>
        <w:tc>
          <w:tcPr>
            <w:tcW w:w="441" w:type="pct"/>
          </w:tcPr>
          <w:p w14:paraId="0F901B3F">
            <w:pPr>
              <w:spacing w:line="360" w:lineRule="auto"/>
              <w:rPr>
                <w:rFonts w:hint="eastAsia" w:ascii="华文中宋" w:hAnsi="华文中宋" w:eastAsia="华文中宋" w:cs="华文中宋"/>
                <w:szCs w:val="21"/>
              </w:rPr>
            </w:pPr>
          </w:p>
        </w:tc>
        <w:tc>
          <w:tcPr>
            <w:tcW w:w="354" w:type="pct"/>
          </w:tcPr>
          <w:p w14:paraId="26633601">
            <w:pPr>
              <w:spacing w:line="360" w:lineRule="auto"/>
              <w:rPr>
                <w:rFonts w:hint="eastAsia" w:ascii="华文中宋" w:hAnsi="华文中宋" w:eastAsia="华文中宋" w:cs="华文中宋"/>
                <w:szCs w:val="21"/>
              </w:rPr>
            </w:pPr>
          </w:p>
        </w:tc>
        <w:tc>
          <w:tcPr>
            <w:tcW w:w="420" w:type="pct"/>
          </w:tcPr>
          <w:p w14:paraId="0C8E8115">
            <w:pPr>
              <w:spacing w:line="360" w:lineRule="auto"/>
              <w:rPr>
                <w:rFonts w:hint="eastAsia" w:ascii="华文中宋" w:hAnsi="华文中宋" w:eastAsia="华文中宋" w:cs="华文中宋"/>
                <w:szCs w:val="21"/>
              </w:rPr>
            </w:pPr>
          </w:p>
        </w:tc>
        <w:tc>
          <w:tcPr>
            <w:tcW w:w="434" w:type="pct"/>
          </w:tcPr>
          <w:p w14:paraId="35C773E0">
            <w:pPr>
              <w:spacing w:line="360" w:lineRule="auto"/>
              <w:rPr>
                <w:rFonts w:hint="eastAsia" w:ascii="华文中宋" w:hAnsi="华文中宋" w:eastAsia="华文中宋" w:cs="华文中宋"/>
                <w:szCs w:val="21"/>
              </w:rPr>
            </w:pPr>
          </w:p>
        </w:tc>
        <w:tc>
          <w:tcPr>
            <w:tcW w:w="670" w:type="pct"/>
          </w:tcPr>
          <w:p w14:paraId="635E1760">
            <w:pPr>
              <w:spacing w:line="360" w:lineRule="auto"/>
              <w:rPr>
                <w:rFonts w:hint="eastAsia" w:ascii="华文中宋" w:hAnsi="华文中宋" w:eastAsia="华文中宋" w:cs="华文中宋"/>
                <w:szCs w:val="21"/>
              </w:rPr>
            </w:pPr>
          </w:p>
        </w:tc>
        <w:tc>
          <w:tcPr>
            <w:tcW w:w="1843" w:type="pct"/>
          </w:tcPr>
          <w:p w14:paraId="4C4FD830">
            <w:pPr>
              <w:spacing w:line="360" w:lineRule="auto"/>
              <w:rPr>
                <w:rFonts w:hint="eastAsia" w:ascii="华文中宋" w:hAnsi="华文中宋" w:eastAsia="华文中宋" w:cs="华文中宋"/>
                <w:szCs w:val="21"/>
              </w:rPr>
            </w:pPr>
          </w:p>
        </w:tc>
      </w:tr>
    </w:tbl>
    <w:p w14:paraId="4E560FDD">
      <w:pPr>
        <w:pStyle w:val="34"/>
        <w:widowControl w:val="0"/>
        <w:adjustRightInd w:val="0"/>
        <w:snapToGrid w:val="0"/>
        <w:spacing w:before="0" w:beforeAutospacing="0" w:after="0" w:afterAutospacing="0" w:line="480" w:lineRule="exact"/>
        <w:rPr>
          <w:rFonts w:hint="eastAsia" w:ascii="华文中宋" w:hAnsi="华文中宋" w:eastAsia="华文中宋" w:cs="华文中宋"/>
          <w:sz w:val="21"/>
          <w:szCs w:val="21"/>
        </w:rPr>
      </w:pPr>
      <w:r>
        <w:rPr>
          <w:rFonts w:hint="eastAsia" w:ascii="华文中宋" w:hAnsi="华文中宋" w:eastAsia="华文中宋" w:cs="华文中宋"/>
          <w:sz w:val="21"/>
          <w:szCs w:val="21"/>
        </w:rPr>
        <w:t>1. 投报“节能产品政府采购品目清单”“环境标志产品政府采购品目清单”中产品的将给予一定比例的价格扣除</w:t>
      </w:r>
      <w:r>
        <w:rPr>
          <w:rFonts w:hint="eastAsia" w:ascii="华文中宋" w:hAnsi="华文中宋" w:eastAsia="华文中宋" w:cs="华文中宋"/>
          <w:b/>
          <w:bCs/>
          <w:sz w:val="21"/>
          <w:szCs w:val="21"/>
        </w:rPr>
        <w:t>（优先采购绿色产品价格扣除比例：4%）</w:t>
      </w:r>
      <w:r>
        <w:rPr>
          <w:rFonts w:hint="eastAsia" w:ascii="华文中宋" w:hAnsi="华文中宋" w:eastAsia="华文中宋" w:cs="华文中宋"/>
          <w:sz w:val="21"/>
          <w:szCs w:val="21"/>
        </w:rPr>
        <w:t>。</w:t>
      </w:r>
    </w:p>
    <w:p w14:paraId="7B529F30">
      <w:pPr>
        <w:spacing w:line="48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2. 认证证书附后（有效期之内的节能产品、环境标志产品证书）。</w:t>
      </w:r>
    </w:p>
    <w:p w14:paraId="40CDD741">
      <w:pPr>
        <w:spacing w:line="480" w:lineRule="exact"/>
        <w:rPr>
          <w:rFonts w:hint="eastAsia" w:ascii="华文中宋" w:hAnsi="华文中宋" w:eastAsia="华文中宋" w:cs="华文中宋"/>
          <w:b/>
          <w:color w:val="auto"/>
          <w:sz w:val="24"/>
        </w:rPr>
      </w:pPr>
    </w:p>
    <w:p w14:paraId="2115EBF5">
      <w:pPr>
        <w:spacing w:line="360" w:lineRule="auto"/>
        <w:jc w:val="left"/>
        <w:outlineLvl w:val="2"/>
        <w:rPr>
          <w:rFonts w:hint="eastAsia" w:ascii="仿宋" w:hAnsi="仿宋" w:eastAsia="仿宋" w:cs="华文中宋"/>
          <w:b/>
          <w:bCs w:val="0"/>
          <w:spacing w:val="6"/>
          <w:sz w:val="24"/>
        </w:rPr>
      </w:pPr>
      <w:r>
        <w:rPr>
          <w:rFonts w:hint="eastAsia" w:ascii="仿宋" w:hAnsi="仿宋" w:eastAsia="仿宋" w:cs="华文中宋"/>
          <w:b/>
          <w:bCs w:val="0"/>
          <w:spacing w:val="6"/>
          <w:sz w:val="24"/>
        </w:rPr>
        <w:t>六、招标文件要求或投标人认为需要提供的其他商务技术材料/文件；</w:t>
      </w:r>
    </w:p>
    <w:p w14:paraId="6109D026">
      <w:pPr>
        <w:rPr>
          <w:rFonts w:hint="eastAsia" w:ascii="仿宋" w:hAnsi="仿宋" w:eastAsia="仿宋"/>
          <w:b/>
          <w:szCs w:val="21"/>
        </w:rPr>
        <w:sectPr>
          <w:headerReference r:id="rId5" w:type="default"/>
          <w:footerReference r:id="rId6" w:type="default"/>
          <w:pgSz w:w="11906" w:h="16838"/>
          <w:pgMar w:top="1134" w:right="1361" w:bottom="1021" w:left="1531" w:header="851" w:footer="992" w:gutter="0"/>
          <w:pgNumType w:start="1"/>
          <w:cols w:space="720" w:num="1"/>
          <w:docGrid w:type="lines" w:linePitch="312" w:charSpace="0"/>
        </w:sectPr>
      </w:pPr>
    </w:p>
    <w:p w14:paraId="508319D8">
      <w:pPr>
        <w:spacing w:line="360" w:lineRule="auto"/>
        <w:outlineLvl w:val="1"/>
        <w:rPr>
          <w:rFonts w:hint="eastAsia" w:ascii="仿宋" w:hAnsi="仿宋" w:eastAsia="仿宋"/>
          <w:b/>
          <w:sz w:val="24"/>
          <w:szCs w:val="24"/>
        </w:rPr>
      </w:pPr>
      <w:r>
        <w:rPr>
          <w:rFonts w:hint="eastAsia" w:ascii="仿宋" w:hAnsi="仿宋" w:eastAsia="仿宋"/>
          <w:b/>
          <w:sz w:val="24"/>
          <w:szCs w:val="24"/>
        </w:rPr>
        <w:t>七、开标一览表报价明细表格式</w:t>
      </w:r>
    </w:p>
    <w:p w14:paraId="50835DB7">
      <w:pPr>
        <w:spacing w:line="360" w:lineRule="auto"/>
        <w:jc w:val="center"/>
        <w:outlineLvl w:val="0"/>
        <w:rPr>
          <w:rFonts w:hint="eastAsia" w:ascii="仿宋" w:hAnsi="仿宋" w:eastAsia="仿宋"/>
          <w:sz w:val="36"/>
          <w:szCs w:val="36"/>
        </w:rPr>
      </w:pPr>
      <w:r>
        <w:rPr>
          <w:rFonts w:hint="eastAsia" w:ascii="仿宋" w:hAnsi="仿宋" w:eastAsia="仿宋"/>
          <w:sz w:val="36"/>
          <w:szCs w:val="36"/>
        </w:rPr>
        <w:t>开标一览表 报价明细表</w:t>
      </w:r>
    </w:p>
    <w:p w14:paraId="5AAF250C">
      <w:pPr>
        <w:spacing w:line="360" w:lineRule="auto"/>
        <w:rPr>
          <w:rFonts w:hint="eastAsia" w:ascii="仿宋" w:hAnsi="仿宋" w:eastAsia="仿宋"/>
          <w:szCs w:val="21"/>
          <w:u w:val="single"/>
        </w:rPr>
      </w:pPr>
      <w:r>
        <w:rPr>
          <w:rFonts w:hint="eastAsia" w:ascii="仿宋" w:hAnsi="仿宋" w:eastAsia="仿宋"/>
          <w:szCs w:val="21"/>
        </w:rPr>
        <w:t xml:space="preserve">项目名称：    </w:t>
      </w:r>
      <w:r>
        <w:rPr>
          <w:rFonts w:hint="eastAsia" w:ascii="仿宋" w:hAnsi="仿宋" w:eastAsia="仿宋"/>
          <w:szCs w:val="21"/>
          <w:u w:val="single"/>
        </w:rPr>
        <w:t xml:space="preserve">                                      </w:t>
      </w:r>
    </w:p>
    <w:p w14:paraId="0C2D28F6">
      <w:pPr>
        <w:spacing w:line="360" w:lineRule="auto"/>
        <w:rPr>
          <w:rFonts w:hint="eastAsia" w:ascii="仿宋" w:hAnsi="仿宋" w:eastAsia="仿宋"/>
          <w:szCs w:val="21"/>
          <w:u w:val="single"/>
        </w:rPr>
      </w:pPr>
      <w:r>
        <w:rPr>
          <w:rFonts w:hint="eastAsia" w:ascii="仿宋" w:hAnsi="仿宋" w:eastAsia="仿宋"/>
          <w:szCs w:val="21"/>
        </w:rPr>
        <w:t xml:space="preserve">项目编号：    </w:t>
      </w:r>
      <w:r>
        <w:rPr>
          <w:rFonts w:hint="eastAsia" w:ascii="仿宋" w:hAnsi="仿宋" w:eastAsia="仿宋"/>
          <w:szCs w:val="21"/>
          <w:u w:val="single"/>
        </w:rPr>
        <w:t xml:space="preserve">                                       </w:t>
      </w:r>
    </w:p>
    <w:p w14:paraId="3B89128D">
      <w:pPr>
        <w:spacing w:line="360" w:lineRule="auto"/>
        <w:rPr>
          <w:rFonts w:hint="eastAsia" w:ascii="仿宋" w:hAnsi="仿宋" w:eastAsia="仿宋"/>
          <w:szCs w:val="21"/>
        </w:rPr>
      </w:pPr>
      <w:r>
        <w:rPr>
          <w:rFonts w:hint="eastAsia" w:ascii="仿宋" w:hAnsi="仿宋" w:eastAsia="仿宋"/>
          <w:szCs w:val="21"/>
        </w:rPr>
        <w:t xml:space="preserve">投标人名称：  </w:t>
      </w:r>
      <w:r>
        <w:rPr>
          <w:rFonts w:hint="eastAsia" w:ascii="仿宋" w:hAnsi="仿宋" w:eastAsia="仿宋"/>
          <w:szCs w:val="21"/>
          <w:u w:val="single"/>
        </w:rPr>
        <w:t xml:space="preserve">                                      </w:t>
      </w:r>
      <w:r>
        <w:rPr>
          <w:rFonts w:hint="eastAsia" w:ascii="仿宋" w:hAnsi="仿宋" w:eastAsia="仿宋"/>
          <w:szCs w:val="21"/>
        </w:rPr>
        <w:t xml:space="preserve">  </w:t>
      </w:r>
    </w:p>
    <w:p w14:paraId="14997302">
      <w:pPr>
        <w:spacing w:line="360" w:lineRule="auto"/>
        <w:ind w:firstLine="11970" w:firstLineChars="5700"/>
        <w:rPr>
          <w:rFonts w:hint="eastAsia" w:ascii="仿宋" w:hAnsi="仿宋" w:eastAsia="仿宋"/>
          <w:szCs w:val="21"/>
          <w:u w:val="single"/>
        </w:rPr>
      </w:pPr>
      <w:r>
        <w:rPr>
          <w:rFonts w:hint="eastAsia" w:ascii="仿宋" w:hAnsi="仿宋" w:eastAsia="仿宋"/>
          <w:szCs w:val="21"/>
        </w:rPr>
        <w:t xml:space="preserve">货币：人民币/元  </w:t>
      </w:r>
    </w:p>
    <w:tbl>
      <w:tblPr>
        <w:tblStyle w:val="39"/>
        <w:tblW w:w="13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3762"/>
        <w:gridCol w:w="2958"/>
        <w:gridCol w:w="3316"/>
      </w:tblGrid>
      <w:tr w14:paraId="05CE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30" w:type="dxa"/>
            <w:vAlign w:val="center"/>
          </w:tcPr>
          <w:p w14:paraId="5DDDC7A6">
            <w:pPr>
              <w:tabs>
                <w:tab w:val="left" w:pos="630"/>
              </w:tabs>
              <w:spacing w:line="480" w:lineRule="exact"/>
              <w:jc w:val="center"/>
              <w:rPr>
                <w:rFonts w:hint="eastAsia" w:ascii="仿宋" w:hAnsi="仿宋" w:eastAsia="仿宋"/>
                <w:sz w:val="28"/>
                <w:szCs w:val="28"/>
              </w:rPr>
            </w:pPr>
            <w:r>
              <w:rPr>
                <w:rFonts w:hint="eastAsia" w:ascii="仿宋" w:hAnsi="仿宋" w:eastAsia="仿宋"/>
                <w:sz w:val="28"/>
                <w:szCs w:val="28"/>
              </w:rPr>
              <w:t>包号</w:t>
            </w:r>
          </w:p>
        </w:tc>
        <w:tc>
          <w:tcPr>
            <w:tcW w:w="3762" w:type="dxa"/>
            <w:vAlign w:val="center"/>
          </w:tcPr>
          <w:p w14:paraId="204126CA">
            <w:pPr>
              <w:tabs>
                <w:tab w:val="left" w:pos="630"/>
              </w:tabs>
              <w:spacing w:line="480" w:lineRule="exact"/>
              <w:jc w:val="center"/>
              <w:rPr>
                <w:rFonts w:hint="default" w:ascii="仿宋" w:hAnsi="仿宋" w:eastAsia="仿宋"/>
                <w:sz w:val="28"/>
                <w:szCs w:val="28"/>
                <w:lang w:val="en-US" w:eastAsia="zh-CN"/>
              </w:rPr>
            </w:pPr>
            <w:r>
              <w:rPr>
                <w:rFonts w:hint="eastAsia" w:ascii="仿宋" w:hAnsi="仿宋" w:eastAsia="仿宋"/>
                <w:sz w:val="28"/>
                <w:szCs w:val="28"/>
              </w:rPr>
              <w:t>服务内容</w:t>
            </w:r>
          </w:p>
        </w:tc>
        <w:tc>
          <w:tcPr>
            <w:tcW w:w="2958" w:type="dxa"/>
            <w:vAlign w:val="center"/>
          </w:tcPr>
          <w:p w14:paraId="7E79D40B">
            <w:pPr>
              <w:tabs>
                <w:tab w:val="left" w:pos="630"/>
              </w:tabs>
              <w:spacing w:line="480" w:lineRule="exact"/>
              <w:jc w:val="center"/>
              <w:rPr>
                <w:rFonts w:hint="default" w:ascii="仿宋" w:hAnsi="仿宋" w:eastAsia="仿宋"/>
                <w:sz w:val="28"/>
                <w:szCs w:val="28"/>
                <w:lang w:val="en-US" w:eastAsia="zh-CN"/>
              </w:rPr>
            </w:pPr>
            <w:r>
              <w:rPr>
                <w:rFonts w:hint="eastAsia" w:ascii="仿宋" w:hAnsi="仿宋" w:eastAsia="仿宋"/>
                <w:sz w:val="28"/>
                <w:szCs w:val="28"/>
              </w:rPr>
              <w:t>服务期限</w:t>
            </w:r>
          </w:p>
        </w:tc>
        <w:tc>
          <w:tcPr>
            <w:tcW w:w="3316" w:type="dxa"/>
            <w:vAlign w:val="center"/>
          </w:tcPr>
          <w:p w14:paraId="22C8A0D6">
            <w:pPr>
              <w:tabs>
                <w:tab w:val="left" w:pos="630"/>
              </w:tabs>
              <w:spacing w:line="480" w:lineRule="exact"/>
              <w:jc w:val="center"/>
              <w:rPr>
                <w:rFonts w:hint="eastAsia" w:ascii="仿宋" w:hAnsi="仿宋" w:eastAsia="仿宋"/>
                <w:sz w:val="28"/>
                <w:szCs w:val="28"/>
              </w:rPr>
            </w:pPr>
            <w:r>
              <w:rPr>
                <w:rFonts w:hint="eastAsia" w:ascii="仿宋" w:hAnsi="仿宋" w:eastAsia="仿宋"/>
                <w:sz w:val="28"/>
                <w:szCs w:val="28"/>
              </w:rPr>
              <w:t>报价</w:t>
            </w:r>
          </w:p>
        </w:tc>
      </w:tr>
      <w:tr w14:paraId="122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30" w:type="dxa"/>
            <w:vAlign w:val="center"/>
          </w:tcPr>
          <w:p w14:paraId="6DBAE153">
            <w:pPr>
              <w:tabs>
                <w:tab w:val="left" w:pos="630"/>
              </w:tabs>
              <w:spacing w:line="480" w:lineRule="exact"/>
              <w:jc w:val="center"/>
              <w:rPr>
                <w:rFonts w:hint="eastAsia" w:ascii="仿宋" w:hAnsi="仿宋" w:eastAsia="仿宋"/>
                <w:sz w:val="28"/>
                <w:szCs w:val="28"/>
              </w:rPr>
            </w:pPr>
          </w:p>
        </w:tc>
        <w:tc>
          <w:tcPr>
            <w:tcW w:w="3762" w:type="dxa"/>
            <w:vAlign w:val="center"/>
          </w:tcPr>
          <w:p w14:paraId="35631108">
            <w:pPr>
              <w:tabs>
                <w:tab w:val="left" w:pos="630"/>
              </w:tabs>
              <w:spacing w:line="480" w:lineRule="exact"/>
              <w:jc w:val="center"/>
              <w:rPr>
                <w:rFonts w:hint="eastAsia" w:ascii="仿宋" w:hAnsi="仿宋" w:eastAsia="仿宋"/>
                <w:sz w:val="28"/>
                <w:szCs w:val="28"/>
              </w:rPr>
            </w:pPr>
          </w:p>
        </w:tc>
        <w:tc>
          <w:tcPr>
            <w:tcW w:w="2958" w:type="dxa"/>
            <w:vAlign w:val="center"/>
          </w:tcPr>
          <w:p w14:paraId="34913EB1">
            <w:pPr>
              <w:tabs>
                <w:tab w:val="left" w:pos="630"/>
              </w:tabs>
              <w:spacing w:line="480" w:lineRule="exact"/>
              <w:jc w:val="center"/>
              <w:rPr>
                <w:rFonts w:hint="eastAsia" w:ascii="仿宋" w:hAnsi="仿宋" w:eastAsia="仿宋"/>
                <w:sz w:val="28"/>
                <w:szCs w:val="28"/>
              </w:rPr>
            </w:pPr>
          </w:p>
        </w:tc>
        <w:tc>
          <w:tcPr>
            <w:tcW w:w="3316" w:type="dxa"/>
          </w:tcPr>
          <w:p w14:paraId="431EDD86">
            <w:pPr>
              <w:tabs>
                <w:tab w:val="left" w:pos="630"/>
              </w:tabs>
              <w:spacing w:line="480" w:lineRule="exact"/>
              <w:jc w:val="center"/>
              <w:rPr>
                <w:rFonts w:hint="eastAsia" w:ascii="仿宋" w:hAnsi="仿宋" w:eastAsia="仿宋"/>
                <w:sz w:val="28"/>
                <w:szCs w:val="28"/>
              </w:rPr>
            </w:pPr>
          </w:p>
        </w:tc>
      </w:tr>
      <w:tr w14:paraId="2DF7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066" w:type="dxa"/>
            <w:gridSpan w:val="4"/>
            <w:vAlign w:val="center"/>
          </w:tcPr>
          <w:p w14:paraId="383A41B7">
            <w:pPr>
              <w:tabs>
                <w:tab w:val="left" w:pos="630"/>
              </w:tabs>
              <w:spacing w:line="480" w:lineRule="exact"/>
              <w:jc w:val="left"/>
              <w:rPr>
                <w:rFonts w:hint="eastAsia" w:ascii="仿宋" w:hAnsi="仿宋" w:eastAsia="仿宋"/>
                <w:sz w:val="28"/>
                <w:szCs w:val="28"/>
              </w:rPr>
            </w:pPr>
            <w:r>
              <w:rPr>
                <w:rFonts w:hint="eastAsia" w:ascii="仿宋" w:hAnsi="仿宋" w:eastAsia="仿宋"/>
                <w:sz w:val="28"/>
                <w:szCs w:val="28"/>
              </w:rPr>
              <w:t>总价（大写）：</w:t>
            </w:r>
          </w:p>
        </w:tc>
      </w:tr>
    </w:tbl>
    <w:p w14:paraId="1765EEA8">
      <w:pPr>
        <w:spacing w:line="360" w:lineRule="auto"/>
        <w:rPr>
          <w:rFonts w:hint="eastAsia" w:ascii="仿宋" w:hAnsi="仿宋" w:eastAsia="仿宋"/>
          <w:szCs w:val="21"/>
        </w:rPr>
      </w:pPr>
      <w:r>
        <w:rPr>
          <w:rFonts w:hint="eastAsia" w:ascii="仿宋" w:hAnsi="仿宋" w:eastAsia="仿宋"/>
          <w:szCs w:val="21"/>
        </w:rPr>
        <w:t xml:space="preserve">                                                                                                                                                         </w:t>
      </w:r>
    </w:p>
    <w:p w14:paraId="3C816618">
      <w:pPr>
        <w:spacing w:line="360" w:lineRule="auto"/>
        <w:rPr>
          <w:rFonts w:hint="eastAsia" w:ascii="仿宋" w:hAnsi="仿宋" w:eastAsia="仿宋"/>
          <w:szCs w:val="21"/>
        </w:rPr>
      </w:pPr>
      <w:r>
        <w:rPr>
          <w:rFonts w:hint="eastAsia" w:ascii="仿宋" w:hAnsi="仿宋" w:eastAsia="仿宋"/>
          <w:szCs w:val="21"/>
        </w:rPr>
        <w:t xml:space="preserve">注：此表不得有缺项，否则视同无效投标。 </w:t>
      </w:r>
    </w:p>
    <w:p w14:paraId="4B367000">
      <w:pPr>
        <w:spacing w:line="360" w:lineRule="auto"/>
        <w:rPr>
          <w:rFonts w:hint="eastAsia" w:ascii="仿宋" w:hAnsi="仿宋" w:eastAsia="仿宋"/>
          <w:szCs w:val="21"/>
        </w:rPr>
      </w:pPr>
      <w:r>
        <w:rPr>
          <w:rFonts w:hint="eastAsia" w:ascii="仿宋" w:hAnsi="仿宋" w:eastAsia="仿宋"/>
          <w:szCs w:val="21"/>
        </w:rPr>
        <w:t xml:space="preserve">    若报价超过项目预算，将导致无效投标。</w:t>
      </w:r>
    </w:p>
    <w:p w14:paraId="02737C35">
      <w:pPr>
        <w:spacing w:line="360" w:lineRule="auto"/>
        <w:ind w:firstLine="8610" w:firstLineChars="4100"/>
        <w:rPr>
          <w:rFonts w:hint="eastAsia" w:ascii="仿宋" w:hAnsi="仿宋" w:eastAsia="仿宋"/>
          <w:szCs w:val="21"/>
        </w:rPr>
      </w:pPr>
      <w:r>
        <w:rPr>
          <w:rFonts w:hint="eastAsia" w:ascii="仿宋" w:hAnsi="仿宋" w:eastAsia="仿宋"/>
          <w:szCs w:val="21"/>
        </w:rPr>
        <w:t>投标人：</w:t>
      </w:r>
      <w:r>
        <w:rPr>
          <w:rFonts w:hint="eastAsia" w:ascii="仿宋" w:hAnsi="仿宋" w:eastAsia="仿宋"/>
          <w:spacing w:val="20"/>
          <w:szCs w:val="21"/>
          <w:u w:val="single"/>
        </w:rPr>
        <w:t xml:space="preserve">            </w:t>
      </w:r>
      <w:r>
        <w:rPr>
          <w:rFonts w:hint="eastAsia" w:ascii="仿宋" w:hAnsi="仿宋" w:eastAsia="仿宋"/>
          <w:szCs w:val="21"/>
        </w:rPr>
        <w:t>（电子公章）</w:t>
      </w:r>
    </w:p>
    <w:p w14:paraId="2370A651">
      <w:pPr>
        <w:spacing w:line="360" w:lineRule="auto"/>
        <w:ind w:firstLine="7140" w:firstLineChars="3400"/>
        <w:rPr>
          <w:rFonts w:hint="eastAsia" w:ascii="仿宋" w:hAnsi="仿宋" w:eastAsia="仿宋"/>
          <w:szCs w:val="21"/>
        </w:rPr>
      </w:pPr>
      <w:r>
        <w:rPr>
          <w:rFonts w:hint="eastAsia" w:ascii="仿宋" w:hAnsi="仿宋" w:eastAsia="仿宋"/>
          <w:szCs w:val="21"/>
        </w:rPr>
        <w:t>法定代表人（负责人）或投标人授权代表：</w:t>
      </w:r>
      <w:r>
        <w:rPr>
          <w:rFonts w:hint="eastAsia" w:ascii="仿宋" w:hAnsi="仿宋" w:eastAsia="仿宋"/>
          <w:spacing w:val="20"/>
          <w:szCs w:val="21"/>
          <w:u w:val="single"/>
        </w:rPr>
        <w:t xml:space="preserve">            </w:t>
      </w:r>
      <w:r>
        <w:rPr>
          <w:rFonts w:hint="eastAsia" w:ascii="仿宋" w:hAnsi="仿宋" w:eastAsia="仿宋"/>
          <w:szCs w:val="21"/>
        </w:rPr>
        <w:t>（电子签章）</w:t>
      </w:r>
    </w:p>
    <w:p w14:paraId="33A93996">
      <w:pPr>
        <w:spacing w:line="360" w:lineRule="auto"/>
        <w:ind w:firstLine="8610" w:firstLineChars="4100"/>
        <w:rPr>
          <w:rFonts w:hint="eastAsia" w:ascii="仿宋" w:hAnsi="仿宋" w:eastAsia="仿宋"/>
          <w:szCs w:val="21"/>
        </w:rPr>
      </w:pPr>
      <w:r>
        <w:rPr>
          <w:rFonts w:hint="eastAsia" w:ascii="仿宋" w:hAnsi="仿宋" w:eastAsia="仿宋"/>
          <w:szCs w:val="21"/>
        </w:rPr>
        <w:t>日</w:t>
      </w:r>
      <w:r>
        <w:rPr>
          <w:rFonts w:hint="eastAsia" w:ascii="仿宋" w:hAnsi="仿宋" w:eastAsia="仿宋"/>
          <w:szCs w:val="21"/>
        </w:rPr>
        <w:tab/>
      </w:r>
      <w:r>
        <w:rPr>
          <w:rFonts w:hint="eastAsia" w:ascii="仿宋" w:hAnsi="仿宋" w:eastAsia="仿宋"/>
          <w:szCs w:val="21"/>
        </w:rPr>
        <w:t xml:space="preserve"> 期：      年      月     日</w:t>
      </w:r>
    </w:p>
    <w:p w14:paraId="7E12F6E5">
      <w:pPr>
        <w:spacing w:line="360" w:lineRule="auto"/>
        <w:jc w:val="center"/>
        <w:rPr>
          <w:rFonts w:hint="eastAsia" w:ascii="仿宋" w:hAnsi="仿宋" w:eastAsia="仿宋"/>
        </w:rPr>
      </w:pPr>
    </w:p>
    <w:p w14:paraId="3896B35E">
      <w:pPr>
        <w:spacing w:line="360" w:lineRule="auto"/>
        <w:jc w:val="center"/>
        <w:rPr>
          <w:rFonts w:hint="eastAsia" w:ascii="仿宋" w:hAnsi="仿宋" w:eastAsia="仿宋"/>
        </w:rPr>
      </w:pPr>
    </w:p>
    <w:p w14:paraId="086BE083">
      <w:pPr>
        <w:pStyle w:val="74"/>
        <w:ind w:firstLine="0" w:firstLineChars="0"/>
        <w:rPr>
          <w:rFonts w:hint="eastAsia" w:cs="华文中宋"/>
          <w:sz w:val="28"/>
          <w:szCs w:val="28"/>
        </w:rPr>
      </w:pPr>
      <w:r>
        <w:rPr>
          <w:rFonts w:hint="eastAsia" w:cs="华文中宋"/>
          <w:sz w:val="28"/>
          <w:szCs w:val="28"/>
        </w:rPr>
        <w:t>附件1：</w:t>
      </w:r>
    </w:p>
    <w:p w14:paraId="2D90C062">
      <w:pPr>
        <w:pStyle w:val="20"/>
        <w:spacing w:after="0" w:line="360" w:lineRule="auto"/>
        <w:ind w:left="0" w:leftChars="0" w:firstLine="602" w:firstLineChars="200"/>
        <w:jc w:val="center"/>
        <w:rPr>
          <w:rFonts w:hint="eastAsia" w:ascii="宋体" w:hAnsi="宋体" w:cs="宋体"/>
          <w:b/>
          <w:bCs/>
          <w:spacing w:val="-11"/>
          <w:sz w:val="28"/>
          <w:szCs w:val="28"/>
        </w:rPr>
      </w:pPr>
      <w:r>
        <w:rPr>
          <w:rFonts w:hint="eastAsia" w:ascii="宋体" w:hAnsi="宋体" w:cs="宋体"/>
          <w:b/>
          <w:sz w:val="30"/>
          <w:szCs w:val="30"/>
        </w:rPr>
        <w:t>综合防控系统信息化管理平台</w:t>
      </w:r>
    </w:p>
    <w:tbl>
      <w:tblPr>
        <w:tblStyle w:val="39"/>
        <w:tblW w:w="13552" w:type="dxa"/>
        <w:tblInd w:w="93" w:type="dxa"/>
        <w:tblLayout w:type="fixed"/>
        <w:tblCellMar>
          <w:top w:w="0" w:type="dxa"/>
          <w:left w:w="108" w:type="dxa"/>
          <w:bottom w:w="0" w:type="dxa"/>
          <w:right w:w="108" w:type="dxa"/>
        </w:tblCellMar>
      </w:tblPr>
      <w:tblGrid>
        <w:gridCol w:w="1071"/>
        <w:gridCol w:w="1481"/>
        <w:gridCol w:w="1313"/>
        <w:gridCol w:w="9687"/>
      </w:tblGrid>
      <w:tr w14:paraId="682B889D">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5312B52">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1481" w:type="dxa"/>
            <w:tcBorders>
              <w:top w:val="single" w:color="000000" w:sz="4" w:space="0"/>
              <w:left w:val="single" w:color="000000" w:sz="4" w:space="0"/>
              <w:bottom w:val="single" w:color="000000" w:sz="4" w:space="0"/>
              <w:right w:val="single" w:color="000000" w:sz="4" w:space="0"/>
            </w:tcBorders>
            <w:vAlign w:val="center"/>
          </w:tcPr>
          <w:p w14:paraId="6A57B9B6">
            <w:pPr>
              <w:widowControl/>
              <w:jc w:val="center"/>
              <w:textAlignment w:val="center"/>
              <w:rPr>
                <w:rFonts w:hint="eastAsia" w:ascii="宋体" w:hAnsi="宋体" w:cs="宋体"/>
                <w:b/>
                <w:bCs/>
                <w:sz w:val="24"/>
              </w:rPr>
            </w:pPr>
            <w:r>
              <w:rPr>
                <w:rFonts w:hint="eastAsia" w:ascii="宋体" w:hAnsi="宋体" w:cs="宋体"/>
                <w:b/>
                <w:bCs/>
                <w:kern w:val="0"/>
                <w:sz w:val="24"/>
                <w:lang w:bidi="ar"/>
              </w:rPr>
              <w:t>一级模块</w:t>
            </w:r>
          </w:p>
        </w:tc>
        <w:tc>
          <w:tcPr>
            <w:tcW w:w="1313" w:type="dxa"/>
            <w:tcBorders>
              <w:top w:val="single" w:color="000000" w:sz="4" w:space="0"/>
              <w:left w:val="single" w:color="000000" w:sz="4" w:space="0"/>
              <w:bottom w:val="single" w:color="000000" w:sz="4" w:space="0"/>
              <w:right w:val="single" w:color="000000" w:sz="4" w:space="0"/>
            </w:tcBorders>
            <w:vAlign w:val="center"/>
          </w:tcPr>
          <w:p w14:paraId="427C5B8D">
            <w:pPr>
              <w:widowControl/>
              <w:jc w:val="center"/>
              <w:textAlignment w:val="center"/>
              <w:rPr>
                <w:rFonts w:hint="eastAsia" w:ascii="宋体" w:hAnsi="宋体" w:cs="宋体"/>
                <w:b/>
                <w:bCs/>
                <w:sz w:val="24"/>
              </w:rPr>
            </w:pPr>
            <w:r>
              <w:rPr>
                <w:rFonts w:hint="eastAsia" w:ascii="宋体" w:hAnsi="宋体" w:cs="宋体"/>
                <w:b/>
                <w:bCs/>
                <w:kern w:val="0"/>
                <w:sz w:val="24"/>
                <w:lang w:bidi="ar"/>
              </w:rPr>
              <w:t>二级模块</w:t>
            </w:r>
          </w:p>
        </w:tc>
        <w:tc>
          <w:tcPr>
            <w:tcW w:w="9687" w:type="dxa"/>
            <w:tcBorders>
              <w:top w:val="single" w:color="000000" w:sz="4" w:space="0"/>
              <w:left w:val="single" w:color="000000" w:sz="4" w:space="0"/>
              <w:bottom w:val="single" w:color="000000" w:sz="4" w:space="0"/>
              <w:right w:val="single" w:color="000000" w:sz="4" w:space="0"/>
            </w:tcBorders>
            <w:vAlign w:val="center"/>
          </w:tcPr>
          <w:p w14:paraId="37D1014C">
            <w:pPr>
              <w:widowControl/>
              <w:jc w:val="center"/>
              <w:textAlignment w:val="center"/>
              <w:rPr>
                <w:rFonts w:hint="eastAsia" w:ascii="宋体" w:hAnsi="宋体" w:cs="宋体"/>
                <w:b/>
                <w:bCs/>
                <w:sz w:val="24"/>
              </w:rPr>
            </w:pPr>
            <w:r>
              <w:rPr>
                <w:rFonts w:hint="eastAsia" w:ascii="宋体" w:hAnsi="宋体" w:cs="宋体"/>
                <w:b/>
                <w:bCs/>
                <w:kern w:val="0"/>
                <w:sz w:val="24"/>
                <w:lang w:bidi="ar"/>
              </w:rPr>
              <w:t>功能点描述</w:t>
            </w:r>
          </w:p>
        </w:tc>
      </w:tr>
      <w:tr w14:paraId="313E31BD">
        <w:tblPrEx>
          <w:tblCellMar>
            <w:top w:w="0" w:type="dxa"/>
            <w:left w:w="108" w:type="dxa"/>
            <w:bottom w:w="0" w:type="dxa"/>
            <w:right w:w="108" w:type="dxa"/>
          </w:tblCellMar>
        </w:tblPrEx>
        <w:trPr>
          <w:trHeight w:val="51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924DE3A">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66E4630">
            <w:pPr>
              <w:widowControl/>
              <w:jc w:val="center"/>
              <w:textAlignment w:val="center"/>
              <w:rPr>
                <w:rFonts w:hint="eastAsia" w:ascii="宋体" w:hAnsi="宋体" w:cs="宋体"/>
                <w:sz w:val="24"/>
              </w:rPr>
            </w:pPr>
            <w:r>
              <w:rPr>
                <w:rFonts w:hint="eastAsia" w:ascii="宋体" w:hAnsi="宋体" w:cs="宋体"/>
                <w:kern w:val="0"/>
                <w:sz w:val="24"/>
                <w:lang w:bidi="ar"/>
              </w:rPr>
              <w:t>孕前优生检查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0F878797">
            <w:pPr>
              <w:widowControl/>
              <w:jc w:val="center"/>
              <w:textAlignment w:val="center"/>
              <w:rPr>
                <w:rFonts w:hint="eastAsia" w:ascii="宋体" w:hAnsi="宋体" w:cs="宋体"/>
                <w:sz w:val="24"/>
              </w:rPr>
            </w:pPr>
            <w:r>
              <w:rPr>
                <w:rFonts w:hint="eastAsia" w:ascii="宋体" w:hAnsi="宋体" w:cs="宋体"/>
                <w:kern w:val="0"/>
                <w:sz w:val="24"/>
                <w:lang w:bidi="ar"/>
              </w:rPr>
              <w:t>孕优登记</w:t>
            </w:r>
          </w:p>
        </w:tc>
        <w:tc>
          <w:tcPr>
            <w:tcW w:w="9687" w:type="dxa"/>
            <w:tcBorders>
              <w:top w:val="single" w:color="000000" w:sz="4" w:space="0"/>
              <w:left w:val="single" w:color="000000" w:sz="4" w:space="0"/>
              <w:bottom w:val="single" w:color="000000" w:sz="4" w:space="0"/>
              <w:right w:val="single" w:color="000000" w:sz="4" w:space="0"/>
            </w:tcBorders>
            <w:vAlign w:val="center"/>
          </w:tcPr>
          <w:p w14:paraId="5D6971C3">
            <w:pPr>
              <w:widowControl/>
              <w:textAlignment w:val="center"/>
              <w:rPr>
                <w:rFonts w:hint="eastAsia" w:ascii="宋体" w:hAnsi="宋体" w:cs="宋体"/>
                <w:sz w:val="24"/>
              </w:rPr>
            </w:pPr>
            <w:r>
              <w:rPr>
                <w:rFonts w:hint="eastAsia" w:ascii="宋体" w:hAnsi="宋体" w:cs="宋体"/>
                <w:kern w:val="0"/>
                <w:sz w:val="24"/>
                <w:lang w:bidi="ar"/>
              </w:rPr>
              <w:t xml:space="preserve">    孕优登记功能模块可全方位满足孕前优生检查服务对象的登记管理与流程操作需求，功能覆盖信息管理、身份录入、条码处理、档案与检查管理及操作入口等多个维度。</w:t>
            </w:r>
            <w:r>
              <w:rPr>
                <w:rFonts w:hint="eastAsia" w:ascii="宋体" w:hAnsi="宋体" w:cs="宋体"/>
                <w:kern w:val="0"/>
                <w:sz w:val="24"/>
                <w:lang w:bidi="ar"/>
              </w:rPr>
              <w:br w:type="textWrapping"/>
            </w:r>
            <w:r>
              <w:rPr>
                <w:rFonts w:hint="eastAsia" w:ascii="宋体" w:hAnsi="宋体" w:cs="宋体"/>
                <w:kern w:val="0"/>
                <w:sz w:val="24"/>
                <w:lang w:bidi="ar"/>
              </w:rPr>
              <w:t xml:space="preserve">    在服务对象信息管理上，支持孕前优生检查服务对象信息的添加、删除、修改、查看与导出，确保信息全生命周期可追溯；身份信息录入环节，支持读卡器读取，同时支持单方录入档案，并具备孕前优生检查证件所需的照相上传功能，提升信息采集效率与完整性；条码管理方面，能够自动生成条码、支持输入预制条码，还可打印服务对象登记信息条形码，便于后续流程追溯；检查与档案管理上，支持孕优检查类型的管理，可打印孕优导检单，也能将孕优档案生成电子版并打印；</w:t>
            </w:r>
            <w:r>
              <w:rPr>
                <w:rFonts w:hint="eastAsia" w:ascii="宋体" w:hAnsi="宋体" w:cs="宋体"/>
                <w:kern w:val="0"/>
                <w:sz w:val="24"/>
                <w:lang w:bidi="ar"/>
              </w:rPr>
              <w:br w:type="textWrapping"/>
            </w:r>
            <w:r>
              <w:rPr>
                <w:rFonts w:hint="eastAsia" w:ascii="宋体" w:hAnsi="宋体" w:cs="宋体"/>
                <w:kern w:val="0"/>
                <w:sz w:val="24"/>
                <w:lang w:bidi="ar"/>
              </w:rPr>
              <w:t xml:space="preserve">    此外，模块还支持打开孕优登记 tab 页面，为工作人员提供直观便捷的操作入口，高效适配孕优登记全场景应用。</w:t>
            </w:r>
          </w:p>
        </w:tc>
      </w:tr>
      <w:tr w14:paraId="71AC0D8A">
        <w:tblPrEx>
          <w:tblCellMar>
            <w:top w:w="0" w:type="dxa"/>
            <w:left w:w="108" w:type="dxa"/>
            <w:bottom w:w="0" w:type="dxa"/>
            <w:right w:w="108" w:type="dxa"/>
          </w:tblCellMar>
        </w:tblPrEx>
        <w:trPr>
          <w:trHeight w:val="45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A06E8B7">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61A922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4654ADE">
            <w:pPr>
              <w:widowControl/>
              <w:jc w:val="center"/>
              <w:textAlignment w:val="center"/>
              <w:rPr>
                <w:rFonts w:hint="eastAsia" w:ascii="宋体" w:hAnsi="宋体" w:cs="宋体"/>
                <w:sz w:val="24"/>
              </w:rPr>
            </w:pPr>
            <w:r>
              <w:rPr>
                <w:rFonts w:hint="eastAsia" w:ascii="宋体" w:hAnsi="宋体" w:cs="宋体"/>
                <w:kern w:val="0"/>
                <w:sz w:val="24"/>
                <w:lang w:bidi="ar"/>
              </w:rPr>
              <w:t>病史询问</w:t>
            </w:r>
          </w:p>
        </w:tc>
        <w:tc>
          <w:tcPr>
            <w:tcW w:w="9687" w:type="dxa"/>
            <w:tcBorders>
              <w:top w:val="single" w:color="000000" w:sz="4" w:space="0"/>
              <w:left w:val="single" w:color="000000" w:sz="4" w:space="0"/>
              <w:bottom w:val="single" w:color="000000" w:sz="4" w:space="0"/>
              <w:right w:val="single" w:color="000000" w:sz="4" w:space="0"/>
            </w:tcBorders>
            <w:vAlign w:val="center"/>
          </w:tcPr>
          <w:p w14:paraId="2CF5EDAF">
            <w:pPr>
              <w:widowControl/>
              <w:textAlignment w:val="center"/>
              <w:rPr>
                <w:rFonts w:hint="eastAsia" w:ascii="宋体" w:hAnsi="宋体" w:cs="宋体"/>
                <w:sz w:val="24"/>
              </w:rPr>
            </w:pPr>
            <w:r>
              <w:rPr>
                <w:rFonts w:hint="eastAsia" w:ascii="宋体" w:hAnsi="宋体" w:cs="宋体"/>
                <w:kern w:val="0"/>
                <w:sz w:val="24"/>
                <w:lang w:bidi="ar"/>
              </w:rPr>
              <w:t xml:space="preserve">    该病史询问功能模块覆盖信息录入、管理与操作入口等全流程需求，能全面收集病史相关关键信息。</w:t>
            </w:r>
            <w:r>
              <w:rPr>
                <w:rFonts w:hint="eastAsia" w:ascii="宋体" w:hAnsi="宋体" w:cs="宋体"/>
                <w:kern w:val="0"/>
                <w:sz w:val="24"/>
                <w:lang w:bidi="ar"/>
              </w:rPr>
              <w:br w:type="textWrapping"/>
            </w:r>
            <w:r>
              <w:rPr>
                <w:rFonts w:hint="eastAsia" w:ascii="宋体" w:hAnsi="宋体" w:cs="宋体"/>
                <w:kern w:val="0"/>
                <w:sz w:val="24"/>
                <w:lang w:bidi="ar"/>
              </w:rPr>
              <w:t xml:space="preserve">    在信息录入方面，支持录入基本信息、既往病史、现病史、用药史、月经史、既往婚孕史、家族遗传病史，同时可记录夫妻近亲结婚情况与家庭近亲婚配史，满足病史询问的核心数据采集需求；在信息管理上，可对已录入的各类病史信息进行修改或删除，确保数据准确性；针对特殊情况，支持病史询问拒检操作，且拒检时需按要求输入拒检原因；</w:t>
            </w:r>
            <w:r>
              <w:rPr>
                <w:rFonts w:hint="eastAsia" w:ascii="宋体" w:hAnsi="宋体" w:cs="宋体"/>
                <w:kern w:val="0"/>
                <w:sz w:val="24"/>
                <w:lang w:bidi="ar"/>
              </w:rPr>
              <w:br w:type="textWrapping"/>
            </w:r>
            <w:r>
              <w:rPr>
                <w:rFonts w:hint="eastAsia" w:ascii="宋体" w:hAnsi="宋体" w:cs="宋体"/>
                <w:kern w:val="0"/>
                <w:sz w:val="24"/>
                <w:lang w:bidi="ar"/>
              </w:rPr>
              <w:t xml:space="preserve">    此外，模块还支持打开病史询问 tab 页面，为工作人员提供便捷的功能操作入口，高效适配病史询问场景的实际应用。</w:t>
            </w:r>
          </w:p>
        </w:tc>
      </w:tr>
      <w:tr w14:paraId="14B927DB">
        <w:tblPrEx>
          <w:tblCellMar>
            <w:top w:w="0" w:type="dxa"/>
            <w:left w:w="108" w:type="dxa"/>
            <w:bottom w:w="0" w:type="dxa"/>
            <w:right w:w="108" w:type="dxa"/>
          </w:tblCellMar>
        </w:tblPrEx>
        <w:trPr>
          <w:trHeight w:val="45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0906576">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E91434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5CF95F2">
            <w:pPr>
              <w:widowControl/>
              <w:jc w:val="center"/>
              <w:textAlignment w:val="center"/>
              <w:rPr>
                <w:rFonts w:hint="eastAsia" w:ascii="宋体" w:hAnsi="宋体" w:cs="宋体"/>
                <w:sz w:val="24"/>
              </w:rPr>
            </w:pPr>
            <w:r>
              <w:rPr>
                <w:rFonts w:hint="eastAsia" w:ascii="宋体" w:hAnsi="宋体" w:cs="宋体"/>
                <w:kern w:val="0"/>
                <w:sz w:val="24"/>
                <w:lang w:bidi="ar"/>
              </w:rPr>
              <w:t>饮食营养</w:t>
            </w:r>
          </w:p>
        </w:tc>
        <w:tc>
          <w:tcPr>
            <w:tcW w:w="9687" w:type="dxa"/>
            <w:tcBorders>
              <w:top w:val="single" w:color="000000" w:sz="4" w:space="0"/>
              <w:left w:val="single" w:color="000000" w:sz="4" w:space="0"/>
              <w:bottom w:val="single" w:color="000000" w:sz="4" w:space="0"/>
              <w:right w:val="single" w:color="000000" w:sz="4" w:space="0"/>
            </w:tcBorders>
            <w:vAlign w:val="center"/>
          </w:tcPr>
          <w:p w14:paraId="17B84EF1">
            <w:pPr>
              <w:widowControl/>
              <w:textAlignment w:val="center"/>
              <w:rPr>
                <w:rFonts w:hint="eastAsia" w:ascii="宋体" w:hAnsi="宋体" w:cs="宋体"/>
                <w:sz w:val="24"/>
              </w:rPr>
            </w:pPr>
            <w:r>
              <w:rPr>
                <w:rFonts w:hint="eastAsia" w:ascii="宋体" w:hAnsi="宋体" w:cs="宋体"/>
                <w:kern w:val="0"/>
                <w:sz w:val="24"/>
                <w:lang w:bidi="ar"/>
              </w:rPr>
              <w:t xml:space="preserve">    饮食营养功能模块可满足饮食营养相关信息的基础管理与操作需求，核心功能包括支持饮食营养信息的添加、修改与删除，能灵活实现信息的录入、更新与清理，确保数据的准确性与时效性；</w:t>
            </w:r>
            <w:r>
              <w:rPr>
                <w:rFonts w:hint="eastAsia" w:ascii="宋体" w:hAnsi="宋体" w:cs="宋体"/>
                <w:kern w:val="0"/>
                <w:sz w:val="24"/>
                <w:lang w:bidi="ar"/>
              </w:rPr>
              <w:br w:type="textWrapping"/>
            </w:r>
            <w:r>
              <w:rPr>
                <w:rFonts w:hint="eastAsia" w:ascii="宋体" w:hAnsi="宋体" w:cs="宋体"/>
                <w:kern w:val="0"/>
                <w:sz w:val="24"/>
                <w:lang w:bidi="ar"/>
              </w:rPr>
              <w:t xml:space="preserve">    同时，模块支持打开饮食营养 tab 页面，为工作人员提供便捷的功能操作入口，高效适配饮食营养信息管理的日常应用场景。</w:t>
            </w:r>
          </w:p>
        </w:tc>
      </w:tr>
      <w:tr w14:paraId="6F951A74">
        <w:tblPrEx>
          <w:tblCellMar>
            <w:top w:w="0" w:type="dxa"/>
            <w:left w:w="108" w:type="dxa"/>
            <w:bottom w:w="0" w:type="dxa"/>
            <w:right w:w="108" w:type="dxa"/>
          </w:tblCellMar>
        </w:tblPrEx>
        <w:trPr>
          <w:trHeight w:val="484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E3AA7CB">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B43E92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754E8F9">
            <w:pPr>
              <w:widowControl/>
              <w:jc w:val="center"/>
              <w:textAlignment w:val="center"/>
              <w:rPr>
                <w:rFonts w:hint="eastAsia" w:ascii="宋体" w:hAnsi="宋体" w:cs="宋体"/>
                <w:sz w:val="24"/>
              </w:rPr>
            </w:pPr>
            <w:r>
              <w:rPr>
                <w:rFonts w:hint="eastAsia" w:ascii="宋体" w:hAnsi="宋体" w:cs="宋体"/>
                <w:kern w:val="0"/>
                <w:sz w:val="24"/>
                <w:lang w:bidi="ar"/>
              </w:rPr>
              <w:t>生活习惯</w:t>
            </w:r>
          </w:p>
        </w:tc>
        <w:tc>
          <w:tcPr>
            <w:tcW w:w="9687" w:type="dxa"/>
            <w:tcBorders>
              <w:top w:val="single" w:color="000000" w:sz="4" w:space="0"/>
              <w:left w:val="single" w:color="000000" w:sz="4" w:space="0"/>
              <w:bottom w:val="single" w:color="000000" w:sz="4" w:space="0"/>
              <w:right w:val="single" w:color="000000" w:sz="4" w:space="0"/>
            </w:tcBorders>
            <w:vAlign w:val="center"/>
          </w:tcPr>
          <w:p w14:paraId="5F7A3D78">
            <w:pPr>
              <w:widowControl/>
              <w:textAlignment w:val="center"/>
              <w:rPr>
                <w:rFonts w:hint="eastAsia" w:ascii="宋体" w:hAnsi="宋体" w:cs="宋体"/>
                <w:sz w:val="24"/>
              </w:rPr>
            </w:pPr>
            <w:r>
              <w:rPr>
                <w:rFonts w:hint="eastAsia" w:ascii="宋体" w:hAnsi="宋体" w:cs="宋体"/>
                <w:kern w:val="0"/>
                <w:sz w:val="24"/>
                <w:lang w:bidi="ar"/>
              </w:rPr>
              <w:t xml:space="preserve">    生活习惯功能模块可满足生活习惯相关信息的基础管理与操作需求，核心功能包括支持生活习惯信息的添加、修改与删除，能灵活实现信息的录入、更新与清理，确保数据的准确性与时效性；</w:t>
            </w:r>
            <w:r>
              <w:rPr>
                <w:rFonts w:hint="eastAsia" w:ascii="宋体" w:hAnsi="宋体" w:cs="宋体"/>
                <w:kern w:val="0"/>
                <w:sz w:val="24"/>
                <w:lang w:bidi="ar"/>
              </w:rPr>
              <w:br w:type="textWrapping"/>
            </w:r>
            <w:r>
              <w:rPr>
                <w:rFonts w:hint="eastAsia" w:ascii="宋体" w:hAnsi="宋体" w:cs="宋体"/>
                <w:kern w:val="0"/>
                <w:sz w:val="24"/>
                <w:lang w:bidi="ar"/>
              </w:rPr>
              <w:t xml:space="preserve">    同时，模块支持打开生活习惯功能页面，为工作人员提供便捷的操作入口，高效适配生活习惯信息管理的日常应用场景。</w:t>
            </w:r>
          </w:p>
        </w:tc>
      </w:tr>
      <w:tr w14:paraId="78FCC4C6">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624C9A1">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C57F82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5D7179B">
            <w:pPr>
              <w:widowControl/>
              <w:jc w:val="center"/>
              <w:textAlignment w:val="center"/>
              <w:rPr>
                <w:rFonts w:hint="eastAsia" w:ascii="宋体" w:hAnsi="宋体" w:cs="宋体"/>
                <w:sz w:val="24"/>
              </w:rPr>
            </w:pPr>
            <w:r>
              <w:rPr>
                <w:rFonts w:hint="eastAsia" w:ascii="宋体" w:hAnsi="宋体" w:cs="宋体"/>
                <w:kern w:val="0"/>
                <w:sz w:val="24"/>
                <w:lang w:bidi="ar"/>
              </w:rPr>
              <w:t>环境毒害物接触</w:t>
            </w:r>
          </w:p>
        </w:tc>
        <w:tc>
          <w:tcPr>
            <w:tcW w:w="9687" w:type="dxa"/>
            <w:tcBorders>
              <w:top w:val="single" w:color="000000" w:sz="4" w:space="0"/>
              <w:left w:val="single" w:color="000000" w:sz="4" w:space="0"/>
              <w:bottom w:val="single" w:color="000000" w:sz="4" w:space="0"/>
              <w:right w:val="single" w:color="000000" w:sz="4" w:space="0"/>
            </w:tcBorders>
            <w:vAlign w:val="center"/>
          </w:tcPr>
          <w:p w14:paraId="47B15453">
            <w:pPr>
              <w:widowControl/>
              <w:textAlignment w:val="center"/>
              <w:rPr>
                <w:rFonts w:hint="eastAsia" w:ascii="宋体" w:hAnsi="宋体" w:cs="宋体"/>
                <w:sz w:val="24"/>
              </w:rPr>
            </w:pPr>
            <w:r>
              <w:rPr>
                <w:rFonts w:hint="eastAsia" w:ascii="宋体" w:hAnsi="宋体" w:cs="宋体"/>
                <w:kern w:val="0"/>
                <w:sz w:val="24"/>
                <w:lang w:bidi="ar"/>
              </w:rPr>
              <w:t xml:space="preserve">     环境毒害物接触功能模块可满足环境毒害物接触相关信息的基础管理与操作需求，核心功能包括支持环境毒害物接触信息的添加、修改与删除，能灵活实现信息的录入、更新与清理，确保数据精准适配实际记录需求；</w:t>
            </w:r>
            <w:r>
              <w:rPr>
                <w:rFonts w:hint="eastAsia" w:ascii="宋体" w:hAnsi="宋体" w:cs="宋体"/>
                <w:kern w:val="0"/>
                <w:sz w:val="24"/>
                <w:lang w:bidi="ar"/>
              </w:rPr>
              <w:br w:type="textWrapping"/>
            </w:r>
            <w:r>
              <w:rPr>
                <w:rFonts w:hint="eastAsia" w:ascii="宋体" w:hAnsi="宋体" w:cs="宋体"/>
                <w:kern w:val="0"/>
                <w:sz w:val="24"/>
                <w:lang w:bidi="ar"/>
              </w:rPr>
              <w:t xml:space="preserve">    同时，模块支持打开环境毒害物接触 tab 页面，为工作人员提供直观便捷的功能操作入口，高效覆盖环境毒害物接触信息管理的日常应用场景。</w:t>
            </w:r>
          </w:p>
        </w:tc>
      </w:tr>
      <w:tr w14:paraId="417B5BDD">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415CADB">
            <w:pPr>
              <w:widowControl/>
              <w:jc w:val="center"/>
              <w:textAlignment w:val="center"/>
              <w:rPr>
                <w:rFonts w:hint="eastAsia" w:ascii="宋体" w:hAnsi="宋体" w:cs="宋体"/>
                <w:sz w:val="24"/>
              </w:rPr>
            </w:pPr>
            <w:r>
              <w:rPr>
                <w:rFonts w:hint="eastAsia" w:ascii="宋体" w:hAnsi="宋体" w:cs="宋体"/>
                <w:kern w:val="0"/>
                <w:sz w:val="24"/>
                <w:lang w:bidi="ar"/>
              </w:rPr>
              <w:t>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313EED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EBE087E">
            <w:pPr>
              <w:widowControl/>
              <w:jc w:val="center"/>
              <w:textAlignment w:val="center"/>
              <w:rPr>
                <w:rFonts w:hint="eastAsia" w:ascii="宋体" w:hAnsi="宋体" w:cs="宋体"/>
                <w:sz w:val="24"/>
              </w:rPr>
            </w:pPr>
            <w:r>
              <w:rPr>
                <w:rFonts w:hint="eastAsia" w:ascii="宋体" w:hAnsi="宋体" w:cs="宋体"/>
                <w:kern w:val="0"/>
                <w:sz w:val="24"/>
                <w:lang w:bidi="ar"/>
              </w:rPr>
              <w:t>社会心理因素</w:t>
            </w:r>
          </w:p>
        </w:tc>
        <w:tc>
          <w:tcPr>
            <w:tcW w:w="9687" w:type="dxa"/>
            <w:tcBorders>
              <w:top w:val="single" w:color="000000" w:sz="4" w:space="0"/>
              <w:left w:val="single" w:color="000000" w:sz="4" w:space="0"/>
              <w:bottom w:val="single" w:color="000000" w:sz="4" w:space="0"/>
              <w:right w:val="single" w:color="000000" w:sz="4" w:space="0"/>
            </w:tcBorders>
            <w:vAlign w:val="center"/>
          </w:tcPr>
          <w:p w14:paraId="6B589C91">
            <w:pPr>
              <w:widowControl/>
              <w:textAlignment w:val="center"/>
              <w:rPr>
                <w:rFonts w:hint="eastAsia" w:ascii="宋体" w:hAnsi="宋体" w:cs="宋体"/>
                <w:sz w:val="24"/>
              </w:rPr>
            </w:pPr>
            <w:r>
              <w:rPr>
                <w:rFonts w:hint="eastAsia" w:ascii="宋体" w:hAnsi="宋体" w:cs="宋体"/>
                <w:kern w:val="0"/>
                <w:sz w:val="24"/>
                <w:lang w:bidi="ar"/>
              </w:rPr>
              <w:t xml:space="preserve">    社会心理因素功能模块可满足社会心理因素相关信息的基础管理与操作需求，核心功能包含支持社会心理因素信息的添加、修改与删除，能灵活完成信息的录入、更新与清理，确保数据准确匹配实际记录场景；</w:t>
            </w:r>
            <w:r>
              <w:rPr>
                <w:rFonts w:hint="eastAsia" w:ascii="宋体" w:hAnsi="宋体" w:cs="宋体"/>
                <w:kern w:val="0"/>
                <w:sz w:val="24"/>
                <w:lang w:bidi="ar"/>
              </w:rPr>
              <w:br w:type="textWrapping"/>
            </w:r>
            <w:r>
              <w:rPr>
                <w:rFonts w:hint="eastAsia" w:ascii="宋体" w:hAnsi="宋体" w:cs="宋体"/>
                <w:kern w:val="0"/>
                <w:sz w:val="24"/>
                <w:lang w:bidi="ar"/>
              </w:rPr>
              <w:t xml:space="preserve">    同时，模块支持打开社会心理因素 tab 页面，为工作人员提供便捷的功能操作入口，高效适配社会心理因素信息管理的日常应用流程。</w:t>
            </w:r>
          </w:p>
        </w:tc>
      </w:tr>
      <w:tr w14:paraId="175D0410">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800A6C">
            <w:pPr>
              <w:widowControl/>
              <w:jc w:val="center"/>
              <w:textAlignment w:val="center"/>
              <w:rPr>
                <w:rFonts w:hint="eastAsia" w:ascii="宋体" w:hAnsi="宋体" w:cs="宋体"/>
                <w:sz w:val="24"/>
              </w:rPr>
            </w:pPr>
            <w:r>
              <w:rPr>
                <w:rFonts w:hint="eastAsia" w:ascii="宋体" w:hAnsi="宋体" w:cs="宋体"/>
                <w:kern w:val="0"/>
                <w:sz w:val="24"/>
                <w:lang w:bidi="ar"/>
              </w:rPr>
              <w:t>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F1CA29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896F82F">
            <w:pPr>
              <w:widowControl/>
              <w:jc w:val="center"/>
              <w:textAlignment w:val="center"/>
              <w:rPr>
                <w:rFonts w:hint="eastAsia" w:ascii="宋体" w:hAnsi="宋体" w:cs="宋体"/>
                <w:sz w:val="24"/>
              </w:rPr>
            </w:pPr>
            <w:r>
              <w:rPr>
                <w:rFonts w:hint="eastAsia" w:ascii="宋体" w:hAnsi="宋体" w:cs="宋体"/>
                <w:kern w:val="0"/>
                <w:sz w:val="24"/>
                <w:lang w:bidi="ar"/>
              </w:rPr>
              <w:t>体格检查（男）</w:t>
            </w:r>
          </w:p>
        </w:tc>
        <w:tc>
          <w:tcPr>
            <w:tcW w:w="9687" w:type="dxa"/>
            <w:tcBorders>
              <w:top w:val="single" w:color="000000" w:sz="4" w:space="0"/>
              <w:left w:val="single" w:color="000000" w:sz="4" w:space="0"/>
              <w:bottom w:val="single" w:color="000000" w:sz="4" w:space="0"/>
              <w:right w:val="single" w:color="000000" w:sz="4" w:space="0"/>
            </w:tcBorders>
            <w:vAlign w:val="center"/>
          </w:tcPr>
          <w:p w14:paraId="52BC2825">
            <w:pPr>
              <w:widowControl/>
              <w:textAlignment w:val="center"/>
              <w:rPr>
                <w:rFonts w:hint="eastAsia" w:ascii="宋体" w:hAnsi="宋体" w:cs="宋体"/>
                <w:sz w:val="24"/>
              </w:rPr>
            </w:pPr>
            <w:r>
              <w:rPr>
                <w:rFonts w:hint="eastAsia" w:ascii="宋体" w:hAnsi="宋体" w:cs="宋体"/>
                <w:kern w:val="0"/>
                <w:sz w:val="24"/>
                <w:lang w:bidi="ar"/>
              </w:rPr>
              <w:t>孕前优生男方体格检查功能模块可全面覆盖检查中男方体格信息的采集、管理与操作需求，能精准适配男性体检的场景特点。</w:t>
            </w:r>
            <w:r>
              <w:rPr>
                <w:rFonts w:hint="eastAsia" w:ascii="宋体" w:hAnsi="宋体" w:cs="宋体"/>
                <w:kern w:val="0"/>
                <w:sz w:val="24"/>
                <w:lang w:bidi="ar"/>
              </w:rPr>
              <w:br w:type="textWrapping"/>
            </w:r>
            <w:r>
              <w:rPr>
                <w:rFonts w:hint="eastAsia" w:ascii="宋体" w:hAnsi="宋体" w:cs="宋体"/>
                <w:kern w:val="0"/>
                <w:sz w:val="24"/>
                <w:lang w:bidi="ar"/>
              </w:rPr>
              <w:t>在信息录入方面，支持录入综合体检基本信息、一般检查、智力检查、专科检查基本信息、第二性特征、生殖器检查信息及其他补充信息，确保体格检查关键数据无遗漏；在信息管理上，可对已录入的各类体格检查信息进行修改或删除，保障数据的准确性与完整性；</w:t>
            </w:r>
            <w:r>
              <w:rPr>
                <w:rFonts w:hint="eastAsia" w:ascii="宋体" w:hAnsi="宋体" w:cs="宋体"/>
                <w:kern w:val="0"/>
                <w:sz w:val="24"/>
                <w:lang w:bidi="ar"/>
              </w:rPr>
              <w:br w:type="textWrapping"/>
            </w:r>
            <w:r>
              <w:rPr>
                <w:rFonts w:hint="eastAsia" w:ascii="宋体" w:hAnsi="宋体" w:cs="宋体"/>
                <w:kern w:val="0"/>
                <w:sz w:val="24"/>
                <w:lang w:bidi="ar"/>
              </w:rPr>
              <w:t>此外，模块还支持打开体格检查tab页面，为工作人员提供直观便捷的功能操作入口，高效支撑体格检查全流程的信息管理工作。</w:t>
            </w:r>
          </w:p>
        </w:tc>
      </w:tr>
      <w:tr w14:paraId="4503F438">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6718D83">
            <w:pPr>
              <w:widowControl/>
              <w:jc w:val="center"/>
              <w:textAlignment w:val="center"/>
              <w:rPr>
                <w:rFonts w:hint="eastAsia" w:ascii="宋体" w:hAnsi="宋体" w:cs="宋体"/>
                <w:sz w:val="24"/>
              </w:rPr>
            </w:pPr>
            <w:r>
              <w:rPr>
                <w:rFonts w:hint="eastAsia" w:ascii="宋体" w:hAnsi="宋体" w:cs="宋体"/>
                <w:kern w:val="0"/>
                <w:sz w:val="24"/>
                <w:lang w:bidi="ar"/>
              </w:rPr>
              <w:t>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D4EC12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1555BA6">
            <w:pPr>
              <w:widowControl/>
              <w:jc w:val="center"/>
              <w:textAlignment w:val="center"/>
              <w:rPr>
                <w:rFonts w:hint="eastAsia" w:ascii="宋体" w:hAnsi="宋体" w:cs="宋体"/>
                <w:sz w:val="24"/>
              </w:rPr>
            </w:pPr>
            <w:r>
              <w:rPr>
                <w:rFonts w:hint="eastAsia" w:ascii="宋体" w:hAnsi="宋体" w:cs="宋体"/>
                <w:kern w:val="0"/>
                <w:sz w:val="24"/>
                <w:lang w:bidi="ar"/>
              </w:rPr>
              <w:t>体格检查（女）</w:t>
            </w:r>
          </w:p>
        </w:tc>
        <w:tc>
          <w:tcPr>
            <w:tcW w:w="9687" w:type="dxa"/>
            <w:tcBorders>
              <w:top w:val="single" w:color="000000" w:sz="4" w:space="0"/>
              <w:left w:val="single" w:color="000000" w:sz="4" w:space="0"/>
              <w:bottom w:val="single" w:color="000000" w:sz="4" w:space="0"/>
              <w:right w:val="single" w:color="000000" w:sz="4" w:space="0"/>
            </w:tcBorders>
            <w:vAlign w:val="center"/>
          </w:tcPr>
          <w:p w14:paraId="02A9BEA8">
            <w:pPr>
              <w:widowControl/>
              <w:textAlignment w:val="center"/>
              <w:rPr>
                <w:rFonts w:hint="eastAsia" w:ascii="宋体" w:hAnsi="宋体" w:cs="宋体"/>
                <w:sz w:val="24"/>
              </w:rPr>
            </w:pPr>
            <w:r>
              <w:rPr>
                <w:rFonts w:hint="eastAsia" w:ascii="宋体" w:hAnsi="宋体" w:cs="宋体"/>
                <w:kern w:val="0"/>
                <w:sz w:val="24"/>
                <w:lang w:bidi="ar"/>
              </w:rPr>
              <w:t>孕前优生女方体格检查功能模块可全面覆盖检查中女方体格信息的采集、管理与操作需求，能精准适配男性体检的场景特点。</w:t>
            </w:r>
            <w:r>
              <w:rPr>
                <w:rFonts w:hint="eastAsia" w:ascii="宋体" w:hAnsi="宋体" w:cs="宋体"/>
                <w:kern w:val="0"/>
                <w:sz w:val="24"/>
                <w:lang w:bidi="ar"/>
              </w:rPr>
              <w:br w:type="textWrapping"/>
            </w:r>
            <w:r>
              <w:rPr>
                <w:rFonts w:hint="eastAsia" w:ascii="宋体" w:hAnsi="宋体" w:cs="宋体"/>
                <w:kern w:val="0"/>
                <w:sz w:val="24"/>
                <w:lang w:bidi="ar"/>
              </w:rPr>
              <w:t>在信息录入方面，支持录入综合体检基本信息、一般检查、智力检查、专科检查基本信息、第二性特征、妇科检查信息及其他补充信息，确保体格检查关键数据无遗漏；在信息管理上，可对已录入的各类体格检查信息进行修改或删除，保障数据的准确性与完整性；</w:t>
            </w:r>
            <w:r>
              <w:rPr>
                <w:rFonts w:hint="eastAsia" w:ascii="宋体" w:hAnsi="宋体" w:cs="宋体"/>
                <w:kern w:val="0"/>
                <w:sz w:val="24"/>
                <w:lang w:bidi="ar"/>
              </w:rPr>
              <w:br w:type="textWrapping"/>
            </w:r>
            <w:r>
              <w:rPr>
                <w:rFonts w:hint="eastAsia" w:ascii="宋体" w:hAnsi="宋体" w:cs="宋体"/>
                <w:kern w:val="0"/>
                <w:sz w:val="24"/>
                <w:lang w:bidi="ar"/>
              </w:rPr>
              <w:t>此外，模块还支持打开体格检查tab页面，为工作人员提供直观便捷的功能操作入口，高效支撑体格检查全流程的信息管理工作。</w:t>
            </w:r>
          </w:p>
        </w:tc>
      </w:tr>
      <w:tr w14:paraId="0339D57D">
        <w:tblPrEx>
          <w:tblCellMar>
            <w:top w:w="0" w:type="dxa"/>
            <w:left w:w="108" w:type="dxa"/>
            <w:bottom w:w="0" w:type="dxa"/>
            <w:right w:w="108" w:type="dxa"/>
          </w:tblCellMar>
        </w:tblPrEx>
        <w:trPr>
          <w:trHeight w:val="484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3BCE33C">
            <w:pPr>
              <w:widowControl/>
              <w:jc w:val="center"/>
              <w:textAlignment w:val="center"/>
              <w:rPr>
                <w:rFonts w:hint="eastAsia" w:ascii="宋体" w:hAnsi="宋体" w:cs="宋体"/>
                <w:sz w:val="24"/>
              </w:rPr>
            </w:pPr>
            <w:r>
              <w:rPr>
                <w:rFonts w:hint="eastAsia" w:ascii="宋体" w:hAnsi="宋体" w:cs="宋体"/>
                <w:kern w:val="0"/>
                <w:sz w:val="24"/>
                <w:lang w:bidi="ar"/>
              </w:rPr>
              <w:t>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0664BF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F7C198B">
            <w:pPr>
              <w:widowControl/>
              <w:jc w:val="center"/>
              <w:textAlignment w:val="center"/>
              <w:rPr>
                <w:rFonts w:hint="eastAsia" w:ascii="宋体" w:hAnsi="宋体" w:cs="宋体"/>
                <w:sz w:val="24"/>
              </w:rPr>
            </w:pPr>
            <w:r>
              <w:rPr>
                <w:rFonts w:hint="eastAsia" w:ascii="宋体" w:hAnsi="宋体" w:cs="宋体"/>
                <w:kern w:val="0"/>
                <w:sz w:val="24"/>
                <w:lang w:bidi="ar"/>
              </w:rPr>
              <w:t>辅助检查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46ECBDCA">
            <w:pPr>
              <w:widowControl/>
              <w:textAlignment w:val="center"/>
              <w:rPr>
                <w:rFonts w:hint="eastAsia" w:ascii="宋体" w:hAnsi="宋体" w:cs="宋体"/>
                <w:sz w:val="24"/>
              </w:rPr>
            </w:pPr>
            <w:r>
              <w:rPr>
                <w:rFonts w:hint="eastAsia" w:ascii="宋体" w:hAnsi="宋体" w:cs="宋体"/>
                <w:kern w:val="0"/>
                <w:sz w:val="24"/>
                <w:lang w:bidi="ar"/>
              </w:rPr>
              <w:t xml:space="preserve">    辅助检查功能模块可全方位满足辅助检查流程中的信息管理、套餐设置与报告输出需求，</w:t>
            </w:r>
            <w:r>
              <w:rPr>
                <w:rFonts w:hint="eastAsia" w:ascii="宋体" w:hAnsi="宋体" w:cs="宋体"/>
                <w:kern w:val="0"/>
                <w:sz w:val="24"/>
                <w:lang w:bidi="ar"/>
              </w:rPr>
              <w:br w:type="textWrapping"/>
            </w:r>
            <w:r>
              <w:rPr>
                <w:rFonts w:hint="eastAsia" w:ascii="宋体" w:hAnsi="宋体" w:cs="宋体"/>
                <w:kern w:val="0"/>
                <w:sz w:val="24"/>
                <w:lang w:bidi="ar"/>
              </w:rPr>
              <w:t xml:space="preserve">    核心功能覆盖数据录入、管理、接口调用及操作入口等关键环节。在数据处理方面，支持录入辅助检查结果，并可对已录入的结果进行修改或删除，确保数据准确性；在套餐管理上，支持设置辅助检查套餐，灵活适配不同检查需求；报告输出环节，可直接打印辅助检查报告单，方便留存与使用；同时，模块支持调用 LIS 检验结果接口数据，实现外部检验数据的高效同步，减少手动录入工作量；</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此外，还支持打开辅助检查 tab 页面，为工作人员提供便捷的功能操作入口，高效支撑辅助检查全流程的信息化管理。</w:t>
            </w:r>
          </w:p>
        </w:tc>
      </w:tr>
      <w:tr w14:paraId="25C76CA6">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CBFCD7D">
            <w:pPr>
              <w:widowControl/>
              <w:jc w:val="center"/>
              <w:textAlignment w:val="center"/>
              <w:rPr>
                <w:rFonts w:hint="eastAsia" w:ascii="宋体" w:hAnsi="宋体" w:cs="宋体"/>
                <w:sz w:val="24"/>
              </w:rPr>
            </w:pPr>
            <w:r>
              <w:rPr>
                <w:rFonts w:hint="eastAsia" w:ascii="宋体" w:hAnsi="宋体" w:cs="宋体"/>
                <w:kern w:val="0"/>
                <w:sz w:val="24"/>
                <w:lang w:bidi="ar"/>
              </w:rPr>
              <w:t>10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53B0D4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579379C">
            <w:pPr>
              <w:widowControl/>
              <w:jc w:val="center"/>
              <w:textAlignment w:val="center"/>
              <w:rPr>
                <w:rFonts w:hint="eastAsia" w:ascii="宋体" w:hAnsi="宋体" w:cs="宋体"/>
                <w:sz w:val="24"/>
              </w:rPr>
            </w:pPr>
            <w:r>
              <w:rPr>
                <w:rFonts w:hint="eastAsia" w:ascii="宋体" w:hAnsi="宋体" w:cs="宋体"/>
                <w:kern w:val="0"/>
                <w:sz w:val="24"/>
                <w:lang w:bidi="ar"/>
              </w:rPr>
              <w:t>影像检查（B超）</w:t>
            </w:r>
          </w:p>
        </w:tc>
        <w:tc>
          <w:tcPr>
            <w:tcW w:w="9687" w:type="dxa"/>
            <w:tcBorders>
              <w:top w:val="single" w:color="000000" w:sz="4" w:space="0"/>
              <w:left w:val="single" w:color="000000" w:sz="4" w:space="0"/>
              <w:bottom w:val="single" w:color="000000" w:sz="4" w:space="0"/>
              <w:right w:val="single" w:color="000000" w:sz="4" w:space="0"/>
            </w:tcBorders>
            <w:vAlign w:val="center"/>
          </w:tcPr>
          <w:p w14:paraId="165714D8">
            <w:pPr>
              <w:widowControl/>
              <w:textAlignment w:val="center"/>
              <w:rPr>
                <w:rFonts w:hint="eastAsia" w:ascii="宋体" w:hAnsi="宋体" w:cs="宋体"/>
                <w:sz w:val="24"/>
              </w:rPr>
            </w:pPr>
            <w:r>
              <w:rPr>
                <w:rFonts w:hint="eastAsia" w:ascii="宋体" w:hAnsi="宋体" w:cs="宋体"/>
                <w:kern w:val="0"/>
                <w:sz w:val="24"/>
                <w:lang w:bidi="ar"/>
              </w:rPr>
              <w:t>影像检查（B超）功能模块可满足孕前优生检查中B超检查信息的采集、管理与操作需求。</w:t>
            </w:r>
            <w:r>
              <w:rPr>
                <w:rFonts w:hint="eastAsia" w:ascii="宋体" w:hAnsi="宋体" w:cs="宋体"/>
                <w:kern w:val="0"/>
                <w:sz w:val="24"/>
                <w:lang w:bidi="ar"/>
              </w:rPr>
              <w:br w:type="textWrapping"/>
            </w:r>
            <w:r>
              <w:rPr>
                <w:rFonts w:hint="eastAsia" w:ascii="宋体" w:hAnsi="宋体" w:cs="宋体"/>
                <w:kern w:val="0"/>
                <w:sz w:val="24"/>
                <w:lang w:bidi="ar"/>
              </w:rPr>
              <w:t>模块支持打开影响检查（B超）页面，为工作人员提供便捷的操作入口，核心功能覆盖结果录入、数据维护等关键环节。在检查结果录入方面，支持录入B超检查结果、结果描述、是否怀孕、怀孕位置、孕周、末次月经、预产期、是否有环、节育环位置、节育环形态，支持上传B超附件、子宫附件等；在数据管理上，可对已录入的B超查结果进行修改或删除，确保数据准确匹配实际检查情况。</w:t>
            </w:r>
          </w:p>
        </w:tc>
      </w:tr>
      <w:tr w14:paraId="47896EB2">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E9FEF66">
            <w:pPr>
              <w:widowControl/>
              <w:jc w:val="center"/>
              <w:textAlignment w:val="center"/>
              <w:rPr>
                <w:rFonts w:hint="eastAsia" w:ascii="宋体" w:hAnsi="宋体" w:cs="宋体"/>
                <w:sz w:val="24"/>
              </w:rPr>
            </w:pPr>
            <w:r>
              <w:rPr>
                <w:rFonts w:hint="eastAsia" w:ascii="宋体" w:hAnsi="宋体" w:cs="宋体"/>
                <w:kern w:val="0"/>
                <w:sz w:val="24"/>
                <w:lang w:bidi="ar"/>
              </w:rPr>
              <w:t>11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8B006C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3FFE6C3">
            <w:pPr>
              <w:widowControl/>
              <w:jc w:val="center"/>
              <w:textAlignment w:val="center"/>
              <w:rPr>
                <w:rFonts w:hint="eastAsia" w:ascii="宋体" w:hAnsi="宋体" w:cs="宋体"/>
                <w:sz w:val="24"/>
              </w:rPr>
            </w:pPr>
            <w:r>
              <w:rPr>
                <w:rFonts w:hint="eastAsia" w:ascii="宋体" w:hAnsi="宋体" w:cs="宋体"/>
                <w:kern w:val="0"/>
                <w:sz w:val="24"/>
                <w:lang w:bidi="ar"/>
              </w:rPr>
              <w:t>影像检查（X光）</w:t>
            </w:r>
          </w:p>
        </w:tc>
        <w:tc>
          <w:tcPr>
            <w:tcW w:w="9687" w:type="dxa"/>
            <w:tcBorders>
              <w:top w:val="single" w:color="000000" w:sz="4" w:space="0"/>
              <w:left w:val="single" w:color="000000" w:sz="4" w:space="0"/>
              <w:bottom w:val="single" w:color="000000" w:sz="4" w:space="0"/>
              <w:right w:val="single" w:color="000000" w:sz="4" w:space="0"/>
            </w:tcBorders>
            <w:vAlign w:val="center"/>
          </w:tcPr>
          <w:p w14:paraId="6B44C012">
            <w:pPr>
              <w:widowControl/>
              <w:textAlignment w:val="center"/>
              <w:rPr>
                <w:rFonts w:hint="eastAsia" w:ascii="宋体" w:hAnsi="宋体" w:cs="宋体"/>
                <w:sz w:val="24"/>
              </w:rPr>
            </w:pPr>
            <w:r>
              <w:rPr>
                <w:rFonts w:hint="eastAsia" w:ascii="宋体" w:hAnsi="宋体" w:cs="宋体"/>
                <w:kern w:val="0"/>
                <w:sz w:val="24"/>
                <w:lang w:bidi="ar"/>
              </w:rPr>
              <w:t>影像检查（X光）功能模块可满足孕前优生检查中X光检查信息的采集、管理与操作需求。</w:t>
            </w:r>
            <w:r>
              <w:rPr>
                <w:rFonts w:hint="eastAsia" w:ascii="宋体" w:hAnsi="宋体" w:cs="宋体"/>
                <w:kern w:val="0"/>
                <w:sz w:val="24"/>
                <w:lang w:bidi="ar"/>
              </w:rPr>
              <w:br w:type="textWrapping"/>
            </w:r>
            <w:r>
              <w:rPr>
                <w:rFonts w:hint="eastAsia" w:ascii="宋体" w:hAnsi="宋体" w:cs="宋体"/>
                <w:kern w:val="0"/>
                <w:sz w:val="24"/>
                <w:lang w:bidi="ar"/>
              </w:rPr>
              <w:t>模块支持打开影响检查（X光）页面，为工作人员提供便捷的操作入口，核心功能覆盖结果录入、数据维护等关键环节。在检查结果录入方面，支持录入X光检查结果、结果描述，支持上传X光正面附件、X光反面附件等；在数据管理上，可对已录入的X光检查结果进行修改或删除，确保数据准确匹配实际检查情况。</w:t>
            </w:r>
          </w:p>
        </w:tc>
      </w:tr>
      <w:tr w14:paraId="04117154">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E687BC0">
            <w:pPr>
              <w:widowControl/>
              <w:jc w:val="center"/>
              <w:textAlignment w:val="center"/>
              <w:rPr>
                <w:rFonts w:hint="eastAsia" w:ascii="宋体" w:hAnsi="宋体" w:cs="宋体"/>
                <w:sz w:val="24"/>
              </w:rPr>
            </w:pPr>
            <w:r>
              <w:rPr>
                <w:rFonts w:hint="eastAsia" w:ascii="宋体" w:hAnsi="宋体" w:cs="宋体"/>
                <w:kern w:val="0"/>
                <w:sz w:val="24"/>
                <w:lang w:bidi="ar"/>
              </w:rPr>
              <w:t>12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96073D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4486840">
            <w:pPr>
              <w:widowControl/>
              <w:jc w:val="center"/>
              <w:textAlignment w:val="center"/>
              <w:rPr>
                <w:rFonts w:hint="eastAsia" w:ascii="宋体" w:hAnsi="宋体" w:cs="宋体"/>
                <w:sz w:val="24"/>
              </w:rPr>
            </w:pPr>
            <w:r>
              <w:rPr>
                <w:rFonts w:hint="eastAsia" w:ascii="宋体" w:hAnsi="宋体" w:cs="宋体"/>
                <w:kern w:val="0"/>
                <w:sz w:val="24"/>
                <w:lang w:bidi="ar"/>
              </w:rPr>
              <w:t>影像检查（心脏彩超）</w:t>
            </w:r>
          </w:p>
        </w:tc>
        <w:tc>
          <w:tcPr>
            <w:tcW w:w="9687" w:type="dxa"/>
            <w:tcBorders>
              <w:top w:val="single" w:color="000000" w:sz="4" w:space="0"/>
              <w:left w:val="single" w:color="000000" w:sz="4" w:space="0"/>
              <w:bottom w:val="single" w:color="000000" w:sz="4" w:space="0"/>
              <w:right w:val="single" w:color="000000" w:sz="4" w:space="0"/>
            </w:tcBorders>
            <w:vAlign w:val="center"/>
          </w:tcPr>
          <w:p w14:paraId="78D45017">
            <w:pPr>
              <w:widowControl/>
              <w:textAlignment w:val="center"/>
              <w:rPr>
                <w:rFonts w:hint="eastAsia" w:ascii="宋体" w:hAnsi="宋体" w:cs="宋体"/>
                <w:sz w:val="24"/>
              </w:rPr>
            </w:pPr>
            <w:r>
              <w:rPr>
                <w:rFonts w:hint="eastAsia" w:ascii="宋体" w:hAnsi="宋体" w:cs="宋体"/>
                <w:kern w:val="0"/>
                <w:sz w:val="24"/>
                <w:lang w:bidi="ar"/>
              </w:rPr>
              <w:t>影像检查（心脏彩超）功能模块可满足孕前优生检查中心脏彩超检查信息的采集、管理与操作需求。</w:t>
            </w:r>
            <w:r>
              <w:rPr>
                <w:rFonts w:hint="eastAsia" w:ascii="宋体" w:hAnsi="宋体" w:cs="宋体"/>
                <w:kern w:val="0"/>
                <w:sz w:val="24"/>
                <w:lang w:bidi="ar"/>
              </w:rPr>
              <w:br w:type="textWrapping"/>
            </w:r>
            <w:r>
              <w:rPr>
                <w:rFonts w:hint="eastAsia" w:ascii="宋体" w:hAnsi="宋体" w:cs="宋体"/>
                <w:kern w:val="0"/>
                <w:sz w:val="24"/>
                <w:lang w:bidi="ar"/>
              </w:rPr>
              <w:t>模块支持打开影响检查（心脏彩超）页面，为工作人员提供便捷的操作入口，核心功能覆盖结果录入、数据维护等关键环节。在检查结果录入方面，支持录入心脏彩超检查结果、结果描述，支持上传心脏彩超附件等；在数据管理上，可对已录入的心脏彩超检查结果进行修改或删除，确保数据准确匹配实际检查情况。</w:t>
            </w:r>
          </w:p>
        </w:tc>
      </w:tr>
      <w:tr w14:paraId="04659248">
        <w:tblPrEx>
          <w:tblCellMar>
            <w:top w:w="0" w:type="dxa"/>
            <w:left w:w="108" w:type="dxa"/>
            <w:bottom w:w="0" w:type="dxa"/>
            <w:right w:w="108" w:type="dxa"/>
          </w:tblCellMar>
        </w:tblPrEx>
        <w:trPr>
          <w:trHeight w:val="51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C355771">
            <w:pPr>
              <w:widowControl/>
              <w:jc w:val="center"/>
              <w:textAlignment w:val="center"/>
              <w:rPr>
                <w:rFonts w:hint="eastAsia" w:ascii="宋体" w:hAnsi="宋体" w:cs="宋体"/>
                <w:sz w:val="24"/>
              </w:rPr>
            </w:pPr>
            <w:r>
              <w:rPr>
                <w:rFonts w:hint="eastAsia" w:ascii="宋体" w:hAnsi="宋体" w:cs="宋体"/>
                <w:kern w:val="0"/>
                <w:sz w:val="24"/>
                <w:lang w:bidi="ar"/>
              </w:rPr>
              <w:t>13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5685F2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017DBA5">
            <w:pPr>
              <w:widowControl/>
              <w:jc w:val="center"/>
              <w:textAlignment w:val="center"/>
              <w:rPr>
                <w:rFonts w:hint="eastAsia" w:ascii="宋体" w:hAnsi="宋体" w:cs="宋体"/>
                <w:sz w:val="24"/>
              </w:rPr>
            </w:pPr>
            <w:r>
              <w:rPr>
                <w:rFonts w:hint="eastAsia" w:ascii="宋体" w:hAnsi="宋体" w:cs="宋体"/>
                <w:kern w:val="0"/>
                <w:sz w:val="24"/>
                <w:lang w:bidi="ar"/>
              </w:rPr>
              <w:t>孕前建议</w:t>
            </w:r>
          </w:p>
        </w:tc>
        <w:tc>
          <w:tcPr>
            <w:tcW w:w="9687" w:type="dxa"/>
            <w:tcBorders>
              <w:top w:val="single" w:color="000000" w:sz="4" w:space="0"/>
              <w:left w:val="single" w:color="000000" w:sz="4" w:space="0"/>
              <w:bottom w:val="single" w:color="000000" w:sz="4" w:space="0"/>
              <w:right w:val="single" w:color="000000" w:sz="4" w:space="0"/>
            </w:tcBorders>
            <w:vAlign w:val="center"/>
          </w:tcPr>
          <w:p w14:paraId="0E523FC8">
            <w:pPr>
              <w:widowControl/>
              <w:textAlignment w:val="center"/>
              <w:rPr>
                <w:rFonts w:hint="eastAsia" w:ascii="宋体" w:hAnsi="宋体" w:cs="宋体"/>
                <w:sz w:val="24"/>
              </w:rPr>
            </w:pPr>
            <w:r>
              <w:rPr>
                <w:rFonts w:hint="eastAsia" w:ascii="宋体" w:hAnsi="宋体" w:cs="宋体"/>
                <w:kern w:val="0"/>
                <w:sz w:val="24"/>
                <w:lang w:bidi="ar"/>
              </w:rPr>
              <w:t xml:space="preserve">    孕前建议功能模块可全面支撑孕前优生检查后建议报告的生成、管理与输出，深度适配孕检结果应用场景。在报告处理方面，支持根据孕检结果录入孕前建议报告，且能将孕优检查异常结果在孕前建议栏目中进行提示，确保建议与检查结果精准关联；</w:t>
            </w:r>
            <w:r>
              <w:rPr>
                <w:rFonts w:hint="eastAsia" w:ascii="宋体" w:hAnsi="宋体" w:cs="宋体"/>
                <w:kern w:val="0"/>
                <w:sz w:val="24"/>
                <w:lang w:bidi="ar"/>
              </w:rPr>
              <w:br w:type="textWrapping"/>
            </w:r>
            <w:r>
              <w:rPr>
                <w:rFonts w:hint="eastAsia" w:ascii="宋体" w:hAnsi="宋体" w:cs="宋体"/>
                <w:kern w:val="0"/>
                <w:sz w:val="24"/>
                <w:lang w:bidi="ar"/>
              </w:rPr>
              <w:t xml:space="preserve">    同时可对已录入的孕前建议报告进行修改或删除，保障报告内容的准确性与适用性；报告输出环节，支持打印孕前建议报告单，方便服务对象留存与参考；</w:t>
            </w:r>
            <w:r>
              <w:rPr>
                <w:rFonts w:hint="eastAsia" w:ascii="宋体" w:hAnsi="宋体" w:cs="宋体"/>
                <w:kern w:val="0"/>
                <w:sz w:val="24"/>
                <w:lang w:bidi="ar"/>
              </w:rPr>
              <w:br w:type="textWrapping"/>
            </w:r>
            <w:r>
              <w:rPr>
                <w:rFonts w:hint="eastAsia" w:ascii="宋体" w:hAnsi="宋体" w:cs="宋体"/>
                <w:kern w:val="0"/>
                <w:sz w:val="24"/>
                <w:lang w:bidi="ar"/>
              </w:rPr>
              <w:t xml:space="preserve">    此外，模块还支持打开孕前建议 tab 页面，为工作人员提供便捷的功能操作入口，高效覆盖孕前建议全流程的信息化管理需求。</w:t>
            </w:r>
          </w:p>
        </w:tc>
      </w:tr>
      <w:tr w14:paraId="5061698D">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7A99797">
            <w:pPr>
              <w:widowControl/>
              <w:jc w:val="center"/>
              <w:textAlignment w:val="center"/>
              <w:rPr>
                <w:rFonts w:hint="eastAsia" w:ascii="宋体" w:hAnsi="宋体" w:cs="宋体"/>
                <w:sz w:val="24"/>
              </w:rPr>
            </w:pPr>
            <w:r>
              <w:rPr>
                <w:rFonts w:hint="eastAsia" w:ascii="宋体" w:hAnsi="宋体" w:cs="宋体"/>
                <w:kern w:val="0"/>
                <w:sz w:val="24"/>
                <w:lang w:bidi="ar"/>
              </w:rPr>
              <w:t>14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02967F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F86BFC7">
            <w:pPr>
              <w:widowControl/>
              <w:jc w:val="center"/>
              <w:textAlignment w:val="center"/>
              <w:rPr>
                <w:rFonts w:hint="eastAsia" w:ascii="宋体" w:hAnsi="宋体" w:cs="宋体"/>
                <w:sz w:val="24"/>
              </w:rPr>
            </w:pPr>
            <w:r>
              <w:rPr>
                <w:rFonts w:hint="eastAsia" w:ascii="宋体" w:hAnsi="宋体" w:cs="宋体"/>
                <w:kern w:val="0"/>
                <w:sz w:val="24"/>
                <w:lang w:bidi="ar"/>
              </w:rPr>
              <w:t>孕优转诊</w:t>
            </w:r>
          </w:p>
        </w:tc>
        <w:tc>
          <w:tcPr>
            <w:tcW w:w="9687" w:type="dxa"/>
            <w:tcBorders>
              <w:top w:val="single" w:color="000000" w:sz="4" w:space="0"/>
              <w:left w:val="single" w:color="000000" w:sz="4" w:space="0"/>
              <w:bottom w:val="single" w:color="000000" w:sz="4" w:space="0"/>
              <w:right w:val="single" w:color="000000" w:sz="4" w:space="0"/>
            </w:tcBorders>
            <w:vAlign w:val="center"/>
          </w:tcPr>
          <w:p w14:paraId="4F782CF4">
            <w:pPr>
              <w:widowControl/>
              <w:textAlignment w:val="center"/>
              <w:rPr>
                <w:rFonts w:hint="eastAsia" w:ascii="宋体" w:hAnsi="宋体" w:cs="宋体"/>
                <w:sz w:val="24"/>
              </w:rPr>
            </w:pPr>
            <w:r>
              <w:rPr>
                <w:rFonts w:hint="eastAsia" w:ascii="宋体" w:hAnsi="宋体" w:cs="宋体"/>
                <w:kern w:val="0"/>
                <w:sz w:val="24"/>
                <w:lang w:bidi="ar"/>
              </w:rPr>
              <w:t xml:space="preserve">   孕优转诊功能模块聚焦孕优检查与评估环节的特殊需求，核心支持对孕优检查和评估结果异常的服务对象发起转诊操作，助力这类服务对象通过转诊获得进一步检查，以完善后续诊疗流程，适配孕优服务中对异常情况的后续处理场景。</w:t>
            </w:r>
          </w:p>
        </w:tc>
      </w:tr>
      <w:tr w14:paraId="49C4E00A">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1B290E">
            <w:pPr>
              <w:widowControl/>
              <w:jc w:val="center"/>
              <w:textAlignment w:val="center"/>
              <w:rPr>
                <w:rFonts w:hint="eastAsia" w:ascii="宋体" w:hAnsi="宋体" w:cs="宋体"/>
                <w:sz w:val="24"/>
              </w:rPr>
            </w:pPr>
            <w:r>
              <w:rPr>
                <w:rFonts w:hint="eastAsia" w:ascii="宋体" w:hAnsi="宋体" w:cs="宋体"/>
                <w:kern w:val="0"/>
                <w:sz w:val="24"/>
                <w:lang w:bidi="ar"/>
              </w:rPr>
              <w:t>15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102C7F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2BE2C51">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14B6F43F">
            <w:pPr>
              <w:widowControl/>
              <w:textAlignment w:val="center"/>
              <w:rPr>
                <w:rFonts w:hint="eastAsia" w:ascii="宋体" w:hAnsi="宋体" w:cs="宋体"/>
                <w:sz w:val="24"/>
              </w:rPr>
            </w:pPr>
            <w:r>
              <w:rPr>
                <w:rFonts w:hint="eastAsia" w:ascii="宋体" w:hAnsi="宋体" w:cs="宋体"/>
                <w:kern w:val="0"/>
                <w:sz w:val="24"/>
                <w:lang w:bidi="ar"/>
              </w:rPr>
              <w:t xml:space="preserve">    登记本功能模块可满足孕前优生相关登记信息的查询与导出需求，核心支持对孕前优生花名册、孕前优生评估登记本、身心评估登记本三类关键登记信息的查询操作，同时针对每类查询结果，均提供导出功能，方便工作人员获取纸质或电子版本的登记信息，高效适配孕前优生服务中登记数据管理与使用的日常场景。</w:t>
            </w:r>
          </w:p>
        </w:tc>
      </w:tr>
      <w:tr w14:paraId="561E5589">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0D3C098">
            <w:pPr>
              <w:widowControl/>
              <w:jc w:val="center"/>
              <w:textAlignment w:val="center"/>
              <w:rPr>
                <w:rFonts w:hint="eastAsia" w:ascii="宋体" w:hAnsi="宋体" w:cs="宋体"/>
                <w:sz w:val="24"/>
              </w:rPr>
            </w:pPr>
            <w:r>
              <w:rPr>
                <w:rFonts w:hint="eastAsia" w:ascii="宋体" w:hAnsi="宋体" w:cs="宋体"/>
                <w:kern w:val="0"/>
                <w:sz w:val="24"/>
                <w:lang w:bidi="ar"/>
              </w:rPr>
              <w:t>16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6903C5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667CD7E">
            <w:pPr>
              <w:widowControl/>
              <w:jc w:val="center"/>
              <w:textAlignment w:val="center"/>
              <w:rPr>
                <w:rFonts w:hint="eastAsia" w:ascii="宋体" w:hAnsi="宋体" w:cs="宋体"/>
                <w:sz w:val="24"/>
              </w:rPr>
            </w:pPr>
            <w:r>
              <w:rPr>
                <w:rFonts w:hint="eastAsia" w:ascii="宋体" w:hAnsi="宋体" w:cs="宋体"/>
                <w:kern w:val="0"/>
                <w:sz w:val="24"/>
                <w:lang w:bidi="ar"/>
              </w:rPr>
              <w:t>查询统计</w:t>
            </w:r>
          </w:p>
        </w:tc>
        <w:tc>
          <w:tcPr>
            <w:tcW w:w="9687" w:type="dxa"/>
            <w:tcBorders>
              <w:top w:val="single" w:color="000000" w:sz="4" w:space="0"/>
              <w:left w:val="single" w:color="000000" w:sz="4" w:space="0"/>
              <w:bottom w:val="single" w:color="000000" w:sz="4" w:space="0"/>
              <w:right w:val="single" w:color="000000" w:sz="4" w:space="0"/>
            </w:tcBorders>
            <w:vAlign w:val="center"/>
          </w:tcPr>
          <w:p w14:paraId="2743263A">
            <w:pPr>
              <w:widowControl/>
              <w:textAlignment w:val="center"/>
              <w:rPr>
                <w:rFonts w:hint="eastAsia" w:ascii="宋体" w:hAnsi="宋体" w:cs="宋体"/>
                <w:sz w:val="24"/>
              </w:rPr>
            </w:pPr>
            <w:r>
              <w:rPr>
                <w:rFonts w:hint="eastAsia" w:ascii="宋体" w:hAnsi="宋体" w:cs="宋体"/>
                <w:kern w:val="0"/>
                <w:sz w:val="24"/>
                <w:lang w:bidi="ar"/>
              </w:rPr>
              <w:t xml:space="preserve">     查询统计功能模块可全面覆盖孕前优生服务相关数据的查询与导出需求，核心支持多类关键统计报表的管理操作。</w:t>
            </w:r>
            <w:r>
              <w:rPr>
                <w:rFonts w:hint="eastAsia" w:ascii="宋体" w:hAnsi="宋体" w:cs="宋体"/>
                <w:kern w:val="0"/>
                <w:sz w:val="24"/>
                <w:lang w:bidi="ar"/>
              </w:rPr>
              <w:br w:type="textWrapping"/>
            </w:r>
            <w:r>
              <w:rPr>
                <w:rFonts w:hint="eastAsia" w:ascii="宋体" w:hAnsi="宋体" w:cs="宋体"/>
                <w:kern w:val="0"/>
                <w:sz w:val="24"/>
                <w:lang w:bidi="ar"/>
              </w:rPr>
              <w:t xml:space="preserve">    具体包括，能查询并导出孕前优生健康检查项目季报表、孕前优生项目月统计报表，满足不同时间维度的项目数据汇总需求；可查询并导出孕前优生风险评估因素统计、孕前优生检查情况统计，助力掌握服务对象的风险评估与检查整体情况；同时支持查询并导出孕前优生医生工作量统计，便于医护人员工作绩效的核算与管理，全方位适配孕前优生服务中数据统计与分析的日常应用场景。 </w:t>
            </w:r>
          </w:p>
        </w:tc>
      </w:tr>
      <w:tr w14:paraId="3E239DEC">
        <w:tblPrEx>
          <w:tblCellMar>
            <w:top w:w="0" w:type="dxa"/>
            <w:left w:w="108" w:type="dxa"/>
            <w:bottom w:w="0" w:type="dxa"/>
            <w:right w:w="108" w:type="dxa"/>
          </w:tblCellMar>
        </w:tblPrEx>
        <w:trPr>
          <w:trHeight w:val="51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4C45A22">
            <w:pPr>
              <w:widowControl/>
              <w:jc w:val="center"/>
              <w:textAlignment w:val="center"/>
              <w:rPr>
                <w:rFonts w:hint="eastAsia" w:ascii="宋体" w:hAnsi="宋体" w:cs="宋体"/>
                <w:sz w:val="24"/>
              </w:rPr>
            </w:pPr>
            <w:r>
              <w:rPr>
                <w:rFonts w:hint="eastAsia" w:ascii="宋体" w:hAnsi="宋体" w:cs="宋体"/>
                <w:kern w:val="0"/>
                <w:sz w:val="24"/>
                <w:lang w:bidi="ar"/>
              </w:rPr>
              <w:t>17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BC2C3B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9DBE706">
            <w:pPr>
              <w:widowControl/>
              <w:jc w:val="center"/>
              <w:textAlignment w:val="center"/>
              <w:rPr>
                <w:rFonts w:hint="eastAsia" w:ascii="宋体" w:hAnsi="宋体" w:cs="宋体"/>
                <w:sz w:val="24"/>
              </w:rPr>
            </w:pPr>
            <w:r>
              <w:rPr>
                <w:rFonts w:hint="eastAsia" w:ascii="宋体" w:hAnsi="宋体" w:cs="宋体"/>
                <w:kern w:val="0"/>
                <w:sz w:val="24"/>
                <w:lang w:bidi="ar"/>
              </w:rPr>
              <w:t>数据接口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643AC850">
            <w:pPr>
              <w:widowControl/>
              <w:textAlignment w:val="center"/>
              <w:rPr>
                <w:rFonts w:hint="eastAsia" w:ascii="宋体" w:hAnsi="宋体" w:cs="宋体"/>
                <w:sz w:val="24"/>
              </w:rPr>
            </w:pPr>
            <w:r>
              <w:rPr>
                <w:rFonts w:hint="eastAsia" w:ascii="宋体" w:hAnsi="宋体" w:cs="宋体"/>
                <w:kern w:val="0"/>
                <w:sz w:val="24"/>
                <w:lang w:bidi="ar"/>
              </w:rPr>
              <w:t xml:space="preserve">     数据接口功能可实现孕前优生系统与外部系统、服务对象端的多维度数据互通，核心包含三类关键接口。</w:t>
            </w:r>
            <w:r>
              <w:rPr>
                <w:rFonts w:hint="eastAsia" w:ascii="宋体" w:hAnsi="宋体" w:cs="宋体"/>
                <w:kern w:val="0"/>
                <w:sz w:val="24"/>
                <w:lang w:bidi="ar"/>
              </w:rPr>
              <w:br w:type="textWrapping"/>
            </w:r>
            <w:r>
              <w:rPr>
                <w:rFonts w:hint="eastAsia" w:ascii="宋体" w:hAnsi="宋体" w:cs="宋体"/>
                <w:kern w:val="0"/>
                <w:sz w:val="24"/>
                <w:lang w:bidi="ar"/>
              </w:rPr>
              <w:t xml:space="preserve">    其中检验检查接口能完成化验检查与院内系统的整合，通过院内系统推送化验检查结果，实现化验检查信息与孕前优生系统的无缝对接；微信自助查询接口支持服务对象通过手机微信查询所有优生结果；短信接口则可将优生结果以短信形式告知服务对象，全方位满足系统数据交互与服务对象结果获取的需求。</w:t>
            </w:r>
          </w:p>
        </w:tc>
      </w:tr>
      <w:tr w14:paraId="6112B204">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76E400C">
            <w:pPr>
              <w:widowControl/>
              <w:jc w:val="center"/>
              <w:textAlignment w:val="center"/>
              <w:rPr>
                <w:rFonts w:hint="eastAsia" w:ascii="宋体" w:hAnsi="宋体" w:cs="宋体"/>
                <w:sz w:val="24"/>
              </w:rPr>
            </w:pPr>
            <w:r>
              <w:rPr>
                <w:rFonts w:hint="eastAsia" w:ascii="宋体" w:hAnsi="宋体" w:cs="宋体"/>
                <w:kern w:val="0"/>
                <w:sz w:val="24"/>
                <w:lang w:bidi="ar"/>
              </w:rPr>
              <w:t>19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5B9BF9FA">
            <w:pPr>
              <w:widowControl/>
              <w:jc w:val="center"/>
              <w:textAlignment w:val="center"/>
              <w:rPr>
                <w:rFonts w:hint="eastAsia" w:ascii="宋体" w:hAnsi="宋体" w:cs="宋体"/>
                <w:sz w:val="24"/>
              </w:rPr>
            </w:pPr>
            <w:r>
              <w:rPr>
                <w:rFonts w:hint="eastAsia" w:ascii="宋体" w:hAnsi="宋体" w:cs="宋体"/>
                <w:kern w:val="0"/>
                <w:sz w:val="24"/>
                <w:lang w:bidi="ar"/>
              </w:rPr>
              <w:t>母婴阻断</w:t>
            </w:r>
          </w:p>
        </w:tc>
        <w:tc>
          <w:tcPr>
            <w:tcW w:w="1313" w:type="dxa"/>
            <w:tcBorders>
              <w:top w:val="single" w:color="000000" w:sz="4" w:space="0"/>
              <w:left w:val="single" w:color="000000" w:sz="4" w:space="0"/>
              <w:bottom w:val="single" w:color="000000" w:sz="4" w:space="0"/>
              <w:right w:val="single" w:color="000000" w:sz="4" w:space="0"/>
            </w:tcBorders>
            <w:vAlign w:val="center"/>
          </w:tcPr>
          <w:p w14:paraId="09D1E223">
            <w:pPr>
              <w:widowControl/>
              <w:jc w:val="center"/>
              <w:textAlignment w:val="center"/>
              <w:rPr>
                <w:rFonts w:hint="eastAsia" w:ascii="宋体" w:hAnsi="宋体" w:cs="宋体"/>
                <w:sz w:val="24"/>
              </w:rPr>
            </w:pPr>
            <w:r>
              <w:rPr>
                <w:rFonts w:hint="eastAsia" w:ascii="宋体" w:hAnsi="宋体" w:cs="宋体"/>
                <w:kern w:val="0"/>
                <w:sz w:val="24"/>
                <w:lang w:bidi="ar"/>
              </w:rPr>
              <w:t>入库管理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3DD04EC">
            <w:pPr>
              <w:widowControl/>
              <w:textAlignment w:val="center"/>
              <w:rPr>
                <w:rFonts w:hint="eastAsia" w:ascii="宋体" w:hAnsi="宋体" w:cs="宋体"/>
                <w:sz w:val="24"/>
              </w:rPr>
            </w:pPr>
            <w:r>
              <w:rPr>
                <w:rFonts w:hint="eastAsia" w:ascii="宋体" w:hAnsi="宋体" w:cs="宋体"/>
                <w:kern w:val="0"/>
                <w:sz w:val="24"/>
                <w:lang w:bidi="ar"/>
              </w:rPr>
              <w:t xml:space="preserve">    母婴阻断模块的入库管理功能可全面覆盖乙肝高效球蛋白的入库全流程管理与数据查询需求，核心功能设计贴合实际物资管理场景。</w:t>
            </w:r>
            <w:r>
              <w:rPr>
                <w:rFonts w:hint="eastAsia" w:ascii="宋体" w:hAnsi="宋体" w:cs="宋体"/>
                <w:kern w:val="0"/>
                <w:sz w:val="24"/>
                <w:lang w:bidi="ar"/>
              </w:rPr>
              <w:br w:type="textWrapping"/>
            </w:r>
            <w:r>
              <w:rPr>
                <w:rFonts w:hint="eastAsia" w:ascii="宋体" w:hAnsi="宋体" w:cs="宋体"/>
                <w:kern w:val="0"/>
                <w:sz w:val="24"/>
                <w:lang w:bidi="ar"/>
              </w:rPr>
              <w:t xml:space="preserve">   该功能能对乙肝高效球蛋白的厂家信息、批号信息及入库操作进行统一管理，且在入库时会自动计算物资是否处于质保期，对不在质保期的物资禁止保存，保障入库物资合规性；同时系统支持记录入库情况，可对一段时间内的入库数据进行统计分析，还能随时查询动态库存，方便实时掌握物资储备状态；</w:t>
            </w:r>
            <w:r>
              <w:rPr>
                <w:rFonts w:hint="eastAsia" w:ascii="宋体" w:hAnsi="宋体" w:cs="宋体"/>
                <w:kern w:val="0"/>
                <w:sz w:val="24"/>
                <w:lang w:bidi="ar"/>
              </w:rPr>
              <w:br w:type="textWrapping"/>
            </w:r>
            <w:r>
              <w:rPr>
                <w:rFonts w:hint="eastAsia" w:ascii="宋体" w:hAnsi="宋体" w:cs="宋体"/>
                <w:kern w:val="0"/>
                <w:sz w:val="24"/>
                <w:lang w:bidi="ar"/>
              </w:rPr>
              <w:t xml:space="preserve">   此外，入库管理界面会将已入库信息按有效期时间顺序排列显示，便于工作人员直观查看与管理，全方位满足乙肝高效球蛋白入库管理的各项关键需求。</w:t>
            </w:r>
          </w:p>
        </w:tc>
      </w:tr>
      <w:tr w14:paraId="34E93A0D">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5442CF4">
            <w:pPr>
              <w:widowControl/>
              <w:jc w:val="center"/>
              <w:textAlignment w:val="center"/>
              <w:rPr>
                <w:rFonts w:hint="eastAsia" w:ascii="宋体" w:hAnsi="宋体" w:cs="宋体"/>
                <w:sz w:val="24"/>
              </w:rPr>
            </w:pPr>
            <w:r>
              <w:rPr>
                <w:rFonts w:hint="eastAsia" w:ascii="宋体" w:hAnsi="宋体" w:cs="宋体"/>
                <w:kern w:val="0"/>
                <w:sz w:val="24"/>
                <w:lang w:bidi="ar"/>
              </w:rPr>
              <w:t>20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7D5CE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B615EE9">
            <w:pPr>
              <w:widowControl/>
              <w:jc w:val="center"/>
              <w:textAlignment w:val="center"/>
              <w:rPr>
                <w:rFonts w:hint="eastAsia" w:ascii="宋体" w:hAnsi="宋体" w:cs="宋体"/>
                <w:sz w:val="24"/>
              </w:rPr>
            </w:pPr>
            <w:r>
              <w:rPr>
                <w:rFonts w:hint="eastAsia" w:ascii="宋体" w:hAnsi="宋体" w:cs="宋体"/>
                <w:kern w:val="0"/>
                <w:sz w:val="24"/>
                <w:lang w:bidi="ar"/>
              </w:rPr>
              <w:t>领用申请管理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182E072">
            <w:pPr>
              <w:widowControl/>
              <w:textAlignment w:val="center"/>
              <w:rPr>
                <w:rFonts w:hint="eastAsia" w:ascii="宋体" w:hAnsi="宋体" w:cs="宋体"/>
                <w:sz w:val="24"/>
              </w:rPr>
            </w:pPr>
            <w:r>
              <w:rPr>
                <w:rFonts w:hint="eastAsia" w:ascii="宋体" w:hAnsi="宋体" w:cs="宋体"/>
                <w:kern w:val="0"/>
                <w:sz w:val="24"/>
                <w:lang w:bidi="ar"/>
              </w:rPr>
              <w:t xml:space="preserve">    母婴阻断模块的领用申请管理功能可全流程覆盖乙肝高效球蛋白领用申请与审批的管理需求，核心功能贯穿申请、审批、记录查询全环节。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该功能支持对乙肝高效球蛋白的领用申请及审批流程进行管理，其中上级部门可针对领用申请情况进行审批通过或驳回操作；同时能自动生成申请登记本与审批登记本，便于流程记录留存；</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此外，模块支持打开领用申请 tab 页面，还可查询历史领用申请记录，全方位适配乙肝高效球蛋白领用申请管理的日常操作场景。</w:t>
            </w:r>
          </w:p>
        </w:tc>
      </w:tr>
      <w:tr w14:paraId="623CED70">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264C6E2">
            <w:pPr>
              <w:widowControl/>
              <w:jc w:val="center"/>
              <w:textAlignment w:val="center"/>
              <w:rPr>
                <w:rFonts w:hint="eastAsia" w:ascii="宋体" w:hAnsi="宋体" w:cs="宋体"/>
                <w:sz w:val="24"/>
              </w:rPr>
            </w:pPr>
            <w:r>
              <w:rPr>
                <w:rFonts w:hint="eastAsia" w:ascii="宋体" w:hAnsi="宋体" w:cs="宋体"/>
                <w:kern w:val="0"/>
                <w:sz w:val="24"/>
                <w:lang w:bidi="ar"/>
              </w:rPr>
              <w:t>21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F2EB4D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DDCE6A3">
            <w:pPr>
              <w:widowControl/>
              <w:jc w:val="center"/>
              <w:textAlignment w:val="center"/>
              <w:rPr>
                <w:rFonts w:hint="eastAsia" w:ascii="宋体" w:hAnsi="宋体" w:cs="宋体"/>
                <w:sz w:val="24"/>
              </w:rPr>
            </w:pPr>
            <w:r>
              <w:rPr>
                <w:rFonts w:hint="eastAsia" w:ascii="宋体" w:hAnsi="宋体" w:cs="宋体"/>
                <w:kern w:val="0"/>
                <w:sz w:val="24"/>
                <w:lang w:bidi="ar"/>
              </w:rPr>
              <w:t>出库管理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E88D414">
            <w:pPr>
              <w:widowControl/>
              <w:textAlignment w:val="center"/>
              <w:rPr>
                <w:rFonts w:hint="eastAsia" w:ascii="宋体" w:hAnsi="宋体" w:cs="宋体"/>
                <w:sz w:val="24"/>
              </w:rPr>
            </w:pPr>
            <w:r>
              <w:rPr>
                <w:rFonts w:hint="eastAsia" w:ascii="宋体" w:hAnsi="宋体" w:cs="宋体"/>
                <w:kern w:val="0"/>
                <w:sz w:val="24"/>
                <w:lang w:bidi="ar"/>
              </w:rPr>
              <w:t xml:space="preserve">    母婴阻断模块的出库管理功能可全方位覆盖乙肝高效球蛋白出库、报废及库存管控的全流程需求，核心功能设计严格适配物资管理规范。</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该功能支持对乙肝高效球蛋白的出库信息与报废信息进行统一管理，出库时要求按有效期执行 “先进先出” 原则，且会在物资到期前与到期后进行提醒，对已过期的乙肝高效球蛋白明确禁止出库，保障出库物资合规性；同时能自动生成出库登记本与库存登记本，可对出库情况进行统计分析，方便掌握物资流转与库存状态；</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此外，模块支持打开出库管理 tab 页面，还能查询历史出库管理记录，高效满足乙肝高效球蛋白出库管理的各项关键操作需求。</w:t>
            </w:r>
          </w:p>
        </w:tc>
      </w:tr>
      <w:tr w14:paraId="53244BF9">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66DCA5C">
            <w:pPr>
              <w:widowControl/>
              <w:jc w:val="center"/>
              <w:textAlignment w:val="center"/>
              <w:rPr>
                <w:rFonts w:hint="eastAsia" w:ascii="宋体" w:hAnsi="宋体" w:cs="宋体"/>
                <w:sz w:val="24"/>
              </w:rPr>
            </w:pPr>
            <w:r>
              <w:rPr>
                <w:rFonts w:hint="eastAsia" w:ascii="宋体" w:hAnsi="宋体" w:cs="宋体"/>
                <w:kern w:val="0"/>
                <w:sz w:val="24"/>
                <w:lang w:bidi="ar"/>
              </w:rPr>
              <w:t>22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CF9221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C9E5B3A">
            <w:pPr>
              <w:widowControl/>
              <w:jc w:val="center"/>
              <w:textAlignment w:val="center"/>
              <w:rPr>
                <w:rFonts w:hint="eastAsia" w:ascii="宋体" w:hAnsi="宋体" w:cs="宋体"/>
                <w:sz w:val="24"/>
              </w:rPr>
            </w:pPr>
            <w:r>
              <w:rPr>
                <w:rFonts w:hint="eastAsia" w:ascii="宋体" w:hAnsi="宋体" w:cs="宋体"/>
                <w:kern w:val="0"/>
                <w:sz w:val="24"/>
                <w:lang w:bidi="ar"/>
              </w:rPr>
              <w:t>乙肝高效球蛋白</w:t>
            </w:r>
            <w:r>
              <w:rPr>
                <w:rFonts w:hint="eastAsia" w:ascii="宋体" w:hAnsi="宋体" w:cs="宋体"/>
                <w:kern w:val="0"/>
                <w:sz w:val="24"/>
                <w:lang w:bidi="ar"/>
              </w:rPr>
              <w:br w:type="textWrapping"/>
            </w:r>
            <w:r>
              <w:rPr>
                <w:rFonts w:hint="eastAsia" w:ascii="宋体" w:hAnsi="宋体" w:cs="宋体"/>
                <w:kern w:val="0"/>
                <w:sz w:val="24"/>
                <w:lang w:bidi="ar"/>
              </w:rPr>
              <w:t>注射管理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21E6563">
            <w:pPr>
              <w:widowControl/>
              <w:textAlignment w:val="center"/>
              <w:rPr>
                <w:rFonts w:hint="eastAsia" w:ascii="宋体" w:hAnsi="宋体" w:cs="宋体"/>
                <w:sz w:val="24"/>
              </w:rPr>
            </w:pPr>
            <w:r>
              <w:rPr>
                <w:rFonts w:hint="eastAsia" w:ascii="宋体" w:hAnsi="宋体" w:cs="宋体"/>
                <w:kern w:val="0"/>
                <w:sz w:val="24"/>
                <w:lang w:bidi="ar"/>
              </w:rPr>
              <w:t xml:space="preserve">    乙肝高效球蛋白注射管理功能聚焦新生儿注射的精准管控与流程规范，核心围绕注射对象、物资合规性及信息记录展开。</w:t>
            </w:r>
            <w:r>
              <w:rPr>
                <w:rFonts w:hint="eastAsia" w:ascii="宋体" w:hAnsi="宋体" w:cs="宋体"/>
                <w:kern w:val="0"/>
                <w:sz w:val="24"/>
                <w:lang w:bidi="ar"/>
              </w:rPr>
              <w:br w:type="textWrapping"/>
            </w:r>
            <w:r>
              <w:rPr>
                <w:rFonts w:hint="eastAsia" w:ascii="宋体" w:hAnsi="宋体" w:cs="宋体"/>
                <w:kern w:val="0"/>
                <w:sz w:val="24"/>
                <w:lang w:bidi="ar"/>
              </w:rPr>
              <w:t xml:space="preserve">   该功能明确仅对乙肝筛查阳性产妇分娩的新生儿提供乙肝高效球蛋白注射服务，对非乙肝筛查阳性产妇分娩的新生儿及使用过保质期的乙肝高效球蛋白均禁止注射；同时要求详细记录注射过程信息，包括药品批号、注射剂量、注射时间等关键内容，且会对需要注射的新生儿标注提醒标识，确保无遗漏；</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此外，模块支持打开乙肝高效球蛋白注射 tab 页面，为工作人员提供便捷的操作入口，全方位满足乙肝高效球蛋白注射管理的合规性与实操性需求。</w:t>
            </w:r>
          </w:p>
        </w:tc>
      </w:tr>
      <w:tr w14:paraId="081DF378">
        <w:tblPrEx>
          <w:tblCellMar>
            <w:top w:w="0" w:type="dxa"/>
            <w:left w:w="108" w:type="dxa"/>
            <w:bottom w:w="0" w:type="dxa"/>
            <w:right w:w="108" w:type="dxa"/>
          </w:tblCellMar>
        </w:tblPrEx>
        <w:trPr>
          <w:trHeight w:val="484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2837476">
            <w:pPr>
              <w:widowControl/>
              <w:jc w:val="center"/>
              <w:textAlignment w:val="center"/>
              <w:rPr>
                <w:rFonts w:hint="eastAsia" w:ascii="宋体" w:hAnsi="宋体" w:cs="宋体"/>
                <w:sz w:val="24"/>
              </w:rPr>
            </w:pPr>
            <w:r>
              <w:rPr>
                <w:rFonts w:hint="eastAsia" w:ascii="宋体" w:hAnsi="宋体" w:cs="宋体"/>
                <w:kern w:val="0"/>
                <w:sz w:val="24"/>
                <w:lang w:bidi="ar"/>
              </w:rPr>
              <w:t>23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817A70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E6EF741">
            <w:pPr>
              <w:widowControl/>
              <w:jc w:val="center"/>
              <w:textAlignment w:val="center"/>
              <w:rPr>
                <w:rFonts w:hint="eastAsia" w:ascii="宋体" w:hAnsi="宋体" w:cs="宋体"/>
                <w:sz w:val="24"/>
              </w:rPr>
            </w:pPr>
            <w:r>
              <w:rPr>
                <w:rFonts w:hint="eastAsia" w:ascii="宋体" w:hAnsi="宋体" w:cs="宋体"/>
                <w:kern w:val="0"/>
                <w:sz w:val="24"/>
                <w:lang w:bidi="ar"/>
              </w:rPr>
              <w:t>HIV阳性孕妇个</w:t>
            </w:r>
            <w:r>
              <w:rPr>
                <w:rFonts w:hint="eastAsia" w:ascii="宋体" w:hAnsi="宋体" w:cs="宋体"/>
                <w:kern w:val="0"/>
                <w:sz w:val="24"/>
                <w:lang w:bidi="ar"/>
              </w:rPr>
              <w:br w:type="textWrapping"/>
            </w:r>
            <w:r>
              <w:rPr>
                <w:rFonts w:hint="eastAsia" w:ascii="宋体" w:hAnsi="宋体" w:cs="宋体"/>
                <w:kern w:val="0"/>
                <w:sz w:val="24"/>
                <w:lang w:bidi="ar"/>
              </w:rPr>
              <w:t>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2105872">
            <w:pPr>
              <w:widowControl/>
              <w:textAlignment w:val="center"/>
              <w:rPr>
                <w:rFonts w:hint="eastAsia" w:ascii="宋体" w:hAnsi="宋体" w:cs="宋体"/>
                <w:sz w:val="24"/>
              </w:rPr>
            </w:pPr>
            <w:r>
              <w:rPr>
                <w:rFonts w:hint="eastAsia" w:ascii="宋体" w:hAnsi="宋体" w:cs="宋体"/>
                <w:kern w:val="0"/>
                <w:sz w:val="24"/>
                <w:lang w:bidi="ar"/>
              </w:rPr>
              <w:t xml:space="preserve">    HIV 阳性孕妇个案管理功能严格遵循国家规范，全面覆盖 HIV 阳性孕妇档案的建立、维护、查询与报告输出需求。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该功能针对 HIV 阳性孕妇，支持根据基本信息（含姓名、身份证号、出生日期、民族、文化程度、职业、婚姻状况、孕产情况、现住址、户口所在地、联系电话）生成部分档案，并可补充完整其他详细内容以建立规范档案；同时支持对已建档案进行修改与删除操作，还能按姓名、身份证号、管理单位等条件查询档案；</w:t>
            </w:r>
            <w:r>
              <w:rPr>
                <w:rFonts w:hint="eastAsia" w:ascii="宋体" w:hAnsi="宋体" w:cs="宋体"/>
                <w:kern w:val="0"/>
                <w:sz w:val="24"/>
                <w:lang w:bidi="ar"/>
              </w:rPr>
              <w:br w:type="textWrapping"/>
            </w:r>
            <w:r>
              <w:rPr>
                <w:rFonts w:hint="eastAsia" w:ascii="宋体" w:hAnsi="宋体" w:cs="宋体"/>
                <w:kern w:val="0"/>
                <w:sz w:val="24"/>
                <w:lang w:bidi="ar"/>
              </w:rPr>
              <w:t xml:space="preserve">   此外，针对 HIV 筛查阳性孕妇，可按国家规范输出包含其基本信息（姓名、证件号码、出生日期、实足年龄、民族、文化程度、职业、婚姻状况、孕产情况等）与管理记录的艾滋病感染妇女基本情况个案报告，满足信息上报要求，全方位适配 HIV 阳性孕妇个案管理的合规性与实操性需求。</w:t>
            </w:r>
          </w:p>
        </w:tc>
      </w:tr>
      <w:tr w14:paraId="21348A65">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120536">
            <w:pPr>
              <w:widowControl/>
              <w:jc w:val="center"/>
              <w:textAlignment w:val="center"/>
              <w:rPr>
                <w:rFonts w:hint="eastAsia" w:ascii="宋体" w:hAnsi="宋体" w:cs="宋体"/>
                <w:sz w:val="24"/>
              </w:rPr>
            </w:pPr>
            <w:r>
              <w:rPr>
                <w:rFonts w:hint="eastAsia" w:ascii="宋体" w:hAnsi="宋体" w:cs="宋体"/>
                <w:kern w:val="0"/>
                <w:sz w:val="24"/>
                <w:lang w:bidi="ar"/>
              </w:rPr>
              <w:t>24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E5E881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B9798ED">
            <w:pPr>
              <w:widowControl/>
              <w:jc w:val="center"/>
              <w:textAlignment w:val="center"/>
              <w:rPr>
                <w:rFonts w:hint="eastAsia" w:ascii="宋体" w:hAnsi="宋体" w:cs="宋体"/>
                <w:sz w:val="24"/>
              </w:rPr>
            </w:pPr>
            <w:r>
              <w:rPr>
                <w:rFonts w:hint="eastAsia" w:ascii="宋体" w:hAnsi="宋体" w:cs="宋体"/>
                <w:kern w:val="0"/>
                <w:sz w:val="24"/>
                <w:lang w:bidi="ar"/>
              </w:rPr>
              <w:t>HIV病毒感染情</w:t>
            </w:r>
            <w:r>
              <w:rPr>
                <w:rFonts w:hint="eastAsia" w:ascii="宋体" w:hAnsi="宋体" w:cs="宋体"/>
                <w:kern w:val="0"/>
                <w:sz w:val="24"/>
                <w:lang w:bidi="ar"/>
              </w:rPr>
              <w:br w:type="textWrapping"/>
            </w:r>
            <w:r>
              <w:rPr>
                <w:rFonts w:hint="eastAsia" w:ascii="宋体" w:hAnsi="宋体" w:cs="宋体"/>
                <w:kern w:val="0"/>
                <w:sz w:val="24"/>
                <w:lang w:bidi="ar"/>
              </w:rPr>
              <w:t>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1D2708D">
            <w:pPr>
              <w:widowControl/>
              <w:textAlignment w:val="center"/>
              <w:rPr>
                <w:rFonts w:hint="eastAsia" w:ascii="宋体" w:hAnsi="宋体" w:cs="宋体"/>
                <w:sz w:val="24"/>
              </w:rPr>
            </w:pPr>
            <w:r>
              <w:rPr>
                <w:rFonts w:hint="eastAsia" w:ascii="宋体" w:hAnsi="宋体" w:cs="宋体"/>
                <w:kern w:val="0"/>
                <w:sz w:val="24"/>
                <w:lang w:bidi="ar"/>
              </w:rPr>
              <w:t xml:space="preserve">     HIV 病毒感染情况管理功能严格依照国家规范，聚焦 HIV 筛查阳性孕妇的病毒感染信息管理需求。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该功能支持记录孕妇的病毒感染情况，具体包含本次妊娠前是否已知 HIV 感染、既往确诊艾滋病病毒感染时所处的时期、确诊艾滋病病毒感染时期本次接受艾滋病检测服务所处的时期、最可能的艾滋病病毒感染途径及相关危险行为；同时可对已记录的感染情况进行修改与删除操作，也能查询历史感染情况记录；  </w:t>
            </w:r>
            <w:r>
              <w:rPr>
                <w:rFonts w:hint="eastAsia" w:ascii="宋体" w:hAnsi="宋体" w:cs="宋体"/>
                <w:kern w:val="0"/>
                <w:sz w:val="24"/>
                <w:lang w:bidi="ar"/>
              </w:rPr>
              <w:br w:type="textWrapping"/>
            </w:r>
            <w:r>
              <w:rPr>
                <w:rFonts w:hint="eastAsia" w:ascii="宋体" w:hAnsi="宋体" w:cs="宋体"/>
                <w:kern w:val="0"/>
                <w:sz w:val="24"/>
                <w:lang w:bidi="ar"/>
              </w:rPr>
              <w:t xml:space="preserve">   此外，系统会自动获取已记录的信息，且该部分信息不允许修改，以确保信息的前后一致性，全方位满足 HIV 筛查阳性孕妇病毒感染情况管理的合规性与数据准确性要求。</w:t>
            </w:r>
          </w:p>
        </w:tc>
      </w:tr>
      <w:tr w14:paraId="3DBD695F">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7AE0EDE">
            <w:pPr>
              <w:widowControl/>
              <w:jc w:val="center"/>
              <w:textAlignment w:val="center"/>
              <w:rPr>
                <w:rFonts w:hint="eastAsia" w:ascii="宋体" w:hAnsi="宋体" w:cs="宋体"/>
                <w:sz w:val="24"/>
              </w:rPr>
            </w:pPr>
            <w:r>
              <w:rPr>
                <w:rFonts w:hint="eastAsia" w:ascii="宋体" w:hAnsi="宋体" w:cs="宋体"/>
                <w:kern w:val="0"/>
                <w:sz w:val="24"/>
                <w:lang w:bidi="ar"/>
              </w:rPr>
              <w:t>25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B7D541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2107A95">
            <w:pPr>
              <w:widowControl/>
              <w:jc w:val="center"/>
              <w:textAlignment w:val="center"/>
              <w:rPr>
                <w:rFonts w:hint="eastAsia" w:ascii="宋体" w:hAnsi="宋体" w:cs="宋体"/>
                <w:sz w:val="24"/>
              </w:rPr>
            </w:pPr>
            <w:r>
              <w:rPr>
                <w:rFonts w:hint="eastAsia" w:ascii="宋体" w:hAnsi="宋体" w:cs="宋体"/>
                <w:kern w:val="0"/>
                <w:sz w:val="24"/>
                <w:lang w:bidi="ar"/>
              </w:rPr>
              <w:t>HIV孕妇丈夫或</w:t>
            </w:r>
            <w:r>
              <w:rPr>
                <w:rFonts w:hint="eastAsia" w:ascii="宋体" w:hAnsi="宋体" w:cs="宋体"/>
                <w:kern w:val="0"/>
                <w:sz w:val="24"/>
                <w:lang w:bidi="ar"/>
              </w:rPr>
              <w:br w:type="textWrapping"/>
            </w:r>
            <w:r>
              <w:rPr>
                <w:rFonts w:hint="eastAsia" w:ascii="宋体" w:hAnsi="宋体" w:cs="宋体"/>
                <w:kern w:val="0"/>
                <w:sz w:val="24"/>
                <w:lang w:bidi="ar"/>
              </w:rPr>
              <w:t>伴侣检测情况</w:t>
            </w:r>
          </w:p>
        </w:tc>
        <w:tc>
          <w:tcPr>
            <w:tcW w:w="9687" w:type="dxa"/>
            <w:tcBorders>
              <w:top w:val="single" w:color="000000" w:sz="4" w:space="0"/>
              <w:left w:val="single" w:color="000000" w:sz="4" w:space="0"/>
              <w:bottom w:val="single" w:color="000000" w:sz="4" w:space="0"/>
              <w:right w:val="single" w:color="000000" w:sz="4" w:space="0"/>
            </w:tcBorders>
            <w:vAlign w:val="center"/>
          </w:tcPr>
          <w:p w14:paraId="0D3B79D4">
            <w:pPr>
              <w:widowControl/>
              <w:textAlignment w:val="center"/>
              <w:rPr>
                <w:rFonts w:hint="eastAsia" w:ascii="宋体" w:hAnsi="宋体" w:cs="宋体"/>
                <w:sz w:val="24"/>
              </w:rPr>
            </w:pPr>
            <w:r>
              <w:rPr>
                <w:rFonts w:hint="eastAsia" w:ascii="宋体" w:hAnsi="宋体" w:cs="宋体"/>
                <w:kern w:val="0"/>
                <w:sz w:val="24"/>
                <w:lang w:bidi="ar"/>
              </w:rPr>
              <w:t xml:space="preserve">   HIV 孕妇丈夫或伴侣检测情况管理功能，可全面覆盖相关检测信息的记录、维护、查询与操作入口需求。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 HIV 孕妇丈夫或伴侣的检测情况，具体包含 HIV 检测情况、HIV 检测结果、最可能的艾滋病病毒感染途径及相关危险行为等信息；同时可对已记录的病毒检测情况进行修改与删除操作，也能查询对应检测情况，且限定仅记录该信息的医生可进行查询，保障信息安全性；</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 HIV 孕妇丈夫或伴侣检测情况 tab 页面，为工作人员提供便捷的功能操作入口，高效适配相关检测信息管理的合规性与实操性场景。</w:t>
            </w:r>
          </w:p>
        </w:tc>
      </w:tr>
      <w:tr w14:paraId="7DCE7ACC">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80338F">
            <w:pPr>
              <w:widowControl/>
              <w:jc w:val="center"/>
              <w:textAlignment w:val="center"/>
              <w:rPr>
                <w:rFonts w:hint="eastAsia" w:ascii="宋体" w:hAnsi="宋体" w:cs="宋体"/>
                <w:sz w:val="24"/>
              </w:rPr>
            </w:pPr>
            <w:r>
              <w:rPr>
                <w:rFonts w:hint="eastAsia" w:ascii="宋体" w:hAnsi="宋体" w:cs="宋体"/>
                <w:kern w:val="0"/>
                <w:sz w:val="24"/>
                <w:lang w:bidi="ar"/>
              </w:rPr>
              <w:t>26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F46CAD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9DF93E8">
            <w:pPr>
              <w:widowControl/>
              <w:jc w:val="center"/>
              <w:textAlignment w:val="center"/>
              <w:rPr>
                <w:rFonts w:hint="eastAsia" w:ascii="宋体" w:hAnsi="宋体" w:cs="宋体"/>
                <w:sz w:val="24"/>
              </w:rPr>
            </w:pPr>
            <w:r>
              <w:rPr>
                <w:rFonts w:hint="eastAsia" w:ascii="宋体" w:hAnsi="宋体" w:cs="宋体"/>
                <w:kern w:val="0"/>
                <w:sz w:val="24"/>
                <w:lang w:bidi="ar"/>
              </w:rPr>
              <w:t>HIV孕妇本次妊</w:t>
            </w:r>
            <w:r>
              <w:rPr>
                <w:rFonts w:hint="eastAsia" w:ascii="宋体" w:hAnsi="宋体" w:cs="宋体"/>
                <w:kern w:val="0"/>
                <w:sz w:val="24"/>
                <w:lang w:bidi="ar"/>
              </w:rPr>
              <w:br w:type="textWrapping"/>
            </w:r>
            <w:r>
              <w:rPr>
                <w:rFonts w:hint="eastAsia" w:ascii="宋体" w:hAnsi="宋体" w:cs="宋体"/>
                <w:kern w:val="0"/>
                <w:sz w:val="24"/>
                <w:lang w:bidi="ar"/>
              </w:rPr>
              <w:t>娠情况管理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13A1F46">
            <w:pPr>
              <w:widowControl/>
              <w:textAlignment w:val="center"/>
              <w:rPr>
                <w:rFonts w:hint="eastAsia" w:ascii="宋体" w:hAnsi="宋体" w:cs="宋体"/>
                <w:sz w:val="24"/>
              </w:rPr>
            </w:pPr>
            <w:r>
              <w:rPr>
                <w:rFonts w:hint="eastAsia" w:ascii="宋体" w:hAnsi="宋体" w:cs="宋体"/>
                <w:kern w:val="0"/>
                <w:sz w:val="24"/>
                <w:lang w:bidi="ar"/>
              </w:rPr>
              <w:t xml:space="preserve">    HIV 孕妇本次妊娠情况管理功能聚焦 HIV 筛查阳性孕妇的妊娠信息管理需求，可实现全流程信息记录与维护。</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该功能支持记录孕妇本次妊娠情况，具体包含本次妊娠末次月经时间、预产期、初检孕周、妊娠结局、是否失访等关键信息；同时可对已记录的本次妊娠管理情况进行修改与删除操作，也能查询对应妊娠信息；</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此外，模块支持打开本次妊娠管理情况 tab 页面，为工作人员提供便捷的功能操作入口，全方位满足 HIV 筛查阳性孕妇本次妊娠情况管理的实操性与数据追溯需求。</w:t>
            </w:r>
          </w:p>
        </w:tc>
      </w:tr>
      <w:tr w14:paraId="1BEAB87A">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549D10D">
            <w:pPr>
              <w:widowControl/>
              <w:jc w:val="center"/>
              <w:textAlignment w:val="center"/>
              <w:rPr>
                <w:rFonts w:hint="eastAsia" w:ascii="宋体" w:hAnsi="宋体" w:cs="宋体"/>
                <w:sz w:val="24"/>
              </w:rPr>
            </w:pPr>
            <w:r>
              <w:rPr>
                <w:rFonts w:hint="eastAsia" w:ascii="宋体" w:hAnsi="宋体" w:cs="宋体"/>
                <w:kern w:val="0"/>
                <w:sz w:val="24"/>
                <w:lang w:bidi="ar"/>
              </w:rPr>
              <w:t>27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BE5E4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D6D519B">
            <w:pPr>
              <w:widowControl/>
              <w:jc w:val="center"/>
              <w:textAlignment w:val="center"/>
              <w:rPr>
                <w:rFonts w:hint="eastAsia" w:ascii="宋体" w:hAnsi="宋体" w:cs="宋体"/>
                <w:sz w:val="24"/>
              </w:rPr>
            </w:pPr>
            <w:r>
              <w:rPr>
                <w:rFonts w:hint="eastAsia" w:ascii="宋体" w:hAnsi="宋体" w:cs="宋体"/>
                <w:kern w:val="0"/>
                <w:sz w:val="24"/>
                <w:lang w:bidi="ar"/>
              </w:rPr>
              <w:t>HIV感染用药情</w:t>
            </w:r>
            <w:r>
              <w:rPr>
                <w:rFonts w:hint="eastAsia" w:ascii="宋体" w:hAnsi="宋体" w:cs="宋体"/>
                <w:kern w:val="0"/>
                <w:sz w:val="24"/>
                <w:lang w:bidi="ar"/>
              </w:rPr>
              <w:br w:type="textWrapping"/>
            </w:r>
            <w:r>
              <w:rPr>
                <w:rFonts w:hint="eastAsia" w:ascii="宋体" w:hAnsi="宋体" w:cs="宋体"/>
                <w:kern w:val="0"/>
                <w:sz w:val="24"/>
                <w:lang w:bidi="ar"/>
              </w:rPr>
              <w:t>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5E060B4">
            <w:pPr>
              <w:widowControl/>
              <w:textAlignment w:val="center"/>
              <w:rPr>
                <w:rFonts w:hint="eastAsia" w:ascii="宋体" w:hAnsi="宋体" w:cs="宋体"/>
                <w:sz w:val="24"/>
              </w:rPr>
            </w:pPr>
            <w:r>
              <w:rPr>
                <w:rFonts w:hint="eastAsia" w:ascii="宋体" w:hAnsi="宋体" w:cs="宋体"/>
                <w:kern w:val="0"/>
                <w:sz w:val="24"/>
                <w:lang w:bidi="ar"/>
              </w:rPr>
              <w:t xml:space="preserve">    HIV 感染用药情况管理功能可全面覆盖 HIV 感染孕妇全周期用药的记录、维护、查询与输出需求，且严格遵循国家用药规范。</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并管理孕妇在孕期、产时、产后各个阶段的用药情况，仅允许选择或输入国家规定要求的药物；同时可对已记录的用药情况进行修改与删除操作，也能查询对应用药信息；还能根据各阶段用药情况生成孕期用药登记本，支持对登记本进行查询与导出；</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 HIV 感染用药情况管理 tab 页面，为工作人员提供便捷的操作入口，全方位满足 HIV 感染孕妇用药管理的合规性与实操性需求。</w:t>
            </w:r>
          </w:p>
        </w:tc>
      </w:tr>
      <w:tr w14:paraId="2A538214">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6B3E70E">
            <w:pPr>
              <w:widowControl/>
              <w:jc w:val="center"/>
              <w:textAlignment w:val="center"/>
              <w:rPr>
                <w:rFonts w:hint="eastAsia" w:ascii="宋体" w:hAnsi="宋体" w:cs="宋体"/>
                <w:sz w:val="24"/>
              </w:rPr>
            </w:pPr>
            <w:r>
              <w:rPr>
                <w:rFonts w:hint="eastAsia" w:ascii="宋体" w:hAnsi="宋体" w:cs="宋体"/>
                <w:kern w:val="0"/>
                <w:sz w:val="24"/>
                <w:lang w:bidi="ar"/>
              </w:rPr>
              <w:t>28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EB3C98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47C1F3">
            <w:pPr>
              <w:widowControl/>
              <w:jc w:val="center"/>
              <w:textAlignment w:val="center"/>
              <w:rPr>
                <w:rFonts w:hint="eastAsia" w:ascii="宋体" w:hAnsi="宋体" w:cs="宋体"/>
                <w:sz w:val="24"/>
              </w:rPr>
            </w:pPr>
            <w:r>
              <w:rPr>
                <w:rFonts w:hint="eastAsia" w:ascii="宋体" w:hAnsi="宋体" w:cs="宋体"/>
                <w:kern w:val="0"/>
                <w:sz w:val="24"/>
                <w:lang w:bidi="ar"/>
              </w:rPr>
              <w:t>HIV孕妇检测记</w:t>
            </w:r>
            <w:r>
              <w:rPr>
                <w:rFonts w:hint="eastAsia" w:ascii="宋体" w:hAnsi="宋体" w:cs="宋体"/>
                <w:kern w:val="0"/>
                <w:sz w:val="24"/>
                <w:lang w:bidi="ar"/>
              </w:rPr>
              <w:br w:type="textWrapping"/>
            </w:r>
            <w:r>
              <w:rPr>
                <w:rFonts w:hint="eastAsia" w:ascii="宋体" w:hAnsi="宋体" w:cs="宋体"/>
                <w:kern w:val="0"/>
                <w:sz w:val="24"/>
                <w:lang w:bidi="ar"/>
              </w:rPr>
              <w:t>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5E842B2">
            <w:pPr>
              <w:widowControl/>
              <w:textAlignment w:val="center"/>
              <w:rPr>
                <w:rFonts w:hint="eastAsia" w:ascii="宋体" w:hAnsi="宋体" w:cs="宋体"/>
                <w:sz w:val="24"/>
              </w:rPr>
            </w:pPr>
            <w:r>
              <w:rPr>
                <w:rFonts w:hint="eastAsia" w:ascii="宋体" w:hAnsi="宋体" w:cs="宋体"/>
                <w:kern w:val="0"/>
                <w:sz w:val="24"/>
                <w:lang w:bidi="ar"/>
              </w:rPr>
              <w:t xml:space="preserve">    HIV 孕妇检测记录管理功能严格依照国家规范，聚焦 HIV 筛查阳性孕妇全周期检测信息的精细化管理。</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该功能支持记录并管理孕妇在孕前、孕期、产时、产后各个阶段的检测情况，能根据各指标针对 HIV 筛查阳性孕妇的特点自动生成是否异常的判断，且异常结果会用特殊颜色标识，便于快速识别；同时可对各阶段的检测情况进行修改与删除操作，也能查询对应检测记录；</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 HIV 孕妇检测记录管理 tab 页面，为工作人员提供便捷的操作入口，全方位满足 HIV 筛查阳性孕妇检测记录管理的合规性与高效性需求。</w:t>
            </w:r>
          </w:p>
        </w:tc>
      </w:tr>
      <w:tr w14:paraId="681A2577">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0B203D1">
            <w:pPr>
              <w:widowControl/>
              <w:jc w:val="center"/>
              <w:textAlignment w:val="center"/>
              <w:rPr>
                <w:rFonts w:hint="eastAsia" w:ascii="宋体" w:hAnsi="宋体" w:cs="宋体"/>
                <w:sz w:val="24"/>
              </w:rPr>
            </w:pPr>
            <w:r>
              <w:rPr>
                <w:rFonts w:hint="eastAsia" w:ascii="宋体" w:hAnsi="宋体" w:cs="宋体"/>
                <w:kern w:val="0"/>
                <w:sz w:val="24"/>
                <w:lang w:bidi="ar"/>
              </w:rPr>
              <w:t>29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8495ED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1C91A61">
            <w:pPr>
              <w:widowControl/>
              <w:jc w:val="center"/>
              <w:textAlignment w:val="center"/>
              <w:rPr>
                <w:rFonts w:hint="eastAsia" w:ascii="宋体" w:hAnsi="宋体" w:cs="宋体"/>
                <w:sz w:val="24"/>
              </w:rPr>
            </w:pPr>
            <w:r>
              <w:rPr>
                <w:rFonts w:hint="eastAsia" w:ascii="宋体" w:hAnsi="宋体" w:cs="宋体"/>
                <w:kern w:val="0"/>
                <w:sz w:val="24"/>
                <w:lang w:bidi="ar"/>
              </w:rPr>
              <w:t>HIV孕妇分娩新</w:t>
            </w:r>
            <w:r>
              <w:rPr>
                <w:rFonts w:hint="eastAsia" w:ascii="宋体" w:hAnsi="宋体" w:cs="宋体"/>
                <w:kern w:val="0"/>
                <w:sz w:val="24"/>
                <w:lang w:bidi="ar"/>
              </w:rPr>
              <w:br w:type="textWrapping"/>
            </w:r>
            <w:r>
              <w:rPr>
                <w:rFonts w:hint="eastAsia" w:ascii="宋体" w:hAnsi="宋体" w:cs="宋体"/>
                <w:kern w:val="0"/>
                <w:sz w:val="24"/>
                <w:lang w:bidi="ar"/>
              </w:rPr>
              <w:t>生婴儿管理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B05C9C4">
            <w:pPr>
              <w:widowControl/>
              <w:textAlignment w:val="center"/>
              <w:rPr>
                <w:rFonts w:hint="eastAsia" w:ascii="宋体" w:hAnsi="宋体" w:cs="宋体"/>
                <w:sz w:val="24"/>
              </w:rPr>
            </w:pPr>
            <w:r>
              <w:rPr>
                <w:rFonts w:hint="eastAsia" w:ascii="宋体" w:hAnsi="宋体" w:cs="宋体"/>
                <w:kern w:val="0"/>
                <w:sz w:val="24"/>
                <w:lang w:bidi="ar"/>
              </w:rPr>
              <w:t xml:space="preserve">   HIV 孕妇分娩新生婴儿管理功能严格遵循国家规范，全面覆盖 HIV 筛查阳性孕妇所分娩新生婴儿的信息管理需求。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该功能支持记录、修改、删除及查询这类新生婴儿的情况，其中新生儿基本信息由系统自动获取且不可修改，以保障数据准确性；若新生儿出现死亡情况，系统要求生成新生儿死亡卡片，完善特殊情况记录；</w:t>
            </w:r>
            <w:r>
              <w:rPr>
                <w:rFonts w:hint="eastAsia" w:ascii="宋体" w:hAnsi="宋体" w:cs="宋体"/>
                <w:kern w:val="0"/>
                <w:sz w:val="24"/>
                <w:lang w:bidi="ar"/>
              </w:rPr>
              <w:br w:type="textWrapping"/>
            </w:r>
            <w:r>
              <w:rPr>
                <w:rFonts w:hint="eastAsia" w:ascii="宋体" w:hAnsi="宋体" w:cs="宋体"/>
                <w:kern w:val="0"/>
                <w:sz w:val="24"/>
                <w:lang w:bidi="ar"/>
              </w:rPr>
              <w:t xml:space="preserve">    同时，系统还支持录入新生儿预防接种情况，全方位适配 HIV 筛查阳性孕妇分娩新生婴儿从基础信息到特殊情况、后续接种的全流程管理场景。</w:t>
            </w:r>
          </w:p>
        </w:tc>
      </w:tr>
      <w:tr w14:paraId="36ABBFE0">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1C2816">
            <w:pPr>
              <w:widowControl/>
              <w:jc w:val="center"/>
              <w:textAlignment w:val="center"/>
              <w:rPr>
                <w:rFonts w:hint="eastAsia" w:ascii="宋体" w:hAnsi="宋体" w:cs="宋体"/>
                <w:sz w:val="24"/>
              </w:rPr>
            </w:pPr>
            <w:r>
              <w:rPr>
                <w:rFonts w:hint="eastAsia" w:ascii="宋体" w:hAnsi="宋体" w:cs="宋体"/>
                <w:kern w:val="0"/>
                <w:sz w:val="24"/>
                <w:lang w:bidi="ar"/>
              </w:rPr>
              <w:t>30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93AB66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C73474F">
            <w:pPr>
              <w:widowControl/>
              <w:jc w:val="center"/>
              <w:textAlignment w:val="center"/>
              <w:rPr>
                <w:rFonts w:hint="eastAsia" w:ascii="宋体" w:hAnsi="宋体" w:cs="宋体"/>
                <w:sz w:val="24"/>
              </w:rPr>
            </w:pPr>
            <w:r>
              <w:rPr>
                <w:rFonts w:hint="eastAsia" w:ascii="宋体" w:hAnsi="宋体" w:cs="宋体"/>
                <w:kern w:val="0"/>
                <w:sz w:val="24"/>
                <w:lang w:bidi="ar"/>
              </w:rPr>
              <w:t>HIV孕妇分娩新</w:t>
            </w:r>
            <w:r>
              <w:rPr>
                <w:rFonts w:hint="eastAsia" w:ascii="宋体" w:hAnsi="宋体" w:cs="宋体"/>
                <w:kern w:val="0"/>
                <w:sz w:val="24"/>
                <w:lang w:bidi="ar"/>
              </w:rPr>
              <w:br w:type="textWrapping"/>
            </w:r>
            <w:r>
              <w:rPr>
                <w:rFonts w:hint="eastAsia" w:ascii="宋体" w:hAnsi="宋体" w:cs="宋体"/>
                <w:kern w:val="0"/>
                <w:sz w:val="24"/>
                <w:lang w:bidi="ar"/>
              </w:rPr>
              <w:t>生婴儿抗病毒药</w:t>
            </w:r>
            <w:r>
              <w:rPr>
                <w:rFonts w:hint="eastAsia" w:ascii="宋体" w:hAnsi="宋体" w:cs="宋体"/>
                <w:kern w:val="0"/>
                <w:sz w:val="24"/>
                <w:lang w:bidi="ar"/>
              </w:rPr>
              <w:br w:type="textWrapping"/>
            </w:r>
            <w:r>
              <w:rPr>
                <w:rFonts w:hint="eastAsia" w:ascii="宋体" w:hAnsi="宋体" w:cs="宋体"/>
                <w:kern w:val="0"/>
                <w:sz w:val="24"/>
                <w:lang w:bidi="ar"/>
              </w:rPr>
              <w:t>物应用情况管理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D8371A5">
            <w:pPr>
              <w:widowControl/>
              <w:textAlignment w:val="center"/>
              <w:rPr>
                <w:rFonts w:hint="eastAsia" w:ascii="宋体" w:hAnsi="宋体" w:cs="宋体"/>
                <w:sz w:val="24"/>
              </w:rPr>
            </w:pPr>
            <w:r>
              <w:rPr>
                <w:rFonts w:hint="eastAsia" w:ascii="宋体" w:hAnsi="宋体" w:cs="宋体"/>
                <w:kern w:val="0"/>
                <w:sz w:val="24"/>
                <w:lang w:bidi="ar"/>
              </w:rPr>
              <w:t xml:space="preserve">    HIV 孕妇分娩新生婴儿抗病毒药物应用情况管理功能严格依照国家规范，聚焦新生儿抗病毒药物使用的规范化管理。</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 HIV 筛查阳性孕妇所分娩新生儿的抗病毒药物应用情况，同时要求对常用药物进行维护管理，使用时仅能从维护好的药物列表中选择，不允许随时手工输入，且支持选择多组药物；</w:t>
            </w:r>
            <w:r>
              <w:rPr>
                <w:rFonts w:hint="eastAsia" w:ascii="宋体" w:hAnsi="宋体" w:cs="宋体"/>
                <w:kern w:val="0"/>
                <w:sz w:val="24"/>
                <w:lang w:bidi="ar"/>
              </w:rPr>
              <w:br w:type="textWrapping"/>
            </w:r>
            <w:r>
              <w:rPr>
                <w:rFonts w:hint="eastAsia" w:ascii="宋体" w:hAnsi="宋体" w:cs="宋体"/>
                <w:kern w:val="0"/>
                <w:sz w:val="24"/>
                <w:lang w:bidi="ar"/>
              </w:rPr>
              <w:t xml:space="preserve">    此外，模块还支持打开 HIV 孕妇分娩新生婴儿抗病毒药物应用情况管理 tab 页面，为工作人员提供便捷的操作入口，全方位满足新生儿抗病毒药物应用管理的合规性与实操性需求。</w:t>
            </w:r>
          </w:p>
        </w:tc>
      </w:tr>
      <w:tr w14:paraId="5BD7A6DA">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5ECD4CE">
            <w:pPr>
              <w:widowControl/>
              <w:jc w:val="center"/>
              <w:textAlignment w:val="center"/>
              <w:rPr>
                <w:rFonts w:hint="eastAsia" w:ascii="宋体" w:hAnsi="宋体" w:cs="宋体"/>
                <w:sz w:val="24"/>
              </w:rPr>
            </w:pPr>
            <w:r>
              <w:rPr>
                <w:rFonts w:hint="eastAsia" w:ascii="宋体" w:hAnsi="宋体" w:cs="宋体"/>
                <w:kern w:val="0"/>
                <w:sz w:val="24"/>
                <w:lang w:bidi="ar"/>
              </w:rPr>
              <w:t>31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9ACDA4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73E7797">
            <w:pPr>
              <w:widowControl/>
              <w:jc w:val="center"/>
              <w:textAlignment w:val="center"/>
              <w:rPr>
                <w:rFonts w:hint="eastAsia" w:ascii="宋体" w:hAnsi="宋体" w:cs="宋体"/>
                <w:sz w:val="24"/>
              </w:rPr>
            </w:pPr>
            <w:r>
              <w:rPr>
                <w:rFonts w:hint="eastAsia" w:ascii="宋体" w:hAnsi="宋体" w:cs="宋体"/>
                <w:kern w:val="0"/>
                <w:sz w:val="24"/>
                <w:lang w:bidi="ar"/>
              </w:rPr>
              <w:t>HIV孕妇随访管</w:t>
            </w:r>
            <w:r>
              <w:rPr>
                <w:rFonts w:hint="eastAsia" w:ascii="宋体" w:hAnsi="宋体" w:cs="宋体"/>
                <w:kern w:val="0"/>
                <w:sz w:val="24"/>
                <w:lang w:bidi="ar"/>
              </w:rPr>
              <w:br w:type="textWrapping"/>
            </w:r>
            <w:r>
              <w:rPr>
                <w:rFonts w:hint="eastAsia" w:ascii="宋体" w:hAnsi="宋体" w:cs="宋体"/>
                <w:kern w:val="0"/>
                <w:sz w:val="24"/>
                <w:lang w:bidi="ar"/>
              </w:rPr>
              <w:t>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27E8C42">
            <w:pPr>
              <w:widowControl/>
              <w:textAlignment w:val="center"/>
              <w:rPr>
                <w:rFonts w:hint="eastAsia" w:ascii="宋体" w:hAnsi="宋体" w:cs="宋体"/>
                <w:sz w:val="24"/>
              </w:rPr>
            </w:pPr>
            <w:r>
              <w:rPr>
                <w:rFonts w:hint="eastAsia" w:ascii="宋体" w:hAnsi="宋体" w:cs="宋体"/>
                <w:kern w:val="0"/>
                <w:sz w:val="24"/>
                <w:lang w:bidi="ar"/>
              </w:rPr>
              <w:t xml:space="preserve">   HIV 孕妇随访管理功能严格遵循国家规范，聚焦 HIV 筛查阳性孕妇分娩后的定期跟踪随访需求。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该功能支持按规范对孕妇进行分娩后定期随访，可对已记录的随访记录进行修改与删除操作，也能查询历史随访记录；同时，访视次数会根据后续新增的随访情况自动更新，无需手动调整；</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 HIV 孕妇随访 tab 页面，为工作人员提供便捷的操作入口，全方位满足 HIV 筛查阳性孕妇分娩后随访管理的合规性与高效性需求。</w:t>
            </w:r>
          </w:p>
        </w:tc>
      </w:tr>
      <w:tr w14:paraId="79C0BB1A">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B28E217">
            <w:pPr>
              <w:widowControl/>
              <w:jc w:val="center"/>
              <w:textAlignment w:val="center"/>
              <w:rPr>
                <w:rFonts w:hint="eastAsia" w:ascii="宋体" w:hAnsi="宋体" w:cs="宋体"/>
                <w:sz w:val="24"/>
              </w:rPr>
            </w:pPr>
            <w:r>
              <w:rPr>
                <w:rFonts w:hint="eastAsia" w:ascii="宋体" w:hAnsi="宋体" w:cs="宋体"/>
                <w:kern w:val="0"/>
                <w:sz w:val="24"/>
                <w:lang w:bidi="ar"/>
              </w:rPr>
              <w:t>32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A7697F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2B00809">
            <w:pPr>
              <w:widowControl/>
              <w:jc w:val="center"/>
              <w:textAlignment w:val="center"/>
              <w:rPr>
                <w:rFonts w:hint="eastAsia" w:ascii="宋体" w:hAnsi="宋体" w:cs="宋体"/>
                <w:sz w:val="24"/>
              </w:rPr>
            </w:pPr>
            <w:r>
              <w:rPr>
                <w:rFonts w:hint="eastAsia" w:ascii="宋体" w:hAnsi="宋体" w:cs="宋体"/>
                <w:kern w:val="0"/>
                <w:sz w:val="24"/>
                <w:lang w:bidi="ar"/>
              </w:rPr>
              <w:t>HIV孕妇分娩婴</w:t>
            </w:r>
            <w:r>
              <w:rPr>
                <w:rFonts w:hint="eastAsia" w:ascii="宋体" w:hAnsi="宋体" w:cs="宋体"/>
                <w:kern w:val="0"/>
                <w:sz w:val="24"/>
                <w:lang w:bidi="ar"/>
              </w:rPr>
              <w:br w:type="textWrapping"/>
            </w:r>
            <w:r>
              <w:rPr>
                <w:rFonts w:hint="eastAsia" w:ascii="宋体" w:hAnsi="宋体" w:cs="宋体"/>
                <w:kern w:val="0"/>
                <w:sz w:val="24"/>
                <w:lang w:bidi="ar"/>
              </w:rPr>
              <w:t>儿随访管理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6313B68">
            <w:pPr>
              <w:widowControl/>
              <w:textAlignment w:val="center"/>
              <w:rPr>
                <w:rFonts w:hint="eastAsia" w:ascii="宋体" w:hAnsi="宋体" w:cs="宋体"/>
                <w:sz w:val="24"/>
              </w:rPr>
            </w:pPr>
            <w:r>
              <w:rPr>
                <w:rFonts w:hint="eastAsia" w:ascii="宋体" w:hAnsi="宋体" w:cs="宋体"/>
                <w:kern w:val="0"/>
                <w:sz w:val="24"/>
                <w:lang w:bidi="ar"/>
              </w:rPr>
              <w:t xml:space="preserve">    HIV 孕妇分娩婴儿随访管理功能严格依照国家规范，全面覆盖 HIV 筛查阳性孕妇所分娩新生儿的定期随访管理需求。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该功能支持对新生儿进行定期跟踪随访，并详细记录随访信息，同时可对已记录的随访信息进行修改与删除操作，也能查询历史随访信息；</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 HIV 孕妇分娩婴儿随访 tab 页面，为工作人员提供便捷的操作入口，全方位满足新生儿随访管理的合规性与实操性需求。</w:t>
            </w:r>
          </w:p>
        </w:tc>
      </w:tr>
      <w:tr w14:paraId="48675A71">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D6C8BB">
            <w:pPr>
              <w:widowControl/>
              <w:jc w:val="center"/>
              <w:textAlignment w:val="center"/>
              <w:rPr>
                <w:rFonts w:hint="eastAsia" w:ascii="宋体" w:hAnsi="宋体" w:cs="宋体"/>
                <w:sz w:val="24"/>
              </w:rPr>
            </w:pPr>
            <w:r>
              <w:rPr>
                <w:rFonts w:hint="eastAsia" w:ascii="宋体" w:hAnsi="宋体" w:cs="宋体"/>
                <w:kern w:val="0"/>
                <w:sz w:val="24"/>
                <w:lang w:bidi="ar"/>
              </w:rPr>
              <w:t>33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7DFAA8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A9E4CAB">
            <w:pPr>
              <w:widowControl/>
              <w:jc w:val="center"/>
              <w:textAlignment w:val="center"/>
              <w:rPr>
                <w:rFonts w:hint="eastAsia" w:ascii="宋体" w:hAnsi="宋体" w:cs="宋体"/>
                <w:sz w:val="24"/>
              </w:rPr>
            </w:pPr>
            <w:r>
              <w:rPr>
                <w:rFonts w:hint="eastAsia" w:ascii="宋体" w:hAnsi="宋体" w:cs="宋体"/>
                <w:kern w:val="0"/>
                <w:sz w:val="24"/>
                <w:lang w:bidi="ar"/>
              </w:rPr>
              <w:t>艾滋病感染妇女</w:t>
            </w:r>
            <w:r>
              <w:rPr>
                <w:rFonts w:hint="eastAsia" w:ascii="宋体" w:hAnsi="宋体" w:cs="宋体"/>
                <w:kern w:val="0"/>
                <w:sz w:val="24"/>
                <w:lang w:bidi="ar"/>
              </w:rPr>
              <w:br w:type="textWrapping"/>
            </w:r>
            <w:r>
              <w:rPr>
                <w:rFonts w:hint="eastAsia" w:ascii="宋体" w:hAnsi="宋体" w:cs="宋体"/>
                <w:kern w:val="0"/>
                <w:sz w:val="24"/>
                <w:lang w:bidi="ar"/>
              </w:rPr>
              <w:t>基本情况个案报</w:t>
            </w:r>
            <w:r>
              <w:rPr>
                <w:rFonts w:hint="eastAsia" w:ascii="宋体" w:hAnsi="宋体" w:cs="宋体"/>
                <w:kern w:val="0"/>
                <w:sz w:val="24"/>
                <w:lang w:bidi="ar"/>
              </w:rPr>
              <w:br w:type="textWrapping"/>
            </w:r>
            <w:r>
              <w:rPr>
                <w:rFonts w:hint="eastAsia" w:ascii="宋体" w:hAnsi="宋体" w:cs="宋体"/>
                <w:kern w:val="0"/>
                <w:sz w:val="24"/>
                <w:lang w:bidi="ar"/>
              </w:rPr>
              <w:t>告输出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65F02279">
            <w:pPr>
              <w:widowControl/>
              <w:textAlignment w:val="center"/>
              <w:rPr>
                <w:rFonts w:hint="eastAsia" w:ascii="宋体" w:hAnsi="宋体" w:cs="宋体"/>
                <w:sz w:val="24"/>
              </w:rPr>
            </w:pPr>
            <w:r>
              <w:rPr>
                <w:rFonts w:hint="eastAsia" w:ascii="宋体" w:hAnsi="宋体" w:cs="宋体"/>
                <w:kern w:val="0"/>
                <w:sz w:val="24"/>
                <w:lang w:bidi="ar"/>
              </w:rPr>
              <w:t xml:space="preserve">    艾滋病感染妇女基本情况个案报告输出功能，严格依照国家规范适配 HIV 筛查阳性孕妇的信息上报需求。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该功能可基于 HIV 筛查阳性孕妇的基本信息与管理记录，生成并输出艾滋病感染妇女基本情况个案报告，报告内容涵盖姓名、证件号码、出生日期、实足年龄、民族、文化程度、职业、婚姻状况、孕产情况等关键信息，完全满足相关信息上报的标准与要求。</w:t>
            </w:r>
          </w:p>
        </w:tc>
      </w:tr>
      <w:tr w14:paraId="6D746710">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0057CC3">
            <w:pPr>
              <w:widowControl/>
              <w:jc w:val="center"/>
              <w:textAlignment w:val="center"/>
              <w:rPr>
                <w:rFonts w:hint="eastAsia" w:ascii="宋体" w:hAnsi="宋体" w:cs="宋体"/>
                <w:sz w:val="24"/>
              </w:rPr>
            </w:pPr>
            <w:r>
              <w:rPr>
                <w:rFonts w:hint="eastAsia" w:ascii="宋体" w:hAnsi="宋体" w:cs="宋体"/>
                <w:kern w:val="0"/>
                <w:sz w:val="24"/>
                <w:lang w:bidi="ar"/>
              </w:rPr>
              <w:t>34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D902B4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ED8B529">
            <w:pPr>
              <w:widowControl/>
              <w:jc w:val="center"/>
              <w:textAlignment w:val="center"/>
              <w:rPr>
                <w:rFonts w:hint="eastAsia" w:ascii="宋体" w:hAnsi="宋体" w:cs="宋体"/>
                <w:sz w:val="24"/>
              </w:rPr>
            </w:pPr>
            <w:r>
              <w:rPr>
                <w:rFonts w:hint="eastAsia" w:ascii="宋体" w:hAnsi="宋体" w:cs="宋体"/>
                <w:kern w:val="0"/>
                <w:sz w:val="24"/>
                <w:lang w:bidi="ar"/>
              </w:rPr>
              <w:t>艾滋病感染妇女</w:t>
            </w:r>
            <w:r>
              <w:rPr>
                <w:rFonts w:hint="eastAsia" w:ascii="宋体" w:hAnsi="宋体" w:cs="宋体"/>
                <w:kern w:val="0"/>
                <w:sz w:val="24"/>
                <w:lang w:bidi="ar"/>
              </w:rPr>
              <w:br w:type="textWrapping"/>
            </w:r>
            <w:r>
              <w:rPr>
                <w:rFonts w:hint="eastAsia" w:ascii="宋体" w:hAnsi="宋体" w:cs="宋体"/>
                <w:kern w:val="0"/>
                <w:sz w:val="24"/>
                <w:lang w:bidi="ar"/>
              </w:rPr>
              <w:t>妊娠及所生婴儿</w:t>
            </w:r>
            <w:r>
              <w:rPr>
                <w:rFonts w:hint="eastAsia" w:ascii="宋体" w:hAnsi="宋体" w:cs="宋体"/>
                <w:kern w:val="0"/>
                <w:sz w:val="24"/>
                <w:lang w:bidi="ar"/>
              </w:rPr>
              <w:br w:type="textWrapping"/>
            </w:r>
            <w:r>
              <w:rPr>
                <w:rFonts w:hint="eastAsia" w:ascii="宋体" w:hAnsi="宋体" w:cs="宋体"/>
                <w:kern w:val="0"/>
                <w:sz w:val="24"/>
                <w:lang w:bidi="ar"/>
              </w:rPr>
              <w:t>情况个案报告输</w:t>
            </w:r>
            <w:r>
              <w:rPr>
                <w:rFonts w:hint="eastAsia" w:ascii="宋体" w:hAnsi="宋体" w:cs="宋体"/>
                <w:kern w:val="0"/>
                <w:sz w:val="24"/>
                <w:lang w:bidi="ar"/>
              </w:rPr>
              <w:br w:type="textWrapping"/>
            </w:r>
            <w:r>
              <w:rPr>
                <w:rFonts w:hint="eastAsia" w:ascii="宋体" w:hAnsi="宋体" w:cs="宋体"/>
                <w:kern w:val="0"/>
                <w:sz w:val="24"/>
                <w:lang w:bidi="ar"/>
              </w:rPr>
              <w:t>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2AAA9720">
            <w:pPr>
              <w:widowControl/>
              <w:textAlignment w:val="center"/>
              <w:rPr>
                <w:rFonts w:hint="eastAsia" w:ascii="宋体" w:hAnsi="宋体" w:cs="宋体"/>
                <w:sz w:val="24"/>
              </w:rPr>
            </w:pPr>
            <w:r>
              <w:rPr>
                <w:rFonts w:hint="eastAsia" w:ascii="宋体" w:hAnsi="宋体" w:cs="宋体"/>
                <w:kern w:val="0"/>
                <w:sz w:val="24"/>
                <w:lang w:bidi="ar"/>
              </w:rPr>
              <w:t xml:space="preserve">    艾滋病感染妇女妊娠及所生婴儿情况个案报告输出功能，严格依据国家规范适配 HIV 筛查阳性孕妇及其分娩婴儿的信息上报需求。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该功能可基于 HIV 筛查阳性孕妇的妊娠管理记录与所生婴儿的相关信息，生成并输出艾滋病感染妇女所生婴儿情况个案报告，报告内容符合国家对母婴阻断个案信息上报的标准要求，能全面满足医疗卫生机构向辖区妇幼保健机构等上级部门进行信息上报的工作需求。</w:t>
            </w:r>
          </w:p>
        </w:tc>
      </w:tr>
      <w:tr w14:paraId="6C57BDD5">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5A2B2BF">
            <w:pPr>
              <w:widowControl/>
              <w:jc w:val="center"/>
              <w:textAlignment w:val="center"/>
              <w:rPr>
                <w:rFonts w:hint="eastAsia" w:ascii="宋体" w:hAnsi="宋体" w:cs="宋体"/>
                <w:sz w:val="24"/>
              </w:rPr>
            </w:pPr>
            <w:r>
              <w:rPr>
                <w:rFonts w:hint="eastAsia" w:ascii="宋体" w:hAnsi="宋体" w:cs="宋体"/>
                <w:kern w:val="0"/>
                <w:sz w:val="24"/>
                <w:lang w:bidi="ar"/>
              </w:rPr>
              <w:t>35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B00C7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DA610F">
            <w:pPr>
              <w:widowControl/>
              <w:jc w:val="center"/>
              <w:textAlignment w:val="center"/>
              <w:rPr>
                <w:rFonts w:hint="eastAsia" w:ascii="宋体" w:hAnsi="宋体" w:cs="宋体"/>
                <w:sz w:val="24"/>
              </w:rPr>
            </w:pPr>
            <w:r>
              <w:rPr>
                <w:rFonts w:hint="eastAsia" w:ascii="宋体" w:hAnsi="宋体" w:cs="宋体"/>
                <w:kern w:val="0"/>
                <w:sz w:val="24"/>
                <w:lang w:bidi="ar"/>
              </w:rPr>
              <w:t>艾滋病感染产妇</w:t>
            </w:r>
            <w:r>
              <w:rPr>
                <w:rFonts w:hint="eastAsia" w:ascii="宋体" w:hAnsi="宋体" w:cs="宋体"/>
                <w:kern w:val="0"/>
                <w:sz w:val="24"/>
                <w:lang w:bidi="ar"/>
              </w:rPr>
              <w:br w:type="textWrapping"/>
            </w:r>
            <w:r>
              <w:rPr>
                <w:rFonts w:hint="eastAsia" w:ascii="宋体" w:hAnsi="宋体" w:cs="宋体"/>
                <w:kern w:val="0"/>
                <w:sz w:val="24"/>
                <w:lang w:bidi="ar"/>
              </w:rPr>
              <w:t>及所生儿童随访</w:t>
            </w:r>
            <w:r>
              <w:rPr>
                <w:rFonts w:hint="eastAsia" w:ascii="宋体" w:hAnsi="宋体" w:cs="宋体"/>
                <w:kern w:val="0"/>
                <w:sz w:val="24"/>
                <w:lang w:bidi="ar"/>
              </w:rPr>
              <w:br w:type="textWrapping"/>
            </w:r>
            <w:r>
              <w:rPr>
                <w:rFonts w:hint="eastAsia" w:ascii="宋体" w:hAnsi="宋体" w:cs="宋体"/>
                <w:kern w:val="0"/>
                <w:sz w:val="24"/>
                <w:lang w:bidi="ar"/>
              </w:rPr>
              <w:t>情况个案报告输</w:t>
            </w:r>
            <w:r>
              <w:rPr>
                <w:rFonts w:hint="eastAsia" w:ascii="宋体" w:hAnsi="宋体" w:cs="宋体"/>
                <w:kern w:val="0"/>
                <w:sz w:val="24"/>
                <w:lang w:bidi="ar"/>
              </w:rPr>
              <w:br w:type="textWrapping"/>
            </w:r>
            <w:r>
              <w:rPr>
                <w:rFonts w:hint="eastAsia" w:ascii="宋体" w:hAnsi="宋体" w:cs="宋体"/>
                <w:kern w:val="0"/>
                <w:sz w:val="24"/>
                <w:lang w:bidi="ar"/>
              </w:rPr>
              <w:t>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75CA48CC">
            <w:pPr>
              <w:widowControl/>
              <w:textAlignment w:val="center"/>
              <w:rPr>
                <w:rFonts w:hint="eastAsia" w:ascii="宋体" w:hAnsi="宋体" w:cs="宋体"/>
                <w:sz w:val="24"/>
              </w:rPr>
            </w:pPr>
            <w:r>
              <w:rPr>
                <w:rFonts w:hint="eastAsia" w:ascii="宋体" w:hAnsi="宋体" w:cs="宋体"/>
                <w:kern w:val="0"/>
                <w:sz w:val="24"/>
                <w:lang w:bidi="ar"/>
              </w:rPr>
              <w:t xml:space="preserve">   艾滋病感染产妇及所生儿童随访情况个案报告输出功能，严格依据国家预防艾滋病母婴传播相关规范与信息上报要求构建，聚焦 HIV 筛查阳性孕妇分娩后产妇与儿童的随访信息整合与报告输出需求。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该功能可基于系统内记录的艾滋病感染产妇产后恢复情况、所生儿童在 1、3、6、9、12、18 月龄等关键节点的随访数据为评估母婴阻断干预效果、完善后续服务提供规范的数据支撑。</w:t>
            </w:r>
          </w:p>
        </w:tc>
      </w:tr>
      <w:tr w14:paraId="5363C25F">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D1A7ACD">
            <w:pPr>
              <w:widowControl/>
              <w:jc w:val="center"/>
              <w:textAlignment w:val="center"/>
              <w:rPr>
                <w:rFonts w:hint="eastAsia" w:ascii="宋体" w:hAnsi="宋体" w:cs="宋体"/>
                <w:sz w:val="24"/>
              </w:rPr>
            </w:pPr>
            <w:r>
              <w:rPr>
                <w:rFonts w:hint="eastAsia" w:ascii="宋体" w:hAnsi="宋体" w:cs="宋体"/>
                <w:kern w:val="0"/>
                <w:sz w:val="24"/>
                <w:lang w:bidi="ar"/>
              </w:rPr>
              <w:t>36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BE6165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4F4CC6B">
            <w:pPr>
              <w:widowControl/>
              <w:jc w:val="center"/>
              <w:textAlignment w:val="center"/>
              <w:rPr>
                <w:rFonts w:hint="eastAsia" w:ascii="宋体" w:hAnsi="宋体" w:cs="宋体"/>
                <w:sz w:val="24"/>
              </w:rPr>
            </w:pPr>
            <w:r>
              <w:rPr>
                <w:rFonts w:hint="eastAsia" w:ascii="宋体" w:hAnsi="宋体" w:cs="宋体"/>
                <w:kern w:val="0"/>
                <w:sz w:val="24"/>
                <w:lang w:bidi="ar"/>
              </w:rPr>
              <w:t>梅毒感染孕妇基本信息管理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E530E97">
            <w:pPr>
              <w:widowControl/>
              <w:textAlignment w:val="center"/>
              <w:rPr>
                <w:rFonts w:hint="eastAsia" w:ascii="宋体" w:hAnsi="宋体" w:cs="宋体"/>
                <w:sz w:val="24"/>
              </w:rPr>
            </w:pPr>
            <w:r>
              <w:rPr>
                <w:rFonts w:hint="eastAsia" w:ascii="宋体" w:hAnsi="宋体" w:cs="宋体"/>
                <w:kern w:val="0"/>
                <w:sz w:val="24"/>
                <w:lang w:bidi="ar"/>
              </w:rPr>
              <w:t xml:space="preserve">    梅毒感染孕妇基本信息管理功能严格遵循国家规范，核心围绕梅毒筛查阳性孕妇的个案信息卡全生命周期管理展开。该功能支持为梅毒筛查阳性孕妇建立个案信息卡，</w:t>
            </w:r>
            <w:r>
              <w:rPr>
                <w:rFonts w:hint="eastAsia" w:ascii="宋体" w:hAnsi="宋体" w:cs="宋体"/>
                <w:kern w:val="0"/>
                <w:sz w:val="24"/>
                <w:lang w:bidi="ar"/>
              </w:rPr>
              <w:br w:type="textWrapping"/>
            </w:r>
            <w:r>
              <w:rPr>
                <w:rFonts w:hint="eastAsia" w:ascii="宋体" w:hAnsi="宋体" w:cs="宋体"/>
                <w:kern w:val="0"/>
                <w:sz w:val="24"/>
                <w:lang w:bidi="ar"/>
              </w:rPr>
              <w:t xml:space="preserve">    同时可对已建立的个案信息卡进行修改与删除操作，也能根据需求查询对应个案信息卡，全方位满足梅毒感染孕妇基本信息规范化管理与数据追溯的需求。</w:t>
            </w:r>
          </w:p>
        </w:tc>
      </w:tr>
      <w:tr w14:paraId="47E09780">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52498BE">
            <w:pPr>
              <w:widowControl/>
              <w:jc w:val="center"/>
              <w:textAlignment w:val="center"/>
              <w:rPr>
                <w:rFonts w:hint="eastAsia" w:ascii="宋体" w:hAnsi="宋体" w:cs="宋体"/>
                <w:sz w:val="24"/>
              </w:rPr>
            </w:pPr>
            <w:r>
              <w:rPr>
                <w:rFonts w:hint="eastAsia" w:ascii="宋体" w:hAnsi="宋体" w:cs="宋体"/>
                <w:kern w:val="0"/>
                <w:sz w:val="24"/>
                <w:lang w:bidi="ar"/>
              </w:rPr>
              <w:t>37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8048FE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210A94B">
            <w:pPr>
              <w:widowControl/>
              <w:jc w:val="center"/>
              <w:textAlignment w:val="center"/>
              <w:rPr>
                <w:rFonts w:hint="eastAsia" w:ascii="宋体" w:hAnsi="宋体" w:cs="宋体"/>
                <w:sz w:val="24"/>
              </w:rPr>
            </w:pPr>
            <w:r>
              <w:rPr>
                <w:rFonts w:hint="eastAsia" w:ascii="宋体" w:hAnsi="宋体" w:cs="宋体"/>
                <w:kern w:val="0"/>
                <w:sz w:val="24"/>
                <w:lang w:bidi="ar"/>
              </w:rPr>
              <w:t>梅毒孕妇随访管</w:t>
            </w:r>
            <w:r>
              <w:rPr>
                <w:rFonts w:hint="eastAsia" w:ascii="宋体" w:hAnsi="宋体" w:cs="宋体"/>
                <w:kern w:val="0"/>
                <w:sz w:val="24"/>
                <w:lang w:bidi="ar"/>
              </w:rPr>
              <w:br w:type="textWrapping"/>
            </w:r>
            <w:r>
              <w:rPr>
                <w:rFonts w:hint="eastAsia" w:ascii="宋体" w:hAnsi="宋体" w:cs="宋体"/>
                <w:kern w:val="0"/>
                <w:sz w:val="24"/>
                <w:lang w:bidi="ar"/>
              </w:rPr>
              <w:t>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43B7412">
            <w:pPr>
              <w:widowControl/>
              <w:textAlignment w:val="center"/>
              <w:rPr>
                <w:rFonts w:hint="eastAsia" w:ascii="宋体" w:hAnsi="宋体" w:cs="宋体"/>
                <w:sz w:val="24"/>
              </w:rPr>
            </w:pPr>
            <w:r>
              <w:rPr>
                <w:rFonts w:hint="eastAsia" w:ascii="宋体" w:hAnsi="宋体" w:cs="宋体"/>
                <w:kern w:val="0"/>
                <w:sz w:val="24"/>
                <w:lang w:bidi="ar"/>
              </w:rPr>
              <w:t xml:space="preserve">    梅毒孕妇随访管理功能聚焦梅毒筛查阳性孕妇的定期跟踪需求，可实现随访全流程的规范化管理。该功能支持对梅毒筛查阳性孕妇进行定期跟踪随访并录入随访记录，</w:t>
            </w:r>
            <w:r>
              <w:rPr>
                <w:rFonts w:hint="eastAsia" w:ascii="宋体" w:hAnsi="宋体" w:cs="宋体"/>
                <w:kern w:val="0"/>
                <w:sz w:val="24"/>
                <w:lang w:bidi="ar"/>
              </w:rPr>
              <w:br w:type="textWrapping"/>
            </w:r>
            <w:r>
              <w:rPr>
                <w:rFonts w:hint="eastAsia" w:ascii="宋体" w:hAnsi="宋体" w:cs="宋体"/>
                <w:kern w:val="0"/>
                <w:sz w:val="24"/>
                <w:lang w:bidi="ar"/>
              </w:rPr>
              <w:t xml:space="preserve">    同时能修改、删除已有的随访记录，也可查询历史随访信息；其中随访次数会根据后续新增的随访情况自动更新，无需手动调整；</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此外，模块支持打开梅毒孕妇随访 tab 页面，为工作人员提供便捷的操作入口，全方位满足梅毒孕妇随访管理的实操性与数据准确性需求。</w:t>
            </w:r>
          </w:p>
        </w:tc>
      </w:tr>
      <w:tr w14:paraId="0835B5F2">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E20F5DA">
            <w:pPr>
              <w:widowControl/>
              <w:jc w:val="center"/>
              <w:textAlignment w:val="center"/>
              <w:rPr>
                <w:rFonts w:hint="eastAsia" w:ascii="宋体" w:hAnsi="宋体" w:cs="宋体"/>
                <w:sz w:val="24"/>
              </w:rPr>
            </w:pPr>
            <w:r>
              <w:rPr>
                <w:rFonts w:hint="eastAsia" w:ascii="宋体" w:hAnsi="宋体" w:cs="宋体"/>
                <w:kern w:val="0"/>
                <w:sz w:val="24"/>
                <w:lang w:bidi="ar"/>
              </w:rPr>
              <w:t>38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184525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C57722D">
            <w:pPr>
              <w:widowControl/>
              <w:jc w:val="center"/>
              <w:textAlignment w:val="center"/>
              <w:rPr>
                <w:rFonts w:hint="eastAsia" w:ascii="宋体" w:hAnsi="宋体" w:cs="宋体"/>
                <w:sz w:val="24"/>
              </w:rPr>
            </w:pPr>
            <w:r>
              <w:rPr>
                <w:rFonts w:hint="eastAsia" w:ascii="宋体" w:hAnsi="宋体" w:cs="宋体"/>
                <w:kern w:val="0"/>
                <w:sz w:val="24"/>
                <w:lang w:bidi="ar"/>
              </w:rPr>
              <w:t>梅毒感染孕妇感</w:t>
            </w:r>
            <w:r>
              <w:rPr>
                <w:rFonts w:hint="eastAsia" w:ascii="宋体" w:hAnsi="宋体" w:cs="宋体"/>
                <w:kern w:val="0"/>
                <w:sz w:val="24"/>
                <w:lang w:bidi="ar"/>
              </w:rPr>
              <w:br w:type="textWrapping"/>
            </w:r>
            <w:r>
              <w:rPr>
                <w:rFonts w:hint="eastAsia" w:ascii="宋体" w:hAnsi="宋体" w:cs="宋体"/>
                <w:kern w:val="0"/>
                <w:sz w:val="24"/>
                <w:lang w:bidi="ar"/>
              </w:rPr>
              <w:t>染情况管理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1C40661">
            <w:pPr>
              <w:widowControl/>
              <w:textAlignment w:val="center"/>
              <w:rPr>
                <w:rFonts w:hint="eastAsia" w:ascii="宋体" w:hAnsi="宋体" w:cs="宋体"/>
                <w:sz w:val="24"/>
              </w:rPr>
            </w:pPr>
            <w:r>
              <w:rPr>
                <w:rFonts w:hint="eastAsia" w:ascii="宋体" w:hAnsi="宋体" w:cs="宋体"/>
                <w:kern w:val="0"/>
                <w:sz w:val="24"/>
                <w:lang w:bidi="ar"/>
              </w:rPr>
              <w:t xml:space="preserve">    梅毒感染孕妇感染情况管理功能严格依照国家规范，全面覆盖梅毒筛查阳性孕妇及其配偶的感染信息管理需求。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该功能支持记录梅毒筛查阳性孕妇的详细感染信息，同时能记录其丈夫或配偶的感染情况；可对已记录的感染情况进行修改与删除操作，也能查询对应感染信息；</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此外，模块支持打开梅毒感染孕妇感染情况 tab 页面，为工作人员提供便捷的操作入口，全方位满足梅毒感染相关信息规范化管理与实操性需求。</w:t>
            </w:r>
          </w:p>
        </w:tc>
      </w:tr>
      <w:tr w14:paraId="283F61DC">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F91BE63">
            <w:pPr>
              <w:widowControl/>
              <w:jc w:val="center"/>
              <w:textAlignment w:val="center"/>
              <w:rPr>
                <w:rFonts w:hint="eastAsia" w:ascii="宋体" w:hAnsi="宋体" w:cs="宋体"/>
                <w:sz w:val="24"/>
              </w:rPr>
            </w:pPr>
            <w:r>
              <w:rPr>
                <w:rFonts w:hint="eastAsia" w:ascii="宋体" w:hAnsi="宋体" w:cs="宋体"/>
                <w:kern w:val="0"/>
                <w:sz w:val="24"/>
                <w:lang w:bidi="ar"/>
              </w:rPr>
              <w:t>39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5419BA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0FD3EA5">
            <w:pPr>
              <w:widowControl/>
              <w:jc w:val="center"/>
              <w:textAlignment w:val="center"/>
              <w:rPr>
                <w:rFonts w:hint="eastAsia" w:ascii="宋体" w:hAnsi="宋体" w:cs="宋体"/>
                <w:sz w:val="24"/>
              </w:rPr>
            </w:pPr>
            <w:r>
              <w:rPr>
                <w:rFonts w:hint="eastAsia" w:ascii="宋体" w:hAnsi="宋体" w:cs="宋体"/>
                <w:kern w:val="0"/>
                <w:sz w:val="24"/>
                <w:lang w:bidi="ar"/>
              </w:rPr>
              <w:t>梅毒感染孕妇检</w:t>
            </w:r>
            <w:r>
              <w:rPr>
                <w:rFonts w:hint="eastAsia" w:ascii="宋体" w:hAnsi="宋体" w:cs="宋体"/>
                <w:kern w:val="0"/>
                <w:sz w:val="24"/>
                <w:lang w:bidi="ar"/>
              </w:rPr>
              <w:br w:type="textWrapping"/>
            </w:r>
            <w:r>
              <w:rPr>
                <w:rFonts w:hint="eastAsia" w:ascii="宋体" w:hAnsi="宋体" w:cs="宋体"/>
                <w:kern w:val="0"/>
                <w:sz w:val="24"/>
                <w:lang w:bidi="ar"/>
              </w:rPr>
              <w:t>测情况管理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E5905C7">
            <w:pPr>
              <w:widowControl/>
              <w:textAlignment w:val="center"/>
              <w:rPr>
                <w:rFonts w:hint="eastAsia" w:ascii="宋体" w:hAnsi="宋体" w:cs="宋体"/>
                <w:sz w:val="24"/>
              </w:rPr>
            </w:pPr>
            <w:r>
              <w:rPr>
                <w:rFonts w:hint="eastAsia" w:ascii="宋体" w:hAnsi="宋体" w:cs="宋体"/>
                <w:kern w:val="0"/>
                <w:sz w:val="24"/>
                <w:lang w:bidi="ar"/>
              </w:rPr>
              <w:t xml:space="preserve">     梅毒感染孕妇检测情况管理功能严格遵循国家规范，聚焦梅毒筛查阳性孕妇检测信息的精细化管理与异常识别。</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该功能支持记录、修改、删除及查看孕妇的检测信息，能根据检测指标自动判断结果是否异常，且异常结果会用特殊颜色显示，便于快速定位关键信息；</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此外，模块支持打开梅毒感染孕妇检测情况 tab 页面，为工作人员提供便捷的操作入口，全方位满足梅毒感染孕妇检测信息管理的合规性与高效性需求。</w:t>
            </w:r>
          </w:p>
        </w:tc>
      </w:tr>
      <w:tr w14:paraId="7DBCA389">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29A021A">
            <w:pPr>
              <w:widowControl/>
              <w:jc w:val="center"/>
              <w:textAlignment w:val="center"/>
              <w:rPr>
                <w:rFonts w:hint="eastAsia" w:ascii="宋体" w:hAnsi="宋体" w:cs="宋体"/>
                <w:sz w:val="24"/>
              </w:rPr>
            </w:pPr>
            <w:r>
              <w:rPr>
                <w:rFonts w:hint="eastAsia" w:ascii="宋体" w:hAnsi="宋体" w:cs="宋体"/>
                <w:kern w:val="0"/>
                <w:sz w:val="24"/>
                <w:lang w:bidi="ar"/>
              </w:rPr>
              <w:t>40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94F565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3B13375">
            <w:pPr>
              <w:widowControl/>
              <w:jc w:val="center"/>
              <w:textAlignment w:val="center"/>
              <w:rPr>
                <w:rFonts w:hint="eastAsia" w:ascii="宋体" w:hAnsi="宋体" w:cs="宋体"/>
                <w:sz w:val="24"/>
              </w:rPr>
            </w:pPr>
            <w:r>
              <w:rPr>
                <w:rFonts w:hint="eastAsia" w:ascii="宋体" w:hAnsi="宋体" w:cs="宋体"/>
                <w:kern w:val="0"/>
                <w:sz w:val="24"/>
                <w:lang w:bidi="ar"/>
              </w:rPr>
              <w:t>梅毒感染孕妇本</w:t>
            </w:r>
            <w:r>
              <w:rPr>
                <w:rFonts w:hint="eastAsia" w:ascii="宋体" w:hAnsi="宋体" w:cs="宋体"/>
                <w:kern w:val="0"/>
                <w:sz w:val="24"/>
                <w:lang w:bidi="ar"/>
              </w:rPr>
              <w:br w:type="textWrapping"/>
            </w:r>
            <w:r>
              <w:rPr>
                <w:rFonts w:hint="eastAsia" w:ascii="宋体" w:hAnsi="宋体" w:cs="宋体"/>
                <w:kern w:val="0"/>
                <w:sz w:val="24"/>
                <w:lang w:bidi="ar"/>
              </w:rPr>
              <w:t>次妊娠情况管理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00FEB25">
            <w:pPr>
              <w:widowControl/>
              <w:textAlignment w:val="center"/>
              <w:rPr>
                <w:rFonts w:hint="eastAsia" w:ascii="宋体" w:hAnsi="宋体" w:cs="宋体"/>
                <w:sz w:val="24"/>
              </w:rPr>
            </w:pPr>
            <w:r>
              <w:rPr>
                <w:rFonts w:hint="eastAsia" w:ascii="宋体" w:hAnsi="宋体" w:cs="宋体"/>
                <w:kern w:val="0"/>
                <w:sz w:val="24"/>
                <w:lang w:bidi="ar"/>
              </w:rPr>
              <w:t xml:space="preserve">    梅毒感染孕妇本次妊娠情况管理功能严格依照国家规范，全面覆盖梅毒筛查阳性孕妇的妊娠信息管理与特殊情况记录需求。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修改、删除及查询孕妇的本次妊娠情况，其中基本信息会根据孕产妇档案、初诊及分娩信息自动获取且不可修改，以保障数据准确性；若围产儿转归为死胎死产，系统需生成围产儿死亡卡片，若围产儿在七天内死亡，则需生成新生儿死亡卡片，完善特殊情况记录；</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此外，模块支持打开梅毒感染孕妇本次妊娠情况 tab 页面，为工作人员提供便捷的操作入口，全方位满足梅毒感染孕妇本次妊娠情况管理的合规性与实操性需求。</w:t>
            </w:r>
          </w:p>
        </w:tc>
      </w:tr>
      <w:tr w14:paraId="5B2FAAA7">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8DAA858">
            <w:pPr>
              <w:widowControl/>
              <w:jc w:val="center"/>
              <w:textAlignment w:val="center"/>
              <w:rPr>
                <w:rFonts w:hint="eastAsia" w:ascii="宋体" w:hAnsi="宋体" w:cs="宋体"/>
                <w:sz w:val="24"/>
              </w:rPr>
            </w:pPr>
            <w:r>
              <w:rPr>
                <w:rFonts w:hint="eastAsia" w:ascii="宋体" w:hAnsi="宋体" w:cs="宋体"/>
                <w:kern w:val="0"/>
                <w:sz w:val="24"/>
                <w:lang w:bidi="ar"/>
              </w:rPr>
              <w:t>41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791CE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C5670BB">
            <w:pPr>
              <w:widowControl/>
              <w:jc w:val="center"/>
              <w:textAlignment w:val="center"/>
              <w:rPr>
                <w:rFonts w:hint="eastAsia" w:ascii="宋体" w:hAnsi="宋体" w:cs="宋体"/>
                <w:sz w:val="24"/>
              </w:rPr>
            </w:pPr>
            <w:r>
              <w:rPr>
                <w:rFonts w:hint="eastAsia" w:ascii="宋体" w:hAnsi="宋体" w:cs="宋体"/>
                <w:kern w:val="0"/>
                <w:sz w:val="24"/>
                <w:lang w:bidi="ar"/>
              </w:rPr>
              <w:t>梅毒感染孕妇治</w:t>
            </w:r>
            <w:r>
              <w:rPr>
                <w:rFonts w:hint="eastAsia" w:ascii="宋体" w:hAnsi="宋体" w:cs="宋体"/>
                <w:kern w:val="0"/>
                <w:sz w:val="24"/>
                <w:lang w:bidi="ar"/>
              </w:rPr>
              <w:br w:type="textWrapping"/>
            </w:r>
            <w:r>
              <w:rPr>
                <w:rFonts w:hint="eastAsia" w:ascii="宋体" w:hAnsi="宋体" w:cs="宋体"/>
                <w:kern w:val="0"/>
                <w:sz w:val="24"/>
                <w:lang w:bidi="ar"/>
              </w:rPr>
              <w:t>疗情况管理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B2F9339">
            <w:pPr>
              <w:widowControl/>
              <w:textAlignment w:val="center"/>
              <w:rPr>
                <w:rFonts w:hint="eastAsia" w:ascii="宋体" w:hAnsi="宋体" w:cs="宋体"/>
                <w:sz w:val="24"/>
              </w:rPr>
            </w:pPr>
            <w:r>
              <w:rPr>
                <w:rFonts w:hint="eastAsia" w:ascii="宋体" w:hAnsi="宋体" w:cs="宋体"/>
                <w:kern w:val="0"/>
                <w:sz w:val="24"/>
                <w:lang w:bidi="ar"/>
              </w:rPr>
              <w:t xml:space="preserve">    梅毒感染孕妇治疗情况管理功能严格遵循国家规范，核心围绕梅毒筛查阳性孕妇的治疗信息全流程管理展开。</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该功能支持记录梅毒治疗情况，同时需跟踪记录每种药物的剂量与不良反应；可对已记录的治疗情况进行修改与删除操作，也能查询对应治疗信息；</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此外，模块支持打开梅毒感染孕妇治疗情况 tab 页面，为工作人员提供便捷的操作入口，全方位满足梅毒感染孕妇治疗信息规范化管理与用药安全追溯的需求。</w:t>
            </w:r>
          </w:p>
        </w:tc>
      </w:tr>
      <w:tr w14:paraId="1FE179B0">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B2A44E">
            <w:pPr>
              <w:widowControl/>
              <w:jc w:val="center"/>
              <w:textAlignment w:val="center"/>
              <w:rPr>
                <w:rFonts w:hint="eastAsia" w:ascii="宋体" w:hAnsi="宋体" w:cs="宋体"/>
                <w:sz w:val="24"/>
              </w:rPr>
            </w:pPr>
            <w:r>
              <w:rPr>
                <w:rFonts w:hint="eastAsia" w:ascii="宋体" w:hAnsi="宋体" w:cs="宋体"/>
                <w:kern w:val="0"/>
                <w:sz w:val="24"/>
                <w:lang w:bidi="ar"/>
              </w:rPr>
              <w:t>42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65623C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1A80C52">
            <w:pPr>
              <w:widowControl/>
              <w:jc w:val="center"/>
              <w:textAlignment w:val="center"/>
              <w:rPr>
                <w:rFonts w:hint="eastAsia" w:ascii="宋体" w:hAnsi="宋体" w:cs="宋体"/>
                <w:sz w:val="24"/>
              </w:rPr>
            </w:pPr>
            <w:r>
              <w:rPr>
                <w:rFonts w:hint="eastAsia" w:ascii="宋体" w:hAnsi="宋体" w:cs="宋体"/>
                <w:kern w:val="0"/>
                <w:sz w:val="24"/>
                <w:lang w:bidi="ar"/>
              </w:rPr>
              <w:t>梅毒感染孕妇孕</w:t>
            </w:r>
            <w:r>
              <w:rPr>
                <w:rFonts w:hint="eastAsia" w:ascii="宋体" w:hAnsi="宋体" w:cs="宋体"/>
                <w:kern w:val="0"/>
                <w:sz w:val="24"/>
                <w:lang w:bidi="ar"/>
              </w:rPr>
              <w:br w:type="textWrapping"/>
            </w:r>
            <w:r>
              <w:rPr>
                <w:rFonts w:hint="eastAsia" w:ascii="宋体" w:hAnsi="宋体" w:cs="宋体"/>
                <w:kern w:val="0"/>
                <w:sz w:val="24"/>
                <w:lang w:bidi="ar"/>
              </w:rPr>
              <w:t>晚期检测管理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6ED7D01">
            <w:pPr>
              <w:widowControl/>
              <w:textAlignment w:val="center"/>
              <w:rPr>
                <w:rFonts w:hint="eastAsia" w:ascii="宋体" w:hAnsi="宋体" w:cs="宋体"/>
                <w:sz w:val="24"/>
              </w:rPr>
            </w:pPr>
            <w:r>
              <w:rPr>
                <w:rFonts w:hint="eastAsia" w:ascii="宋体" w:hAnsi="宋体" w:cs="宋体"/>
                <w:kern w:val="0"/>
                <w:sz w:val="24"/>
                <w:lang w:bidi="ar"/>
              </w:rPr>
              <w:t xml:space="preserve">    梅毒感染孕妇孕晚期检测管理功能严格依照国家规范，聚焦梅毒筛查阳性孕妇孕晚期检测信息的精准化管理与异常预警。</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该功能支持记录、修改、删除及查询孕妇的梅毒孕晚期检测情况，能根据检测结果自动判断是否异常，且异常结果会用特殊颜色标识，便于工作人员快速识别关键问题；</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此外，模块支持打开梅毒感染孕妇孕晚期检测情况 tab 页面，为操作提供便捷入口，全方位满足梅毒感染孕妇孕晚期检测管理的合规性与高效性需求。</w:t>
            </w:r>
          </w:p>
        </w:tc>
      </w:tr>
      <w:tr w14:paraId="57860990">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806251D">
            <w:pPr>
              <w:widowControl/>
              <w:jc w:val="center"/>
              <w:textAlignment w:val="center"/>
              <w:rPr>
                <w:rFonts w:hint="eastAsia" w:ascii="宋体" w:hAnsi="宋体" w:cs="宋体"/>
                <w:sz w:val="24"/>
              </w:rPr>
            </w:pPr>
            <w:r>
              <w:rPr>
                <w:rFonts w:hint="eastAsia" w:ascii="宋体" w:hAnsi="宋体" w:cs="宋体"/>
                <w:kern w:val="0"/>
                <w:sz w:val="24"/>
                <w:lang w:bidi="ar"/>
              </w:rPr>
              <w:t>43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ECA8AA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B35D63A">
            <w:pPr>
              <w:widowControl/>
              <w:jc w:val="center"/>
              <w:textAlignment w:val="center"/>
              <w:rPr>
                <w:rFonts w:hint="eastAsia" w:ascii="宋体" w:hAnsi="宋体" w:cs="宋体"/>
                <w:sz w:val="24"/>
              </w:rPr>
            </w:pPr>
            <w:r>
              <w:rPr>
                <w:rFonts w:hint="eastAsia" w:ascii="宋体" w:hAnsi="宋体" w:cs="宋体"/>
                <w:kern w:val="0"/>
                <w:sz w:val="24"/>
                <w:lang w:bidi="ar"/>
              </w:rPr>
              <w:t>梅毒感染孕妇所</w:t>
            </w:r>
            <w:r>
              <w:rPr>
                <w:rFonts w:hint="eastAsia" w:ascii="宋体" w:hAnsi="宋体" w:cs="宋体"/>
                <w:kern w:val="0"/>
                <w:sz w:val="24"/>
                <w:lang w:bidi="ar"/>
              </w:rPr>
              <w:br w:type="textWrapping"/>
            </w:r>
            <w:r>
              <w:rPr>
                <w:rFonts w:hint="eastAsia" w:ascii="宋体" w:hAnsi="宋体" w:cs="宋体"/>
                <w:kern w:val="0"/>
                <w:sz w:val="24"/>
                <w:lang w:bidi="ar"/>
              </w:rPr>
              <w:t>分娩新生儿随访</w:t>
            </w:r>
            <w:r>
              <w:rPr>
                <w:rFonts w:hint="eastAsia" w:ascii="宋体" w:hAnsi="宋体" w:cs="宋体"/>
                <w:kern w:val="0"/>
                <w:sz w:val="24"/>
                <w:lang w:bidi="ar"/>
              </w:rPr>
              <w:br w:type="textWrapping"/>
            </w:r>
            <w:r>
              <w:rPr>
                <w:rFonts w:hint="eastAsia" w:ascii="宋体" w:hAnsi="宋体" w:cs="宋体"/>
                <w:kern w:val="0"/>
                <w:sz w:val="24"/>
                <w:lang w:bidi="ar"/>
              </w:rPr>
              <w:t>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B683355">
            <w:pPr>
              <w:widowControl/>
              <w:textAlignment w:val="center"/>
              <w:rPr>
                <w:rFonts w:hint="eastAsia" w:ascii="宋体" w:hAnsi="宋体" w:cs="宋体"/>
                <w:sz w:val="24"/>
              </w:rPr>
            </w:pPr>
            <w:r>
              <w:rPr>
                <w:rFonts w:hint="eastAsia" w:ascii="宋体" w:hAnsi="宋体" w:cs="宋体"/>
                <w:kern w:val="0"/>
                <w:sz w:val="24"/>
                <w:lang w:bidi="ar"/>
              </w:rPr>
              <w:t xml:space="preserve">   梅毒感染孕妇所分娩新生儿随访管理功能严格遵循国家规范，全面覆盖梅毒筛查阳性孕妇所生新生儿的随访信息管理需求。该功能支持记录新生儿的随访管理信息，</w:t>
            </w:r>
            <w:r>
              <w:rPr>
                <w:rFonts w:hint="eastAsia" w:ascii="宋体" w:hAnsi="宋体" w:cs="宋体"/>
                <w:kern w:val="0"/>
                <w:sz w:val="24"/>
                <w:lang w:bidi="ar"/>
              </w:rPr>
              <w:br w:type="textWrapping"/>
            </w:r>
            <w:r>
              <w:rPr>
                <w:rFonts w:hint="eastAsia" w:ascii="宋体" w:hAnsi="宋体" w:cs="宋体"/>
                <w:kern w:val="0"/>
                <w:sz w:val="24"/>
                <w:lang w:bidi="ar"/>
              </w:rPr>
              <w:t xml:space="preserve">    同时可对已记录的随访信息进行修改与删除操作，也能查询历史随访信息；</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此外，模块支持打开梅毒感染孕妇所分娩新生儿随访 tab 页面，为工作人员提供便捷的操作入口，全方位满足新生儿随访管理的合规性与实操性需求。</w:t>
            </w:r>
          </w:p>
        </w:tc>
      </w:tr>
      <w:tr w14:paraId="39F72A76">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C29B04E">
            <w:pPr>
              <w:widowControl/>
              <w:jc w:val="center"/>
              <w:textAlignment w:val="center"/>
              <w:rPr>
                <w:rFonts w:hint="eastAsia" w:ascii="宋体" w:hAnsi="宋体" w:cs="宋体"/>
                <w:sz w:val="24"/>
              </w:rPr>
            </w:pPr>
            <w:r>
              <w:rPr>
                <w:rFonts w:hint="eastAsia" w:ascii="宋体" w:hAnsi="宋体" w:cs="宋体"/>
                <w:kern w:val="0"/>
                <w:sz w:val="24"/>
                <w:lang w:bidi="ar"/>
              </w:rPr>
              <w:t>44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65D75C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A7B49A6">
            <w:pPr>
              <w:widowControl/>
              <w:jc w:val="center"/>
              <w:textAlignment w:val="center"/>
              <w:rPr>
                <w:rFonts w:hint="eastAsia" w:ascii="宋体" w:hAnsi="宋体" w:cs="宋体"/>
                <w:sz w:val="24"/>
              </w:rPr>
            </w:pPr>
            <w:r>
              <w:rPr>
                <w:rFonts w:hint="eastAsia" w:ascii="宋体" w:hAnsi="宋体" w:cs="宋体"/>
                <w:kern w:val="0"/>
                <w:sz w:val="24"/>
                <w:lang w:bidi="ar"/>
              </w:rPr>
              <w:t>梅毒感染孕产妇</w:t>
            </w:r>
            <w:r>
              <w:rPr>
                <w:rFonts w:hint="eastAsia" w:ascii="宋体" w:hAnsi="宋体" w:cs="宋体"/>
                <w:kern w:val="0"/>
                <w:sz w:val="24"/>
                <w:lang w:bidi="ar"/>
              </w:rPr>
              <w:br w:type="textWrapping"/>
            </w:r>
            <w:r>
              <w:rPr>
                <w:rFonts w:hint="eastAsia" w:ascii="宋体" w:hAnsi="宋体" w:cs="宋体"/>
                <w:kern w:val="0"/>
                <w:sz w:val="24"/>
                <w:lang w:bidi="ar"/>
              </w:rPr>
              <w:t>基本情况个案报</w:t>
            </w:r>
            <w:r>
              <w:rPr>
                <w:rFonts w:hint="eastAsia" w:ascii="宋体" w:hAnsi="宋体" w:cs="宋体"/>
                <w:kern w:val="0"/>
                <w:sz w:val="24"/>
                <w:lang w:bidi="ar"/>
              </w:rPr>
              <w:br w:type="textWrapping"/>
            </w:r>
            <w:r>
              <w:rPr>
                <w:rFonts w:hint="eastAsia" w:ascii="宋体" w:hAnsi="宋体" w:cs="宋体"/>
                <w:kern w:val="0"/>
                <w:sz w:val="24"/>
                <w:lang w:bidi="ar"/>
              </w:rPr>
              <w:t>告输出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66C54BBB">
            <w:pPr>
              <w:widowControl/>
              <w:textAlignment w:val="center"/>
              <w:rPr>
                <w:rFonts w:hint="eastAsia" w:ascii="宋体" w:hAnsi="宋体" w:cs="宋体"/>
                <w:sz w:val="24"/>
              </w:rPr>
            </w:pPr>
            <w:r>
              <w:rPr>
                <w:rFonts w:hint="eastAsia" w:ascii="宋体" w:hAnsi="宋体" w:cs="宋体"/>
                <w:kern w:val="0"/>
                <w:sz w:val="24"/>
                <w:lang w:bidi="ar"/>
              </w:rPr>
              <w:t xml:space="preserve">    梅毒感染孕产妇基本情况个案报告输出功能，严格依据国家梅毒母婴阻断相关规范构建，聚焦梅毒筛查阳性孕妇的信息上报需求。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整合系统内记录的孕妇基本信息与全周期管理记录，自动生成符合国家统一标准的梅毒感染妇女基本情况个案报告，报告内容完整覆盖上报要求的核心信息，能精准满足医疗卫生机构向辖区妇幼保健机构等上级部门提交信息的工作需求。</w:t>
            </w:r>
          </w:p>
        </w:tc>
      </w:tr>
      <w:tr w14:paraId="50A19FB7">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A24CF6D">
            <w:pPr>
              <w:widowControl/>
              <w:jc w:val="center"/>
              <w:textAlignment w:val="center"/>
              <w:rPr>
                <w:rFonts w:hint="eastAsia" w:ascii="宋体" w:hAnsi="宋体" w:cs="宋体"/>
                <w:sz w:val="24"/>
              </w:rPr>
            </w:pPr>
            <w:r>
              <w:rPr>
                <w:rFonts w:hint="eastAsia" w:ascii="宋体" w:hAnsi="宋体" w:cs="宋体"/>
                <w:kern w:val="0"/>
                <w:sz w:val="24"/>
                <w:lang w:bidi="ar"/>
              </w:rPr>
              <w:t>45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1366B4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FBE651A">
            <w:pPr>
              <w:widowControl/>
              <w:jc w:val="center"/>
              <w:textAlignment w:val="center"/>
              <w:rPr>
                <w:rFonts w:hint="eastAsia" w:ascii="宋体" w:hAnsi="宋体" w:cs="宋体"/>
                <w:sz w:val="24"/>
              </w:rPr>
            </w:pPr>
            <w:r>
              <w:rPr>
                <w:rFonts w:hint="eastAsia" w:ascii="宋体" w:hAnsi="宋体" w:cs="宋体"/>
                <w:kern w:val="0"/>
                <w:sz w:val="24"/>
                <w:lang w:bidi="ar"/>
              </w:rPr>
              <w:t>梅毒感染孕产妇</w:t>
            </w:r>
            <w:r>
              <w:rPr>
                <w:rFonts w:hint="eastAsia" w:ascii="宋体" w:hAnsi="宋体" w:cs="宋体"/>
                <w:kern w:val="0"/>
                <w:sz w:val="24"/>
                <w:lang w:bidi="ar"/>
              </w:rPr>
              <w:br w:type="textWrapping"/>
            </w:r>
            <w:r>
              <w:rPr>
                <w:rFonts w:hint="eastAsia" w:ascii="宋体" w:hAnsi="宋体" w:cs="宋体"/>
                <w:kern w:val="0"/>
                <w:sz w:val="24"/>
                <w:lang w:bidi="ar"/>
              </w:rPr>
              <w:t>及其新生儿报告</w:t>
            </w:r>
            <w:r>
              <w:rPr>
                <w:rFonts w:hint="eastAsia" w:ascii="宋体" w:hAnsi="宋体" w:cs="宋体"/>
                <w:kern w:val="0"/>
                <w:sz w:val="24"/>
                <w:lang w:bidi="ar"/>
              </w:rPr>
              <w:br w:type="textWrapping"/>
            </w:r>
            <w:r>
              <w:rPr>
                <w:rFonts w:hint="eastAsia" w:ascii="宋体" w:hAnsi="宋体" w:cs="宋体"/>
                <w:kern w:val="0"/>
                <w:sz w:val="24"/>
                <w:lang w:bidi="ar"/>
              </w:rPr>
              <w:t>输出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363955E9">
            <w:pPr>
              <w:widowControl/>
              <w:textAlignment w:val="center"/>
              <w:rPr>
                <w:rFonts w:hint="eastAsia" w:ascii="宋体" w:hAnsi="宋体" w:cs="宋体"/>
                <w:sz w:val="24"/>
              </w:rPr>
            </w:pPr>
            <w:r>
              <w:rPr>
                <w:rFonts w:hint="eastAsia" w:ascii="宋体" w:hAnsi="宋体" w:cs="宋体"/>
                <w:kern w:val="0"/>
                <w:sz w:val="24"/>
                <w:lang w:bidi="ar"/>
              </w:rPr>
              <w:t xml:space="preserve">    梅毒感染孕产妇及其新生儿报告输出功能，严格依照国家梅毒母婴阻断信息上报规范，聚焦梅毒筛查阳性孕妇与所生新生儿的信息整合与报告生成需求。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整合系统内记录的孕妇基本信息、感染治疗情况，以及新生儿的出生信息、随访检测情况等数据，自动生成符合国家统一标准的梅毒感染孕产妇及其所生新生儿基本情况个案报告，报告内容完整覆盖上报要求的核心信息，能精准满足医疗卫生机构向辖区妇幼保健机构等上级部门提交信息的工作需求。</w:t>
            </w:r>
          </w:p>
        </w:tc>
      </w:tr>
      <w:tr w14:paraId="680F1901">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37901AD">
            <w:pPr>
              <w:widowControl/>
              <w:jc w:val="center"/>
              <w:textAlignment w:val="center"/>
              <w:rPr>
                <w:rFonts w:hint="eastAsia" w:ascii="宋体" w:hAnsi="宋体" w:cs="宋体"/>
                <w:sz w:val="24"/>
              </w:rPr>
            </w:pPr>
            <w:r>
              <w:rPr>
                <w:rFonts w:hint="eastAsia" w:ascii="宋体" w:hAnsi="宋体" w:cs="宋体"/>
                <w:kern w:val="0"/>
                <w:sz w:val="24"/>
                <w:lang w:bidi="ar"/>
              </w:rPr>
              <w:t>46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4422DA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9DE3768">
            <w:pPr>
              <w:widowControl/>
              <w:jc w:val="center"/>
              <w:textAlignment w:val="center"/>
              <w:rPr>
                <w:rFonts w:hint="eastAsia" w:ascii="宋体" w:hAnsi="宋体" w:cs="宋体"/>
                <w:sz w:val="24"/>
              </w:rPr>
            </w:pPr>
            <w:r>
              <w:rPr>
                <w:rFonts w:hint="eastAsia" w:ascii="宋体" w:hAnsi="宋体" w:cs="宋体"/>
                <w:kern w:val="0"/>
                <w:sz w:val="24"/>
                <w:lang w:bidi="ar"/>
              </w:rPr>
              <w:t>梅毒感染孕产妇</w:t>
            </w:r>
            <w:r>
              <w:rPr>
                <w:rFonts w:hint="eastAsia" w:ascii="宋体" w:hAnsi="宋体" w:cs="宋体"/>
                <w:kern w:val="0"/>
                <w:sz w:val="24"/>
                <w:lang w:bidi="ar"/>
              </w:rPr>
              <w:br w:type="textWrapping"/>
            </w:r>
            <w:r>
              <w:rPr>
                <w:rFonts w:hint="eastAsia" w:ascii="宋体" w:hAnsi="宋体" w:cs="宋体"/>
                <w:kern w:val="0"/>
                <w:sz w:val="24"/>
                <w:lang w:bidi="ar"/>
              </w:rPr>
              <w:t>儿童随访报告输</w:t>
            </w:r>
            <w:r>
              <w:rPr>
                <w:rFonts w:hint="eastAsia" w:ascii="宋体" w:hAnsi="宋体" w:cs="宋体"/>
                <w:kern w:val="0"/>
                <w:sz w:val="24"/>
                <w:lang w:bidi="ar"/>
              </w:rPr>
              <w:br w:type="textWrapping"/>
            </w:r>
            <w:r>
              <w:rPr>
                <w:rFonts w:hint="eastAsia" w:ascii="宋体" w:hAnsi="宋体" w:cs="宋体"/>
                <w:kern w:val="0"/>
                <w:sz w:val="24"/>
                <w:lang w:bidi="ar"/>
              </w:rPr>
              <w:t>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0D008586">
            <w:pPr>
              <w:widowControl/>
              <w:textAlignment w:val="center"/>
              <w:rPr>
                <w:rFonts w:hint="eastAsia" w:ascii="宋体" w:hAnsi="宋体" w:cs="宋体"/>
                <w:sz w:val="24"/>
              </w:rPr>
            </w:pPr>
            <w:r>
              <w:rPr>
                <w:rFonts w:hint="eastAsia" w:ascii="宋体" w:hAnsi="宋体" w:cs="宋体"/>
                <w:kern w:val="0"/>
                <w:sz w:val="24"/>
                <w:lang w:bidi="ar"/>
              </w:rPr>
              <w:t xml:space="preserve">  梅毒感染孕产妇儿童随访报告输出功能，严格依据国家梅毒母婴阻断相关规范，聚焦梅毒筛查阳性孕妇所分娩儿童的随访信息上报需求。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整合系统内记录的儿童全周期随访数据，自动生成符合国家统一标准的梅毒感染孕产妇所生儿童随访情况报告，报告内容完整覆盖上报要求的核心信息，能精准满足医疗卫生机构向辖区妇幼保健机构等上级部门提交儿童随访信息的工作需求。</w:t>
            </w:r>
          </w:p>
        </w:tc>
      </w:tr>
      <w:tr w14:paraId="7A331938">
        <w:tblPrEx>
          <w:tblCellMar>
            <w:top w:w="0" w:type="dxa"/>
            <w:left w:w="108" w:type="dxa"/>
            <w:bottom w:w="0" w:type="dxa"/>
            <w:right w:w="108" w:type="dxa"/>
          </w:tblCellMar>
        </w:tblPrEx>
        <w:trPr>
          <w:trHeight w:val="427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3F2577">
            <w:pPr>
              <w:widowControl/>
              <w:jc w:val="center"/>
              <w:textAlignment w:val="center"/>
              <w:rPr>
                <w:rFonts w:hint="eastAsia" w:ascii="宋体" w:hAnsi="宋体" w:cs="宋体"/>
                <w:sz w:val="24"/>
              </w:rPr>
            </w:pPr>
            <w:r>
              <w:rPr>
                <w:rFonts w:hint="eastAsia" w:ascii="宋体" w:hAnsi="宋体" w:cs="宋体"/>
                <w:kern w:val="0"/>
                <w:sz w:val="24"/>
                <w:lang w:bidi="ar"/>
              </w:rPr>
              <w:t>47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F8D017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F7F58FA">
            <w:pPr>
              <w:widowControl/>
              <w:jc w:val="center"/>
              <w:textAlignment w:val="center"/>
              <w:rPr>
                <w:rFonts w:hint="eastAsia" w:ascii="宋体" w:hAnsi="宋体" w:cs="宋体"/>
                <w:sz w:val="24"/>
              </w:rPr>
            </w:pPr>
            <w:r>
              <w:rPr>
                <w:rFonts w:hint="eastAsia" w:ascii="宋体" w:hAnsi="宋体" w:cs="宋体"/>
                <w:kern w:val="0"/>
                <w:sz w:val="24"/>
                <w:lang w:bidi="ar"/>
              </w:rPr>
              <w:t>乙肝感染孕妇筛</w:t>
            </w:r>
            <w:r>
              <w:rPr>
                <w:rFonts w:hint="eastAsia" w:ascii="宋体" w:hAnsi="宋体" w:cs="宋体"/>
                <w:kern w:val="0"/>
                <w:sz w:val="24"/>
                <w:lang w:bidi="ar"/>
              </w:rPr>
              <w:br w:type="textWrapping"/>
            </w:r>
            <w:r>
              <w:rPr>
                <w:rFonts w:hint="eastAsia" w:ascii="宋体" w:hAnsi="宋体" w:cs="宋体"/>
                <w:kern w:val="0"/>
                <w:sz w:val="24"/>
                <w:lang w:bidi="ar"/>
              </w:rPr>
              <w:t>查信息管理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385419E">
            <w:pPr>
              <w:widowControl/>
              <w:textAlignment w:val="center"/>
              <w:rPr>
                <w:rFonts w:hint="eastAsia" w:ascii="宋体" w:hAnsi="宋体" w:cs="宋体"/>
                <w:sz w:val="24"/>
              </w:rPr>
            </w:pPr>
            <w:r>
              <w:rPr>
                <w:rFonts w:hint="eastAsia" w:ascii="宋体" w:hAnsi="宋体" w:cs="宋体"/>
                <w:kern w:val="0"/>
                <w:sz w:val="24"/>
                <w:lang w:bidi="ar"/>
              </w:rPr>
              <w:t>乙肝感染孕妇筛查信息管理功能严格遵循国家规范，全面覆盖乙肝筛查阳性孕妇的个案管理与筛查信息精细化管理需求。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该功能支持为乙肝筛查阳性孕妇建立、修改、删除及查询个案信息卡，同时需按规范记录详细筛查信息，包括检测时间及孕周、HBsAg、抗 HBs、HBeAg、抗 - HBe、抗 - HBc 等核心指标；可对已记录的筛查信息进行修改与删除操作，也能查询对应信息，且系统会自动判断筛查结果是否异常，异常结果用特殊颜色标识以方便快速识别；</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此外，模块支持打开乙肝感染孕妇筛查信息 tab 页面，为工作人员提供便捷操作入口，全方位满足乙肝感染孕妇筛查信息的合规化管理与高效化应用需求。</w:t>
            </w:r>
          </w:p>
        </w:tc>
      </w:tr>
      <w:tr w14:paraId="1C60F22E">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55B7CD9">
            <w:pPr>
              <w:widowControl/>
              <w:jc w:val="center"/>
              <w:textAlignment w:val="center"/>
              <w:rPr>
                <w:rFonts w:hint="eastAsia" w:ascii="宋体" w:hAnsi="宋体" w:cs="宋体"/>
                <w:sz w:val="24"/>
              </w:rPr>
            </w:pPr>
            <w:r>
              <w:rPr>
                <w:rFonts w:hint="eastAsia" w:ascii="宋体" w:hAnsi="宋体" w:cs="宋体"/>
                <w:kern w:val="0"/>
                <w:sz w:val="24"/>
                <w:lang w:bidi="ar"/>
              </w:rPr>
              <w:t>48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1D13BE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2F46ADC">
            <w:pPr>
              <w:widowControl/>
              <w:jc w:val="center"/>
              <w:textAlignment w:val="center"/>
              <w:rPr>
                <w:rFonts w:hint="eastAsia" w:ascii="宋体" w:hAnsi="宋体" w:cs="宋体"/>
                <w:sz w:val="24"/>
              </w:rPr>
            </w:pPr>
            <w:r>
              <w:rPr>
                <w:rFonts w:hint="eastAsia" w:ascii="宋体" w:hAnsi="宋体" w:cs="宋体"/>
                <w:kern w:val="0"/>
                <w:sz w:val="24"/>
                <w:lang w:bidi="ar"/>
              </w:rPr>
              <w:t>乙肝孕妇随访管</w:t>
            </w:r>
            <w:r>
              <w:rPr>
                <w:rFonts w:hint="eastAsia" w:ascii="宋体" w:hAnsi="宋体" w:cs="宋体"/>
                <w:kern w:val="0"/>
                <w:sz w:val="24"/>
                <w:lang w:bidi="ar"/>
              </w:rPr>
              <w:br w:type="textWrapping"/>
            </w:r>
            <w:r>
              <w:rPr>
                <w:rFonts w:hint="eastAsia" w:ascii="宋体" w:hAnsi="宋体" w:cs="宋体"/>
                <w:kern w:val="0"/>
                <w:sz w:val="24"/>
                <w:lang w:bidi="ar"/>
              </w:rPr>
              <w:t>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5B42E4B">
            <w:pPr>
              <w:widowControl/>
              <w:textAlignment w:val="center"/>
              <w:rPr>
                <w:rFonts w:hint="eastAsia" w:ascii="宋体" w:hAnsi="宋体" w:cs="宋体"/>
                <w:sz w:val="24"/>
              </w:rPr>
            </w:pPr>
            <w:r>
              <w:rPr>
                <w:rFonts w:hint="eastAsia" w:ascii="宋体" w:hAnsi="宋体" w:cs="宋体"/>
                <w:kern w:val="0"/>
                <w:sz w:val="24"/>
                <w:lang w:bidi="ar"/>
              </w:rPr>
              <w:t xml:space="preserve">  乙肝孕妇随访管理功能聚焦乙肝筛查阳性孕妇的定期跟踪需求，可实现随访全流程的规范化与自动化管理。</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该功能支持对乙肝筛查阳性孕妇进行定期跟踪随访并录入随访记录，同时能修改、删除已有的随访记录，也可查询历史随访信息；其中随访次数会根据后续新增的随访情况自动更新，无需手动调整；</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此外，模块支持打开乙肝孕妇随访 tab 页面，为工作人员提供便捷的操作入口，全方位满足乙肝孕妇随访管理的实操性与数据准确性需求。</w:t>
            </w:r>
          </w:p>
        </w:tc>
      </w:tr>
      <w:tr w14:paraId="2BC876B6">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378DBA">
            <w:pPr>
              <w:widowControl/>
              <w:jc w:val="center"/>
              <w:textAlignment w:val="center"/>
              <w:rPr>
                <w:rFonts w:hint="eastAsia" w:ascii="宋体" w:hAnsi="宋体" w:cs="宋体"/>
                <w:sz w:val="24"/>
              </w:rPr>
            </w:pPr>
            <w:r>
              <w:rPr>
                <w:rFonts w:hint="eastAsia" w:ascii="宋体" w:hAnsi="宋体" w:cs="宋体"/>
                <w:kern w:val="0"/>
                <w:sz w:val="24"/>
                <w:lang w:bidi="ar"/>
              </w:rPr>
              <w:t>49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444E93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B2E7BA">
            <w:pPr>
              <w:widowControl/>
              <w:jc w:val="center"/>
              <w:textAlignment w:val="center"/>
              <w:rPr>
                <w:rFonts w:hint="eastAsia" w:ascii="宋体" w:hAnsi="宋体" w:cs="宋体"/>
                <w:sz w:val="24"/>
              </w:rPr>
            </w:pPr>
            <w:r>
              <w:rPr>
                <w:rFonts w:hint="eastAsia" w:ascii="宋体" w:hAnsi="宋体" w:cs="宋体"/>
                <w:kern w:val="0"/>
                <w:sz w:val="24"/>
                <w:lang w:bidi="ar"/>
              </w:rPr>
              <w:t>乙肝感染孕妇治</w:t>
            </w:r>
            <w:r>
              <w:rPr>
                <w:rFonts w:hint="eastAsia" w:ascii="宋体" w:hAnsi="宋体" w:cs="宋体"/>
                <w:kern w:val="0"/>
                <w:sz w:val="24"/>
                <w:lang w:bidi="ar"/>
              </w:rPr>
              <w:br w:type="textWrapping"/>
            </w:r>
            <w:r>
              <w:rPr>
                <w:rFonts w:hint="eastAsia" w:ascii="宋体" w:hAnsi="宋体" w:cs="宋体"/>
                <w:kern w:val="0"/>
                <w:sz w:val="24"/>
                <w:lang w:bidi="ar"/>
              </w:rPr>
              <w:t>疗管理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47085C4">
            <w:pPr>
              <w:widowControl/>
              <w:textAlignment w:val="center"/>
              <w:rPr>
                <w:rFonts w:hint="eastAsia" w:ascii="宋体" w:hAnsi="宋体" w:cs="宋体"/>
                <w:sz w:val="24"/>
              </w:rPr>
            </w:pPr>
            <w:r>
              <w:rPr>
                <w:rFonts w:hint="eastAsia" w:ascii="宋体" w:hAnsi="宋体" w:cs="宋体"/>
                <w:kern w:val="0"/>
                <w:sz w:val="24"/>
                <w:lang w:bidi="ar"/>
              </w:rPr>
              <w:t xml:space="preserve">   乙肝感染孕妇治疗管理功能严格遵循国家规范，核心围绕乙肝筛查阳性孕妇的治疗信息规范化管理与用药控制展开。</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该功能支持记录孕妇的详细治疗信息，同时可对已记录的治疗信息进行修改、删除及查询操作；在用药管理上，要求对常用药物进行预设管理，使用时仅能选择设定好的常用药物，不允许随时手工输入；</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此外，模块支持打开乙肝感染孕妇治疗情况 tab 页面，为工作人员提供便捷操作入口，全方位满足乙肝感染孕妇治疗信息的合规化管理与用药安全保障需求。</w:t>
            </w:r>
          </w:p>
        </w:tc>
      </w:tr>
      <w:tr w14:paraId="52CE6753">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7EFB09">
            <w:pPr>
              <w:widowControl/>
              <w:jc w:val="center"/>
              <w:textAlignment w:val="center"/>
              <w:rPr>
                <w:rFonts w:hint="eastAsia" w:ascii="宋体" w:hAnsi="宋体" w:cs="宋体"/>
                <w:sz w:val="24"/>
              </w:rPr>
            </w:pPr>
            <w:r>
              <w:rPr>
                <w:rFonts w:hint="eastAsia" w:ascii="宋体" w:hAnsi="宋体" w:cs="宋体"/>
                <w:kern w:val="0"/>
                <w:sz w:val="24"/>
                <w:lang w:bidi="ar"/>
              </w:rPr>
              <w:t>50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67156B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518B180">
            <w:pPr>
              <w:widowControl/>
              <w:jc w:val="center"/>
              <w:textAlignment w:val="center"/>
              <w:rPr>
                <w:rFonts w:hint="eastAsia" w:ascii="宋体" w:hAnsi="宋体" w:cs="宋体"/>
                <w:sz w:val="24"/>
              </w:rPr>
            </w:pPr>
            <w:r>
              <w:rPr>
                <w:rFonts w:hint="eastAsia" w:ascii="宋体" w:hAnsi="宋体" w:cs="宋体"/>
                <w:kern w:val="0"/>
                <w:sz w:val="24"/>
                <w:lang w:bidi="ar"/>
              </w:rPr>
              <w:t>乙肝感染孕妇分娩信息管理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F5E617B">
            <w:pPr>
              <w:widowControl/>
              <w:textAlignment w:val="center"/>
              <w:rPr>
                <w:rFonts w:hint="eastAsia" w:ascii="宋体" w:hAnsi="宋体" w:cs="宋体"/>
                <w:sz w:val="24"/>
              </w:rPr>
            </w:pPr>
            <w:r>
              <w:rPr>
                <w:rFonts w:hint="eastAsia" w:ascii="宋体" w:hAnsi="宋体" w:cs="宋体"/>
                <w:kern w:val="0"/>
                <w:sz w:val="24"/>
                <w:lang w:bidi="ar"/>
              </w:rPr>
              <w:t xml:space="preserve">   乙肝感染孕妇分娩信息管理功能严格依照国家规范，聚焦乙肝筛查阳性孕妇分娩信息的完整性记录与高效管理。</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该功能支持记录孕妇的详细分娩信息，可对已记录信息进行修改、删除及查询操作；信息录入采用 “自动 + 手动” 结合模式，基本信息从分娩记录中自动获取，其余补充信息通过手工录入完善；</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此外，模块支持打开乙肝感染孕妇分娩信息 tab 页面，为工作人员提供便捷操作入口，全方位满足乙肝感染孕妇分娩信息的合规化管理与数据追溯需求。</w:t>
            </w:r>
          </w:p>
        </w:tc>
      </w:tr>
      <w:tr w14:paraId="7EB786B5">
        <w:tblPrEx>
          <w:tblCellMar>
            <w:top w:w="0" w:type="dxa"/>
            <w:left w:w="108" w:type="dxa"/>
            <w:bottom w:w="0" w:type="dxa"/>
            <w:right w:w="108" w:type="dxa"/>
          </w:tblCellMar>
        </w:tblPrEx>
        <w:trPr>
          <w:trHeight w:val="76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35ECB78">
            <w:pPr>
              <w:widowControl/>
              <w:jc w:val="center"/>
              <w:textAlignment w:val="center"/>
              <w:rPr>
                <w:rFonts w:hint="eastAsia" w:ascii="宋体" w:hAnsi="宋体" w:cs="宋体"/>
                <w:sz w:val="24"/>
              </w:rPr>
            </w:pPr>
            <w:r>
              <w:rPr>
                <w:rFonts w:hint="eastAsia" w:ascii="宋体" w:hAnsi="宋体" w:cs="宋体"/>
                <w:kern w:val="0"/>
                <w:sz w:val="24"/>
                <w:lang w:bidi="ar"/>
              </w:rPr>
              <w:t>51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6B09F2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0D64580">
            <w:pPr>
              <w:widowControl/>
              <w:jc w:val="center"/>
              <w:textAlignment w:val="center"/>
              <w:rPr>
                <w:rFonts w:hint="eastAsia" w:ascii="宋体" w:hAnsi="宋体" w:cs="宋体"/>
                <w:sz w:val="24"/>
              </w:rPr>
            </w:pPr>
            <w:r>
              <w:rPr>
                <w:rFonts w:hint="eastAsia" w:ascii="宋体" w:hAnsi="宋体" w:cs="宋体"/>
                <w:kern w:val="0"/>
                <w:sz w:val="24"/>
                <w:lang w:bidi="ar"/>
              </w:rPr>
              <w:t>乙肝感染孕妇分</w:t>
            </w:r>
            <w:r>
              <w:rPr>
                <w:rFonts w:hint="eastAsia" w:ascii="宋体" w:hAnsi="宋体" w:cs="宋体"/>
                <w:kern w:val="0"/>
                <w:sz w:val="24"/>
                <w:lang w:bidi="ar"/>
              </w:rPr>
              <w:br w:type="textWrapping"/>
            </w:r>
            <w:r>
              <w:rPr>
                <w:rFonts w:hint="eastAsia" w:ascii="宋体" w:hAnsi="宋体" w:cs="宋体"/>
                <w:kern w:val="0"/>
                <w:sz w:val="24"/>
                <w:lang w:bidi="ar"/>
              </w:rPr>
              <w:t>娩新生儿信息管</w:t>
            </w:r>
            <w:r>
              <w:rPr>
                <w:rFonts w:hint="eastAsia" w:ascii="宋体" w:hAnsi="宋体" w:cs="宋体"/>
                <w:kern w:val="0"/>
                <w:sz w:val="24"/>
                <w:lang w:bidi="ar"/>
              </w:rPr>
              <w:br w:type="textWrapping"/>
            </w:r>
            <w:r>
              <w:rPr>
                <w:rFonts w:hint="eastAsia" w:ascii="宋体" w:hAnsi="宋体" w:cs="宋体"/>
                <w:kern w:val="0"/>
                <w:sz w:val="24"/>
                <w:lang w:bidi="ar"/>
              </w:rPr>
              <w:t>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7353177">
            <w:pPr>
              <w:widowControl/>
              <w:textAlignment w:val="center"/>
              <w:rPr>
                <w:rFonts w:hint="eastAsia" w:ascii="宋体" w:hAnsi="宋体" w:cs="宋体"/>
                <w:sz w:val="24"/>
              </w:rPr>
            </w:pPr>
            <w:r>
              <w:rPr>
                <w:rFonts w:hint="eastAsia" w:ascii="宋体" w:hAnsi="宋体" w:cs="宋体"/>
                <w:kern w:val="0"/>
                <w:sz w:val="24"/>
                <w:lang w:bidi="ar"/>
              </w:rPr>
              <w:t xml:space="preserve">    乙肝感染孕妇分娩新生儿信息管理功能严格遵循国家规范，全面覆盖乙肝筛查阳性孕妇所生新生儿的信息管理需求。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该功能支持记录新生儿的详细信息，可对已记录的信息进行修改、删除及查询操作；</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此外，模块支持打开乙肝感染孕妇分娩新生儿信息 tab 页面，为工作人员提供便捷的操作入口，全方位满足新生儿信息的合规化管理与数据追溯需求。</w:t>
            </w:r>
          </w:p>
        </w:tc>
      </w:tr>
      <w:tr w14:paraId="7B4C2661">
        <w:tblPrEx>
          <w:tblCellMar>
            <w:top w:w="0" w:type="dxa"/>
            <w:left w:w="108" w:type="dxa"/>
            <w:bottom w:w="0" w:type="dxa"/>
            <w:right w:w="108" w:type="dxa"/>
          </w:tblCellMar>
        </w:tblPrEx>
        <w:trPr>
          <w:trHeight w:val="74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1B7BDD8">
            <w:pPr>
              <w:widowControl/>
              <w:jc w:val="center"/>
              <w:textAlignment w:val="center"/>
              <w:rPr>
                <w:rFonts w:hint="eastAsia" w:ascii="宋体" w:hAnsi="宋体" w:cs="宋体"/>
                <w:sz w:val="24"/>
              </w:rPr>
            </w:pPr>
            <w:r>
              <w:rPr>
                <w:rFonts w:hint="eastAsia" w:ascii="宋体" w:hAnsi="宋体" w:cs="宋体"/>
                <w:kern w:val="0"/>
                <w:sz w:val="24"/>
                <w:lang w:bidi="ar"/>
              </w:rPr>
              <w:t>52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0FAFD7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7DB34BF">
            <w:pPr>
              <w:widowControl/>
              <w:jc w:val="center"/>
              <w:textAlignment w:val="center"/>
              <w:rPr>
                <w:rFonts w:hint="eastAsia" w:ascii="宋体" w:hAnsi="宋体" w:cs="宋体"/>
                <w:sz w:val="24"/>
              </w:rPr>
            </w:pPr>
            <w:r>
              <w:rPr>
                <w:rFonts w:hint="eastAsia" w:ascii="宋体" w:hAnsi="宋体" w:cs="宋体"/>
                <w:kern w:val="0"/>
                <w:sz w:val="24"/>
                <w:lang w:bidi="ar"/>
              </w:rPr>
              <w:t>乙肝感染孕妇分</w:t>
            </w:r>
            <w:r>
              <w:rPr>
                <w:rFonts w:hint="eastAsia" w:ascii="宋体" w:hAnsi="宋体" w:cs="宋体"/>
                <w:kern w:val="0"/>
                <w:sz w:val="24"/>
                <w:lang w:bidi="ar"/>
              </w:rPr>
              <w:br w:type="textWrapping"/>
            </w:r>
            <w:r>
              <w:rPr>
                <w:rFonts w:hint="eastAsia" w:ascii="宋体" w:hAnsi="宋体" w:cs="宋体"/>
                <w:kern w:val="0"/>
                <w:sz w:val="24"/>
                <w:lang w:bidi="ar"/>
              </w:rPr>
              <w:t>娩新生儿随访信</w:t>
            </w:r>
            <w:r>
              <w:rPr>
                <w:rFonts w:hint="eastAsia" w:ascii="宋体" w:hAnsi="宋体" w:cs="宋体"/>
                <w:kern w:val="0"/>
                <w:sz w:val="24"/>
                <w:lang w:bidi="ar"/>
              </w:rPr>
              <w:br w:type="textWrapping"/>
            </w:r>
            <w:r>
              <w:rPr>
                <w:rFonts w:hint="eastAsia" w:ascii="宋体" w:hAnsi="宋体" w:cs="宋体"/>
                <w:kern w:val="0"/>
                <w:sz w:val="24"/>
                <w:lang w:bidi="ar"/>
              </w:rPr>
              <w:t>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F834DCA">
            <w:pPr>
              <w:widowControl/>
              <w:textAlignment w:val="center"/>
              <w:rPr>
                <w:rFonts w:hint="eastAsia" w:ascii="宋体" w:hAnsi="宋体" w:cs="宋体"/>
                <w:sz w:val="24"/>
              </w:rPr>
            </w:pPr>
            <w:r>
              <w:rPr>
                <w:rFonts w:hint="eastAsia" w:ascii="宋体" w:hAnsi="宋体" w:cs="宋体"/>
                <w:kern w:val="0"/>
                <w:sz w:val="24"/>
                <w:lang w:bidi="ar"/>
              </w:rPr>
              <w:t xml:space="preserve">    乙肝感染孕妇分娩新生儿随访信息管理功能严格依照国家规范，核心围绕乙肝筛查阳性孕妇所生新生儿的随访信息全流程管理展开。</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该功能支持记录新生儿的详细随访信息，可对已记录的随访信息进行修改、删除及查询操作；</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此外，模块支持打开乙肝感染孕妇分娩新生儿随访 tab 页面，为工作人员提供便捷的操作入口，全方位满足新生儿随访信息的合规化管理与数据追溯需求。</w:t>
            </w:r>
          </w:p>
        </w:tc>
      </w:tr>
      <w:tr w14:paraId="4B27B309">
        <w:tblPrEx>
          <w:tblCellMar>
            <w:top w:w="0" w:type="dxa"/>
            <w:left w:w="108" w:type="dxa"/>
            <w:bottom w:w="0" w:type="dxa"/>
            <w:right w:w="108" w:type="dxa"/>
          </w:tblCellMar>
        </w:tblPrEx>
        <w:trPr>
          <w:trHeight w:val="74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3695BF0">
            <w:pPr>
              <w:widowControl/>
              <w:jc w:val="center"/>
              <w:textAlignment w:val="center"/>
              <w:rPr>
                <w:rFonts w:hint="eastAsia" w:ascii="宋体" w:hAnsi="宋体" w:cs="宋体"/>
                <w:sz w:val="24"/>
              </w:rPr>
            </w:pPr>
            <w:r>
              <w:rPr>
                <w:rFonts w:hint="eastAsia" w:ascii="宋体" w:hAnsi="宋体" w:cs="宋体"/>
                <w:kern w:val="0"/>
                <w:sz w:val="24"/>
                <w:lang w:bidi="ar"/>
              </w:rPr>
              <w:t>53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BF8D40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3EB52E8">
            <w:pPr>
              <w:widowControl/>
              <w:jc w:val="center"/>
              <w:textAlignment w:val="center"/>
              <w:rPr>
                <w:rFonts w:hint="eastAsia" w:ascii="宋体" w:hAnsi="宋体" w:cs="宋体"/>
                <w:sz w:val="24"/>
              </w:rPr>
            </w:pPr>
            <w:r>
              <w:rPr>
                <w:rFonts w:hint="eastAsia" w:ascii="宋体" w:hAnsi="宋体" w:cs="宋体"/>
                <w:kern w:val="0"/>
                <w:sz w:val="24"/>
                <w:lang w:bidi="ar"/>
              </w:rPr>
              <w:t>乙肝感染孕妇分</w:t>
            </w:r>
            <w:r>
              <w:rPr>
                <w:rFonts w:hint="eastAsia" w:ascii="宋体" w:hAnsi="宋体" w:cs="宋体"/>
                <w:kern w:val="0"/>
                <w:sz w:val="24"/>
                <w:lang w:bidi="ar"/>
              </w:rPr>
              <w:br w:type="textWrapping"/>
            </w:r>
            <w:r>
              <w:rPr>
                <w:rFonts w:hint="eastAsia" w:ascii="宋体" w:hAnsi="宋体" w:cs="宋体"/>
                <w:kern w:val="0"/>
                <w:sz w:val="24"/>
                <w:lang w:bidi="ar"/>
              </w:rPr>
              <w:t>娩新生儿乙肝疫苗接种管理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5D86F04">
            <w:pPr>
              <w:widowControl/>
              <w:textAlignment w:val="center"/>
              <w:rPr>
                <w:rFonts w:hint="eastAsia" w:ascii="宋体" w:hAnsi="宋体" w:cs="宋体"/>
                <w:sz w:val="24"/>
              </w:rPr>
            </w:pPr>
            <w:r>
              <w:rPr>
                <w:rFonts w:hint="eastAsia" w:ascii="宋体" w:hAnsi="宋体" w:cs="宋体"/>
                <w:kern w:val="0"/>
                <w:sz w:val="24"/>
                <w:lang w:bidi="ar"/>
              </w:rPr>
              <w:t xml:space="preserve">    乙肝感染孕妇分娩新生儿乙肝疫苗接种管理功能严格遵循国家规范，聚焦乙肝筛查阳性孕妇所生新生儿的疫苗接种信息规范化管理与用药控制。</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该功能支持记录新生儿详细的乙肝疫苗接种信息，可对已记录信息进行修改、删除及查询操作；在疫苗管理上，需预先维护疫苗种类与剂量，使用时仅能从系统预设选项中选择，不允许手工随意输入；</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此外，模块支持打开乙肝感染孕妇分娩新生儿乙肝疫苗接种情况 tab 页面，为工作人员提供便捷操作入口，全方位满足新生儿疫苗接种信息的合规化管理与接种安全保障需求。</w:t>
            </w:r>
          </w:p>
        </w:tc>
      </w:tr>
      <w:tr w14:paraId="4A1E717C">
        <w:tblPrEx>
          <w:tblCellMar>
            <w:top w:w="0" w:type="dxa"/>
            <w:left w:w="108" w:type="dxa"/>
            <w:bottom w:w="0" w:type="dxa"/>
            <w:right w:w="108" w:type="dxa"/>
          </w:tblCellMar>
        </w:tblPrEx>
        <w:trPr>
          <w:trHeight w:val="74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D0C3E27">
            <w:pPr>
              <w:widowControl/>
              <w:jc w:val="center"/>
              <w:textAlignment w:val="center"/>
              <w:rPr>
                <w:rFonts w:hint="eastAsia" w:ascii="宋体" w:hAnsi="宋体" w:cs="宋体"/>
                <w:sz w:val="24"/>
              </w:rPr>
            </w:pPr>
            <w:r>
              <w:rPr>
                <w:rFonts w:hint="eastAsia" w:ascii="宋体" w:hAnsi="宋体" w:cs="宋体"/>
                <w:kern w:val="0"/>
                <w:sz w:val="24"/>
                <w:lang w:bidi="ar"/>
              </w:rPr>
              <w:t>54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9B94ED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5132EF5">
            <w:pPr>
              <w:widowControl/>
              <w:jc w:val="center"/>
              <w:textAlignment w:val="center"/>
              <w:rPr>
                <w:rFonts w:hint="eastAsia" w:ascii="宋体" w:hAnsi="宋体" w:cs="宋体"/>
                <w:sz w:val="24"/>
              </w:rPr>
            </w:pPr>
            <w:r>
              <w:rPr>
                <w:rFonts w:hint="eastAsia" w:ascii="宋体" w:hAnsi="宋体" w:cs="宋体"/>
                <w:kern w:val="0"/>
                <w:sz w:val="24"/>
                <w:lang w:bidi="ar"/>
              </w:rPr>
              <w:t>乙肝感染孕妇分</w:t>
            </w:r>
            <w:r>
              <w:rPr>
                <w:rFonts w:hint="eastAsia" w:ascii="宋体" w:hAnsi="宋体" w:cs="宋体"/>
                <w:kern w:val="0"/>
                <w:sz w:val="24"/>
                <w:lang w:bidi="ar"/>
              </w:rPr>
              <w:br w:type="textWrapping"/>
            </w:r>
            <w:r>
              <w:rPr>
                <w:rFonts w:hint="eastAsia" w:ascii="宋体" w:hAnsi="宋体" w:cs="宋体"/>
                <w:kern w:val="0"/>
                <w:sz w:val="24"/>
                <w:lang w:bidi="ar"/>
              </w:rPr>
              <w:t>娩新生儿乙肝标</w:t>
            </w:r>
            <w:r>
              <w:rPr>
                <w:rFonts w:hint="eastAsia" w:ascii="宋体" w:hAnsi="宋体" w:cs="宋体"/>
                <w:kern w:val="0"/>
                <w:sz w:val="24"/>
                <w:lang w:bidi="ar"/>
              </w:rPr>
              <w:br w:type="textWrapping"/>
            </w:r>
            <w:r>
              <w:rPr>
                <w:rFonts w:hint="eastAsia" w:ascii="宋体" w:hAnsi="宋体" w:cs="宋体"/>
                <w:kern w:val="0"/>
                <w:sz w:val="24"/>
                <w:lang w:bidi="ar"/>
              </w:rPr>
              <w:t>志物检测管理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BFD2919">
            <w:pPr>
              <w:widowControl/>
              <w:textAlignment w:val="center"/>
              <w:rPr>
                <w:rFonts w:hint="eastAsia" w:ascii="宋体" w:hAnsi="宋体" w:cs="宋体"/>
                <w:sz w:val="24"/>
              </w:rPr>
            </w:pPr>
            <w:r>
              <w:rPr>
                <w:rFonts w:hint="eastAsia" w:ascii="宋体" w:hAnsi="宋体" w:cs="宋体"/>
                <w:kern w:val="0"/>
                <w:sz w:val="24"/>
                <w:lang w:bidi="ar"/>
              </w:rPr>
              <w:t xml:space="preserve">    乙肝感染孕妇分娩新生儿乙肝标志物检测管理功能严格依照国家规范，核心围绕乙肝筛查阳性孕妇所生新生儿的标志物检测信息精细化管理与异常识别展开。</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该功能支持记录新生儿详细的乙肝标志物检测信息，可对已记录信息进行修改、删除及查询操作；系统能根据检测结果自动判断是否异常，异常结果会用特殊颜色标识，方便工作人员快速定位关键问题；</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此外，模块支持打开乙肝感染孕妇分娩新生儿乙肝标志物检测情况 tab 页面，为操作提供便捷入口，全方位满足新生儿检测信息的合规化管理与高效化应用需求。</w:t>
            </w:r>
          </w:p>
        </w:tc>
      </w:tr>
      <w:tr w14:paraId="70287604">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CF46DE1">
            <w:pPr>
              <w:widowControl/>
              <w:jc w:val="center"/>
              <w:textAlignment w:val="center"/>
              <w:rPr>
                <w:rFonts w:hint="eastAsia" w:ascii="宋体" w:hAnsi="宋体" w:cs="宋体"/>
                <w:sz w:val="24"/>
              </w:rPr>
            </w:pPr>
            <w:r>
              <w:rPr>
                <w:rFonts w:hint="eastAsia" w:ascii="宋体" w:hAnsi="宋体" w:cs="宋体"/>
                <w:kern w:val="0"/>
                <w:sz w:val="24"/>
                <w:lang w:bidi="ar"/>
              </w:rPr>
              <w:t>55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827FD5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12E0F8D">
            <w:pPr>
              <w:widowControl/>
              <w:jc w:val="center"/>
              <w:textAlignment w:val="center"/>
              <w:rPr>
                <w:rFonts w:hint="eastAsia" w:ascii="宋体" w:hAnsi="宋体" w:cs="宋体"/>
                <w:sz w:val="24"/>
              </w:rPr>
            </w:pPr>
            <w:r>
              <w:rPr>
                <w:rFonts w:hint="eastAsia" w:ascii="宋体" w:hAnsi="宋体" w:cs="宋体"/>
                <w:kern w:val="0"/>
                <w:sz w:val="24"/>
                <w:lang w:bidi="ar"/>
              </w:rPr>
              <w:t>乙肝感染孕产妇及新生儿信息报告输出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6F17691D">
            <w:pPr>
              <w:widowControl/>
              <w:textAlignment w:val="center"/>
              <w:rPr>
                <w:rFonts w:hint="eastAsia" w:ascii="宋体" w:hAnsi="宋体" w:cs="宋体"/>
                <w:sz w:val="24"/>
              </w:rPr>
            </w:pPr>
            <w:r>
              <w:rPr>
                <w:rFonts w:hint="eastAsia" w:ascii="宋体" w:hAnsi="宋体" w:cs="宋体"/>
                <w:kern w:val="0"/>
                <w:sz w:val="24"/>
                <w:lang w:bidi="ar"/>
              </w:rPr>
              <w:t xml:space="preserve">   乙肝感染孕产妇及新生儿信息报告输出功能，严格依据国家乙肝母婴阻断相关规范构建，聚焦乙肝筛查阳性孕妇所分娩儿童的信息上报需求。该功能可整合系统内记录的儿童个案信息，自动生成符合国家统一标准的乙肝感染孕产妇所生儿童信息情况报告，报告内容完整覆盖上报要求的核心数据，能精准满足医疗卫生机构向辖区妇幼保健机构等上级部门提交信息的工作需求。</w:t>
            </w:r>
          </w:p>
        </w:tc>
      </w:tr>
      <w:tr w14:paraId="44D24D8F">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B447AA7">
            <w:pPr>
              <w:widowControl/>
              <w:jc w:val="center"/>
              <w:textAlignment w:val="center"/>
              <w:rPr>
                <w:rFonts w:hint="eastAsia" w:ascii="宋体" w:hAnsi="宋体" w:cs="宋体"/>
                <w:sz w:val="24"/>
              </w:rPr>
            </w:pPr>
            <w:r>
              <w:rPr>
                <w:rFonts w:hint="eastAsia" w:ascii="宋体" w:hAnsi="宋体" w:cs="宋体"/>
                <w:kern w:val="0"/>
                <w:sz w:val="24"/>
                <w:lang w:bidi="ar"/>
              </w:rPr>
              <w:t>56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22349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448F347">
            <w:pPr>
              <w:widowControl/>
              <w:jc w:val="center"/>
              <w:textAlignment w:val="center"/>
              <w:rPr>
                <w:rFonts w:hint="eastAsia" w:ascii="宋体" w:hAnsi="宋体" w:cs="宋体"/>
                <w:sz w:val="24"/>
              </w:rPr>
            </w:pPr>
            <w:r>
              <w:rPr>
                <w:rFonts w:hint="eastAsia" w:ascii="宋体" w:hAnsi="宋体" w:cs="宋体"/>
                <w:kern w:val="0"/>
                <w:sz w:val="24"/>
                <w:lang w:bidi="ar"/>
              </w:rPr>
              <w:t>乙肝感染孕产妇</w:t>
            </w:r>
            <w:r>
              <w:rPr>
                <w:rFonts w:hint="eastAsia" w:ascii="宋体" w:hAnsi="宋体" w:cs="宋体"/>
                <w:kern w:val="0"/>
                <w:sz w:val="24"/>
                <w:lang w:bidi="ar"/>
              </w:rPr>
              <w:br w:type="textWrapping"/>
            </w:r>
            <w:r>
              <w:rPr>
                <w:rFonts w:hint="eastAsia" w:ascii="宋体" w:hAnsi="宋体" w:cs="宋体"/>
                <w:kern w:val="0"/>
                <w:sz w:val="24"/>
                <w:lang w:bidi="ar"/>
              </w:rPr>
              <w:t>及新生儿信息随</w:t>
            </w:r>
            <w:r>
              <w:rPr>
                <w:rFonts w:hint="eastAsia" w:ascii="宋体" w:hAnsi="宋体" w:cs="宋体"/>
                <w:kern w:val="0"/>
                <w:sz w:val="24"/>
                <w:lang w:bidi="ar"/>
              </w:rPr>
              <w:br w:type="textWrapping"/>
            </w:r>
            <w:r>
              <w:rPr>
                <w:rFonts w:hint="eastAsia" w:ascii="宋体" w:hAnsi="宋体" w:cs="宋体"/>
                <w:kern w:val="0"/>
                <w:sz w:val="24"/>
                <w:lang w:bidi="ar"/>
              </w:rPr>
              <w:t>访报告输出</w:t>
            </w:r>
          </w:p>
        </w:tc>
        <w:tc>
          <w:tcPr>
            <w:tcW w:w="9687" w:type="dxa"/>
            <w:tcBorders>
              <w:top w:val="single" w:color="000000" w:sz="4" w:space="0"/>
              <w:left w:val="single" w:color="000000" w:sz="4" w:space="0"/>
              <w:bottom w:val="single" w:color="000000" w:sz="4" w:space="0"/>
              <w:right w:val="single" w:color="000000" w:sz="4" w:space="0"/>
            </w:tcBorders>
            <w:vAlign w:val="center"/>
          </w:tcPr>
          <w:p w14:paraId="0DA9C409">
            <w:pPr>
              <w:widowControl/>
              <w:textAlignment w:val="center"/>
              <w:rPr>
                <w:rFonts w:hint="eastAsia" w:ascii="宋体" w:hAnsi="宋体" w:cs="宋体"/>
                <w:sz w:val="24"/>
              </w:rPr>
            </w:pPr>
            <w:r>
              <w:rPr>
                <w:rFonts w:hint="eastAsia" w:ascii="宋体" w:hAnsi="宋体" w:cs="宋体"/>
                <w:kern w:val="0"/>
                <w:sz w:val="24"/>
                <w:lang w:bidi="ar"/>
              </w:rPr>
              <w:t xml:space="preserve">   乙肝感染孕产妇及新生儿信息随访报告输出功能，严格依照国家乙肝母婴阻断信息上报规范，聚焦乙肝筛查阳性孕妇所分娩儿童的随访信息上报需求。该功能可整合系统内记录的儿童个案随访数据，自动生成符合国家统一标准的乙肝感染孕产妇所生儿童随访情况报告，报告内容完整覆盖上报要求的核心信息，能精准满足医疗卫生机构向辖区妇幼保健机构等上级部门提交随访信息的工作需求。</w:t>
            </w:r>
          </w:p>
        </w:tc>
      </w:tr>
      <w:tr w14:paraId="58AEDAFB">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2F63AF1">
            <w:pPr>
              <w:widowControl/>
              <w:jc w:val="center"/>
              <w:textAlignment w:val="center"/>
              <w:rPr>
                <w:rFonts w:hint="eastAsia" w:ascii="宋体" w:hAnsi="宋体" w:cs="宋体"/>
                <w:sz w:val="24"/>
              </w:rPr>
            </w:pPr>
            <w:r>
              <w:rPr>
                <w:rFonts w:hint="eastAsia" w:ascii="宋体" w:hAnsi="宋体" w:cs="宋体"/>
                <w:kern w:val="0"/>
                <w:sz w:val="24"/>
                <w:lang w:bidi="ar"/>
              </w:rPr>
              <w:t>57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B40212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6444A00">
            <w:pPr>
              <w:widowControl/>
              <w:jc w:val="center"/>
              <w:textAlignment w:val="center"/>
              <w:rPr>
                <w:rFonts w:hint="eastAsia" w:ascii="宋体" w:hAnsi="宋体" w:cs="宋体"/>
                <w:sz w:val="24"/>
              </w:rPr>
            </w:pPr>
            <w:r>
              <w:rPr>
                <w:rFonts w:hint="eastAsia" w:ascii="宋体" w:hAnsi="宋体" w:cs="宋体"/>
                <w:kern w:val="0"/>
                <w:sz w:val="24"/>
                <w:lang w:bidi="ar"/>
              </w:rPr>
              <w:t>乙肝高效球蛋白入库登记本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4D7DFBB">
            <w:pPr>
              <w:widowControl/>
              <w:textAlignment w:val="center"/>
              <w:rPr>
                <w:rFonts w:hint="eastAsia" w:ascii="宋体" w:hAnsi="宋体" w:cs="宋体"/>
                <w:sz w:val="24"/>
              </w:rPr>
            </w:pPr>
            <w:r>
              <w:rPr>
                <w:rFonts w:hint="eastAsia" w:ascii="宋体" w:hAnsi="宋体" w:cs="宋体"/>
                <w:kern w:val="0"/>
                <w:sz w:val="24"/>
                <w:lang w:bidi="ar"/>
              </w:rPr>
              <w:t xml:space="preserve">    乙肝高效球蛋白入库登记本功能聚焦物资入库信息的高效查询与数据导出，以满足管理需求。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该登记本支持按入库时间、批号两种维度查询乙肝高效球蛋白的入库记录，方便快速定位特定信息；同时提供导出功能，可将乙肝高效球蛋白入库信息表导出，便于后续数据存档、统计或分析使用。</w:t>
            </w:r>
          </w:p>
        </w:tc>
      </w:tr>
      <w:tr w14:paraId="64D6200A">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713A50D">
            <w:pPr>
              <w:widowControl/>
              <w:jc w:val="center"/>
              <w:textAlignment w:val="center"/>
              <w:rPr>
                <w:rFonts w:hint="eastAsia" w:ascii="宋体" w:hAnsi="宋体" w:cs="宋体"/>
                <w:sz w:val="24"/>
              </w:rPr>
            </w:pPr>
            <w:r>
              <w:rPr>
                <w:rFonts w:hint="eastAsia" w:ascii="宋体" w:hAnsi="宋体" w:cs="宋体"/>
                <w:kern w:val="0"/>
                <w:sz w:val="24"/>
                <w:lang w:bidi="ar"/>
              </w:rPr>
              <w:t>58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7AFC3B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CF3C462">
            <w:pPr>
              <w:widowControl/>
              <w:jc w:val="center"/>
              <w:textAlignment w:val="center"/>
              <w:rPr>
                <w:rFonts w:hint="eastAsia" w:ascii="宋体" w:hAnsi="宋体" w:cs="宋体"/>
                <w:sz w:val="24"/>
              </w:rPr>
            </w:pPr>
            <w:r>
              <w:rPr>
                <w:rFonts w:hint="eastAsia" w:ascii="宋体" w:hAnsi="宋体" w:cs="宋体"/>
                <w:kern w:val="0"/>
                <w:sz w:val="24"/>
                <w:lang w:bidi="ar"/>
              </w:rPr>
              <w:t>乙肝高效球蛋白出库登记本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7EC19DF8">
            <w:pPr>
              <w:widowControl/>
              <w:textAlignment w:val="center"/>
              <w:rPr>
                <w:rFonts w:hint="eastAsia" w:ascii="宋体" w:hAnsi="宋体" w:cs="宋体"/>
                <w:sz w:val="24"/>
              </w:rPr>
            </w:pPr>
            <w:r>
              <w:rPr>
                <w:rFonts w:hint="eastAsia" w:ascii="宋体" w:hAnsi="宋体" w:cs="宋体"/>
                <w:kern w:val="0"/>
                <w:sz w:val="24"/>
                <w:lang w:bidi="ar"/>
              </w:rPr>
              <w:t xml:space="preserve">  乙肝高效球蛋白出库登记本功能围绕物资出库信息的便捷管理展开，核心满足查询与导出需求。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该登记本支持按出库时间、批号两个关键维度查询乙肝高效球蛋白的出库记录，帮助快速定位目标信息；同时具备导出功能，可将乙肝高效球蛋白出库信息记录表导出，便于后续的数据存档、核对或统计分析。</w:t>
            </w:r>
          </w:p>
        </w:tc>
      </w:tr>
      <w:tr w14:paraId="0D95C626">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597FDAC">
            <w:pPr>
              <w:widowControl/>
              <w:jc w:val="center"/>
              <w:textAlignment w:val="center"/>
              <w:rPr>
                <w:rFonts w:hint="eastAsia" w:ascii="宋体" w:hAnsi="宋体" w:cs="宋体"/>
                <w:sz w:val="24"/>
              </w:rPr>
            </w:pPr>
            <w:r>
              <w:rPr>
                <w:rFonts w:hint="eastAsia" w:ascii="宋体" w:hAnsi="宋体" w:cs="宋体"/>
                <w:kern w:val="0"/>
                <w:sz w:val="24"/>
                <w:lang w:bidi="ar"/>
              </w:rPr>
              <w:t>59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2EB616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B03EBC2">
            <w:pPr>
              <w:widowControl/>
              <w:jc w:val="center"/>
              <w:textAlignment w:val="center"/>
              <w:rPr>
                <w:rFonts w:hint="eastAsia" w:ascii="宋体" w:hAnsi="宋体" w:cs="宋体"/>
                <w:sz w:val="24"/>
              </w:rPr>
            </w:pPr>
            <w:r>
              <w:rPr>
                <w:rFonts w:hint="eastAsia" w:ascii="宋体" w:hAnsi="宋体" w:cs="宋体"/>
                <w:kern w:val="0"/>
                <w:sz w:val="24"/>
                <w:lang w:bidi="ar"/>
              </w:rPr>
              <w:t>乙肝高效球蛋白报废登记本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0782E52">
            <w:pPr>
              <w:widowControl/>
              <w:textAlignment w:val="center"/>
              <w:rPr>
                <w:rFonts w:hint="eastAsia" w:ascii="宋体" w:hAnsi="宋体" w:cs="宋体"/>
                <w:sz w:val="24"/>
              </w:rPr>
            </w:pPr>
            <w:r>
              <w:rPr>
                <w:rFonts w:hint="eastAsia" w:ascii="宋体" w:hAnsi="宋体" w:cs="宋体"/>
                <w:kern w:val="0"/>
                <w:sz w:val="24"/>
                <w:lang w:bidi="ar"/>
              </w:rPr>
              <w:t xml:space="preserve">   乙肝高效球蛋白报废登记本功能聚焦物资报废信息的高效管理，核心满足查询与数据导出需求。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按报废时间、批号两个关键维度查询乙肝高效球蛋白的报废记录，方便快速定位特定报废信息；同时具备导出功能，可将乙肝高效球蛋白报废信息记录表导出，便于后续的报废数据存档、核对或统计分析。</w:t>
            </w:r>
          </w:p>
        </w:tc>
      </w:tr>
      <w:tr w14:paraId="417AB762">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5DF68C9">
            <w:pPr>
              <w:widowControl/>
              <w:jc w:val="center"/>
              <w:textAlignment w:val="center"/>
              <w:rPr>
                <w:rFonts w:hint="eastAsia" w:ascii="宋体" w:hAnsi="宋体" w:cs="宋体"/>
                <w:sz w:val="24"/>
              </w:rPr>
            </w:pPr>
            <w:r>
              <w:rPr>
                <w:rFonts w:hint="eastAsia" w:ascii="宋体" w:hAnsi="宋体" w:cs="宋体"/>
                <w:kern w:val="0"/>
                <w:sz w:val="24"/>
                <w:lang w:bidi="ar"/>
              </w:rPr>
              <w:t>60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6C3BDB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E51CF07">
            <w:pPr>
              <w:widowControl/>
              <w:jc w:val="center"/>
              <w:textAlignment w:val="center"/>
              <w:rPr>
                <w:rFonts w:hint="eastAsia" w:ascii="宋体" w:hAnsi="宋体" w:cs="宋体"/>
                <w:sz w:val="24"/>
              </w:rPr>
            </w:pPr>
            <w:r>
              <w:rPr>
                <w:rFonts w:hint="eastAsia" w:ascii="宋体" w:hAnsi="宋体" w:cs="宋体"/>
                <w:kern w:val="0"/>
                <w:sz w:val="24"/>
                <w:lang w:bidi="ar"/>
              </w:rPr>
              <w:t>乙肝筛查阳性登记本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63800633">
            <w:pPr>
              <w:widowControl/>
              <w:textAlignment w:val="center"/>
              <w:rPr>
                <w:rFonts w:hint="eastAsia" w:ascii="宋体" w:hAnsi="宋体" w:cs="宋体"/>
                <w:sz w:val="24"/>
              </w:rPr>
            </w:pPr>
            <w:r>
              <w:rPr>
                <w:rFonts w:hint="eastAsia" w:ascii="宋体" w:hAnsi="宋体" w:cs="宋体"/>
                <w:kern w:val="0"/>
                <w:sz w:val="24"/>
                <w:lang w:bidi="ar"/>
              </w:rPr>
              <w:t xml:space="preserve">   乙肝筛查阳性登记本功能围绕阳性人员信息的管理展开，核心满足查询与数据导出需求。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该登记本支持直接查询乙肝筛查阳性相关记录，方便快速获取目标信息；同时具备导出功能，可将乙肝筛查阳性登记本完整导出，便于后续的数据存档、统计分析或信息上报使用。</w:t>
            </w:r>
          </w:p>
        </w:tc>
      </w:tr>
      <w:tr w14:paraId="2B1EFB47">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BD9F0D0">
            <w:pPr>
              <w:widowControl/>
              <w:jc w:val="center"/>
              <w:textAlignment w:val="center"/>
              <w:rPr>
                <w:rFonts w:hint="eastAsia" w:ascii="宋体" w:hAnsi="宋体" w:cs="宋体"/>
                <w:sz w:val="24"/>
              </w:rPr>
            </w:pPr>
            <w:r>
              <w:rPr>
                <w:rFonts w:hint="eastAsia" w:ascii="宋体" w:hAnsi="宋体" w:cs="宋体"/>
                <w:kern w:val="0"/>
                <w:sz w:val="24"/>
                <w:lang w:bidi="ar"/>
              </w:rPr>
              <w:t>61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2F8169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288173E">
            <w:pPr>
              <w:widowControl/>
              <w:jc w:val="center"/>
              <w:textAlignment w:val="center"/>
              <w:rPr>
                <w:rFonts w:hint="eastAsia" w:ascii="宋体" w:hAnsi="宋体" w:cs="宋体"/>
                <w:sz w:val="24"/>
              </w:rPr>
            </w:pPr>
            <w:r>
              <w:rPr>
                <w:rFonts w:hint="eastAsia" w:ascii="宋体" w:hAnsi="宋体" w:cs="宋体"/>
                <w:kern w:val="0"/>
                <w:sz w:val="24"/>
                <w:lang w:bidi="ar"/>
              </w:rPr>
              <w:t>梅毒筛查阳性登记本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49F084AF">
            <w:pPr>
              <w:widowControl/>
              <w:textAlignment w:val="center"/>
              <w:rPr>
                <w:rFonts w:hint="eastAsia" w:ascii="宋体" w:hAnsi="宋体" w:cs="宋体"/>
                <w:sz w:val="24"/>
              </w:rPr>
            </w:pPr>
            <w:r>
              <w:rPr>
                <w:rFonts w:hint="eastAsia" w:ascii="宋体" w:hAnsi="宋体" w:cs="宋体"/>
                <w:kern w:val="0"/>
                <w:sz w:val="24"/>
                <w:lang w:bidi="ar"/>
              </w:rPr>
              <w:t xml:space="preserve">     梅毒筛查阳性登记本功能聚焦阳性人员信息的便捷管理，核心满足查询与数据导出两大需求。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该登记本支持直接查询梅毒筛查阳性相关记录，便于快速获取目标信息；同时具备导出功能，可将梅毒筛查阳性登记本完整导出，方便后续进行数据存档、统计分析或信息上报。</w:t>
            </w:r>
          </w:p>
        </w:tc>
      </w:tr>
      <w:tr w14:paraId="35E31309">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E9A9421">
            <w:pPr>
              <w:widowControl/>
              <w:jc w:val="center"/>
              <w:textAlignment w:val="center"/>
              <w:rPr>
                <w:rFonts w:hint="eastAsia" w:ascii="宋体" w:hAnsi="宋体" w:cs="宋体"/>
                <w:sz w:val="24"/>
              </w:rPr>
            </w:pPr>
            <w:r>
              <w:rPr>
                <w:rFonts w:hint="eastAsia" w:ascii="宋体" w:hAnsi="宋体" w:cs="宋体"/>
                <w:kern w:val="0"/>
                <w:sz w:val="24"/>
                <w:lang w:bidi="ar"/>
              </w:rPr>
              <w:t>62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B319ED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9A66FD2">
            <w:pPr>
              <w:widowControl/>
              <w:jc w:val="center"/>
              <w:textAlignment w:val="center"/>
              <w:rPr>
                <w:rFonts w:hint="eastAsia" w:ascii="宋体" w:hAnsi="宋体" w:cs="宋体"/>
                <w:sz w:val="24"/>
              </w:rPr>
            </w:pPr>
            <w:r>
              <w:rPr>
                <w:rFonts w:hint="eastAsia" w:ascii="宋体" w:hAnsi="宋体" w:cs="宋体"/>
                <w:kern w:val="0"/>
                <w:sz w:val="24"/>
                <w:lang w:bidi="ar"/>
              </w:rPr>
              <w:t>HIV筛查阳性登记本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11CB89C">
            <w:pPr>
              <w:widowControl/>
              <w:textAlignment w:val="center"/>
              <w:rPr>
                <w:rFonts w:hint="eastAsia" w:ascii="宋体" w:hAnsi="宋体" w:cs="宋体"/>
                <w:sz w:val="24"/>
              </w:rPr>
            </w:pPr>
            <w:r>
              <w:rPr>
                <w:rFonts w:hint="eastAsia" w:ascii="宋体" w:hAnsi="宋体" w:cs="宋体"/>
                <w:kern w:val="0"/>
                <w:sz w:val="24"/>
                <w:lang w:bidi="ar"/>
              </w:rPr>
              <w:t xml:space="preserve">    HIV 筛查阳性登记本功能围绕阳性人员信息管理展开，核心满足查询与数据导出两大需求。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该登记本支持直接查询 HIV 筛查阳性相关记录，方便快速获取目标信息；同时具备导出功能，可将 HIV 筛查阳性登记本完整导出，便于后续的数据存档、统计分析或信息上报使用。</w:t>
            </w:r>
          </w:p>
        </w:tc>
      </w:tr>
      <w:tr w14:paraId="550220A0">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35E1C5B">
            <w:pPr>
              <w:widowControl/>
              <w:jc w:val="center"/>
              <w:textAlignment w:val="center"/>
              <w:rPr>
                <w:rFonts w:hint="eastAsia" w:ascii="宋体" w:hAnsi="宋体" w:cs="宋体"/>
                <w:sz w:val="24"/>
              </w:rPr>
            </w:pPr>
            <w:r>
              <w:rPr>
                <w:rFonts w:hint="eastAsia" w:ascii="宋体" w:hAnsi="宋体" w:cs="宋体"/>
                <w:kern w:val="0"/>
                <w:sz w:val="24"/>
                <w:lang w:bidi="ar"/>
              </w:rPr>
              <w:t>63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C72B1F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7222194">
            <w:pPr>
              <w:widowControl/>
              <w:jc w:val="center"/>
              <w:textAlignment w:val="center"/>
              <w:rPr>
                <w:rFonts w:hint="eastAsia" w:ascii="宋体" w:hAnsi="宋体" w:cs="宋体"/>
                <w:sz w:val="24"/>
              </w:rPr>
            </w:pPr>
            <w:r>
              <w:rPr>
                <w:rFonts w:hint="eastAsia" w:ascii="宋体" w:hAnsi="宋体" w:cs="宋体"/>
                <w:kern w:val="0"/>
                <w:sz w:val="24"/>
                <w:lang w:bidi="ar"/>
              </w:rPr>
              <w:t>乙肝高效球蛋白接种登记本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036F043C">
            <w:pPr>
              <w:widowControl/>
              <w:textAlignment w:val="center"/>
              <w:rPr>
                <w:rFonts w:hint="eastAsia" w:ascii="宋体" w:hAnsi="宋体" w:cs="宋体"/>
                <w:sz w:val="24"/>
              </w:rPr>
            </w:pPr>
            <w:r>
              <w:rPr>
                <w:rFonts w:hint="eastAsia" w:ascii="宋体" w:hAnsi="宋体" w:cs="宋体"/>
                <w:kern w:val="0"/>
                <w:sz w:val="24"/>
                <w:lang w:bidi="ar"/>
              </w:rPr>
              <w:t xml:space="preserve">    乙肝高效球蛋白接种登记本功能聚焦接种信息的便捷管理，核心满足查询与数据导出两大需求。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该登记本支持直接查询乙肝高效球蛋白的接种相关记录，方便快速获取目标信息；同时具备导出功能，可将乙肝高效球蛋白接种登记本完整导出，便于后续的数据存档、核对统计或信息上报使用。</w:t>
            </w:r>
          </w:p>
        </w:tc>
      </w:tr>
      <w:tr w14:paraId="3687AA9C">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DAA881F">
            <w:pPr>
              <w:widowControl/>
              <w:jc w:val="center"/>
              <w:textAlignment w:val="center"/>
              <w:rPr>
                <w:rFonts w:hint="eastAsia" w:ascii="宋体" w:hAnsi="宋体" w:cs="宋体"/>
                <w:sz w:val="24"/>
              </w:rPr>
            </w:pPr>
            <w:r>
              <w:rPr>
                <w:rFonts w:hint="eastAsia" w:ascii="宋体" w:hAnsi="宋体" w:cs="宋体"/>
                <w:kern w:val="0"/>
                <w:sz w:val="24"/>
                <w:lang w:bidi="ar"/>
              </w:rPr>
              <w:t>64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234D99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08D3965">
            <w:pPr>
              <w:widowControl/>
              <w:jc w:val="center"/>
              <w:textAlignment w:val="center"/>
              <w:rPr>
                <w:rFonts w:hint="eastAsia" w:ascii="宋体" w:hAnsi="宋体" w:cs="宋体"/>
                <w:sz w:val="24"/>
              </w:rPr>
            </w:pPr>
            <w:r>
              <w:rPr>
                <w:rFonts w:hint="eastAsia" w:ascii="宋体" w:hAnsi="宋体" w:cs="宋体"/>
                <w:kern w:val="0"/>
                <w:sz w:val="24"/>
                <w:lang w:bidi="ar"/>
              </w:rPr>
              <w:t>梅毒治疗免费用药（卞星青霉素）登记本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24DFBDF8">
            <w:pPr>
              <w:widowControl/>
              <w:textAlignment w:val="center"/>
              <w:rPr>
                <w:rFonts w:hint="eastAsia" w:ascii="宋体" w:hAnsi="宋体" w:cs="宋体"/>
                <w:sz w:val="24"/>
              </w:rPr>
            </w:pPr>
            <w:r>
              <w:rPr>
                <w:rFonts w:hint="eastAsia" w:ascii="宋体" w:hAnsi="宋体" w:cs="宋体"/>
                <w:kern w:val="0"/>
                <w:sz w:val="24"/>
                <w:lang w:bidi="ar"/>
              </w:rPr>
              <w:t xml:space="preserve">   梅毒治疗免费用药（卞星青霉素）登记本功能围绕药品使用信息管理展开，核心满足查询与数据导出两大需求。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直接查询梅毒治疗免费用药（卞星青霉素）的相关记录，方便快速获取目标用药信息；同时具备导出功能，可将梅毒治疗免费用药（卞星青霉素）登记本完整导出，便于后续的数据存档、用药统计或信息核对使用。</w:t>
            </w:r>
          </w:p>
        </w:tc>
      </w:tr>
      <w:tr w14:paraId="7106782A">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DA90282">
            <w:pPr>
              <w:widowControl/>
              <w:jc w:val="center"/>
              <w:textAlignment w:val="center"/>
              <w:rPr>
                <w:rFonts w:hint="eastAsia" w:ascii="宋体" w:hAnsi="宋体" w:cs="宋体"/>
                <w:sz w:val="24"/>
              </w:rPr>
            </w:pPr>
            <w:r>
              <w:rPr>
                <w:rFonts w:hint="eastAsia" w:ascii="宋体" w:hAnsi="宋体" w:cs="宋体"/>
                <w:kern w:val="0"/>
                <w:sz w:val="24"/>
                <w:lang w:bidi="ar"/>
              </w:rPr>
              <w:t>65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7D1F4E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CAD9DFC">
            <w:pPr>
              <w:widowControl/>
              <w:jc w:val="center"/>
              <w:textAlignment w:val="center"/>
              <w:rPr>
                <w:rFonts w:hint="eastAsia" w:ascii="宋体" w:hAnsi="宋体" w:cs="宋体"/>
                <w:sz w:val="24"/>
              </w:rPr>
            </w:pPr>
            <w:r>
              <w:rPr>
                <w:rFonts w:hint="eastAsia" w:ascii="宋体" w:hAnsi="宋体" w:cs="宋体"/>
                <w:kern w:val="0"/>
                <w:sz w:val="24"/>
                <w:lang w:bidi="ar"/>
              </w:rPr>
              <w:t>新生儿预防梅毒注射卞星青霉素登记本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6B929261">
            <w:pPr>
              <w:widowControl/>
              <w:textAlignment w:val="center"/>
              <w:rPr>
                <w:rFonts w:hint="eastAsia" w:ascii="宋体" w:hAnsi="宋体" w:cs="宋体"/>
                <w:sz w:val="24"/>
              </w:rPr>
            </w:pPr>
            <w:r>
              <w:rPr>
                <w:rFonts w:hint="eastAsia" w:ascii="宋体" w:hAnsi="宋体" w:cs="宋体"/>
                <w:kern w:val="0"/>
                <w:sz w:val="24"/>
                <w:lang w:bidi="ar"/>
              </w:rPr>
              <w:t xml:space="preserve">  新生儿预防梅毒注射卞星青霉素登记本功能聚焦新生儿用药记录的便捷管理，核心满足查询与数据导出两大需求。  </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直接查询新生儿预防梅毒注射卞星青霉素的相关记录，方便快速定位目标用药信息；同时具备导出功能，可将新生儿预防梅毒注射卞星青霉素登记本完整导出，便于后续的数据存档、用药统计或信息核对使用。</w:t>
            </w:r>
          </w:p>
        </w:tc>
      </w:tr>
      <w:tr w14:paraId="550D763F">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03CD6E0">
            <w:pPr>
              <w:widowControl/>
              <w:jc w:val="center"/>
              <w:textAlignment w:val="center"/>
              <w:rPr>
                <w:rFonts w:hint="eastAsia" w:ascii="宋体" w:hAnsi="宋体" w:cs="宋体"/>
                <w:sz w:val="24"/>
              </w:rPr>
            </w:pPr>
            <w:r>
              <w:rPr>
                <w:rFonts w:hint="eastAsia" w:ascii="宋体" w:hAnsi="宋体" w:cs="宋体"/>
                <w:kern w:val="0"/>
                <w:sz w:val="24"/>
                <w:lang w:bidi="ar"/>
              </w:rPr>
              <w:t>67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590C0D57">
            <w:pPr>
              <w:widowControl/>
              <w:jc w:val="center"/>
              <w:textAlignment w:val="center"/>
              <w:rPr>
                <w:rFonts w:hint="eastAsia" w:ascii="宋体" w:hAnsi="宋体" w:cs="宋体"/>
                <w:sz w:val="24"/>
              </w:rPr>
            </w:pPr>
            <w:r>
              <w:rPr>
                <w:rFonts w:hint="eastAsia" w:ascii="宋体" w:hAnsi="宋体" w:cs="宋体"/>
                <w:kern w:val="0"/>
                <w:sz w:val="24"/>
                <w:lang w:bidi="ar"/>
              </w:rPr>
              <w:t>妊娠风险筛查与评估</w:t>
            </w:r>
          </w:p>
        </w:tc>
        <w:tc>
          <w:tcPr>
            <w:tcW w:w="1313" w:type="dxa"/>
            <w:tcBorders>
              <w:top w:val="single" w:color="000000" w:sz="4" w:space="0"/>
              <w:left w:val="single" w:color="000000" w:sz="4" w:space="0"/>
              <w:bottom w:val="single" w:color="000000" w:sz="4" w:space="0"/>
              <w:right w:val="single" w:color="000000" w:sz="4" w:space="0"/>
            </w:tcBorders>
            <w:vAlign w:val="center"/>
          </w:tcPr>
          <w:p w14:paraId="3E68A4C3">
            <w:pPr>
              <w:widowControl/>
              <w:jc w:val="center"/>
              <w:textAlignment w:val="center"/>
              <w:rPr>
                <w:rFonts w:hint="eastAsia" w:ascii="宋体" w:hAnsi="宋体" w:cs="宋体"/>
                <w:sz w:val="24"/>
              </w:rPr>
            </w:pPr>
            <w:r>
              <w:rPr>
                <w:rFonts w:hint="eastAsia" w:ascii="宋体" w:hAnsi="宋体" w:cs="宋体"/>
                <w:kern w:val="0"/>
                <w:sz w:val="24"/>
                <w:lang w:bidi="ar"/>
              </w:rPr>
              <w:t>建档风险筛查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4F85A4BB">
            <w:pPr>
              <w:widowControl/>
              <w:textAlignment w:val="center"/>
              <w:rPr>
                <w:rFonts w:hint="eastAsia" w:ascii="宋体" w:hAnsi="宋体" w:cs="宋体"/>
                <w:sz w:val="24"/>
              </w:rPr>
            </w:pPr>
            <w:r>
              <w:rPr>
                <w:rFonts w:hint="eastAsia" w:ascii="宋体" w:hAnsi="宋体" w:cs="宋体"/>
                <w:kern w:val="0"/>
                <w:sz w:val="24"/>
                <w:lang w:bidi="ar"/>
              </w:rPr>
              <w:t xml:space="preserve">    建档风险筛查功能围绕孕产妇风险信息的全流程管理展开，覆盖填写、修改、处理及输出全环节。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该功能支持基于建档信息填写风险信息筛查单，并可对已填写的筛查单进行修改或删除；若筛查结果为阳性，可直接进行评估与转诊操作；同时具备筛查报告单打印功能，方便纸质存档或使用；</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此外，还支持打开建档风险筛查 tab 页面，为工作人员提供专属操作入口，全方位满足风险筛查的规范化管理需求。</w:t>
            </w:r>
          </w:p>
        </w:tc>
      </w:tr>
      <w:tr w14:paraId="4951505E">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7E2057">
            <w:pPr>
              <w:widowControl/>
              <w:jc w:val="center"/>
              <w:textAlignment w:val="center"/>
              <w:rPr>
                <w:rFonts w:hint="eastAsia" w:ascii="宋体" w:hAnsi="宋体" w:cs="宋体"/>
                <w:sz w:val="24"/>
              </w:rPr>
            </w:pPr>
            <w:r>
              <w:rPr>
                <w:rFonts w:hint="eastAsia" w:ascii="宋体" w:hAnsi="宋体" w:cs="宋体"/>
                <w:kern w:val="0"/>
                <w:sz w:val="24"/>
                <w:lang w:bidi="ar"/>
              </w:rPr>
              <w:t>68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1AB47B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EB8529">
            <w:pPr>
              <w:widowControl/>
              <w:jc w:val="center"/>
              <w:textAlignment w:val="center"/>
              <w:rPr>
                <w:rFonts w:hint="eastAsia" w:ascii="宋体" w:hAnsi="宋体" w:cs="宋体"/>
                <w:sz w:val="24"/>
              </w:rPr>
            </w:pPr>
            <w:r>
              <w:rPr>
                <w:rFonts w:hint="eastAsia" w:ascii="宋体" w:hAnsi="宋体" w:cs="宋体"/>
                <w:kern w:val="0"/>
                <w:sz w:val="24"/>
                <w:lang w:bidi="ar"/>
              </w:rPr>
              <w:t>初诊风险筛查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40604C06">
            <w:pPr>
              <w:widowControl/>
              <w:textAlignment w:val="center"/>
              <w:rPr>
                <w:rFonts w:hint="eastAsia" w:ascii="宋体" w:hAnsi="宋体" w:cs="宋体"/>
                <w:sz w:val="24"/>
              </w:rPr>
            </w:pPr>
            <w:r>
              <w:rPr>
                <w:rFonts w:hint="eastAsia" w:ascii="宋体" w:hAnsi="宋体" w:cs="宋体"/>
                <w:kern w:val="0"/>
                <w:sz w:val="24"/>
                <w:lang w:bidi="ar"/>
              </w:rPr>
              <w:t xml:space="preserve">   初诊风险筛查功能围绕初诊阶段的风险信息管理展开，覆盖录入、调整、处理、重复筛查及结果输出全流程。</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在初诊时录入风险信息筛查内容，可对已选择的风险筛查因素选项进行修改或删除；若筛查结果为阳性，能直接开展评估与转诊操作；同时允许进行多次风险筛查，以动态跟踪风险变化，还具备筛查报告单打印功能方便存档；</w:t>
            </w:r>
            <w:r>
              <w:rPr>
                <w:rFonts w:hint="eastAsia" w:ascii="宋体" w:hAnsi="宋体" w:cs="宋体"/>
                <w:kern w:val="0"/>
                <w:sz w:val="24"/>
                <w:lang w:bidi="ar"/>
              </w:rPr>
              <w:br w:type="textWrapping"/>
            </w:r>
            <w:r>
              <w:rPr>
                <w:rFonts w:hint="eastAsia" w:ascii="宋体" w:hAnsi="宋体" w:cs="宋体"/>
                <w:kern w:val="0"/>
                <w:sz w:val="24"/>
                <w:lang w:bidi="ar"/>
              </w:rPr>
              <w:t xml:space="preserve">    此外，支持打开初诊风险筛查 tab 页面，为工作人员提供专属操作入口，全方位满足初诊风险筛查的规范化与灵活化管理需求。</w:t>
            </w:r>
          </w:p>
        </w:tc>
      </w:tr>
      <w:tr w14:paraId="5039C212">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F85018F">
            <w:pPr>
              <w:widowControl/>
              <w:jc w:val="center"/>
              <w:textAlignment w:val="center"/>
              <w:rPr>
                <w:rFonts w:hint="eastAsia" w:ascii="宋体" w:hAnsi="宋体" w:cs="宋体"/>
                <w:sz w:val="24"/>
              </w:rPr>
            </w:pPr>
            <w:r>
              <w:rPr>
                <w:rFonts w:hint="eastAsia" w:ascii="宋体" w:hAnsi="宋体" w:cs="宋体"/>
                <w:kern w:val="0"/>
                <w:sz w:val="24"/>
                <w:lang w:bidi="ar"/>
              </w:rPr>
              <w:t>69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C99BBD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0C90338">
            <w:pPr>
              <w:widowControl/>
              <w:jc w:val="center"/>
              <w:textAlignment w:val="center"/>
              <w:rPr>
                <w:rFonts w:hint="eastAsia" w:ascii="宋体" w:hAnsi="宋体" w:cs="宋体"/>
                <w:sz w:val="24"/>
              </w:rPr>
            </w:pPr>
            <w:r>
              <w:rPr>
                <w:rFonts w:hint="eastAsia" w:ascii="宋体" w:hAnsi="宋体" w:cs="宋体"/>
                <w:kern w:val="0"/>
                <w:sz w:val="24"/>
                <w:lang w:bidi="ar"/>
              </w:rPr>
              <w:t>风险筛查因素管理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A8D77CC">
            <w:pPr>
              <w:widowControl/>
              <w:textAlignment w:val="center"/>
              <w:rPr>
                <w:rFonts w:hint="eastAsia" w:ascii="宋体" w:hAnsi="宋体" w:cs="宋体"/>
                <w:sz w:val="24"/>
              </w:rPr>
            </w:pPr>
            <w:r>
              <w:rPr>
                <w:rFonts w:hint="eastAsia" w:ascii="宋体" w:hAnsi="宋体" w:cs="宋体"/>
                <w:kern w:val="0"/>
                <w:sz w:val="24"/>
                <w:lang w:bidi="ar"/>
              </w:rPr>
              <w:t xml:space="preserve">   风险筛查因素管理功能聚焦筛查因素的基础配置与权限控制，核心实现因素的全生命周期管理。</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该功能支持对风险筛查因素进行添加、修改操作，同时允许删除未使用的因素，但已使用过的风险筛查因素不允许删除，以保障数据一致性；</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此外，还支持打开风险筛查因素管理 tab 页面，为工作人员提供专属操作入口，全方位满足筛查因素的规范化配置需求。</w:t>
            </w:r>
          </w:p>
        </w:tc>
      </w:tr>
      <w:tr w14:paraId="061A941B">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2D71B22">
            <w:pPr>
              <w:widowControl/>
              <w:jc w:val="center"/>
              <w:textAlignment w:val="center"/>
              <w:rPr>
                <w:rFonts w:hint="eastAsia" w:ascii="宋体" w:hAnsi="宋体" w:cs="宋体"/>
                <w:sz w:val="24"/>
              </w:rPr>
            </w:pPr>
            <w:r>
              <w:rPr>
                <w:rFonts w:hint="eastAsia" w:ascii="宋体" w:hAnsi="宋体" w:cs="宋体"/>
                <w:kern w:val="0"/>
                <w:sz w:val="24"/>
                <w:lang w:bidi="ar"/>
              </w:rPr>
              <w:t>70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138C51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9EDBFC0">
            <w:pPr>
              <w:widowControl/>
              <w:jc w:val="center"/>
              <w:textAlignment w:val="center"/>
              <w:rPr>
                <w:rFonts w:hint="eastAsia" w:ascii="宋体" w:hAnsi="宋体" w:cs="宋体"/>
                <w:sz w:val="24"/>
              </w:rPr>
            </w:pPr>
            <w:r>
              <w:rPr>
                <w:rFonts w:hint="eastAsia" w:ascii="宋体" w:hAnsi="宋体" w:cs="宋体"/>
                <w:kern w:val="0"/>
                <w:sz w:val="24"/>
                <w:lang w:bidi="ar"/>
              </w:rPr>
              <w:t>风险评估</w:t>
            </w:r>
          </w:p>
        </w:tc>
        <w:tc>
          <w:tcPr>
            <w:tcW w:w="9687" w:type="dxa"/>
            <w:tcBorders>
              <w:top w:val="single" w:color="000000" w:sz="4" w:space="0"/>
              <w:left w:val="single" w:color="000000" w:sz="4" w:space="0"/>
              <w:bottom w:val="single" w:color="000000" w:sz="4" w:space="0"/>
              <w:right w:val="single" w:color="000000" w:sz="4" w:space="0"/>
            </w:tcBorders>
            <w:vAlign w:val="center"/>
          </w:tcPr>
          <w:p w14:paraId="50E1EBA9">
            <w:pPr>
              <w:widowControl/>
              <w:textAlignment w:val="center"/>
              <w:rPr>
                <w:rFonts w:hint="eastAsia" w:ascii="宋体" w:hAnsi="宋体" w:cs="宋体"/>
                <w:sz w:val="24"/>
              </w:rPr>
            </w:pPr>
            <w:r>
              <w:rPr>
                <w:rFonts w:hint="eastAsia" w:ascii="宋体" w:hAnsi="宋体" w:cs="宋体"/>
                <w:kern w:val="0"/>
                <w:sz w:val="24"/>
                <w:lang w:bidi="ar"/>
              </w:rPr>
              <w:t xml:space="preserve">    风险评估功能围绕孕产妇全周期风险管控展开，覆盖多场景评估、外部信息接收、结果输出及记录联动全环节。</w:t>
            </w:r>
            <w:r>
              <w:rPr>
                <w:rFonts w:hint="eastAsia" w:ascii="宋体" w:hAnsi="宋体" w:cs="宋体"/>
                <w:kern w:val="0"/>
                <w:sz w:val="24"/>
                <w:lang w:bidi="ar"/>
              </w:rPr>
              <w:br w:type="textWrapping"/>
            </w:r>
            <w:r>
              <w:rPr>
                <w:rFonts w:hint="eastAsia" w:ascii="宋体" w:hAnsi="宋体" w:cs="宋体"/>
                <w:kern w:val="0"/>
                <w:sz w:val="24"/>
                <w:lang w:bidi="ar"/>
              </w:rPr>
              <w:t xml:space="preserve">    该系统支持对风险筛查阳性的孕妇进行评估，可在初诊、复诊、分娩等关键节点开展评估，还能接收基层单位上传的阳性孕妇信息并进行评估；评估后可打印评估报告单，且在保健产检或分娩时自动调取最近一次评估记录；</w:t>
            </w:r>
            <w:r>
              <w:rPr>
                <w:rFonts w:hint="eastAsia" w:ascii="宋体" w:hAnsi="宋体" w:cs="宋体"/>
                <w:kern w:val="0"/>
                <w:sz w:val="24"/>
                <w:lang w:bidi="ar"/>
              </w:rPr>
              <w:br w:type="textWrapping"/>
            </w:r>
            <w:r>
              <w:rPr>
                <w:rFonts w:hint="eastAsia" w:ascii="宋体" w:hAnsi="宋体" w:cs="宋体"/>
                <w:kern w:val="0"/>
                <w:sz w:val="24"/>
                <w:lang w:bidi="ar"/>
              </w:rPr>
              <w:t xml:space="preserve">    同时支持导出孕产妇风险筛查待首次评估列表，方便跟踪未评估对象，也支持打开风险评估 tab 页面作为专属操作入口，全方位满足孕产妇风险评估的规范化与高效化管理需求。</w:t>
            </w:r>
          </w:p>
        </w:tc>
      </w:tr>
      <w:tr w14:paraId="41A549BA">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B07DE4">
            <w:pPr>
              <w:widowControl/>
              <w:jc w:val="center"/>
              <w:textAlignment w:val="center"/>
              <w:rPr>
                <w:rFonts w:hint="eastAsia" w:ascii="宋体" w:hAnsi="宋体" w:cs="宋体"/>
                <w:sz w:val="24"/>
              </w:rPr>
            </w:pPr>
            <w:r>
              <w:rPr>
                <w:rFonts w:hint="eastAsia" w:ascii="宋体" w:hAnsi="宋体" w:cs="宋体"/>
                <w:kern w:val="0"/>
                <w:sz w:val="24"/>
                <w:lang w:bidi="ar"/>
              </w:rPr>
              <w:t>71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1DA628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201BE0F">
            <w:pPr>
              <w:widowControl/>
              <w:jc w:val="center"/>
              <w:textAlignment w:val="center"/>
              <w:rPr>
                <w:rFonts w:hint="eastAsia" w:ascii="宋体" w:hAnsi="宋体" w:cs="宋体"/>
                <w:sz w:val="24"/>
              </w:rPr>
            </w:pPr>
            <w:r>
              <w:rPr>
                <w:rFonts w:hint="eastAsia" w:ascii="宋体" w:hAnsi="宋体" w:cs="宋体"/>
                <w:kern w:val="0"/>
                <w:sz w:val="24"/>
                <w:lang w:bidi="ar"/>
              </w:rPr>
              <w:t>风险评估因素管理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7E5456D">
            <w:pPr>
              <w:widowControl/>
              <w:textAlignment w:val="center"/>
              <w:rPr>
                <w:rFonts w:hint="eastAsia" w:ascii="宋体" w:hAnsi="宋体" w:cs="宋体"/>
                <w:sz w:val="24"/>
              </w:rPr>
            </w:pPr>
            <w:r>
              <w:rPr>
                <w:rFonts w:hint="eastAsia" w:ascii="宋体" w:hAnsi="宋体" w:cs="宋体"/>
                <w:kern w:val="0"/>
                <w:sz w:val="24"/>
                <w:lang w:bidi="ar"/>
              </w:rPr>
              <w:t xml:space="preserve">    风险评估因素管理功能聚焦评估因素的基础配置与数据安全管控，核心实现因素的全生命周期管理。</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该功能支持对风险评估因素进行添加和修改操作，也允许删除未使用的因素，但已使用过的风险评估因素不允许删除，以保障历史评估数据的完整性；</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此外，还支持打开风险评估因素管理 tab 页面，为工作人员提供专属操作入口，全方位满足风险评估因素的规范化配置需求。</w:t>
            </w:r>
          </w:p>
        </w:tc>
      </w:tr>
      <w:tr w14:paraId="3A99AEFB">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D0A4A52">
            <w:pPr>
              <w:widowControl/>
              <w:jc w:val="center"/>
              <w:textAlignment w:val="center"/>
              <w:rPr>
                <w:rFonts w:hint="eastAsia" w:ascii="宋体" w:hAnsi="宋体" w:cs="宋体"/>
                <w:sz w:val="24"/>
              </w:rPr>
            </w:pPr>
            <w:r>
              <w:rPr>
                <w:rFonts w:hint="eastAsia" w:ascii="宋体" w:hAnsi="宋体" w:cs="宋体"/>
                <w:kern w:val="0"/>
                <w:sz w:val="24"/>
                <w:lang w:bidi="ar"/>
              </w:rPr>
              <w:t>72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ED21F4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05D702">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1162BC3">
            <w:pPr>
              <w:widowControl/>
              <w:textAlignment w:val="center"/>
              <w:rPr>
                <w:rFonts w:hint="eastAsia" w:ascii="宋体" w:hAnsi="宋体" w:cs="宋体"/>
                <w:sz w:val="24"/>
              </w:rPr>
            </w:pPr>
            <w:r>
              <w:rPr>
                <w:rFonts w:hint="eastAsia" w:ascii="宋体" w:hAnsi="宋体" w:cs="宋体"/>
                <w:kern w:val="0"/>
                <w:sz w:val="24"/>
                <w:lang w:bidi="ar"/>
              </w:rPr>
              <w:t xml:space="preserve">    登记本功能围绕孕产妇风险相关信息的查询与导出展开，覆盖筛查、评估、报告及花名册等多类核心表单。</w:t>
            </w:r>
            <w:r>
              <w:rPr>
                <w:rFonts w:hint="eastAsia" w:ascii="宋体" w:hAnsi="宋体" w:cs="宋体"/>
                <w:kern w:val="0"/>
                <w:sz w:val="24"/>
                <w:lang w:bidi="ar"/>
              </w:rPr>
              <w:br w:type="textWrapping"/>
            </w:r>
            <w:r>
              <w:rPr>
                <w:rFonts w:hint="eastAsia" w:ascii="宋体" w:hAnsi="宋体" w:cs="宋体"/>
                <w:kern w:val="0"/>
                <w:sz w:val="24"/>
                <w:lang w:bidi="ar"/>
              </w:rPr>
              <w:t xml:space="preserve">    该系统支持查询和导出两类基础登记本，分别是妊娠风险筛查登记本与风险评估登记本；</w:t>
            </w:r>
            <w:r>
              <w:rPr>
                <w:rFonts w:hint="eastAsia" w:ascii="宋体" w:hAnsi="宋体" w:cs="宋体"/>
                <w:kern w:val="0"/>
                <w:sz w:val="24"/>
                <w:lang w:bidi="ar"/>
              </w:rPr>
              <w:br w:type="textWrapping"/>
            </w:r>
            <w:r>
              <w:rPr>
                <w:rFonts w:hint="eastAsia" w:ascii="宋体" w:hAnsi="宋体" w:cs="宋体"/>
                <w:kern w:val="0"/>
                <w:sz w:val="24"/>
                <w:lang w:bidi="ar"/>
              </w:rPr>
              <w:t xml:space="preserve">    同时支持查询和导出两类专项文档，分别是孕产妇风险评估报告表与妊娠风险评估个案花名册，全方位满足风险管理过程中的信息调取与数据存档需求。</w:t>
            </w:r>
          </w:p>
        </w:tc>
      </w:tr>
      <w:tr w14:paraId="4003D276">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DAB68A">
            <w:pPr>
              <w:widowControl/>
              <w:jc w:val="center"/>
              <w:textAlignment w:val="center"/>
              <w:rPr>
                <w:rFonts w:hint="eastAsia" w:ascii="宋体" w:hAnsi="宋体" w:cs="宋体"/>
                <w:sz w:val="24"/>
              </w:rPr>
            </w:pPr>
            <w:r>
              <w:rPr>
                <w:rFonts w:hint="eastAsia" w:ascii="宋体" w:hAnsi="宋体" w:cs="宋体"/>
                <w:kern w:val="0"/>
                <w:sz w:val="24"/>
                <w:lang w:bidi="ar"/>
              </w:rPr>
              <w:t>73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599A06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1AC5CB3">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3C6D1678">
            <w:pPr>
              <w:widowControl/>
              <w:textAlignment w:val="center"/>
              <w:rPr>
                <w:rFonts w:hint="eastAsia" w:ascii="宋体" w:hAnsi="宋体" w:cs="宋体"/>
                <w:sz w:val="24"/>
              </w:rPr>
            </w:pPr>
            <w:r>
              <w:rPr>
                <w:rFonts w:hint="eastAsia" w:ascii="宋体" w:hAnsi="宋体" w:cs="宋体"/>
                <w:kern w:val="0"/>
                <w:sz w:val="24"/>
                <w:lang w:bidi="ar"/>
              </w:rPr>
              <w:t xml:space="preserve">    统计分析功能围绕孕产妇风险管理的核心环节展开，聚焦筛查、评估、转诊三类关键数据的查询与导出需求。</w:t>
            </w:r>
            <w:r>
              <w:rPr>
                <w:rFonts w:hint="eastAsia" w:ascii="宋体" w:hAnsi="宋体" w:cs="宋体"/>
                <w:kern w:val="0"/>
                <w:sz w:val="24"/>
                <w:lang w:bidi="ar"/>
              </w:rPr>
              <w:br w:type="textWrapping"/>
            </w:r>
            <w:r>
              <w:rPr>
                <w:rFonts w:hint="eastAsia" w:ascii="宋体" w:hAnsi="宋体" w:cs="宋体"/>
                <w:kern w:val="0"/>
                <w:sz w:val="24"/>
                <w:lang w:bidi="ar"/>
              </w:rPr>
              <w:t xml:space="preserve">    该系统支持分别查询风险筛查统计分析、风险评估统计分析、转诊情况统计分析结果，且针对每类统计分析，均提供对应的导出功能，方便后续数据存档、汇报或深度分析使用，全方位满足风险管理中的数据统计与应用需求。</w:t>
            </w:r>
          </w:p>
        </w:tc>
      </w:tr>
      <w:tr w14:paraId="276CD0FC">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DADBCAD">
            <w:pPr>
              <w:widowControl/>
              <w:jc w:val="center"/>
              <w:textAlignment w:val="center"/>
              <w:rPr>
                <w:rFonts w:hint="eastAsia" w:ascii="宋体" w:hAnsi="宋体" w:cs="宋体"/>
                <w:sz w:val="24"/>
              </w:rPr>
            </w:pPr>
            <w:r>
              <w:rPr>
                <w:rFonts w:hint="eastAsia" w:ascii="宋体" w:hAnsi="宋体" w:cs="宋体"/>
                <w:kern w:val="0"/>
                <w:sz w:val="24"/>
                <w:lang w:bidi="ar"/>
              </w:rPr>
              <w:t>75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D2C2173">
            <w:pPr>
              <w:widowControl/>
              <w:jc w:val="center"/>
              <w:textAlignment w:val="center"/>
              <w:rPr>
                <w:rFonts w:hint="eastAsia" w:ascii="宋体" w:hAnsi="宋体" w:cs="宋体"/>
                <w:sz w:val="24"/>
              </w:rPr>
            </w:pPr>
            <w:r>
              <w:rPr>
                <w:rFonts w:hint="eastAsia" w:ascii="宋体" w:hAnsi="宋体" w:cs="宋体"/>
                <w:kern w:val="0"/>
                <w:sz w:val="24"/>
                <w:lang w:bidi="ar"/>
              </w:rPr>
              <w:t>高危孕产妇预警</w:t>
            </w:r>
          </w:p>
        </w:tc>
        <w:tc>
          <w:tcPr>
            <w:tcW w:w="1313" w:type="dxa"/>
            <w:tcBorders>
              <w:top w:val="single" w:color="000000" w:sz="4" w:space="0"/>
              <w:left w:val="single" w:color="000000" w:sz="4" w:space="0"/>
              <w:bottom w:val="single" w:color="000000" w:sz="4" w:space="0"/>
              <w:right w:val="single" w:color="000000" w:sz="4" w:space="0"/>
            </w:tcBorders>
            <w:vAlign w:val="center"/>
          </w:tcPr>
          <w:p w14:paraId="610C0221">
            <w:pPr>
              <w:widowControl/>
              <w:jc w:val="center"/>
              <w:textAlignment w:val="center"/>
              <w:rPr>
                <w:rFonts w:hint="eastAsia" w:ascii="宋体" w:hAnsi="宋体" w:cs="宋体"/>
                <w:sz w:val="24"/>
              </w:rPr>
            </w:pPr>
            <w:r>
              <w:rPr>
                <w:rFonts w:hint="eastAsia" w:ascii="宋体" w:hAnsi="宋体" w:cs="宋体"/>
                <w:kern w:val="0"/>
                <w:sz w:val="24"/>
                <w:lang w:bidi="ar"/>
              </w:rPr>
              <w:t>预警指标设置</w:t>
            </w:r>
          </w:p>
        </w:tc>
        <w:tc>
          <w:tcPr>
            <w:tcW w:w="9687" w:type="dxa"/>
            <w:tcBorders>
              <w:top w:val="single" w:color="000000" w:sz="4" w:space="0"/>
              <w:left w:val="single" w:color="000000" w:sz="4" w:space="0"/>
              <w:bottom w:val="single" w:color="000000" w:sz="4" w:space="0"/>
              <w:right w:val="single" w:color="000000" w:sz="4" w:space="0"/>
            </w:tcBorders>
            <w:vAlign w:val="center"/>
          </w:tcPr>
          <w:p w14:paraId="24BAA586">
            <w:pPr>
              <w:widowControl/>
              <w:textAlignment w:val="center"/>
              <w:rPr>
                <w:rFonts w:hint="eastAsia" w:ascii="宋体" w:hAnsi="宋体" w:cs="宋体"/>
                <w:sz w:val="24"/>
              </w:rPr>
            </w:pPr>
            <w:r>
              <w:rPr>
                <w:rFonts w:hint="eastAsia" w:ascii="宋体" w:hAnsi="宋体" w:cs="宋体"/>
                <w:kern w:val="0"/>
                <w:sz w:val="24"/>
                <w:lang w:bidi="ar"/>
              </w:rPr>
              <w:t xml:space="preserve">    对高危孕产妇预警指标进行添加，不同的指标，可以设置不同范围，包括指标对应的体检时间，指标类型，指标最大值和最小值，异常数据范围。可以模糊查询某一指标进行配置。打开预警指标页面，可以查询并导出已经配置好的预警指标内容。</w:t>
            </w:r>
          </w:p>
        </w:tc>
      </w:tr>
      <w:tr w14:paraId="25399B07">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49A1C15">
            <w:pPr>
              <w:widowControl/>
              <w:jc w:val="center"/>
              <w:textAlignment w:val="center"/>
              <w:rPr>
                <w:rFonts w:hint="eastAsia" w:ascii="宋体" w:hAnsi="宋体" w:cs="宋体"/>
                <w:sz w:val="24"/>
              </w:rPr>
            </w:pPr>
            <w:r>
              <w:rPr>
                <w:rFonts w:hint="eastAsia" w:ascii="宋体" w:hAnsi="宋体" w:cs="宋体"/>
                <w:kern w:val="0"/>
                <w:sz w:val="24"/>
                <w:lang w:bidi="ar"/>
              </w:rPr>
              <w:t>76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733FE8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0B7B9DD">
            <w:pPr>
              <w:widowControl/>
              <w:jc w:val="center"/>
              <w:textAlignment w:val="center"/>
              <w:rPr>
                <w:rFonts w:hint="eastAsia" w:ascii="宋体" w:hAnsi="宋体" w:cs="宋体"/>
                <w:sz w:val="24"/>
              </w:rPr>
            </w:pPr>
            <w:r>
              <w:rPr>
                <w:rFonts w:hint="eastAsia" w:ascii="宋体" w:hAnsi="宋体" w:cs="宋体"/>
                <w:kern w:val="0"/>
                <w:sz w:val="24"/>
                <w:lang w:bidi="ar"/>
              </w:rPr>
              <w:t>预警指标管理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36217D8">
            <w:pPr>
              <w:widowControl/>
              <w:textAlignment w:val="center"/>
              <w:rPr>
                <w:rFonts w:hint="eastAsia" w:ascii="宋体" w:hAnsi="宋体" w:cs="宋体"/>
                <w:sz w:val="24"/>
              </w:rPr>
            </w:pPr>
            <w:r>
              <w:rPr>
                <w:rFonts w:hint="eastAsia" w:ascii="宋体" w:hAnsi="宋体" w:cs="宋体"/>
                <w:kern w:val="0"/>
                <w:sz w:val="24"/>
                <w:lang w:bidi="ar"/>
              </w:rPr>
              <w:t xml:space="preserve">    对已经设置好的预警指标进行管理，为满足日常业务使用，可以将多个预警指标进行组合添加生成一类预警管理，可以修改和删除已设置的预警指标管理。并查询已经设置好的指标配置。</w:t>
            </w:r>
          </w:p>
        </w:tc>
      </w:tr>
      <w:tr w14:paraId="6BAE44A7">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FD220D">
            <w:pPr>
              <w:widowControl/>
              <w:jc w:val="center"/>
              <w:textAlignment w:val="center"/>
              <w:rPr>
                <w:rFonts w:hint="eastAsia" w:ascii="宋体" w:hAnsi="宋体" w:cs="宋体"/>
                <w:sz w:val="24"/>
              </w:rPr>
            </w:pPr>
            <w:r>
              <w:rPr>
                <w:rFonts w:hint="eastAsia" w:ascii="宋体" w:hAnsi="宋体" w:cs="宋体"/>
                <w:kern w:val="0"/>
                <w:sz w:val="24"/>
                <w:lang w:bidi="ar"/>
              </w:rPr>
              <w:t>77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31023A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D341906">
            <w:pPr>
              <w:widowControl/>
              <w:jc w:val="center"/>
              <w:textAlignment w:val="center"/>
              <w:rPr>
                <w:rFonts w:hint="eastAsia" w:ascii="宋体" w:hAnsi="宋体" w:cs="宋体"/>
                <w:sz w:val="24"/>
              </w:rPr>
            </w:pPr>
            <w:r>
              <w:rPr>
                <w:rFonts w:hint="eastAsia" w:ascii="宋体" w:hAnsi="宋体" w:cs="宋体"/>
                <w:kern w:val="0"/>
                <w:sz w:val="24"/>
                <w:lang w:bidi="ar"/>
              </w:rPr>
              <w:t>预警任务管理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2B10233">
            <w:pPr>
              <w:widowControl/>
              <w:textAlignment w:val="center"/>
              <w:rPr>
                <w:rFonts w:hint="eastAsia" w:ascii="宋体" w:hAnsi="宋体" w:cs="宋体"/>
                <w:sz w:val="24"/>
              </w:rPr>
            </w:pPr>
            <w:r>
              <w:rPr>
                <w:rFonts w:hint="eastAsia" w:ascii="宋体" w:hAnsi="宋体" w:cs="宋体"/>
                <w:kern w:val="0"/>
                <w:sz w:val="24"/>
                <w:lang w:bidi="ar"/>
              </w:rPr>
              <w:t xml:space="preserve">    按照管理要求，发布预警指标的监控范围，进行预警监测，发布预警任务，对已经设置的预警指标配置添加执行任务，可以修改和删除任务。</w:t>
            </w:r>
          </w:p>
        </w:tc>
      </w:tr>
      <w:tr w14:paraId="150AA918">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78CAA9D">
            <w:pPr>
              <w:widowControl/>
              <w:jc w:val="center"/>
              <w:textAlignment w:val="center"/>
              <w:rPr>
                <w:rFonts w:hint="eastAsia" w:ascii="宋体" w:hAnsi="宋体" w:cs="宋体"/>
                <w:sz w:val="24"/>
              </w:rPr>
            </w:pPr>
            <w:r>
              <w:rPr>
                <w:rFonts w:hint="eastAsia" w:ascii="宋体" w:hAnsi="宋体" w:cs="宋体"/>
                <w:kern w:val="0"/>
                <w:sz w:val="24"/>
                <w:lang w:bidi="ar"/>
              </w:rPr>
              <w:t>78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A7A0AE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700E66F">
            <w:pPr>
              <w:widowControl/>
              <w:jc w:val="center"/>
              <w:textAlignment w:val="center"/>
              <w:rPr>
                <w:rFonts w:hint="eastAsia" w:ascii="宋体" w:hAnsi="宋体" w:cs="宋体"/>
                <w:sz w:val="24"/>
              </w:rPr>
            </w:pPr>
            <w:r>
              <w:rPr>
                <w:rFonts w:hint="eastAsia" w:ascii="宋体" w:hAnsi="宋体" w:cs="宋体"/>
                <w:kern w:val="0"/>
                <w:sz w:val="24"/>
                <w:lang w:bidi="ar"/>
              </w:rPr>
              <w:t>异常孕产妇</w:t>
            </w:r>
          </w:p>
        </w:tc>
        <w:tc>
          <w:tcPr>
            <w:tcW w:w="9687" w:type="dxa"/>
            <w:tcBorders>
              <w:top w:val="single" w:color="000000" w:sz="4" w:space="0"/>
              <w:left w:val="single" w:color="000000" w:sz="4" w:space="0"/>
              <w:bottom w:val="single" w:color="000000" w:sz="4" w:space="0"/>
              <w:right w:val="single" w:color="000000" w:sz="4" w:space="0"/>
            </w:tcBorders>
            <w:vAlign w:val="center"/>
          </w:tcPr>
          <w:p w14:paraId="4894F1BD">
            <w:pPr>
              <w:widowControl/>
              <w:textAlignment w:val="center"/>
              <w:rPr>
                <w:rFonts w:hint="eastAsia" w:ascii="宋体" w:hAnsi="宋体" w:cs="宋体"/>
                <w:sz w:val="24"/>
              </w:rPr>
            </w:pPr>
            <w:r>
              <w:rPr>
                <w:rFonts w:hint="eastAsia" w:ascii="宋体" w:hAnsi="宋体" w:cs="宋体"/>
                <w:kern w:val="0"/>
                <w:sz w:val="24"/>
                <w:lang w:bidi="ar"/>
              </w:rPr>
              <w:t xml:space="preserve">    根据预警指标设置的范围和预警任务设置的规则，自动生成异常孕产妇列表。可以根据管理单位，分类查询异常孕产妇，并查看异常原因。可以导出查询的异常孕产妇数据列表。</w:t>
            </w:r>
          </w:p>
        </w:tc>
      </w:tr>
      <w:tr w14:paraId="5E0873FE">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505B17E">
            <w:pPr>
              <w:widowControl/>
              <w:jc w:val="center"/>
              <w:textAlignment w:val="center"/>
              <w:rPr>
                <w:rFonts w:hint="eastAsia" w:ascii="宋体" w:hAnsi="宋体" w:cs="宋体"/>
                <w:sz w:val="24"/>
              </w:rPr>
            </w:pPr>
            <w:r>
              <w:rPr>
                <w:rFonts w:hint="eastAsia" w:ascii="宋体" w:hAnsi="宋体" w:cs="宋体"/>
                <w:kern w:val="0"/>
                <w:sz w:val="24"/>
                <w:lang w:bidi="ar"/>
              </w:rPr>
              <w:t>79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6771C5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2863EB2">
            <w:pPr>
              <w:widowControl/>
              <w:jc w:val="center"/>
              <w:textAlignment w:val="center"/>
              <w:rPr>
                <w:rFonts w:hint="eastAsia" w:ascii="宋体" w:hAnsi="宋体" w:cs="宋体"/>
                <w:sz w:val="24"/>
              </w:rPr>
            </w:pPr>
            <w:r>
              <w:rPr>
                <w:rFonts w:hint="eastAsia" w:ascii="宋体" w:hAnsi="宋体" w:cs="宋体"/>
                <w:kern w:val="0"/>
                <w:sz w:val="24"/>
                <w:lang w:bidi="ar"/>
              </w:rPr>
              <w:t>预警发布</w:t>
            </w:r>
          </w:p>
        </w:tc>
        <w:tc>
          <w:tcPr>
            <w:tcW w:w="9687" w:type="dxa"/>
            <w:tcBorders>
              <w:top w:val="single" w:color="000000" w:sz="4" w:space="0"/>
              <w:left w:val="single" w:color="000000" w:sz="4" w:space="0"/>
              <w:bottom w:val="single" w:color="000000" w:sz="4" w:space="0"/>
              <w:right w:val="single" w:color="000000" w:sz="4" w:space="0"/>
            </w:tcBorders>
            <w:vAlign w:val="center"/>
          </w:tcPr>
          <w:p w14:paraId="63200263">
            <w:pPr>
              <w:widowControl/>
              <w:textAlignment w:val="center"/>
              <w:rPr>
                <w:rFonts w:hint="eastAsia" w:ascii="宋体" w:hAnsi="宋体" w:cs="宋体"/>
                <w:sz w:val="24"/>
              </w:rPr>
            </w:pPr>
            <w:r>
              <w:rPr>
                <w:rFonts w:hint="eastAsia" w:ascii="宋体" w:hAnsi="宋体" w:cs="宋体"/>
                <w:kern w:val="0"/>
                <w:sz w:val="24"/>
                <w:lang w:bidi="ar"/>
              </w:rPr>
              <w:t xml:space="preserve">    预警发布旨在构建一个高效、可靠的孕产妇健康预警信息发布与追踪体系。其核心业务目标是确保重要的孕产期健康预警信息能够被及时、准确地送达给相关负责人。系统首先建立了灵活的预警接收人管理机制，设置接收人的手机号和短信内容。也可以获取产检保健医生手机号码自动设置为预警消息接收人。为了保障信息送达的有效性，系统对每一次发送任务的状态进行全程监控与记录，明确反馈消息发送结果，可以查看每一次的发送记录并导出。系统可以打开预警设置tab页面，为用户提供高效便捷的操作入口。</w:t>
            </w:r>
          </w:p>
        </w:tc>
      </w:tr>
      <w:tr w14:paraId="4730BBFE">
        <w:tblPrEx>
          <w:tblCellMar>
            <w:top w:w="0" w:type="dxa"/>
            <w:left w:w="108" w:type="dxa"/>
            <w:bottom w:w="0" w:type="dxa"/>
            <w:right w:w="108" w:type="dxa"/>
          </w:tblCellMar>
        </w:tblPrEx>
        <w:trPr>
          <w:trHeight w:val="45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556C3EC">
            <w:pPr>
              <w:widowControl/>
              <w:jc w:val="center"/>
              <w:textAlignment w:val="center"/>
              <w:rPr>
                <w:rFonts w:hint="eastAsia" w:ascii="宋体" w:hAnsi="宋体" w:cs="宋体"/>
                <w:sz w:val="24"/>
              </w:rPr>
            </w:pPr>
            <w:r>
              <w:rPr>
                <w:rFonts w:hint="eastAsia" w:ascii="宋体" w:hAnsi="宋体" w:cs="宋体"/>
                <w:kern w:val="0"/>
                <w:sz w:val="24"/>
                <w:lang w:bidi="ar"/>
              </w:rPr>
              <w:t>80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CA6F6B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C54D833">
            <w:pPr>
              <w:widowControl/>
              <w:jc w:val="center"/>
              <w:textAlignment w:val="center"/>
              <w:rPr>
                <w:rFonts w:hint="eastAsia" w:ascii="宋体" w:hAnsi="宋体" w:cs="宋体"/>
                <w:sz w:val="24"/>
              </w:rPr>
            </w:pPr>
            <w:r>
              <w:rPr>
                <w:rFonts w:hint="eastAsia" w:ascii="宋体" w:hAnsi="宋体" w:cs="宋体"/>
                <w:kern w:val="0"/>
                <w:sz w:val="24"/>
                <w:lang w:bidi="ar"/>
              </w:rPr>
              <w:t>随访</w:t>
            </w:r>
          </w:p>
        </w:tc>
        <w:tc>
          <w:tcPr>
            <w:tcW w:w="9687" w:type="dxa"/>
            <w:tcBorders>
              <w:top w:val="single" w:color="000000" w:sz="4" w:space="0"/>
              <w:left w:val="single" w:color="000000" w:sz="4" w:space="0"/>
              <w:bottom w:val="single" w:color="000000" w:sz="4" w:space="0"/>
              <w:right w:val="single" w:color="000000" w:sz="4" w:space="0"/>
            </w:tcBorders>
            <w:vAlign w:val="center"/>
          </w:tcPr>
          <w:p w14:paraId="3DF6FC10">
            <w:pPr>
              <w:widowControl/>
              <w:textAlignment w:val="center"/>
              <w:rPr>
                <w:rFonts w:hint="eastAsia" w:ascii="宋体" w:hAnsi="宋体" w:cs="宋体"/>
                <w:sz w:val="24"/>
              </w:rPr>
            </w:pPr>
            <w:r>
              <w:rPr>
                <w:rFonts w:hint="eastAsia" w:ascii="宋体" w:hAnsi="宋体" w:cs="宋体"/>
                <w:kern w:val="0"/>
                <w:sz w:val="24"/>
                <w:lang w:bidi="ar"/>
              </w:rPr>
              <w:t xml:space="preserve">    随访列表可以对随访信息进行的标准增、删、改、查功能，确保每一条随访记录都能得到及时更新与灵活维护。其核心创新在于实现了访视次数的智能化管理，系统能够根据后续新增的随访情况自动更新并标识访视次数，取代了容易出错的手工记录，保证了数据序列的准确性与连续性。为了大幅提升医务人员的录入效率与数据的规范性，系统引入了随访模板机制。工作人员可以为常见的随访类型创建标准化模板，在后续录入时通过选择模板快速填充内容，实现了“模块化快速录入”，既减少了重复工作，又统一了数据标准。所有这些功能都被整合在一个清晰统一的随访记录页面中，为用户提供了一个集中、便捷、智能的随访信息管理入口。通过本模块，能够将零散的随访过程转化为结构化、可追溯的数字档案，有效提升随访工作的质量与管理效率。</w:t>
            </w:r>
          </w:p>
        </w:tc>
      </w:tr>
      <w:tr w14:paraId="521F6309">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3A8D25F">
            <w:pPr>
              <w:widowControl/>
              <w:jc w:val="center"/>
              <w:textAlignment w:val="center"/>
              <w:rPr>
                <w:rFonts w:hint="eastAsia" w:ascii="宋体" w:hAnsi="宋体" w:cs="宋体"/>
                <w:sz w:val="24"/>
              </w:rPr>
            </w:pPr>
            <w:r>
              <w:rPr>
                <w:rFonts w:hint="eastAsia" w:ascii="宋体" w:hAnsi="宋体" w:cs="宋体"/>
                <w:kern w:val="0"/>
                <w:sz w:val="24"/>
                <w:lang w:bidi="ar"/>
              </w:rPr>
              <w:t>81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E9B4AD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693337C">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682AEEFE">
            <w:pPr>
              <w:widowControl/>
              <w:textAlignment w:val="center"/>
              <w:rPr>
                <w:rFonts w:hint="eastAsia" w:ascii="宋体" w:hAnsi="宋体" w:cs="宋体"/>
                <w:sz w:val="24"/>
              </w:rPr>
            </w:pPr>
            <w:r>
              <w:rPr>
                <w:rFonts w:hint="eastAsia" w:ascii="宋体" w:hAnsi="宋体" w:cs="宋体"/>
                <w:kern w:val="0"/>
                <w:sz w:val="24"/>
                <w:lang w:bidi="ar"/>
              </w:rPr>
              <w:t xml:space="preserve">    登记本功能模块可满足高危孕产妇预警相关登记信息的查询与导出需求，核心支持对高危预警孕产妇登记本、高危预警孕产妇预警登记本、高危预警孕产妇随访登记本三类关键登记信息的查询操作，同时针对每类查询结果，均提供导出功能，方便工作人员获取纸质或电子版本的登记信息，高效适配高危孕产妇预警数据管理与使用的日常场景。</w:t>
            </w:r>
          </w:p>
        </w:tc>
      </w:tr>
      <w:tr w14:paraId="27476D35">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927252A">
            <w:pPr>
              <w:widowControl/>
              <w:jc w:val="center"/>
              <w:textAlignment w:val="center"/>
              <w:rPr>
                <w:rFonts w:hint="eastAsia" w:ascii="宋体" w:hAnsi="宋体" w:cs="宋体"/>
                <w:sz w:val="24"/>
              </w:rPr>
            </w:pPr>
            <w:r>
              <w:rPr>
                <w:rFonts w:hint="eastAsia" w:ascii="宋体" w:hAnsi="宋体" w:cs="宋体"/>
                <w:kern w:val="0"/>
                <w:sz w:val="24"/>
                <w:lang w:bidi="ar"/>
              </w:rPr>
              <w:t>82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DC98E6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867FC14">
            <w:pPr>
              <w:widowControl/>
              <w:jc w:val="center"/>
              <w:textAlignment w:val="center"/>
              <w:rPr>
                <w:rFonts w:hint="eastAsia" w:ascii="宋体" w:hAnsi="宋体" w:cs="宋体"/>
                <w:sz w:val="24"/>
              </w:rPr>
            </w:pPr>
            <w:r>
              <w:rPr>
                <w:rFonts w:hint="eastAsia" w:ascii="宋体" w:hAnsi="宋体" w:cs="宋体"/>
                <w:kern w:val="0"/>
                <w:sz w:val="24"/>
                <w:lang w:bidi="ar"/>
              </w:rPr>
              <w:t>报表统计</w:t>
            </w:r>
          </w:p>
        </w:tc>
        <w:tc>
          <w:tcPr>
            <w:tcW w:w="9687" w:type="dxa"/>
            <w:tcBorders>
              <w:top w:val="single" w:color="000000" w:sz="4" w:space="0"/>
              <w:left w:val="single" w:color="000000" w:sz="4" w:space="0"/>
              <w:bottom w:val="single" w:color="000000" w:sz="4" w:space="0"/>
              <w:right w:val="single" w:color="000000" w:sz="4" w:space="0"/>
            </w:tcBorders>
            <w:vAlign w:val="center"/>
          </w:tcPr>
          <w:p w14:paraId="183E40C4">
            <w:pPr>
              <w:widowControl/>
              <w:textAlignment w:val="center"/>
              <w:rPr>
                <w:rFonts w:hint="eastAsia" w:ascii="宋体" w:hAnsi="宋体" w:cs="宋体"/>
                <w:sz w:val="24"/>
              </w:rPr>
            </w:pPr>
            <w:r>
              <w:rPr>
                <w:rFonts w:hint="eastAsia" w:ascii="宋体" w:hAnsi="宋体" w:cs="宋体"/>
                <w:kern w:val="0"/>
                <w:sz w:val="24"/>
                <w:lang w:bidi="ar"/>
              </w:rPr>
              <w:t xml:space="preserve">    查询统计功能模块可全面覆盖高危孕产妇服务相关数据的查询与导出需求，核心支持多类关键统计报表的管理操作。</w:t>
            </w:r>
            <w:r>
              <w:rPr>
                <w:rFonts w:hint="eastAsia" w:ascii="宋体" w:hAnsi="宋体" w:cs="宋体"/>
                <w:kern w:val="0"/>
                <w:sz w:val="24"/>
                <w:lang w:bidi="ar"/>
              </w:rPr>
              <w:br w:type="textWrapping"/>
            </w:r>
            <w:r>
              <w:rPr>
                <w:rFonts w:hint="eastAsia" w:ascii="宋体" w:hAnsi="宋体" w:cs="宋体"/>
                <w:kern w:val="0"/>
                <w:sz w:val="24"/>
                <w:lang w:bidi="ar"/>
              </w:rPr>
              <w:t xml:space="preserve">    具体包括，能查询并导出高危预警孕产妇统计、孕高危预警孕产妇随访统计，满足不同时间维度的项目数据汇总需求，可以按照孕产妇的所在地区、管理单位、预警时间、预警消息接收人、异常孕产妇异常原因进行统计分析。</w:t>
            </w:r>
          </w:p>
        </w:tc>
      </w:tr>
      <w:tr w14:paraId="070E36DD">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A354119">
            <w:pPr>
              <w:widowControl/>
              <w:jc w:val="center"/>
              <w:textAlignment w:val="center"/>
              <w:rPr>
                <w:rFonts w:hint="eastAsia" w:ascii="宋体" w:hAnsi="宋体" w:cs="宋体"/>
                <w:sz w:val="24"/>
              </w:rPr>
            </w:pPr>
            <w:r>
              <w:rPr>
                <w:rFonts w:hint="eastAsia" w:ascii="宋体" w:hAnsi="宋体" w:cs="宋体"/>
                <w:kern w:val="0"/>
                <w:sz w:val="24"/>
                <w:lang w:bidi="ar"/>
              </w:rPr>
              <w:t>83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80F5AC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01AB0DB">
            <w:pPr>
              <w:widowControl/>
              <w:jc w:val="center"/>
              <w:textAlignment w:val="center"/>
              <w:rPr>
                <w:rFonts w:hint="eastAsia" w:ascii="宋体" w:hAnsi="宋体" w:cs="宋体"/>
                <w:sz w:val="24"/>
              </w:rPr>
            </w:pPr>
            <w:r>
              <w:rPr>
                <w:rFonts w:hint="eastAsia" w:ascii="宋体" w:hAnsi="宋体" w:cs="宋体"/>
                <w:kern w:val="0"/>
                <w:sz w:val="24"/>
                <w:lang w:bidi="ar"/>
              </w:rPr>
              <w:t>接口服务</w:t>
            </w:r>
          </w:p>
        </w:tc>
        <w:tc>
          <w:tcPr>
            <w:tcW w:w="9687" w:type="dxa"/>
            <w:tcBorders>
              <w:top w:val="single" w:color="000000" w:sz="4" w:space="0"/>
              <w:left w:val="single" w:color="000000" w:sz="4" w:space="0"/>
              <w:bottom w:val="single" w:color="000000" w:sz="4" w:space="0"/>
              <w:right w:val="single" w:color="000000" w:sz="4" w:space="0"/>
            </w:tcBorders>
            <w:vAlign w:val="center"/>
          </w:tcPr>
          <w:p w14:paraId="0AFF8140">
            <w:pPr>
              <w:widowControl/>
              <w:textAlignment w:val="center"/>
              <w:rPr>
                <w:rFonts w:hint="eastAsia" w:ascii="宋体" w:hAnsi="宋体" w:cs="宋体"/>
                <w:sz w:val="24"/>
              </w:rPr>
            </w:pPr>
            <w:r>
              <w:rPr>
                <w:rFonts w:hint="eastAsia" w:ascii="宋体" w:hAnsi="宋体" w:cs="宋体"/>
                <w:kern w:val="0"/>
                <w:sz w:val="24"/>
                <w:lang w:bidi="ar"/>
              </w:rPr>
              <w:t>数据接口功能可实现高危孕产妇预警系统与“健苗工程”系统数据互通。可以调用“健苗工程”系统 孕产妇档案、初诊、复诊、分娩的检查信息和检验信息。调用短信接口服务，发送短信；调阅定时任务接口服务，设置自动任务的开启或者关闭。</w:t>
            </w:r>
          </w:p>
        </w:tc>
      </w:tr>
      <w:tr w14:paraId="25C01F4E">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75B821E">
            <w:pPr>
              <w:widowControl/>
              <w:jc w:val="center"/>
              <w:textAlignment w:val="center"/>
              <w:rPr>
                <w:rFonts w:hint="eastAsia" w:ascii="宋体" w:hAnsi="宋体" w:cs="宋体"/>
                <w:sz w:val="24"/>
              </w:rPr>
            </w:pPr>
            <w:r>
              <w:rPr>
                <w:rFonts w:hint="eastAsia" w:ascii="宋体" w:hAnsi="宋体" w:cs="宋体"/>
                <w:kern w:val="0"/>
                <w:sz w:val="24"/>
                <w:lang w:bidi="ar"/>
              </w:rPr>
              <w:t>85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1C9B9DD4">
            <w:pPr>
              <w:widowControl/>
              <w:jc w:val="center"/>
              <w:textAlignment w:val="center"/>
              <w:rPr>
                <w:rFonts w:hint="eastAsia" w:ascii="宋体" w:hAnsi="宋体" w:cs="宋体"/>
                <w:sz w:val="24"/>
              </w:rPr>
            </w:pPr>
            <w:r>
              <w:rPr>
                <w:rFonts w:hint="eastAsia" w:ascii="宋体" w:hAnsi="宋体" w:cs="宋体"/>
                <w:kern w:val="0"/>
                <w:sz w:val="24"/>
                <w:lang w:bidi="ar"/>
              </w:rPr>
              <w:t>高危孕产妇转诊</w:t>
            </w:r>
          </w:p>
        </w:tc>
        <w:tc>
          <w:tcPr>
            <w:tcW w:w="1313" w:type="dxa"/>
            <w:tcBorders>
              <w:top w:val="single" w:color="000000" w:sz="4" w:space="0"/>
              <w:left w:val="single" w:color="000000" w:sz="4" w:space="0"/>
              <w:bottom w:val="single" w:color="000000" w:sz="4" w:space="0"/>
              <w:right w:val="single" w:color="000000" w:sz="4" w:space="0"/>
            </w:tcBorders>
            <w:vAlign w:val="center"/>
          </w:tcPr>
          <w:p w14:paraId="19029B32">
            <w:pPr>
              <w:widowControl/>
              <w:jc w:val="center"/>
              <w:textAlignment w:val="center"/>
              <w:rPr>
                <w:rFonts w:hint="eastAsia" w:ascii="宋体" w:hAnsi="宋体" w:cs="宋体"/>
                <w:sz w:val="24"/>
              </w:rPr>
            </w:pPr>
            <w:r>
              <w:rPr>
                <w:rFonts w:hint="eastAsia" w:ascii="宋体" w:hAnsi="宋体" w:cs="宋体"/>
                <w:kern w:val="0"/>
                <w:sz w:val="24"/>
                <w:lang w:bidi="ar"/>
              </w:rPr>
              <w:t>转诊申请</w:t>
            </w:r>
          </w:p>
        </w:tc>
        <w:tc>
          <w:tcPr>
            <w:tcW w:w="9687" w:type="dxa"/>
            <w:tcBorders>
              <w:top w:val="single" w:color="000000" w:sz="4" w:space="0"/>
              <w:left w:val="single" w:color="000000" w:sz="4" w:space="0"/>
              <w:bottom w:val="single" w:color="000000" w:sz="4" w:space="0"/>
              <w:right w:val="single" w:color="000000" w:sz="4" w:space="0"/>
            </w:tcBorders>
            <w:vAlign w:val="center"/>
          </w:tcPr>
          <w:p w14:paraId="14088417">
            <w:pPr>
              <w:widowControl/>
              <w:textAlignment w:val="center"/>
              <w:rPr>
                <w:rFonts w:hint="eastAsia" w:ascii="宋体" w:hAnsi="宋体" w:cs="宋体"/>
                <w:sz w:val="24"/>
              </w:rPr>
            </w:pPr>
            <w:r>
              <w:rPr>
                <w:rFonts w:hint="eastAsia" w:ascii="宋体" w:hAnsi="宋体" w:cs="宋体"/>
                <w:kern w:val="0"/>
                <w:sz w:val="24"/>
                <w:lang w:bidi="ar"/>
              </w:rPr>
              <w:t xml:space="preserve">    转诊申请功能围绕孕产妇高危转诊全流程管理展开，覆盖申请发起、场景适配、单据操作及入口支持。</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该功能支持向定点转诊机构提交转诊申请，可在初诊、复诊两个关键诊疗节点发起高危转诊；同时提供转诊申请单的填写、修改与查询功能，确保申请信息准确且可追溯；</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此外，还支持打开转诊申请 tab 页面，为工作人员提供专属操作入口，全方位满足高危孕产妇转诊的规范化与便捷化需求。</w:t>
            </w:r>
          </w:p>
        </w:tc>
      </w:tr>
      <w:tr w14:paraId="2C1B5F5E">
        <w:tblPrEx>
          <w:tblCellMar>
            <w:top w:w="0" w:type="dxa"/>
            <w:left w:w="108" w:type="dxa"/>
            <w:bottom w:w="0" w:type="dxa"/>
            <w:right w:w="108" w:type="dxa"/>
          </w:tblCellMar>
        </w:tblPrEx>
        <w:trPr>
          <w:trHeight w:val="37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67DA89C">
            <w:pPr>
              <w:widowControl/>
              <w:jc w:val="center"/>
              <w:textAlignment w:val="center"/>
              <w:rPr>
                <w:rFonts w:hint="eastAsia" w:ascii="宋体" w:hAnsi="宋体" w:cs="宋体"/>
                <w:sz w:val="24"/>
              </w:rPr>
            </w:pPr>
            <w:r>
              <w:rPr>
                <w:rFonts w:hint="eastAsia" w:ascii="宋体" w:hAnsi="宋体" w:cs="宋体"/>
                <w:kern w:val="0"/>
                <w:sz w:val="24"/>
                <w:lang w:bidi="ar"/>
              </w:rPr>
              <w:t>86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DBA482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E6E0390">
            <w:pPr>
              <w:widowControl/>
              <w:jc w:val="center"/>
              <w:textAlignment w:val="center"/>
              <w:rPr>
                <w:rFonts w:hint="eastAsia" w:ascii="宋体" w:hAnsi="宋体" w:cs="宋体"/>
                <w:sz w:val="24"/>
              </w:rPr>
            </w:pPr>
            <w:r>
              <w:rPr>
                <w:rFonts w:hint="eastAsia" w:ascii="宋体" w:hAnsi="宋体" w:cs="宋体"/>
                <w:kern w:val="0"/>
                <w:sz w:val="24"/>
                <w:lang w:bidi="ar"/>
              </w:rPr>
              <w:t>转诊评估</w:t>
            </w:r>
          </w:p>
        </w:tc>
        <w:tc>
          <w:tcPr>
            <w:tcW w:w="9687" w:type="dxa"/>
            <w:tcBorders>
              <w:top w:val="single" w:color="000000" w:sz="4" w:space="0"/>
              <w:left w:val="single" w:color="000000" w:sz="4" w:space="0"/>
              <w:bottom w:val="single" w:color="000000" w:sz="4" w:space="0"/>
              <w:right w:val="single" w:color="000000" w:sz="4" w:space="0"/>
            </w:tcBorders>
            <w:vAlign w:val="center"/>
          </w:tcPr>
          <w:p w14:paraId="3D8B8288">
            <w:pPr>
              <w:widowControl/>
              <w:textAlignment w:val="center"/>
              <w:rPr>
                <w:rFonts w:hint="eastAsia" w:ascii="宋体" w:hAnsi="宋体" w:cs="宋体"/>
                <w:sz w:val="24"/>
              </w:rPr>
            </w:pPr>
            <w:r>
              <w:rPr>
                <w:rFonts w:hint="eastAsia" w:ascii="宋体" w:hAnsi="宋体" w:cs="宋体"/>
                <w:kern w:val="0"/>
                <w:sz w:val="24"/>
                <w:lang w:bidi="ar"/>
              </w:rPr>
              <w:t>转诊评估功能聚焦接诊单位的评估工作效率，覆盖信息查询、评估操作及结果输出全环节。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接诊单位对转诊孕妇进行评估，可通过初诊单位、接诊单位、筛查时间范围、评估单位、评估状态、评估时间等多维度批量查询需要评估的孕妇信息，精准定位目标对象；同时具备风险筛查转诊单打印功能，方便纸质存档或使用；</w:t>
            </w:r>
            <w:r>
              <w:rPr>
                <w:rFonts w:hint="eastAsia" w:ascii="宋体" w:hAnsi="宋体" w:cs="宋体"/>
                <w:kern w:val="0"/>
                <w:sz w:val="24"/>
                <w:lang w:bidi="ar"/>
              </w:rPr>
              <w:br w:type="textWrapping"/>
            </w:r>
            <w:r>
              <w:rPr>
                <w:rFonts w:hint="eastAsia" w:ascii="宋体" w:hAnsi="宋体" w:cs="宋体"/>
                <w:kern w:val="0"/>
                <w:sz w:val="24"/>
                <w:lang w:bidi="ar"/>
              </w:rPr>
              <w:t xml:space="preserve">    此外，支持打开转诊评估 tab 页面，为接诊单位工作人员提供专属操作入口，全方位满足转诊评估的高效化与规范化管理需求。</w:t>
            </w:r>
          </w:p>
        </w:tc>
      </w:tr>
      <w:tr w14:paraId="780F73B8">
        <w:tblPrEx>
          <w:tblCellMar>
            <w:top w:w="0" w:type="dxa"/>
            <w:left w:w="108" w:type="dxa"/>
            <w:bottom w:w="0" w:type="dxa"/>
            <w:right w:w="108" w:type="dxa"/>
          </w:tblCellMar>
        </w:tblPrEx>
        <w:trPr>
          <w:trHeight w:val="45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1266953">
            <w:pPr>
              <w:widowControl/>
              <w:jc w:val="center"/>
              <w:textAlignment w:val="center"/>
              <w:rPr>
                <w:rFonts w:hint="eastAsia" w:ascii="宋体" w:hAnsi="宋体" w:cs="宋体"/>
                <w:sz w:val="24"/>
              </w:rPr>
            </w:pPr>
            <w:r>
              <w:rPr>
                <w:rFonts w:hint="eastAsia" w:ascii="宋体" w:hAnsi="宋体" w:cs="宋体"/>
                <w:kern w:val="0"/>
                <w:sz w:val="24"/>
                <w:lang w:bidi="ar"/>
              </w:rPr>
              <w:t>87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9A3564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A31429F">
            <w:pPr>
              <w:widowControl/>
              <w:jc w:val="center"/>
              <w:textAlignment w:val="center"/>
              <w:rPr>
                <w:rFonts w:hint="eastAsia" w:ascii="宋体" w:hAnsi="宋体" w:cs="宋体"/>
                <w:sz w:val="24"/>
              </w:rPr>
            </w:pPr>
            <w:r>
              <w:rPr>
                <w:rFonts w:hint="eastAsia" w:ascii="宋体" w:hAnsi="宋体" w:cs="宋体"/>
                <w:kern w:val="0"/>
                <w:sz w:val="24"/>
                <w:lang w:bidi="ar"/>
              </w:rPr>
              <w:t>转诊管理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ED5B862">
            <w:pPr>
              <w:widowControl/>
              <w:textAlignment w:val="center"/>
              <w:rPr>
                <w:rFonts w:hint="eastAsia" w:ascii="宋体" w:hAnsi="宋体" w:cs="宋体"/>
                <w:sz w:val="24"/>
              </w:rPr>
            </w:pPr>
            <w:r>
              <w:rPr>
                <w:rFonts w:hint="eastAsia" w:ascii="宋体" w:hAnsi="宋体" w:cs="宋体"/>
                <w:kern w:val="0"/>
                <w:sz w:val="24"/>
                <w:lang w:bidi="ar"/>
              </w:rPr>
              <w:t xml:space="preserve">    转诊管理功能围绕转诊全流程的监控、操作与数据可视化展开，覆盖状态管理、信息查阅、自动同步及分析展示。</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查看分析转诊过程情况，包括接诊、评估状态等信息；接诊单位可对转诊单执行接诊或拒绝接诊操作，还能查阅转诊患者电子病历资料以判断是否符合转诊条件。系统具备自动同步机制，转诊后孕产妇来产检时，会将转诊状态从【待接收】自动调整为【已接收】，且自动接收的转诊单中，【接诊医生】默认设为产检检查医生，【接诊时间】设为产检日期，【转诊单状态】显示为已接收。</w:t>
            </w:r>
            <w:r>
              <w:rPr>
                <w:rFonts w:hint="eastAsia" w:ascii="宋体" w:hAnsi="宋体" w:cs="宋体"/>
                <w:kern w:val="0"/>
                <w:sz w:val="24"/>
                <w:lang w:bidi="ar"/>
              </w:rPr>
              <w:br w:type="textWrapping"/>
            </w:r>
            <w:r>
              <w:rPr>
                <w:rFonts w:hint="eastAsia" w:ascii="宋体" w:hAnsi="宋体" w:cs="宋体"/>
                <w:kern w:val="0"/>
                <w:sz w:val="24"/>
                <w:lang w:bidi="ar"/>
              </w:rPr>
              <w:t xml:space="preserve">    同时支持图形化展示数据，包括转诊数量柱状图和接诊响应时长分布箱线图，也支持打开转诊评估 tab 页面作为操作入口，全方位满足转诊管理的高效化与可视化需求。</w:t>
            </w:r>
          </w:p>
        </w:tc>
      </w:tr>
      <w:tr w14:paraId="430C4C03">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D75E2C">
            <w:pPr>
              <w:widowControl/>
              <w:jc w:val="center"/>
              <w:textAlignment w:val="center"/>
              <w:rPr>
                <w:rFonts w:hint="eastAsia" w:ascii="宋体" w:hAnsi="宋体" w:cs="宋体"/>
                <w:sz w:val="24"/>
              </w:rPr>
            </w:pPr>
            <w:r>
              <w:rPr>
                <w:rFonts w:hint="eastAsia" w:ascii="宋体" w:hAnsi="宋体" w:cs="宋体"/>
                <w:kern w:val="0"/>
                <w:sz w:val="24"/>
                <w:lang w:bidi="ar"/>
              </w:rPr>
              <w:t>88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844691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37F9C05">
            <w:pPr>
              <w:widowControl/>
              <w:jc w:val="center"/>
              <w:textAlignment w:val="center"/>
              <w:rPr>
                <w:rFonts w:hint="eastAsia" w:ascii="宋体" w:hAnsi="宋体" w:cs="宋体"/>
                <w:sz w:val="24"/>
              </w:rPr>
            </w:pPr>
            <w:r>
              <w:rPr>
                <w:rFonts w:hint="eastAsia" w:ascii="宋体" w:hAnsi="宋体" w:cs="宋体"/>
                <w:kern w:val="0"/>
                <w:sz w:val="24"/>
                <w:lang w:bidi="ar"/>
              </w:rPr>
              <w:t>转诊记录查询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01916CEC">
            <w:pPr>
              <w:widowControl/>
              <w:textAlignment w:val="center"/>
              <w:rPr>
                <w:rFonts w:hint="eastAsia" w:ascii="宋体" w:hAnsi="宋体" w:cs="宋体"/>
                <w:sz w:val="24"/>
              </w:rPr>
            </w:pPr>
            <w:r>
              <w:rPr>
                <w:rFonts w:hint="eastAsia" w:ascii="宋体" w:hAnsi="宋体" w:cs="宋体"/>
                <w:kern w:val="0"/>
                <w:sz w:val="24"/>
                <w:lang w:bidi="ar"/>
              </w:rPr>
              <w:t>转诊记录查询功能围绕接诊单位的记录检索与数据导出需求展开，覆盖多维度查询、组合检索及专属入口支持。</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该功能支持接诊单位通过姓名、保健卡号进行转诊记录的个案精准检索，也可按状态、接诊单位、处理单位进行批量检索，同时允许多种条件组合使用以缩小查询范围；检索完成后，支持将转诊记录导出为 EXCEL 格式，方便后续数据存档或分析；</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此外，还支持打开转诊记录 tab 页面，为工作人员提供专属操作入口，全方位满足转诊记录查询的精准化与高效化需求。</w:t>
            </w:r>
          </w:p>
        </w:tc>
      </w:tr>
      <w:tr w14:paraId="1B5ED885">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9CCE45C">
            <w:pPr>
              <w:widowControl/>
              <w:jc w:val="center"/>
              <w:textAlignment w:val="center"/>
              <w:rPr>
                <w:rFonts w:hint="eastAsia" w:ascii="宋体" w:hAnsi="宋体" w:cs="宋体"/>
                <w:sz w:val="24"/>
              </w:rPr>
            </w:pPr>
            <w:r>
              <w:rPr>
                <w:rFonts w:hint="eastAsia" w:ascii="宋体" w:hAnsi="宋体" w:cs="宋体"/>
                <w:kern w:val="0"/>
                <w:sz w:val="24"/>
                <w:lang w:bidi="ar"/>
              </w:rPr>
              <w:t>89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461777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A31B6A0">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037E527">
            <w:pPr>
              <w:widowControl/>
              <w:textAlignment w:val="center"/>
              <w:rPr>
                <w:rFonts w:hint="eastAsia" w:ascii="宋体" w:hAnsi="宋体" w:cs="宋体"/>
                <w:sz w:val="24"/>
              </w:rPr>
            </w:pPr>
            <w:r>
              <w:rPr>
                <w:rFonts w:hint="eastAsia" w:ascii="宋体" w:hAnsi="宋体" w:cs="宋体"/>
                <w:kern w:val="0"/>
                <w:sz w:val="24"/>
                <w:lang w:bidi="ar"/>
              </w:rPr>
              <w:t xml:space="preserve">    随访管理功能围绕随访记录的全流程操作与动态更新展开，覆盖记录维护、信息查看及专属入口支持。</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该功能支持对随访记录进行添加、删除、修改和查看操作，满足随访信息的完整管理需求；同时具备动态更新机制，访视次数要求能根据后续随访情况自动调整，无需手动修改；</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此外，还支持打开随访 tab 页面，为工作人员提供专属操作入口，全方位满足随访管理的便捷化与精准化需求。</w:t>
            </w:r>
          </w:p>
        </w:tc>
      </w:tr>
      <w:tr w14:paraId="1858FEF5">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0A52782">
            <w:pPr>
              <w:widowControl/>
              <w:jc w:val="center"/>
              <w:textAlignment w:val="center"/>
              <w:rPr>
                <w:rFonts w:hint="eastAsia" w:ascii="宋体" w:hAnsi="宋体" w:cs="宋体"/>
                <w:sz w:val="24"/>
              </w:rPr>
            </w:pPr>
            <w:r>
              <w:rPr>
                <w:rFonts w:hint="eastAsia" w:ascii="宋体" w:hAnsi="宋体" w:cs="宋体"/>
                <w:kern w:val="0"/>
                <w:sz w:val="24"/>
                <w:lang w:bidi="ar"/>
              </w:rPr>
              <w:t>90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AE95AB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54B5E40">
            <w:pPr>
              <w:widowControl/>
              <w:jc w:val="center"/>
              <w:textAlignment w:val="center"/>
              <w:rPr>
                <w:rFonts w:hint="eastAsia" w:ascii="宋体" w:hAnsi="宋体" w:cs="宋体"/>
                <w:sz w:val="24"/>
              </w:rPr>
            </w:pPr>
            <w:r>
              <w:rPr>
                <w:rFonts w:hint="eastAsia" w:ascii="宋体" w:hAnsi="宋体" w:cs="宋体"/>
                <w:kern w:val="0"/>
                <w:sz w:val="24"/>
                <w:lang w:bidi="ar"/>
              </w:rPr>
              <w:t>转诊登记本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176BA9AD">
            <w:pPr>
              <w:widowControl/>
              <w:textAlignment w:val="center"/>
              <w:rPr>
                <w:rFonts w:hint="eastAsia" w:ascii="宋体" w:hAnsi="宋体" w:cs="宋体"/>
                <w:sz w:val="24"/>
              </w:rPr>
            </w:pPr>
            <w:r>
              <w:rPr>
                <w:rFonts w:hint="eastAsia" w:ascii="宋体" w:hAnsi="宋体" w:cs="宋体"/>
                <w:kern w:val="0"/>
                <w:sz w:val="24"/>
                <w:lang w:bidi="ar"/>
              </w:rPr>
              <w:t xml:space="preserve">     转诊登记本功能聚焦高危转诊信息的管理，核心满足查询与数据导出需求。该登记本针对高危转诊登记本，支持直接查询相关记录以快速获取信息，</w:t>
            </w:r>
            <w:r>
              <w:rPr>
                <w:rFonts w:hint="eastAsia" w:ascii="宋体" w:hAnsi="宋体" w:cs="宋体"/>
                <w:kern w:val="0"/>
                <w:sz w:val="24"/>
                <w:lang w:bidi="ar"/>
              </w:rPr>
              <w:br w:type="textWrapping"/>
            </w:r>
            <w:r>
              <w:rPr>
                <w:rFonts w:hint="eastAsia" w:ascii="宋体" w:hAnsi="宋体" w:cs="宋体"/>
                <w:kern w:val="0"/>
                <w:sz w:val="24"/>
                <w:lang w:bidi="ar"/>
              </w:rPr>
              <w:t xml:space="preserve">    同时支持将其导出为 EXCEL 格式，便于后续的数据存档、统计分析或信息核对使用。</w:t>
            </w:r>
          </w:p>
        </w:tc>
      </w:tr>
      <w:tr w14:paraId="6F249FCB">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39BDD2">
            <w:pPr>
              <w:widowControl/>
              <w:jc w:val="center"/>
              <w:textAlignment w:val="center"/>
              <w:rPr>
                <w:rFonts w:hint="eastAsia" w:ascii="宋体" w:hAnsi="宋体" w:cs="宋体"/>
                <w:sz w:val="24"/>
              </w:rPr>
            </w:pPr>
            <w:r>
              <w:rPr>
                <w:rFonts w:hint="eastAsia" w:ascii="宋体" w:hAnsi="宋体" w:cs="宋体"/>
                <w:kern w:val="0"/>
                <w:sz w:val="24"/>
                <w:lang w:bidi="ar"/>
              </w:rPr>
              <w:t>91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733D95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B258CFD">
            <w:pPr>
              <w:widowControl/>
              <w:jc w:val="center"/>
              <w:textAlignment w:val="center"/>
              <w:rPr>
                <w:rFonts w:hint="eastAsia" w:ascii="宋体" w:hAnsi="宋体" w:cs="宋体"/>
                <w:sz w:val="24"/>
              </w:rPr>
            </w:pPr>
            <w:r>
              <w:rPr>
                <w:rFonts w:hint="eastAsia" w:ascii="宋体" w:hAnsi="宋体" w:cs="宋体"/>
                <w:kern w:val="0"/>
                <w:sz w:val="24"/>
                <w:lang w:bidi="ar"/>
              </w:rPr>
              <w:t>接诊登记本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A9E8A18">
            <w:pPr>
              <w:widowControl/>
              <w:textAlignment w:val="center"/>
              <w:rPr>
                <w:rFonts w:hint="eastAsia" w:ascii="宋体" w:hAnsi="宋体" w:cs="宋体"/>
                <w:sz w:val="24"/>
              </w:rPr>
            </w:pPr>
            <w:r>
              <w:rPr>
                <w:rFonts w:hint="eastAsia" w:ascii="宋体" w:hAnsi="宋体" w:cs="宋体"/>
                <w:kern w:val="0"/>
                <w:sz w:val="24"/>
                <w:lang w:bidi="ar"/>
              </w:rPr>
              <w:t xml:space="preserve">    接诊登记本功能围绕高危接诊信息的管理展开，核心满足查询与数据导出两大需求。该登记本针对高危接诊登记本，支持直接查询相关记录以快速获取目标信息。</w:t>
            </w:r>
            <w:r>
              <w:rPr>
                <w:rFonts w:hint="eastAsia" w:ascii="宋体" w:hAnsi="宋体" w:cs="宋体"/>
                <w:kern w:val="0"/>
                <w:sz w:val="24"/>
                <w:lang w:bidi="ar"/>
              </w:rPr>
              <w:br w:type="textWrapping"/>
            </w:r>
            <w:r>
              <w:rPr>
                <w:rFonts w:hint="eastAsia" w:ascii="宋体" w:hAnsi="宋体" w:cs="宋体"/>
                <w:kern w:val="0"/>
                <w:sz w:val="24"/>
                <w:lang w:bidi="ar"/>
              </w:rPr>
              <w:t xml:space="preserve">    同时支持将其导出为 EXCEL 格式，便于后续的数据存档、统计分析或信息核对使用。</w:t>
            </w:r>
          </w:p>
        </w:tc>
      </w:tr>
      <w:tr w14:paraId="41B61F40">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B133038">
            <w:pPr>
              <w:widowControl/>
              <w:jc w:val="center"/>
              <w:textAlignment w:val="center"/>
              <w:rPr>
                <w:rFonts w:hint="eastAsia" w:ascii="宋体" w:hAnsi="宋体" w:cs="宋体"/>
                <w:sz w:val="24"/>
              </w:rPr>
            </w:pPr>
            <w:r>
              <w:rPr>
                <w:rFonts w:hint="eastAsia" w:ascii="宋体" w:hAnsi="宋体" w:cs="宋体"/>
                <w:kern w:val="0"/>
                <w:sz w:val="24"/>
                <w:lang w:bidi="ar"/>
              </w:rPr>
              <w:t>92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A2DCFC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A87D8E2">
            <w:pPr>
              <w:widowControl/>
              <w:jc w:val="center"/>
              <w:textAlignment w:val="center"/>
              <w:rPr>
                <w:rFonts w:hint="eastAsia" w:ascii="宋体" w:hAnsi="宋体" w:cs="宋体"/>
                <w:sz w:val="24"/>
              </w:rPr>
            </w:pPr>
            <w:r>
              <w:rPr>
                <w:rFonts w:hint="eastAsia" w:ascii="宋体" w:hAnsi="宋体" w:cs="宋体"/>
                <w:kern w:val="0"/>
                <w:sz w:val="24"/>
                <w:lang w:bidi="ar"/>
              </w:rPr>
              <w:t>转诊统计</w:t>
            </w:r>
          </w:p>
        </w:tc>
        <w:tc>
          <w:tcPr>
            <w:tcW w:w="9687" w:type="dxa"/>
            <w:tcBorders>
              <w:top w:val="single" w:color="000000" w:sz="4" w:space="0"/>
              <w:left w:val="single" w:color="000000" w:sz="4" w:space="0"/>
              <w:bottom w:val="single" w:color="000000" w:sz="4" w:space="0"/>
              <w:right w:val="single" w:color="000000" w:sz="4" w:space="0"/>
            </w:tcBorders>
            <w:vAlign w:val="center"/>
          </w:tcPr>
          <w:p w14:paraId="389831AA">
            <w:pPr>
              <w:widowControl/>
              <w:textAlignment w:val="center"/>
              <w:rPr>
                <w:rFonts w:hint="eastAsia" w:ascii="宋体" w:hAnsi="宋体" w:cs="宋体"/>
                <w:sz w:val="24"/>
              </w:rPr>
            </w:pPr>
            <w:r>
              <w:rPr>
                <w:rFonts w:hint="eastAsia" w:ascii="宋体" w:hAnsi="宋体" w:cs="宋体"/>
                <w:kern w:val="0"/>
                <w:sz w:val="24"/>
                <w:lang w:bidi="ar"/>
              </w:rPr>
              <w:t xml:space="preserve">   转诊统计功能聚焦全市高危转诊数据的月度分析与操作入口支持。该功能可以按照转诊和接诊两个维度，对全市各个县区的高危转诊情况按月度进行统计，清晰呈现区域转诊动态；</w:t>
            </w:r>
            <w:r>
              <w:rPr>
                <w:rFonts w:hint="eastAsia" w:ascii="宋体" w:hAnsi="宋体" w:cs="宋体"/>
                <w:kern w:val="0"/>
                <w:sz w:val="24"/>
                <w:lang w:bidi="ar"/>
              </w:rPr>
              <w:br w:type="textWrapping"/>
            </w:r>
            <w:r>
              <w:rPr>
                <w:rFonts w:hint="eastAsia" w:ascii="宋体" w:hAnsi="宋体" w:cs="宋体"/>
                <w:kern w:val="0"/>
                <w:sz w:val="24"/>
                <w:lang w:bidi="ar"/>
              </w:rPr>
              <w:t xml:space="preserve">    同时支持打开转诊情况 tab 页面，为工作人员提供专属操作入口，全方位满足转诊数据统计的精准化与便捷化需求。</w:t>
            </w:r>
          </w:p>
        </w:tc>
      </w:tr>
      <w:tr w14:paraId="602B2280">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2D9A196">
            <w:pPr>
              <w:widowControl/>
              <w:jc w:val="center"/>
              <w:textAlignment w:val="center"/>
              <w:rPr>
                <w:rFonts w:hint="eastAsia" w:ascii="宋体" w:hAnsi="宋体" w:cs="宋体"/>
                <w:sz w:val="24"/>
              </w:rPr>
            </w:pPr>
            <w:r>
              <w:rPr>
                <w:rFonts w:hint="eastAsia" w:ascii="宋体" w:hAnsi="宋体" w:cs="宋体"/>
                <w:kern w:val="0"/>
                <w:sz w:val="24"/>
                <w:lang w:bidi="ar"/>
              </w:rPr>
              <w:t>93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218A7F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6F0C2F1">
            <w:pPr>
              <w:widowControl/>
              <w:jc w:val="center"/>
              <w:textAlignment w:val="center"/>
              <w:rPr>
                <w:rFonts w:hint="eastAsia" w:ascii="宋体" w:hAnsi="宋体" w:cs="宋体"/>
                <w:sz w:val="24"/>
              </w:rPr>
            </w:pPr>
            <w:r>
              <w:rPr>
                <w:rFonts w:hint="eastAsia" w:ascii="宋体" w:hAnsi="宋体" w:cs="宋体"/>
                <w:kern w:val="0"/>
                <w:sz w:val="24"/>
                <w:lang w:bidi="ar"/>
              </w:rPr>
              <w:t>接口服务</w:t>
            </w:r>
          </w:p>
        </w:tc>
        <w:tc>
          <w:tcPr>
            <w:tcW w:w="9687" w:type="dxa"/>
            <w:tcBorders>
              <w:top w:val="single" w:color="000000" w:sz="4" w:space="0"/>
              <w:left w:val="single" w:color="000000" w:sz="4" w:space="0"/>
              <w:bottom w:val="single" w:color="000000" w:sz="4" w:space="0"/>
              <w:right w:val="single" w:color="000000" w:sz="4" w:space="0"/>
            </w:tcBorders>
            <w:vAlign w:val="center"/>
          </w:tcPr>
          <w:p w14:paraId="4D736D0B">
            <w:pPr>
              <w:widowControl/>
              <w:textAlignment w:val="center"/>
              <w:rPr>
                <w:rFonts w:hint="eastAsia" w:ascii="宋体" w:hAnsi="宋体" w:cs="宋体"/>
                <w:sz w:val="24"/>
              </w:rPr>
            </w:pPr>
            <w:r>
              <w:rPr>
                <w:rFonts w:hint="eastAsia" w:ascii="宋体" w:hAnsi="宋体" w:cs="宋体"/>
                <w:kern w:val="0"/>
                <w:sz w:val="24"/>
                <w:lang w:bidi="ar"/>
              </w:rPr>
              <w:t xml:space="preserve">    接口服务功能围绕外部系统数据调用与内部服务支撑展开，覆盖多类核心信息调取与基础服务配置。该服务支持从 “健苗工程” 系统中调用孕产妇档案、初诊、复诊、分娩信息，以及高危因素和全市妇幼管理机构信息；</w:t>
            </w:r>
            <w:r>
              <w:rPr>
                <w:rFonts w:hint="eastAsia" w:ascii="宋体" w:hAnsi="宋体" w:cs="宋体"/>
                <w:kern w:val="0"/>
                <w:sz w:val="24"/>
                <w:lang w:bidi="ar"/>
              </w:rPr>
              <w:br w:type="textWrapping"/>
            </w:r>
            <w:r>
              <w:rPr>
                <w:rFonts w:hint="eastAsia" w:ascii="宋体" w:hAnsi="宋体" w:cs="宋体"/>
                <w:kern w:val="0"/>
                <w:sz w:val="24"/>
                <w:lang w:bidi="ar"/>
              </w:rPr>
              <w:t xml:space="preserve">    同时支持调用短信接口服务以发送短信，还能调阅定时任务接口服务来设置自动任务的开启或关闭，全方位满足数据互通与自动化服务的需求。</w:t>
            </w:r>
          </w:p>
        </w:tc>
      </w:tr>
      <w:tr w14:paraId="1B0A85B5">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D76ABA">
            <w:pPr>
              <w:widowControl/>
              <w:jc w:val="center"/>
              <w:textAlignment w:val="center"/>
              <w:rPr>
                <w:rFonts w:hint="eastAsia" w:ascii="宋体" w:hAnsi="宋体" w:cs="宋体"/>
                <w:sz w:val="24"/>
              </w:rPr>
            </w:pPr>
            <w:r>
              <w:rPr>
                <w:rFonts w:hint="eastAsia" w:ascii="宋体" w:hAnsi="宋体" w:cs="宋体"/>
                <w:kern w:val="0"/>
                <w:sz w:val="24"/>
                <w:lang w:bidi="ar"/>
              </w:rPr>
              <w:t>95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02666CA">
            <w:pPr>
              <w:widowControl/>
              <w:jc w:val="center"/>
              <w:textAlignment w:val="center"/>
              <w:rPr>
                <w:rFonts w:hint="eastAsia" w:ascii="宋体" w:hAnsi="宋体" w:cs="宋体"/>
                <w:sz w:val="24"/>
              </w:rPr>
            </w:pPr>
            <w:r>
              <w:rPr>
                <w:rFonts w:hint="eastAsia" w:ascii="宋体" w:hAnsi="宋体" w:cs="宋体"/>
                <w:kern w:val="0"/>
                <w:sz w:val="24"/>
                <w:lang w:bidi="ar"/>
              </w:rPr>
              <w:t>高危儿预警</w:t>
            </w:r>
          </w:p>
        </w:tc>
        <w:tc>
          <w:tcPr>
            <w:tcW w:w="1313" w:type="dxa"/>
            <w:tcBorders>
              <w:top w:val="single" w:color="000000" w:sz="4" w:space="0"/>
              <w:left w:val="single" w:color="000000" w:sz="4" w:space="0"/>
              <w:bottom w:val="single" w:color="000000" w:sz="4" w:space="0"/>
              <w:right w:val="single" w:color="000000" w:sz="4" w:space="0"/>
            </w:tcBorders>
            <w:vAlign w:val="center"/>
          </w:tcPr>
          <w:p w14:paraId="0C425217">
            <w:pPr>
              <w:widowControl/>
              <w:jc w:val="center"/>
              <w:textAlignment w:val="center"/>
              <w:rPr>
                <w:rFonts w:hint="eastAsia" w:ascii="宋体" w:hAnsi="宋体" w:cs="宋体"/>
                <w:sz w:val="24"/>
              </w:rPr>
            </w:pPr>
            <w:r>
              <w:rPr>
                <w:rFonts w:hint="eastAsia" w:ascii="宋体" w:hAnsi="宋体" w:cs="宋体"/>
                <w:kern w:val="0"/>
                <w:sz w:val="24"/>
                <w:lang w:bidi="ar"/>
              </w:rPr>
              <w:t>预警指标设置</w:t>
            </w:r>
          </w:p>
        </w:tc>
        <w:tc>
          <w:tcPr>
            <w:tcW w:w="9687" w:type="dxa"/>
            <w:tcBorders>
              <w:top w:val="single" w:color="000000" w:sz="4" w:space="0"/>
              <w:left w:val="single" w:color="000000" w:sz="4" w:space="0"/>
              <w:bottom w:val="single" w:color="000000" w:sz="4" w:space="0"/>
              <w:right w:val="single" w:color="000000" w:sz="4" w:space="0"/>
            </w:tcBorders>
            <w:vAlign w:val="center"/>
          </w:tcPr>
          <w:p w14:paraId="6753F5D3">
            <w:pPr>
              <w:widowControl/>
              <w:textAlignment w:val="center"/>
              <w:rPr>
                <w:rFonts w:hint="eastAsia" w:ascii="宋体" w:hAnsi="宋体" w:cs="宋体"/>
                <w:sz w:val="24"/>
              </w:rPr>
            </w:pPr>
            <w:r>
              <w:rPr>
                <w:rFonts w:hint="eastAsia" w:ascii="宋体" w:hAnsi="宋体" w:cs="宋体"/>
                <w:kern w:val="0"/>
                <w:sz w:val="24"/>
                <w:lang w:bidi="ar"/>
              </w:rPr>
              <w:t>高危儿预警指标设置核心业务目标是实现对儿童生长发育风险的精准、自动识别，为早期干预提供科学依据。具体而言，系统通过一个集中的预警指标配置页面，允许管理员对关键的健康评估维度进行个性化阈值设定。这包括两大核心部分：时效性规则配置：支持为不同的预警指标设定其对应的标准体检时间，确保健康监测能够在正确的生长发育节点上被执行和评估。系统提供了对身高、体重、头围及综合发育这四个核心指标的评价等级进行自定义的能力。可以根据公认的生长发育标准或本地的特殊要求，灵活定义何为“异常”及其等级划分。</w:t>
            </w:r>
          </w:p>
        </w:tc>
      </w:tr>
      <w:tr w14:paraId="42079067">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DB8335D">
            <w:pPr>
              <w:widowControl/>
              <w:jc w:val="center"/>
              <w:textAlignment w:val="center"/>
              <w:rPr>
                <w:rFonts w:hint="eastAsia" w:ascii="宋体" w:hAnsi="宋体" w:cs="宋体"/>
                <w:sz w:val="24"/>
              </w:rPr>
            </w:pPr>
            <w:r>
              <w:rPr>
                <w:rFonts w:hint="eastAsia" w:ascii="宋体" w:hAnsi="宋体" w:cs="宋体"/>
                <w:kern w:val="0"/>
                <w:sz w:val="24"/>
                <w:lang w:bidi="ar"/>
              </w:rPr>
              <w:t>96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E9762F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0BD1C1D">
            <w:pPr>
              <w:widowControl/>
              <w:jc w:val="center"/>
              <w:textAlignment w:val="center"/>
              <w:rPr>
                <w:rFonts w:hint="eastAsia" w:ascii="宋体" w:hAnsi="宋体" w:cs="宋体"/>
                <w:sz w:val="24"/>
              </w:rPr>
            </w:pPr>
            <w:r>
              <w:rPr>
                <w:rFonts w:hint="eastAsia" w:ascii="宋体" w:hAnsi="宋体" w:cs="宋体"/>
                <w:kern w:val="0"/>
                <w:sz w:val="24"/>
                <w:lang w:bidi="ar"/>
              </w:rPr>
              <w:t>预警指标管理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1EC51B6">
            <w:pPr>
              <w:widowControl/>
              <w:textAlignment w:val="center"/>
              <w:rPr>
                <w:rFonts w:hint="eastAsia" w:ascii="宋体" w:hAnsi="宋体" w:cs="宋体"/>
                <w:sz w:val="24"/>
              </w:rPr>
            </w:pPr>
            <w:r>
              <w:rPr>
                <w:rFonts w:hint="eastAsia" w:ascii="宋体" w:hAnsi="宋体" w:cs="宋体"/>
                <w:kern w:val="0"/>
                <w:sz w:val="24"/>
                <w:lang w:bidi="ar"/>
              </w:rPr>
              <w:t>预警指标管理是对基础预警指标功能的升级，旨在通过灵活、可配置的规则组合，构建一个多层次、立体化的智能风险监控体系。其核心业务目标是实现对儿童健康风险的精细化识别与高效管理，满足复杂场景下的监控需求。可以在统一的预警指标配置管理页面中，对添加多个基础预警指标，并修改和删除。</w:t>
            </w:r>
          </w:p>
        </w:tc>
      </w:tr>
      <w:tr w14:paraId="0FC36585">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73B9EBA">
            <w:pPr>
              <w:widowControl/>
              <w:jc w:val="center"/>
              <w:textAlignment w:val="center"/>
              <w:rPr>
                <w:rFonts w:hint="eastAsia" w:ascii="宋体" w:hAnsi="宋体" w:cs="宋体"/>
                <w:sz w:val="24"/>
              </w:rPr>
            </w:pPr>
            <w:r>
              <w:rPr>
                <w:rFonts w:hint="eastAsia" w:ascii="宋体" w:hAnsi="宋体" w:cs="宋体"/>
                <w:kern w:val="0"/>
                <w:sz w:val="24"/>
                <w:lang w:bidi="ar"/>
              </w:rPr>
              <w:t>97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545213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817CDB6">
            <w:pPr>
              <w:widowControl/>
              <w:jc w:val="center"/>
              <w:textAlignment w:val="center"/>
              <w:rPr>
                <w:rFonts w:hint="eastAsia" w:ascii="宋体" w:hAnsi="宋体" w:cs="宋体"/>
                <w:sz w:val="24"/>
              </w:rPr>
            </w:pPr>
            <w:r>
              <w:rPr>
                <w:rFonts w:hint="eastAsia" w:ascii="宋体" w:hAnsi="宋体" w:cs="宋体"/>
                <w:kern w:val="0"/>
                <w:sz w:val="24"/>
                <w:lang w:bidi="ar"/>
              </w:rPr>
              <w:t>预警任务管理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43BA8B1">
            <w:pPr>
              <w:widowControl/>
              <w:textAlignment w:val="center"/>
              <w:rPr>
                <w:rFonts w:hint="eastAsia" w:ascii="宋体" w:hAnsi="宋体" w:cs="宋体"/>
                <w:sz w:val="24"/>
              </w:rPr>
            </w:pPr>
            <w:r>
              <w:rPr>
                <w:rFonts w:hint="eastAsia" w:ascii="宋体" w:hAnsi="宋体" w:cs="宋体"/>
                <w:kern w:val="0"/>
                <w:sz w:val="24"/>
                <w:lang w:bidi="ar"/>
              </w:rPr>
              <w:t>系统能够根据已配置的预警指标及其监控范围，持续、自动地对全量儿童健康数据进行实时扫描与比对。一旦发现数据符合预设的异常条件，系统便会自动根据任务获取数据。这个过程无需人工干预，确保了风险识别的及时性和无遗漏。</w:t>
            </w:r>
          </w:p>
        </w:tc>
      </w:tr>
      <w:tr w14:paraId="7C3AA89B">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61A6346">
            <w:pPr>
              <w:widowControl/>
              <w:jc w:val="center"/>
              <w:textAlignment w:val="center"/>
              <w:rPr>
                <w:rFonts w:hint="eastAsia" w:ascii="宋体" w:hAnsi="宋体" w:cs="宋体"/>
                <w:sz w:val="24"/>
              </w:rPr>
            </w:pPr>
            <w:r>
              <w:rPr>
                <w:rFonts w:hint="eastAsia" w:ascii="宋体" w:hAnsi="宋体" w:cs="宋体"/>
                <w:kern w:val="0"/>
                <w:sz w:val="24"/>
                <w:lang w:bidi="ar"/>
              </w:rPr>
              <w:t>98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5F6AF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0976D34">
            <w:pPr>
              <w:widowControl/>
              <w:jc w:val="center"/>
              <w:textAlignment w:val="center"/>
              <w:rPr>
                <w:rFonts w:hint="eastAsia" w:ascii="宋体" w:hAnsi="宋体" w:cs="宋体"/>
                <w:sz w:val="24"/>
              </w:rPr>
            </w:pPr>
            <w:r>
              <w:rPr>
                <w:rFonts w:hint="eastAsia" w:ascii="宋体" w:hAnsi="宋体" w:cs="宋体"/>
                <w:kern w:val="0"/>
                <w:sz w:val="24"/>
                <w:lang w:bidi="ar"/>
              </w:rPr>
              <w:t>异常儿童</w:t>
            </w:r>
          </w:p>
        </w:tc>
        <w:tc>
          <w:tcPr>
            <w:tcW w:w="9687" w:type="dxa"/>
            <w:tcBorders>
              <w:top w:val="single" w:color="000000" w:sz="4" w:space="0"/>
              <w:left w:val="single" w:color="000000" w:sz="4" w:space="0"/>
              <w:bottom w:val="single" w:color="000000" w:sz="4" w:space="0"/>
              <w:right w:val="single" w:color="000000" w:sz="4" w:space="0"/>
            </w:tcBorders>
            <w:vAlign w:val="center"/>
          </w:tcPr>
          <w:p w14:paraId="2C455E2D">
            <w:pPr>
              <w:widowControl/>
              <w:textAlignment w:val="center"/>
              <w:rPr>
                <w:rFonts w:hint="eastAsia" w:ascii="宋体" w:hAnsi="宋体" w:cs="宋体"/>
                <w:sz w:val="24"/>
              </w:rPr>
            </w:pPr>
            <w:r>
              <w:rPr>
                <w:rFonts w:hint="eastAsia" w:ascii="宋体" w:hAnsi="宋体" w:cs="宋体"/>
                <w:kern w:val="0"/>
                <w:sz w:val="24"/>
                <w:lang w:bidi="ar"/>
              </w:rPr>
              <w:t>根据预警指标设置的范围和预警任务设置的规则，自动生成异常儿童列表。可以根据分类查询异常儿童，并查看异常原因。功能均整合在一个清晰的异常儿童页面中，实现了从风险预警到个案管理的无缝衔接。</w:t>
            </w:r>
          </w:p>
        </w:tc>
      </w:tr>
      <w:tr w14:paraId="79DD0CD4">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632E5A">
            <w:pPr>
              <w:widowControl/>
              <w:jc w:val="center"/>
              <w:textAlignment w:val="center"/>
              <w:rPr>
                <w:rFonts w:hint="eastAsia" w:ascii="宋体" w:hAnsi="宋体" w:cs="宋体"/>
                <w:sz w:val="24"/>
              </w:rPr>
            </w:pPr>
            <w:r>
              <w:rPr>
                <w:rFonts w:hint="eastAsia" w:ascii="宋体" w:hAnsi="宋体" w:cs="宋体"/>
                <w:kern w:val="0"/>
                <w:sz w:val="24"/>
                <w:lang w:bidi="ar"/>
              </w:rPr>
              <w:t>99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4F6303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3A3F7F4">
            <w:pPr>
              <w:widowControl/>
              <w:jc w:val="center"/>
              <w:textAlignment w:val="center"/>
              <w:rPr>
                <w:rFonts w:hint="eastAsia" w:ascii="宋体" w:hAnsi="宋体" w:cs="宋体"/>
                <w:sz w:val="24"/>
              </w:rPr>
            </w:pPr>
            <w:r>
              <w:rPr>
                <w:rFonts w:hint="eastAsia" w:ascii="宋体" w:hAnsi="宋体" w:cs="宋体"/>
                <w:kern w:val="0"/>
                <w:sz w:val="24"/>
                <w:lang w:bidi="ar"/>
              </w:rPr>
              <w:t>预警发布</w:t>
            </w:r>
          </w:p>
        </w:tc>
        <w:tc>
          <w:tcPr>
            <w:tcW w:w="9687" w:type="dxa"/>
            <w:tcBorders>
              <w:top w:val="single" w:color="000000" w:sz="4" w:space="0"/>
              <w:left w:val="single" w:color="000000" w:sz="4" w:space="0"/>
              <w:bottom w:val="single" w:color="000000" w:sz="4" w:space="0"/>
              <w:right w:val="single" w:color="000000" w:sz="4" w:space="0"/>
            </w:tcBorders>
            <w:vAlign w:val="center"/>
          </w:tcPr>
          <w:p w14:paraId="746C4D44">
            <w:pPr>
              <w:widowControl/>
              <w:textAlignment w:val="center"/>
              <w:rPr>
                <w:rFonts w:hint="eastAsia" w:ascii="宋体" w:hAnsi="宋体" w:cs="宋体"/>
                <w:sz w:val="24"/>
              </w:rPr>
            </w:pPr>
            <w:r>
              <w:rPr>
                <w:rFonts w:hint="eastAsia" w:ascii="宋体" w:hAnsi="宋体" w:cs="宋体"/>
                <w:kern w:val="0"/>
                <w:sz w:val="24"/>
                <w:lang w:bidi="ar"/>
              </w:rPr>
              <w:t>预警发布模块旨在构建一个集配置与发送预警消息管理体系，确保关键的健康预警信息能够被准确、及时地触达目标管理对象，从而实现有效的风险干预与沟通。系统提供专门的预警发布设置页面，允许管理人员预先设定消息接收方的手机号码及标准化的短信内容模板，为消息的精准投送奠定基础。当系统获取到异常儿童时，给管理者发送消息。通过将“设置”与“发布”功能在界面层面清晰分离为独立的Tab页面，系统为管理人员提供了逻辑分明、操作专一的的工作流程，从基础配置到任务执行环环相扣，确保了预警消息从生成到送达的整个流程顺畅、可控。</w:t>
            </w:r>
          </w:p>
        </w:tc>
      </w:tr>
      <w:tr w14:paraId="4C87A066">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0422D35">
            <w:pPr>
              <w:widowControl/>
              <w:jc w:val="center"/>
              <w:textAlignment w:val="center"/>
              <w:rPr>
                <w:rFonts w:hint="eastAsia" w:ascii="宋体" w:hAnsi="宋体" w:cs="宋体"/>
                <w:sz w:val="24"/>
              </w:rPr>
            </w:pPr>
            <w:r>
              <w:rPr>
                <w:rFonts w:hint="eastAsia" w:ascii="宋体" w:hAnsi="宋体" w:cs="宋体"/>
                <w:kern w:val="0"/>
                <w:sz w:val="24"/>
                <w:lang w:bidi="ar"/>
              </w:rPr>
              <w:t>100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5CD1E6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9140838">
            <w:pPr>
              <w:widowControl/>
              <w:jc w:val="center"/>
              <w:textAlignment w:val="center"/>
              <w:rPr>
                <w:rFonts w:hint="eastAsia" w:ascii="宋体" w:hAnsi="宋体" w:cs="宋体"/>
                <w:sz w:val="24"/>
              </w:rPr>
            </w:pPr>
            <w:r>
              <w:rPr>
                <w:rFonts w:hint="eastAsia" w:ascii="宋体" w:hAnsi="宋体" w:cs="宋体"/>
                <w:kern w:val="0"/>
                <w:sz w:val="24"/>
                <w:lang w:bidi="ar"/>
              </w:rPr>
              <w:t>随访</w:t>
            </w:r>
          </w:p>
        </w:tc>
        <w:tc>
          <w:tcPr>
            <w:tcW w:w="9687" w:type="dxa"/>
            <w:tcBorders>
              <w:top w:val="single" w:color="000000" w:sz="4" w:space="0"/>
              <w:left w:val="single" w:color="000000" w:sz="4" w:space="0"/>
              <w:bottom w:val="single" w:color="000000" w:sz="4" w:space="0"/>
              <w:right w:val="single" w:color="000000" w:sz="4" w:space="0"/>
            </w:tcBorders>
            <w:vAlign w:val="center"/>
          </w:tcPr>
          <w:p w14:paraId="708C2C2D">
            <w:pPr>
              <w:widowControl/>
              <w:textAlignment w:val="center"/>
              <w:rPr>
                <w:rFonts w:hint="eastAsia" w:ascii="宋体" w:hAnsi="宋体" w:cs="宋体"/>
                <w:sz w:val="24"/>
              </w:rPr>
            </w:pPr>
            <w:r>
              <w:rPr>
                <w:rFonts w:hint="eastAsia" w:ascii="宋体" w:hAnsi="宋体" w:cs="宋体"/>
                <w:kern w:val="0"/>
                <w:sz w:val="24"/>
                <w:lang w:bidi="ar"/>
              </w:rPr>
              <w:t>系统为异常儿童提供完整的随访记录管理功能，支持对定期随访信息进行录入、查看、修改与删除。并根据后续随访情况自动更新访视次数。</w:t>
            </w:r>
            <w:r>
              <w:rPr>
                <w:rFonts w:hint="eastAsia" w:ascii="宋体" w:hAnsi="宋体" w:cs="宋体"/>
                <w:kern w:val="0"/>
                <w:sz w:val="24"/>
                <w:lang w:bidi="ar"/>
              </w:rPr>
              <w:br w:type="textWrapping"/>
            </w:r>
            <w:r>
              <w:rPr>
                <w:rFonts w:hint="eastAsia" w:ascii="宋体" w:hAnsi="宋体" w:cs="宋体"/>
                <w:kern w:val="0"/>
                <w:sz w:val="24"/>
                <w:lang w:bidi="ar"/>
              </w:rPr>
              <w:t>用户可通过多条件组合检索随访记录列表，系统同时支持一键打开随访记录管理页面，以便高效完成相关操作与长期跟踪。</w:t>
            </w:r>
          </w:p>
        </w:tc>
      </w:tr>
      <w:tr w14:paraId="56B1ADEE">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A21522F">
            <w:pPr>
              <w:widowControl/>
              <w:jc w:val="center"/>
              <w:textAlignment w:val="center"/>
              <w:rPr>
                <w:rFonts w:hint="eastAsia" w:ascii="宋体" w:hAnsi="宋体" w:cs="宋体"/>
                <w:sz w:val="24"/>
              </w:rPr>
            </w:pPr>
            <w:r>
              <w:rPr>
                <w:rFonts w:hint="eastAsia" w:ascii="宋体" w:hAnsi="宋体" w:cs="宋体"/>
                <w:kern w:val="0"/>
                <w:sz w:val="24"/>
                <w:lang w:bidi="ar"/>
              </w:rPr>
              <w:t>101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B5A827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A4C855F">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04A55B71">
            <w:pPr>
              <w:widowControl/>
              <w:textAlignment w:val="center"/>
              <w:rPr>
                <w:rFonts w:hint="eastAsia" w:ascii="宋体" w:hAnsi="宋体" w:cs="宋体"/>
                <w:sz w:val="24"/>
              </w:rPr>
            </w:pPr>
            <w:r>
              <w:rPr>
                <w:rFonts w:hint="eastAsia" w:ascii="宋体" w:hAnsi="宋体" w:cs="宋体"/>
                <w:kern w:val="0"/>
                <w:sz w:val="24"/>
                <w:lang w:bidi="ar"/>
              </w:rPr>
              <w:t>系统提供全面的高危儿预警数据查询与导出功能，支持对高危预警儿童登记本，高危预警儿童预警登记本，高危预警儿童随访登记本查询操作。同时针对每类查询结果，均提供导出功能，方便工作人员获取纸质或电子版本的登记信息，高效高危儿预警数据管理与使用的日常场景。</w:t>
            </w:r>
          </w:p>
        </w:tc>
      </w:tr>
      <w:tr w14:paraId="6A185CD4">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96A5FEB">
            <w:pPr>
              <w:widowControl/>
              <w:jc w:val="center"/>
              <w:textAlignment w:val="center"/>
              <w:rPr>
                <w:rFonts w:hint="eastAsia" w:ascii="宋体" w:hAnsi="宋体" w:cs="宋体"/>
                <w:sz w:val="24"/>
              </w:rPr>
            </w:pPr>
            <w:r>
              <w:rPr>
                <w:rFonts w:hint="eastAsia" w:ascii="宋体" w:hAnsi="宋体" w:cs="宋体"/>
                <w:kern w:val="0"/>
                <w:sz w:val="24"/>
                <w:lang w:bidi="ar"/>
              </w:rPr>
              <w:t>102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0EEC0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24D2194">
            <w:pPr>
              <w:widowControl/>
              <w:jc w:val="center"/>
              <w:textAlignment w:val="center"/>
              <w:rPr>
                <w:rFonts w:hint="eastAsia" w:ascii="宋体" w:hAnsi="宋体" w:cs="宋体"/>
                <w:sz w:val="24"/>
              </w:rPr>
            </w:pPr>
            <w:r>
              <w:rPr>
                <w:rFonts w:hint="eastAsia" w:ascii="宋体" w:hAnsi="宋体" w:cs="宋体"/>
                <w:kern w:val="0"/>
                <w:sz w:val="24"/>
                <w:lang w:bidi="ar"/>
              </w:rPr>
              <w:t>报表统计</w:t>
            </w:r>
          </w:p>
        </w:tc>
        <w:tc>
          <w:tcPr>
            <w:tcW w:w="9687" w:type="dxa"/>
            <w:tcBorders>
              <w:top w:val="single" w:color="000000" w:sz="4" w:space="0"/>
              <w:left w:val="single" w:color="000000" w:sz="4" w:space="0"/>
              <w:bottom w:val="single" w:color="000000" w:sz="4" w:space="0"/>
              <w:right w:val="single" w:color="000000" w:sz="4" w:space="0"/>
            </w:tcBorders>
            <w:vAlign w:val="center"/>
          </w:tcPr>
          <w:p w14:paraId="440E0D13">
            <w:pPr>
              <w:widowControl/>
              <w:textAlignment w:val="center"/>
              <w:rPr>
                <w:rFonts w:hint="eastAsia" w:ascii="宋体" w:hAnsi="宋体" w:cs="宋体"/>
                <w:sz w:val="24"/>
              </w:rPr>
            </w:pPr>
            <w:r>
              <w:rPr>
                <w:rFonts w:hint="eastAsia" w:ascii="宋体" w:hAnsi="宋体" w:cs="宋体"/>
                <w:kern w:val="0"/>
                <w:sz w:val="24"/>
                <w:lang w:bidi="ar"/>
              </w:rPr>
              <w:t>查询统计功能模块可全面覆盖高危儿预警服务相关数据的查询与导出需求，核心支持多类关键统计报表的管理操作。</w:t>
            </w:r>
            <w:r>
              <w:rPr>
                <w:rFonts w:hint="eastAsia" w:ascii="宋体" w:hAnsi="宋体" w:cs="宋体"/>
                <w:kern w:val="0"/>
                <w:sz w:val="24"/>
                <w:lang w:bidi="ar"/>
              </w:rPr>
              <w:br w:type="textWrapping"/>
            </w:r>
            <w:r>
              <w:rPr>
                <w:rFonts w:hint="eastAsia" w:ascii="宋体" w:hAnsi="宋体" w:cs="宋体"/>
                <w:kern w:val="0"/>
                <w:sz w:val="24"/>
                <w:lang w:bidi="ar"/>
              </w:rPr>
              <w:t>具体包括，能查询并导出高危预警儿童统计、孕高危预警儿童随访统计。</w:t>
            </w:r>
          </w:p>
        </w:tc>
      </w:tr>
      <w:tr w14:paraId="36BD3986">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3AE236E">
            <w:pPr>
              <w:widowControl/>
              <w:jc w:val="center"/>
              <w:textAlignment w:val="center"/>
              <w:rPr>
                <w:rFonts w:hint="eastAsia" w:ascii="宋体" w:hAnsi="宋体" w:cs="宋体"/>
                <w:sz w:val="24"/>
              </w:rPr>
            </w:pPr>
            <w:r>
              <w:rPr>
                <w:rFonts w:hint="eastAsia" w:ascii="宋体" w:hAnsi="宋体" w:cs="宋体"/>
                <w:kern w:val="0"/>
                <w:sz w:val="24"/>
                <w:lang w:bidi="ar"/>
              </w:rPr>
              <w:t>103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A921AD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1B6DF6">
            <w:pPr>
              <w:widowControl/>
              <w:jc w:val="center"/>
              <w:textAlignment w:val="center"/>
              <w:rPr>
                <w:rFonts w:hint="eastAsia" w:ascii="宋体" w:hAnsi="宋体" w:cs="宋体"/>
                <w:sz w:val="24"/>
              </w:rPr>
            </w:pPr>
            <w:r>
              <w:rPr>
                <w:rFonts w:hint="eastAsia" w:ascii="宋体" w:hAnsi="宋体" w:cs="宋体"/>
                <w:kern w:val="0"/>
                <w:sz w:val="24"/>
                <w:lang w:bidi="ar"/>
              </w:rPr>
              <w:t>接口服务</w:t>
            </w:r>
          </w:p>
        </w:tc>
        <w:tc>
          <w:tcPr>
            <w:tcW w:w="9687" w:type="dxa"/>
            <w:tcBorders>
              <w:top w:val="single" w:color="000000" w:sz="4" w:space="0"/>
              <w:left w:val="single" w:color="000000" w:sz="4" w:space="0"/>
              <w:bottom w:val="single" w:color="000000" w:sz="4" w:space="0"/>
              <w:right w:val="single" w:color="000000" w:sz="4" w:space="0"/>
            </w:tcBorders>
            <w:vAlign w:val="center"/>
          </w:tcPr>
          <w:p w14:paraId="11564C63">
            <w:pPr>
              <w:widowControl/>
              <w:textAlignment w:val="center"/>
              <w:rPr>
                <w:rFonts w:hint="eastAsia" w:ascii="宋体" w:hAnsi="宋体" w:cs="宋体"/>
                <w:sz w:val="24"/>
              </w:rPr>
            </w:pPr>
            <w:r>
              <w:rPr>
                <w:rFonts w:hint="eastAsia" w:ascii="宋体" w:hAnsi="宋体" w:cs="宋体"/>
                <w:kern w:val="0"/>
                <w:sz w:val="24"/>
                <w:lang w:bidi="ar"/>
              </w:rPr>
              <w:t xml:space="preserve">数据接口功能可实现高危儿预警系统与“健苗工程”系统数据互通。可以调用“健苗工程”系统儿童档案、新生儿访视、0-1岁内定期体检、高危儿专案、高危儿专案指导中的基本信息、检查信息和检验信息。调用短信接口服务，发送短信；调阅定时任务接口服务，设置自动任务的开启或者关闭。    </w:t>
            </w:r>
          </w:p>
        </w:tc>
      </w:tr>
      <w:tr w14:paraId="60D2A58B">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4548F11">
            <w:pPr>
              <w:widowControl/>
              <w:jc w:val="center"/>
              <w:textAlignment w:val="center"/>
              <w:rPr>
                <w:rFonts w:hint="eastAsia" w:ascii="宋体" w:hAnsi="宋体" w:cs="宋体"/>
                <w:sz w:val="24"/>
              </w:rPr>
            </w:pPr>
            <w:r>
              <w:rPr>
                <w:rFonts w:hint="eastAsia" w:ascii="宋体" w:hAnsi="宋体" w:cs="宋体"/>
                <w:kern w:val="0"/>
                <w:sz w:val="24"/>
                <w:lang w:bidi="ar"/>
              </w:rPr>
              <w:t>105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0B013A4C">
            <w:pPr>
              <w:widowControl/>
              <w:jc w:val="center"/>
              <w:textAlignment w:val="center"/>
              <w:rPr>
                <w:rFonts w:hint="eastAsia" w:ascii="宋体" w:hAnsi="宋体" w:cs="宋体"/>
                <w:sz w:val="24"/>
              </w:rPr>
            </w:pPr>
            <w:r>
              <w:rPr>
                <w:rFonts w:hint="eastAsia" w:ascii="宋体" w:hAnsi="宋体" w:cs="宋体"/>
                <w:kern w:val="0"/>
                <w:sz w:val="24"/>
                <w:lang w:bidi="ar"/>
              </w:rPr>
              <w:t>高危儿转诊管理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49263526">
            <w:pPr>
              <w:widowControl/>
              <w:jc w:val="center"/>
              <w:textAlignment w:val="center"/>
              <w:rPr>
                <w:rFonts w:hint="eastAsia" w:ascii="宋体" w:hAnsi="宋体" w:cs="宋体"/>
                <w:sz w:val="24"/>
              </w:rPr>
            </w:pPr>
            <w:r>
              <w:rPr>
                <w:rFonts w:hint="eastAsia" w:ascii="宋体" w:hAnsi="宋体" w:cs="宋体"/>
                <w:kern w:val="0"/>
                <w:sz w:val="24"/>
                <w:lang w:bidi="ar"/>
              </w:rPr>
              <w:t>转诊申请</w:t>
            </w:r>
          </w:p>
        </w:tc>
        <w:tc>
          <w:tcPr>
            <w:tcW w:w="9687" w:type="dxa"/>
            <w:tcBorders>
              <w:top w:val="single" w:color="000000" w:sz="4" w:space="0"/>
              <w:left w:val="single" w:color="000000" w:sz="4" w:space="0"/>
              <w:bottom w:val="single" w:color="000000" w:sz="4" w:space="0"/>
              <w:right w:val="single" w:color="000000" w:sz="4" w:space="0"/>
            </w:tcBorders>
            <w:vAlign w:val="center"/>
          </w:tcPr>
          <w:p w14:paraId="59D1CDD7">
            <w:pPr>
              <w:widowControl/>
              <w:textAlignment w:val="center"/>
              <w:rPr>
                <w:rFonts w:hint="eastAsia" w:ascii="宋体" w:hAnsi="宋体" w:cs="宋体"/>
                <w:sz w:val="24"/>
              </w:rPr>
            </w:pPr>
            <w:r>
              <w:rPr>
                <w:rFonts w:hint="eastAsia" w:ascii="宋体" w:hAnsi="宋体" w:cs="宋体"/>
                <w:kern w:val="0"/>
                <w:sz w:val="24"/>
                <w:lang w:bidi="ar"/>
              </w:rPr>
              <w:t xml:space="preserve">    转诊申请功能围绕儿童高危转诊的全流程管理展开，覆盖申请发起场景、单据操作及专属入口支持。</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该功能支持向定点转诊机构提交转诊申请，可在标注高危儿后、儿童体检发现高危因素时这两类场景下发起高危转诊；同时提供转诊申请单的填写、修改与查询功能，确保申请信息准确且可追溯；</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此外，还支持打开转诊申请 tab 页面，为工作人员提供专属操作入口，全方位满足儿童高危转诊的规范化与便捷化需求。</w:t>
            </w:r>
          </w:p>
        </w:tc>
      </w:tr>
      <w:tr w14:paraId="669B16D4">
        <w:tblPrEx>
          <w:tblCellMar>
            <w:top w:w="0" w:type="dxa"/>
            <w:left w:w="108" w:type="dxa"/>
            <w:bottom w:w="0" w:type="dxa"/>
            <w:right w:w="108" w:type="dxa"/>
          </w:tblCellMar>
        </w:tblPrEx>
        <w:trPr>
          <w:trHeight w:val="37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C25A9AE">
            <w:pPr>
              <w:widowControl/>
              <w:jc w:val="center"/>
              <w:textAlignment w:val="center"/>
              <w:rPr>
                <w:rFonts w:hint="eastAsia" w:ascii="宋体" w:hAnsi="宋体" w:cs="宋体"/>
                <w:sz w:val="24"/>
              </w:rPr>
            </w:pPr>
            <w:r>
              <w:rPr>
                <w:rFonts w:hint="eastAsia" w:ascii="宋体" w:hAnsi="宋体" w:cs="宋体"/>
                <w:kern w:val="0"/>
                <w:sz w:val="24"/>
                <w:lang w:bidi="ar"/>
              </w:rPr>
              <w:t>106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BEB261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203A50">
            <w:pPr>
              <w:widowControl/>
              <w:jc w:val="center"/>
              <w:textAlignment w:val="center"/>
              <w:rPr>
                <w:rFonts w:hint="eastAsia" w:ascii="宋体" w:hAnsi="宋体" w:cs="宋体"/>
                <w:sz w:val="24"/>
              </w:rPr>
            </w:pPr>
            <w:r>
              <w:rPr>
                <w:rFonts w:hint="eastAsia" w:ascii="宋体" w:hAnsi="宋体" w:cs="宋体"/>
                <w:kern w:val="0"/>
                <w:sz w:val="24"/>
                <w:lang w:bidi="ar"/>
              </w:rPr>
              <w:t>转诊单和登记卡</w:t>
            </w:r>
          </w:p>
        </w:tc>
        <w:tc>
          <w:tcPr>
            <w:tcW w:w="9687" w:type="dxa"/>
            <w:tcBorders>
              <w:top w:val="single" w:color="000000" w:sz="4" w:space="0"/>
              <w:left w:val="single" w:color="000000" w:sz="4" w:space="0"/>
              <w:bottom w:val="single" w:color="000000" w:sz="4" w:space="0"/>
              <w:right w:val="single" w:color="000000" w:sz="4" w:space="0"/>
            </w:tcBorders>
            <w:vAlign w:val="center"/>
          </w:tcPr>
          <w:p w14:paraId="1A69C444">
            <w:pPr>
              <w:widowControl/>
              <w:textAlignment w:val="center"/>
              <w:rPr>
                <w:rFonts w:hint="eastAsia" w:ascii="宋体" w:hAnsi="宋体" w:cs="宋体"/>
                <w:sz w:val="24"/>
              </w:rPr>
            </w:pPr>
            <w:r>
              <w:rPr>
                <w:rFonts w:hint="eastAsia" w:ascii="宋体" w:hAnsi="宋体" w:cs="宋体"/>
                <w:kern w:val="0"/>
                <w:sz w:val="24"/>
                <w:lang w:bidi="ar"/>
              </w:rPr>
              <w:t xml:space="preserve">  转诊单和登记卡功能围绕高危儿相关单据的输出与操作入口展开，核心满足打印需求与便捷访问。</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该功能支持打印四类高危儿相关单据，分别是高危儿登记卡、高危儿转诊单、高危儿专案登记表、高危儿专案登记卡，方便纸质存档或诊疗使用；</w:t>
            </w:r>
            <w:r>
              <w:rPr>
                <w:rFonts w:hint="eastAsia" w:ascii="宋体" w:hAnsi="宋体" w:cs="宋体"/>
                <w:kern w:val="0"/>
                <w:sz w:val="24"/>
                <w:lang w:bidi="ar"/>
              </w:rPr>
              <w:br w:type="textWrapping"/>
            </w:r>
            <w:r>
              <w:rPr>
                <w:rFonts w:hint="eastAsia" w:ascii="宋体" w:hAnsi="宋体" w:cs="宋体"/>
                <w:kern w:val="0"/>
                <w:sz w:val="24"/>
                <w:lang w:bidi="ar"/>
              </w:rPr>
              <w:t xml:space="preserve">    同时支持打开转诊单 tab 页面，为工作人员提供专属操作入口，全方位满足高危儿单据管理的规范化与便捷化需求。</w:t>
            </w:r>
          </w:p>
        </w:tc>
      </w:tr>
      <w:tr w14:paraId="46C66B46">
        <w:tblPrEx>
          <w:tblCellMar>
            <w:top w:w="0" w:type="dxa"/>
            <w:left w:w="108" w:type="dxa"/>
            <w:bottom w:w="0" w:type="dxa"/>
            <w:right w:w="108" w:type="dxa"/>
          </w:tblCellMar>
        </w:tblPrEx>
        <w:trPr>
          <w:trHeight w:val="46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6C7B0B5">
            <w:pPr>
              <w:widowControl/>
              <w:jc w:val="center"/>
              <w:textAlignment w:val="center"/>
              <w:rPr>
                <w:rFonts w:hint="eastAsia" w:ascii="宋体" w:hAnsi="宋体" w:cs="宋体"/>
                <w:sz w:val="24"/>
              </w:rPr>
            </w:pPr>
            <w:r>
              <w:rPr>
                <w:rFonts w:hint="eastAsia" w:ascii="宋体" w:hAnsi="宋体" w:cs="宋体"/>
                <w:kern w:val="0"/>
                <w:sz w:val="24"/>
                <w:lang w:bidi="ar"/>
              </w:rPr>
              <w:t>107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5D30CF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CA500D9">
            <w:pPr>
              <w:widowControl/>
              <w:jc w:val="center"/>
              <w:textAlignment w:val="center"/>
              <w:rPr>
                <w:rFonts w:hint="eastAsia" w:ascii="宋体" w:hAnsi="宋体" w:cs="宋体"/>
                <w:sz w:val="24"/>
              </w:rPr>
            </w:pPr>
            <w:r>
              <w:rPr>
                <w:rFonts w:hint="eastAsia" w:ascii="宋体" w:hAnsi="宋体" w:cs="宋体"/>
                <w:kern w:val="0"/>
                <w:sz w:val="24"/>
                <w:lang w:bidi="ar"/>
              </w:rPr>
              <w:t>转诊管理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11E699C">
            <w:pPr>
              <w:widowControl/>
              <w:textAlignment w:val="center"/>
              <w:rPr>
                <w:rFonts w:hint="eastAsia" w:ascii="宋体" w:hAnsi="宋体" w:cs="宋体"/>
                <w:sz w:val="24"/>
              </w:rPr>
            </w:pPr>
            <w:r>
              <w:rPr>
                <w:rFonts w:hint="eastAsia" w:ascii="宋体" w:hAnsi="宋体" w:cs="宋体"/>
                <w:kern w:val="0"/>
                <w:sz w:val="24"/>
                <w:lang w:bidi="ar"/>
              </w:rPr>
              <w:t xml:space="preserve">    转诊管理功能围绕高危儿转诊全流程的监控、操作、自动同步及数据可视化展开，覆盖状态管理、信息核验与分析展示。</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查看分析转诊过程情况，如接诊状态等信息；接诊单位可对转诊单执行接诊或拒绝接诊操作，还能查阅转诊患者电子病历资料以判断是否符合转诊条件。系统具备自动同步机制，转诊后高危儿来就诊时，会将转诊状态从【待接收】自动调整为【已接收】；且自动接收的转诊单中，【接诊医生】默认设为检查医生，【接诊时间】设为检查日期，【转诊单状态】显示为已接收。同时支持图形化展示数据，如转诊数量柱状图、接诊响应时长分布箱线图，全方位满足高危儿转诊管理的高效化与可视化需求。</w:t>
            </w:r>
          </w:p>
        </w:tc>
      </w:tr>
      <w:tr w14:paraId="25E79D98">
        <w:tblPrEx>
          <w:tblCellMar>
            <w:top w:w="0" w:type="dxa"/>
            <w:left w:w="108" w:type="dxa"/>
            <w:bottom w:w="0" w:type="dxa"/>
            <w:right w:w="108" w:type="dxa"/>
          </w:tblCellMar>
        </w:tblPrEx>
        <w:trPr>
          <w:trHeight w:val="29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50E41F5">
            <w:pPr>
              <w:widowControl/>
              <w:jc w:val="center"/>
              <w:textAlignment w:val="center"/>
              <w:rPr>
                <w:rFonts w:hint="eastAsia" w:ascii="宋体" w:hAnsi="宋体" w:cs="宋体"/>
                <w:sz w:val="24"/>
              </w:rPr>
            </w:pPr>
            <w:r>
              <w:rPr>
                <w:rFonts w:hint="eastAsia" w:ascii="宋体" w:hAnsi="宋体" w:cs="宋体"/>
                <w:kern w:val="0"/>
                <w:sz w:val="24"/>
                <w:lang w:bidi="ar"/>
              </w:rPr>
              <w:t>108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F05329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71A0FF">
            <w:pPr>
              <w:widowControl/>
              <w:jc w:val="center"/>
              <w:textAlignment w:val="center"/>
              <w:rPr>
                <w:rFonts w:hint="eastAsia" w:ascii="宋体" w:hAnsi="宋体" w:cs="宋体"/>
                <w:sz w:val="24"/>
              </w:rPr>
            </w:pPr>
            <w:r>
              <w:rPr>
                <w:rFonts w:hint="eastAsia" w:ascii="宋体" w:hAnsi="宋体" w:cs="宋体"/>
                <w:kern w:val="0"/>
                <w:sz w:val="24"/>
                <w:lang w:bidi="ar"/>
              </w:rPr>
              <w:t>转诊记录查询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433A1294">
            <w:pPr>
              <w:widowControl/>
              <w:textAlignment w:val="center"/>
              <w:rPr>
                <w:rFonts w:hint="eastAsia" w:ascii="宋体" w:hAnsi="宋体" w:cs="宋体"/>
                <w:sz w:val="24"/>
              </w:rPr>
            </w:pPr>
            <w:r>
              <w:rPr>
                <w:rFonts w:hint="eastAsia" w:ascii="宋体" w:hAnsi="宋体" w:cs="宋体"/>
                <w:kern w:val="0"/>
                <w:sz w:val="24"/>
                <w:lang w:bidi="ar"/>
              </w:rPr>
              <w:t xml:space="preserve">    转诊记录查询功能围绕高危儿转诊记录的检索、导出及便捷访问展开，核心满足精准查询与数据留存需求。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该功能支持通过多种条件组合检索转诊记录，可精准定位目标信息；检索完成后，支持将转诊记录导出为 EXCEL 格式，便于后续数据存档或分析；</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此外，还支持打开转诊记录 tab 页面，为工作人员提供专属操作入口，全方位满足转诊记录查询的高效化与规范化需求。</w:t>
            </w:r>
          </w:p>
        </w:tc>
      </w:tr>
      <w:tr w14:paraId="15EF6689">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195A44A">
            <w:pPr>
              <w:widowControl/>
              <w:jc w:val="center"/>
              <w:textAlignment w:val="center"/>
              <w:rPr>
                <w:rFonts w:hint="eastAsia" w:ascii="宋体" w:hAnsi="宋体" w:cs="宋体"/>
                <w:sz w:val="24"/>
              </w:rPr>
            </w:pPr>
            <w:r>
              <w:rPr>
                <w:rFonts w:hint="eastAsia" w:ascii="宋体" w:hAnsi="宋体" w:cs="宋体"/>
                <w:kern w:val="0"/>
                <w:sz w:val="24"/>
                <w:lang w:bidi="ar"/>
              </w:rPr>
              <w:t>109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4CC7D1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3E74C12">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B5E2647">
            <w:pPr>
              <w:widowControl/>
              <w:textAlignment w:val="center"/>
              <w:rPr>
                <w:rFonts w:hint="eastAsia" w:ascii="宋体" w:hAnsi="宋体" w:cs="宋体"/>
                <w:sz w:val="24"/>
              </w:rPr>
            </w:pPr>
            <w:r>
              <w:rPr>
                <w:rFonts w:hint="eastAsia" w:ascii="宋体" w:hAnsi="宋体" w:cs="宋体"/>
                <w:kern w:val="0"/>
                <w:sz w:val="24"/>
                <w:lang w:bidi="ar"/>
              </w:rPr>
              <w:t xml:space="preserve">    随访管理功能围绕随访记录的全流程操作与动态更新展开，覆盖记录维护、信息查看及专属入口支持。</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该功能支持对随访记录进行添加、删除、修改和查看操作，满足随访信息的完整管理需求；同时具备动态更新机制，访视次数要求能根据后续随访情况自动调整，无需手动修改；</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此外，还支持打开随访 tab 页面，为工作人员提供专属操作入口，全方位满足随访管理的便捷化与精准化需求。</w:t>
            </w:r>
          </w:p>
        </w:tc>
      </w:tr>
      <w:tr w14:paraId="06385402">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C3D493F">
            <w:pPr>
              <w:widowControl/>
              <w:jc w:val="center"/>
              <w:textAlignment w:val="center"/>
              <w:rPr>
                <w:rFonts w:hint="eastAsia" w:ascii="宋体" w:hAnsi="宋体" w:cs="宋体"/>
                <w:sz w:val="24"/>
              </w:rPr>
            </w:pPr>
            <w:r>
              <w:rPr>
                <w:rFonts w:hint="eastAsia" w:ascii="宋体" w:hAnsi="宋体" w:cs="宋体"/>
                <w:kern w:val="0"/>
                <w:sz w:val="24"/>
                <w:lang w:bidi="ar"/>
              </w:rPr>
              <w:t>110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62FC78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079257">
            <w:pPr>
              <w:widowControl/>
              <w:jc w:val="center"/>
              <w:textAlignment w:val="center"/>
              <w:rPr>
                <w:rFonts w:hint="eastAsia" w:ascii="宋体" w:hAnsi="宋体" w:cs="宋体"/>
                <w:sz w:val="24"/>
              </w:rPr>
            </w:pPr>
            <w:r>
              <w:rPr>
                <w:rFonts w:hint="eastAsia" w:ascii="宋体" w:hAnsi="宋体" w:cs="宋体"/>
                <w:kern w:val="0"/>
                <w:sz w:val="24"/>
                <w:lang w:bidi="ar"/>
              </w:rPr>
              <w:t>转诊登记本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1785E1E9">
            <w:pPr>
              <w:widowControl/>
              <w:textAlignment w:val="center"/>
              <w:rPr>
                <w:rFonts w:hint="eastAsia" w:ascii="宋体" w:hAnsi="宋体" w:cs="宋体"/>
                <w:sz w:val="24"/>
              </w:rPr>
            </w:pPr>
            <w:r>
              <w:rPr>
                <w:rFonts w:hint="eastAsia" w:ascii="宋体" w:hAnsi="宋体" w:cs="宋体"/>
                <w:kern w:val="0"/>
                <w:sz w:val="24"/>
                <w:lang w:bidi="ar"/>
              </w:rPr>
              <w:t xml:space="preserve">    转诊登记本功能聚焦基层单位高危儿转出记录的管理，核心满足精准查询与数据导出需求。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该登记本支持各个基层单位查询本单位在某一时间段内的高危儿转出记录，方便追溯特定时期的转诊情况；同时支持将查询到的高危儿转出记录导出为 EXCEL 格式，便于后续的数据存档、统计分析或信息核对，全方位满足基层单位对高危儿转出记录的规范化管理需求。</w:t>
            </w:r>
          </w:p>
        </w:tc>
      </w:tr>
      <w:tr w14:paraId="72952076">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9FB7238">
            <w:pPr>
              <w:widowControl/>
              <w:jc w:val="center"/>
              <w:textAlignment w:val="center"/>
              <w:rPr>
                <w:rFonts w:hint="eastAsia" w:ascii="宋体" w:hAnsi="宋体" w:cs="宋体"/>
                <w:sz w:val="24"/>
              </w:rPr>
            </w:pPr>
            <w:r>
              <w:rPr>
                <w:rFonts w:hint="eastAsia" w:ascii="宋体" w:hAnsi="宋体" w:cs="宋体"/>
                <w:kern w:val="0"/>
                <w:sz w:val="24"/>
                <w:lang w:bidi="ar"/>
              </w:rPr>
              <w:t>111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E59AF9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1B277F1">
            <w:pPr>
              <w:widowControl/>
              <w:jc w:val="center"/>
              <w:textAlignment w:val="center"/>
              <w:rPr>
                <w:rFonts w:hint="eastAsia" w:ascii="宋体" w:hAnsi="宋体" w:cs="宋体"/>
                <w:sz w:val="24"/>
              </w:rPr>
            </w:pPr>
            <w:r>
              <w:rPr>
                <w:rFonts w:hint="eastAsia" w:ascii="宋体" w:hAnsi="宋体" w:cs="宋体"/>
                <w:kern w:val="0"/>
                <w:sz w:val="24"/>
                <w:lang w:bidi="ar"/>
              </w:rPr>
              <w:t>接诊登记本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46B04007">
            <w:pPr>
              <w:widowControl/>
              <w:textAlignment w:val="center"/>
              <w:rPr>
                <w:rFonts w:hint="eastAsia" w:ascii="宋体" w:hAnsi="宋体" w:cs="宋体"/>
                <w:sz w:val="24"/>
              </w:rPr>
            </w:pPr>
            <w:r>
              <w:rPr>
                <w:rFonts w:hint="eastAsia" w:ascii="宋体" w:hAnsi="宋体" w:cs="宋体"/>
                <w:kern w:val="0"/>
                <w:sz w:val="24"/>
                <w:lang w:bidi="ar"/>
              </w:rPr>
              <w:t xml:space="preserve">   接诊登记本功能围绕上级单位高危儿接诊记录的管理展开，核心满足精准查询与数据留存需求。</w:t>
            </w:r>
            <w:r>
              <w:rPr>
                <w:rFonts w:hint="eastAsia" w:ascii="宋体" w:hAnsi="宋体" w:cs="宋体"/>
                <w:kern w:val="0"/>
                <w:sz w:val="24"/>
                <w:lang w:bidi="ar"/>
              </w:rPr>
              <w:br w:type="textWrapping"/>
            </w:r>
            <w:r>
              <w:rPr>
                <w:rFonts w:hint="eastAsia" w:ascii="宋体" w:hAnsi="宋体" w:cs="宋体"/>
                <w:kern w:val="0"/>
                <w:sz w:val="24"/>
                <w:lang w:bidi="ar"/>
              </w:rPr>
              <w:t xml:space="preserve">    该登记本支持各个上级单位查询本单位在某一个时间段内的高危儿接诊记录，方便追溯特定时期的接诊情况；同时支持将查询到的高危儿接诊记录导出为 EXCEL 格式，便于后续的数据存档、统计分析或信息核对，全方位满足上级单位对高危儿接诊记录的规范化管理需求。</w:t>
            </w:r>
          </w:p>
        </w:tc>
      </w:tr>
      <w:tr w14:paraId="1DFFE012">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E0B397D">
            <w:pPr>
              <w:widowControl/>
              <w:jc w:val="center"/>
              <w:textAlignment w:val="center"/>
              <w:rPr>
                <w:rFonts w:hint="eastAsia" w:ascii="宋体" w:hAnsi="宋体" w:cs="宋体"/>
                <w:sz w:val="24"/>
              </w:rPr>
            </w:pPr>
            <w:r>
              <w:rPr>
                <w:rFonts w:hint="eastAsia" w:ascii="宋体" w:hAnsi="宋体" w:cs="宋体"/>
                <w:kern w:val="0"/>
                <w:sz w:val="24"/>
                <w:lang w:bidi="ar"/>
              </w:rPr>
              <w:t>112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FA95C8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4FAB5E">
            <w:pPr>
              <w:widowControl/>
              <w:jc w:val="center"/>
              <w:textAlignment w:val="center"/>
              <w:rPr>
                <w:rFonts w:hint="eastAsia" w:ascii="宋体" w:hAnsi="宋体" w:cs="宋体"/>
                <w:sz w:val="24"/>
              </w:rPr>
            </w:pPr>
            <w:r>
              <w:rPr>
                <w:rFonts w:hint="eastAsia" w:ascii="宋体" w:hAnsi="宋体" w:cs="宋体"/>
                <w:kern w:val="0"/>
                <w:sz w:val="24"/>
                <w:lang w:bidi="ar"/>
              </w:rPr>
              <w:t>转诊统计</w:t>
            </w:r>
          </w:p>
        </w:tc>
        <w:tc>
          <w:tcPr>
            <w:tcW w:w="9687" w:type="dxa"/>
            <w:tcBorders>
              <w:top w:val="single" w:color="000000" w:sz="4" w:space="0"/>
              <w:left w:val="single" w:color="000000" w:sz="4" w:space="0"/>
              <w:bottom w:val="single" w:color="000000" w:sz="4" w:space="0"/>
              <w:right w:val="single" w:color="000000" w:sz="4" w:space="0"/>
            </w:tcBorders>
            <w:vAlign w:val="center"/>
          </w:tcPr>
          <w:p w14:paraId="3E6E0699">
            <w:pPr>
              <w:widowControl/>
              <w:textAlignment w:val="center"/>
              <w:rPr>
                <w:rFonts w:hint="eastAsia" w:ascii="宋体" w:hAnsi="宋体" w:cs="宋体"/>
                <w:sz w:val="24"/>
              </w:rPr>
            </w:pPr>
            <w:r>
              <w:rPr>
                <w:rFonts w:hint="eastAsia" w:ascii="宋体" w:hAnsi="宋体" w:cs="宋体"/>
                <w:kern w:val="0"/>
                <w:sz w:val="24"/>
                <w:lang w:bidi="ar"/>
              </w:rPr>
              <w:t xml:space="preserve">   转诊统计功能聚焦全市高危儿转诊数据的精细化分析，核心满足区域与时间维度的统计需求。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该功能可按照转诊、接诊两个核心维度，对全市各个县区的高危儿转诊情况进行月度统计，清晰呈现不同区域在特定月份的转诊与接诊动态，全方位支撑高危儿转诊工作的数据化管理与决策参考。</w:t>
            </w:r>
          </w:p>
        </w:tc>
      </w:tr>
      <w:tr w14:paraId="3D1CFDA7">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C43C6C3">
            <w:pPr>
              <w:widowControl/>
              <w:jc w:val="center"/>
              <w:textAlignment w:val="center"/>
              <w:rPr>
                <w:rFonts w:hint="eastAsia" w:ascii="宋体" w:hAnsi="宋体" w:cs="宋体"/>
                <w:sz w:val="24"/>
              </w:rPr>
            </w:pPr>
            <w:r>
              <w:rPr>
                <w:rFonts w:hint="eastAsia" w:ascii="宋体" w:hAnsi="宋体" w:cs="宋体"/>
                <w:kern w:val="0"/>
                <w:sz w:val="24"/>
                <w:lang w:bidi="ar"/>
              </w:rPr>
              <w:t>113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F2D17D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FF81CED">
            <w:pPr>
              <w:widowControl/>
              <w:jc w:val="center"/>
              <w:textAlignment w:val="center"/>
              <w:rPr>
                <w:rFonts w:hint="eastAsia" w:ascii="宋体" w:hAnsi="宋体" w:cs="宋体"/>
                <w:sz w:val="24"/>
              </w:rPr>
            </w:pPr>
            <w:r>
              <w:rPr>
                <w:rFonts w:hint="eastAsia" w:ascii="宋体" w:hAnsi="宋体" w:cs="宋体"/>
                <w:kern w:val="0"/>
                <w:sz w:val="24"/>
                <w:lang w:bidi="ar"/>
              </w:rPr>
              <w:t>接口服务</w:t>
            </w:r>
          </w:p>
        </w:tc>
        <w:tc>
          <w:tcPr>
            <w:tcW w:w="9687" w:type="dxa"/>
            <w:tcBorders>
              <w:top w:val="single" w:color="000000" w:sz="4" w:space="0"/>
              <w:left w:val="single" w:color="000000" w:sz="4" w:space="0"/>
              <w:bottom w:val="single" w:color="000000" w:sz="4" w:space="0"/>
              <w:right w:val="single" w:color="000000" w:sz="4" w:space="0"/>
            </w:tcBorders>
            <w:vAlign w:val="center"/>
          </w:tcPr>
          <w:p w14:paraId="3C7A5BB5">
            <w:pPr>
              <w:widowControl/>
              <w:textAlignment w:val="center"/>
              <w:rPr>
                <w:rFonts w:hint="eastAsia" w:ascii="宋体" w:hAnsi="宋体" w:cs="宋体"/>
                <w:sz w:val="24"/>
              </w:rPr>
            </w:pPr>
            <w:r>
              <w:rPr>
                <w:rFonts w:hint="eastAsia" w:ascii="宋体" w:hAnsi="宋体" w:cs="宋体"/>
                <w:kern w:val="0"/>
                <w:sz w:val="24"/>
                <w:lang w:bidi="ar"/>
              </w:rPr>
              <w:t xml:space="preserve">    接口服务功能围绕外部系统数据调取与内部自动化服务支撑展开，覆盖核心信息互通与基础服务配置。</w:t>
            </w:r>
            <w:r>
              <w:rPr>
                <w:rFonts w:hint="eastAsia" w:ascii="宋体" w:hAnsi="宋体" w:cs="宋体"/>
                <w:kern w:val="0"/>
                <w:sz w:val="24"/>
                <w:lang w:bidi="ar"/>
              </w:rPr>
              <w:br w:type="textWrapping"/>
            </w:r>
            <w:r>
              <w:rPr>
                <w:rFonts w:hint="eastAsia" w:ascii="宋体" w:hAnsi="宋体" w:cs="宋体"/>
                <w:kern w:val="0"/>
                <w:sz w:val="24"/>
                <w:lang w:bidi="ar"/>
              </w:rPr>
              <w:t xml:space="preserve">    该服务支持从 “健苗工程” 系统中调用儿童信息、高危因素，以及全市妇幼管理机构信息，满足跨系统数据共享需求；同时支持调用短信接口服务发送短信，还能调阅定时任务接口服务来设置自动任务的开启或关闭，全方位适配信息传递与自动化管理的场景。</w:t>
            </w:r>
          </w:p>
        </w:tc>
      </w:tr>
      <w:tr w14:paraId="688A6162">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C3BD3C6">
            <w:pPr>
              <w:widowControl/>
              <w:jc w:val="center"/>
              <w:textAlignment w:val="center"/>
              <w:rPr>
                <w:rFonts w:hint="eastAsia" w:ascii="宋体" w:hAnsi="宋体" w:cs="宋体"/>
                <w:sz w:val="24"/>
              </w:rPr>
            </w:pPr>
            <w:r>
              <w:rPr>
                <w:rFonts w:hint="eastAsia" w:ascii="宋体" w:hAnsi="宋体" w:cs="宋体"/>
                <w:kern w:val="0"/>
                <w:sz w:val="24"/>
                <w:lang w:bidi="ar"/>
              </w:rPr>
              <w:t>115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E38202E">
            <w:pPr>
              <w:widowControl/>
              <w:jc w:val="center"/>
              <w:textAlignment w:val="center"/>
              <w:rPr>
                <w:rFonts w:hint="eastAsia" w:ascii="宋体" w:hAnsi="宋体" w:cs="宋体"/>
                <w:sz w:val="24"/>
              </w:rPr>
            </w:pPr>
            <w:r>
              <w:rPr>
                <w:rFonts w:hint="eastAsia" w:ascii="宋体" w:hAnsi="宋体" w:cs="宋体"/>
                <w:kern w:val="0"/>
                <w:sz w:val="24"/>
                <w:lang w:bidi="ar"/>
              </w:rPr>
              <w:t>孕早期B超筛查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0A3768F8">
            <w:pPr>
              <w:widowControl/>
              <w:jc w:val="center"/>
              <w:textAlignment w:val="center"/>
              <w:rPr>
                <w:rFonts w:hint="eastAsia" w:ascii="宋体" w:hAnsi="宋体" w:cs="宋体"/>
                <w:sz w:val="24"/>
              </w:rPr>
            </w:pPr>
            <w:r>
              <w:rPr>
                <w:rFonts w:hint="eastAsia" w:ascii="宋体" w:hAnsi="宋体" w:cs="宋体"/>
                <w:kern w:val="0"/>
                <w:sz w:val="24"/>
                <w:lang w:bidi="ar"/>
              </w:rPr>
              <w:t>超声筛查档案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0AC2A6EC">
            <w:pPr>
              <w:widowControl/>
              <w:textAlignment w:val="center"/>
              <w:rPr>
                <w:rFonts w:hint="eastAsia" w:ascii="宋体" w:hAnsi="宋体" w:cs="宋体"/>
                <w:sz w:val="24"/>
              </w:rPr>
            </w:pPr>
            <w:r>
              <w:rPr>
                <w:rFonts w:hint="eastAsia" w:ascii="宋体" w:hAnsi="宋体" w:cs="宋体"/>
                <w:kern w:val="0"/>
                <w:sz w:val="24"/>
                <w:lang w:bidi="ar"/>
              </w:rPr>
              <w:t xml:space="preserve">    为服务对象提供全面的超声筛查档案管理功能，支持新建、修改与删除筛查档案，并可实现与“健苗工程”系统中孕产妇档案的信息共享，有效避免重复建档。</w:t>
            </w:r>
            <w:r>
              <w:rPr>
                <w:rFonts w:hint="eastAsia" w:ascii="宋体" w:hAnsi="宋体" w:cs="宋体"/>
                <w:kern w:val="0"/>
                <w:sz w:val="24"/>
                <w:lang w:bidi="ar"/>
              </w:rPr>
              <w:br w:type="textWrapping"/>
            </w:r>
            <w:r>
              <w:rPr>
                <w:rFonts w:hint="eastAsia" w:ascii="宋体" w:hAnsi="宋体" w:cs="宋体"/>
                <w:kern w:val="0"/>
                <w:sz w:val="24"/>
                <w:lang w:bidi="ar"/>
              </w:rPr>
              <w:t xml:space="preserve">    对于已存在孕产妇档案的服务对象，系统将自动识别，无需重复建立筛查档案。此外，系统还支持一键打开超声筛查功能页面，便于用户快速进行相关操作与信息管理。</w:t>
            </w:r>
          </w:p>
        </w:tc>
      </w:tr>
      <w:tr w14:paraId="63AB5648">
        <w:tblPrEx>
          <w:tblCellMar>
            <w:top w:w="0" w:type="dxa"/>
            <w:left w:w="108" w:type="dxa"/>
            <w:bottom w:w="0" w:type="dxa"/>
            <w:right w:w="108" w:type="dxa"/>
          </w:tblCellMar>
        </w:tblPrEx>
        <w:trPr>
          <w:trHeight w:val="31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FC6C88A">
            <w:pPr>
              <w:widowControl/>
              <w:jc w:val="center"/>
              <w:textAlignment w:val="center"/>
              <w:rPr>
                <w:rFonts w:hint="eastAsia" w:ascii="宋体" w:hAnsi="宋体" w:cs="宋体"/>
                <w:sz w:val="24"/>
              </w:rPr>
            </w:pPr>
            <w:r>
              <w:rPr>
                <w:rFonts w:hint="eastAsia" w:ascii="宋体" w:hAnsi="宋体" w:cs="宋体"/>
                <w:kern w:val="0"/>
                <w:sz w:val="24"/>
                <w:lang w:bidi="ar"/>
              </w:rPr>
              <w:t>116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8082B1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C6A5D89">
            <w:pPr>
              <w:widowControl/>
              <w:jc w:val="center"/>
              <w:textAlignment w:val="center"/>
              <w:rPr>
                <w:rFonts w:hint="eastAsia" w:ascii="宋体" w:hAnsi="宋体" w:cs="宋体"/>
                <w:sz w:val="24"/>
              </w:rPr>
            </w:pPr>
            <w:r>
              <w:rPr>
                <w:rFonts w:hint="eastAsia" w:ascii="宋体" w:hAnsi="宋体" w:cs="宋体"/>
                <w:kern w:val="0"/>
                <w:sz w:val="24"/>
                <w:lang w:bidi="ar"/>
              </w:rPr>
              <w:t>知情同意书</w:t>
            </w:r>
          </w:p>
        </w:tc>
        <w:tc>
          <w:tcPr>
            <w:tcW w:w="9687" w:type="dxa"/>
            <w:tcBorders>
              <w:top w:val="single" w:color="000000" w:sz="4" w:space="0"/>
              <w:left w:val="single" w:color="000000" w:sz="4" w:space="0"/>
              <w:bottom w:val="single" w:color="000000" w:sz="4" w:space="0"/>
              <w:right w:val="single" w:color="000000" w:sz="4" w:space="0"/>
            </w:tcBorders>
            <w:vAlign w:val="center"/>
          </w:tcPr>
          <w:p w14:paraId="7793297B">
            <w:pPr>
              <w:widowControl/>
              <w:textAlignment w:val="center"/>
              <w:rPr>
                <w:rFonts w:hint="eastAsia" w:ascii="宋体" w:hAnsi="宋体" w:cs="宋体"/>
                <w:sz w:val="24"/>
              </w:rPr>
            </w:pPr>
            <w:r>
              <w:rPr>
                <w:rFonts w:hint="eastAsia" w:ascii="宋体" w:hAnsi="宋体" w:cs="宋体"/>
                <w:kern w:val="0"/>
                <w:sz w:val="24"/>
                <w:lang w:bidi="ar"/>
              </w:rPr>
              <w:t xml:space="preserve">    根据业务要求，服务对象在超声筛查前需签署知情同意书，以确认接受筛查或拒绝筛查。系统支持知情同意书的打印功能，并可一键打开专门的知情同意书操作页面，便于高效完成签署及相关流程管理。</w:t>
            </w:r>
          </w:p>
        </w:tc>
      </w:tr>
      <w:tr w14:paraId="2F468689">
        <w:tblPrEx>
          <w:tblCellMar>
            <w:top w:w="0" w:type="dxa"/>
            <w:left w:w="108" w:type="dxa"/>
            <w:bottom w:w="0" w:type="dxa"/>
            <w:right w:w="108" w:type="dxa"/>
          </w:tblCellMar>
        </w:tblPrEx>
        <w:trPr>
          <w:trHeight w:val="41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F19F913">
            <w:pPr>
              <w:widowControl/>
              <w:jc w:val="center"/>
              <w:textAlignment w:val="center"/>
              <w:rPr>
                <w:rFonts w:hint="eastAsia" w:ascii="宋体" w:hAnsi="宋体" w:cs="宋体"/>
                <w:sz w:val="24"/>
              </w:rPr>
            </w:pPr>
            <w:r>
              <w:rPr>
                <w:rFonts w:hint="eastAsia" w:ascii="宋体" w:hAnsi="宋体" w:cs="宋体"/>
                <w:kern w:val="0"/>
                <w:sz w:val="24"/>
                <w:lang w:bidi="ar"/>
              </w:rPr>
              <w:t>117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2751D7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1F8A76A">
            <w:pPr>
              <w:widowControl/>
              <w:jc w:val="center"/>
              <w:textAlignment w:val="center"/>
              <w:rPr>
                <w:rFonts w:hint="eastAsia" w:ascii="宋体" w:hAnsi="宋体" w:cs="宋体"/>
                <w:sz w:val="24"/>
              </w:rPr>
            </w:pPr>
            <w:r>
              <w:rPr>
                <w:rFonts w:hint="eastAsia" w:ascii="宋体" w:hAnsi="宋体" w:cs="宋体"/>
                <w:kern w:val="0"/>
                <w:sz w:val="24"/>
                <w:lang w:bidi="ar"/>
              </w:rPr>
              <w:t>B超筛查申请</w:t>
            </w:r>
          </w:p>
        </w:tc>
        <w:tc>
          <w:tcPr>
            <w:tcW w:w="9687" w:type="dxa"/>
            <w:tcBorders>
              <w:top w:val="single" w:color="000000" w:sz="4" w:space="0"/>
              <w:left w:val="single" w:color="000000" w:sz="4" w:space="0"/>
              <w:bottom w:val="single" w:color="000000" w:sz="4" w:space="0"/>
              <w:right w:val="single" w:color="000000" w:sz="4" w:space="0"/>
            </w:tcBorders>
            <w:vAlign w:val="center"/>
          </w:tcPr>
          <w:p w14:paraId="7B3B5C08">
            <w:pPr>
              <w:widowControl/>
              <w:textAlignment w:val="center"/>
              <w:rPr>
                <w:rFonts w:hint="eastAsia" w:ascii="宋体" w:hAnsi="宋体" w:cs="宋体"/>
                <w:sz w:val="24"/>
              </w:rPr>
            </w:pPr>
            <w:r>
              <w:rPr>
                <w:rFonts w:hint="eastAsia" w:ascii="宋体" w:hAnsi="宋体" w:cs="宋体"/>
                <w:kern w:val="0"/>
                <w:sz w:val="24"/>
                <w:lang w:bidi="ar"/>
              </w:rPr>
              <w:t xml:space="preserve">    系统提供完整的B超筛查申请单管理功能，支持对申请单信息进行录入、修改、删除及查看操作。</w:t>
            </w:r>
            <w:r>
              <w:rPr>
                <w:rFonts w:hint="eastAsia" w:ascii="宋体" w:hAnsi="宋体" w:cs="宋体"/>
                <w:kern w:val="0"/>
                <w:sz w:val="24"/>
                <w:lang w:bidi="ar"/>
              </w:rPr>
              <w:br w:type="textWrapping"/>
            </w:r>
            <w:r>
              <w:rPr>
                <w:rFonts w:hint="eastAsia" w:ascii="宋体" w:hAnsi="宋体" w:cs="宋体"/>
                <w:kern w:val="0"/>
                <w:sz w:val="24"/>
                <w:lang w:bidi="ar"/>
              </w:rPr>
              <w:t xml:space="preserve">    用户可在B超筛查申请列表中通过多条件组合进行灵活检索，并将查询结果导出为Excel文件。同时，系统支持一键打开B超筛查申请功能页面，便于高效完成相关操作与信息管理。</w:t>
            </w:r>
          </w:p>
        </w:tc>
      </w:tr>
      <w:tr w14:paraId="0338EFFD">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FA3F156">
            <w:pPr>
              <w:widowControl/>
              <w:jc w:val="center"/>
              <w:textAlignment w:val="center"/>
              <w:rPr>
                <w:rFonts w:hint="eastAsia" w:ascii="宋体" w:hAnsi="宋体" w:cs="宋体"/>
                <w:sz w:val="24"/>
              </w:rPr>
            </w:pPr>
            <w:r>
              <w:rPr>
                <w:rFonts w:hint="eastAsia" w:ascii="宋体" w:hAnsi="宋体" w:cs="宋体"/>
                <w:kern w:val="0"/>
                <w:sz w:val="24"/>
                <w:lang w:bidi="ar"/>
              </w:rPr>
              <w:t>118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F6E599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76FDE88">
            <w:pPr>
              <w:widowControl/>
              <w:jc w:val="center"/>
              <w:textAlignment w:val="center"/>
              <w:rPr>
                <w:rFonts w:hint="eastAsia" w:ascii="宋体" w:hAnsi="宋体" w:cs="宋体"/>
                <w:sz w:val="24"/>
              </w:rPr>
            </w:pPr>
            <w:r>
              <w:rPr>
                <w:rFonts w:hint="eastAsia" w:ascii="宋体" w:hAnsi="宋体" w:cs="宋体"/>
                <w:kern w:val="0"/>
                <w:sz w:val="24"/>
                <w:lang w:bidi="ar"/>
              </w:rPr>
              <w:t>B超筛查结果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39B8D7BB">
            <w:pPr>
              <w:widowControl/>
              <w:textAlignment w:val="center"/>
              <w:rPr>
                <w:rFonts w:hint="eastAsia" w:ascii="宋体" w:hAnsi="宋体" w:cs="宋体"/>
                <w:sz w:val="24"/>
              </w:rPr>
            </w:pPr>
            <w:r>
              <w:rPr>
                <w:rFonts w:hint="eastAsia" w:ascii="宋体" w:hAnsi="宋体" w:cs="宋体"/>
                <w:kern w:val="0"/>
                <w:sz w:val="24"/>
                <w:lang w:bidi="ar"/>
              </w:rPr>
              <w:t xml:space="preserve">    系统提供全面的B超筛查结果管理功能，支持对筛查结果进行录入、导入、修改与删除，并可一键打开专属功能页面进行操作。</w:t>
            </w:r>
            <w:r>
              <w:rPr>
                <w:rFonts w:hint="eastAsia" w:ascii="宋体" w:hAnsi="宋体" w:cs="宋体"/>
                <w:kern w:val="0"/>
                <w:sz w:val="24"/>
                <w:lang w:bidi="ar"/>
              </w:rPr>
              <w:br w:type="textWrapping"/>
            </w:r>
            <w:r>
              <w:rPr>
                <w:rFonts w:hint="eastAsia" w:ascii="宋体" w:hAnsi="宋体" w:cs="宋体"/>
                <w:kern w:val="0"/>
                <w:sz w:val="24"/>
                <w:lang w:bidi="ar"/>
              </w:rPr>
              <w:t xml:space="preserve">    系统支持直接打印B超筛查结果单与B超转诊服务单，方便现场处理。用户还可在筛查结果列表中通过多条件组合进行灵活检索，并将查询结果导出为Excel文件，以实现高效的信息管理与数据分析。</w:t>
            </w:r>
          </w:p>
        </w:tc>
      </w:tr>
      <w:tr w14:paraId="6EC4E037">
        <w:tblPrEx>
          <w:tblCellMar>
            <w:top w:w="0" w:type="dxa"/>
            <w:left w:w="108" w:type="dxa"/>
            <w:bottom w:w="0" w:type="dxa"/>
            <w:right w:w="108" w:type="dxa"/>
          </w:tblCellMar>
        </w:tblPrEx>
        <w:trPr>
          <w:trHeight w:val="26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A5B623A">
            <w:pPr>
              <w:widowControl/>
              <w:jc w:val="center"/>
              <w:textAlignment w:val="center"/>
              <w:rPr>
                <w:rFonts w:hint="eastAsia" w:ascii="宋体" w:hAnsi="宋体" w:cs="宋体"/>
                <w:sz w:val="24"/>
              </w:rPr>
            </w:pPr>
            <w:r>
              <w:rPr>
                <w:rFonts w:hint="eastAsia" w:ascii="宋体" w:hAnsi="宋体" w:cs="宋体"/>
                <w:kern w:val="0"/>
                <w:sz w:val="24"/>
                <w:lang w:bidi="ar"/>
              </w:rPr>
              <w:t>119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ED4101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879CB47">
            <w:pPr>
              <w:widowControl/>
              <w:jc w:val="center"/>
              <w:textAlignment w:val="center"/>
              <w:rPr>
                <w:rFonts w:hint="eastAsia" w:ascii="宋体" w:hAnsi="宋体" w:cs="宋体"/>
                <w:sz w:val="24"/>
              </w:rPr>
            </w:pPr>
            <w:r>
              <w:rPr>
                <w:rFonts w:hint="eastAsia" w:ascii="宋体" w:hAnsi="宋体" w:cs="宋体"/>
                <w:kern w:val="0"/>
                <w:sz w:val="24"/>
                <w:lang w:bidi="ar"/>
              </w:rPr>
              <w:t>随访记录</w:t>
            </w:r>
          </w:p>
        </w:tc>
        <w:tc>
          <w:tcPr>
            <w:tcW w:w="9687" w:type="dxa"/>
            <w:tcBorders>
              <w:top w:val="single" w:color="000000" w:sz="4" w:space="0"/>
              <w:left w:val="single" w:color="000000" w:sz="4" w:space="0"/>
              <w:bottom w:val="single" w:color="000000" w:sz="4" w:space="0"/>
              <w:right w:val="single" w:color="000000" w:sz="4" w:space="0"/>
            </w:tcBorders>
            <w:vAlign w:val="center"/>
          </w:tcPr>
          <w:p w14:paraId="43780782">
            <w:pPr>
              <w:widowControl/>
              <w:textAlignment w:val="center"/>
              <w:rPr>
                <w:rFonts w:hint="eastAsia" w:ascii="宋体" w:hAnsi="宋体" w:cs="宋体"/>
                <w:sz w:val="24"/>
              </w:rPr>
            </w:pPr>
            <w:r>
              <w:rPr>
                <w:rFonts w:hint="eastAsia" w:ascii="宋体" w:hAnsi="宋体" w:cs="宋体"/>
                <w:kern w:val="0"/>
                <w:sz w:val="24"/>
                <w:lang w:bidi="ar"/>
              </w:rPr>
              <w:t xml:space="preserve">    系统为接受超声筛查的服务对象提供完整的随访记录管理功能，支持对定期随访信息进行录入、查看、修改与删除。</w:t>
            </w:r>
            <w:r>
              <w:rPr>
                <w:rFonts w:hint="eastAsia" w:ascii="宋体" w:hAnsi="宋体" w:cs="宋体"/>
                <w:kern w:val="0"/>
                <w:sz w:val="24"/>
                <w:lang w:bidi="ar"/>
              </w:rPr>
              <w:br w:type="textWrapping"/>
            </w:r>
            <w:r>
              <w:rPr>
                <w:rFonts w:hint="eastAsia" w:ascii="宋体" w:hAnsi="宋体" w:cs="宋体"/>
                <w:kern w:val="0"/>
                <w:sz w:val="24"/>
                <w:lang w:bidi="ar"/>
              </w:rPr>
              <w:t xml:space="preserve">    用户可通过多条件组合检索随访记录列表，并将结果导出为Excel文件。系统同时支持一键打开随访记录管理页面，以便高效完成相关操作与长期跟踪。</w:t>
            </w:r>
          </w:p>
        </w:tc>
      </w:tr>
      <w:tr w14:paraId="2B86668F">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1DA7D98">
            <w:pPr>
              <w:widowControl/>
              <w:jc w:val="center"/>
              <w:textAlignment w:val="center"/>
              <w:rPr>
                <w:rFonts w:hint="eastAsia" w:ascii="宋体" w:hAnsi="宋体" w:cs="宋体"/>
                <w:sz w:val="24"/>
              </w:rPr>
            </w:pPr>
            <w:r>
              <w:rPr>
                <w:rFonts w:hint="eastAsia" w:ascii="宋体" w:hAnsi="宋体" w:cs="宋体"/>
                <w:kern w:val="0"/>
                <w:sz w:val="24"/>
                <w:lang w:bidi="ar"/>
              </w:rPr>
              <w:t>120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610DB0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AE8456">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7517C250">
            <w:pPr>
              <w:widowControl/>
              <w:textAlignment w:val="center"/>
              <w:rPr>
                <w:rFonts w:hint="eastAsia" w:ascii="宋体" w:hAnsi="宋体" w:cs="宋体"/>
                <w:sz w:val="24"/>
              </w:rPr>
            </w:pPr>
            <w:r>
              <w:rPr>
                <w:rFonts w:hint="eastAsia" w:ascii="宋体" w:hAnsi="宋体" w:cs="宋体"/>
                <w:kern w:val="0"/>
                <w:sz w:val="24"/>
                <w:lang w:bidi="ar"/>
              </w:rPr>
              <w:t>系统提供全面的孕早期B超筛查数据登记本查询与导出功能，支持对超声筛查申请记录登记本、超声筛查结果登记本、B超筛查随访登记本进行查询及导出操作。</w:t>
            </w:r>
          </w:p>
        </w:tc>
      </w:tr>
      <w:tr w14:paraId="2B9206D3">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E193A37">
            <w:pPr>
              <w:widowControl/>
              <w:jc w:val="center"/>
              <w:textAlignment w:val="center"/>
              <w:rPr>
                <w:rFonts w:hint="eastAsia" w:ascii="宋体" w:hAnsi="宋体" w:cs="宋体"/>
                <w:sz w:val="24"/>
              </w:rPr>
            </w:pPr>
            <w:r>
              <w:rPr>
                <w:rFonts w:hint="eastAsia" w:ascii="宋体" w:hAnsi="宋体" w:cs="宋体"/>
                <w:kern w:val="0"/>
                <w:sz w:val="24"/>
                <w:lang w:bidi="ar"/>
              </w:rPr>
              <w:t>121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8DB27A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A8CD2B6">
            <w:pPr>
              <w:widowControl/>
              <w:jc w:val="center"/>
              <w:textAlignment w:val="center"/>
              <w:rPr>
                <w:rFonts w:hint="eastAsia" w:ascii="宋体" w:hAnsi="宋体" w:cs="宋体"/>
                <w:sz w:val="24"/>
              </w:rPr>
            </w:pPr>
            <w:r>
              <w:rPr>
                <w:rFonts w:hint="eastAsia" w:ascii="宋体" w:hAnsi="宋体" w:cs="宋体"/>
                <w:kern w:val="0"/>
                <w:sz w:val="24"/>
                <w:lang w:bidi="ar"/>
              </w:rPr>
              <w:t>报表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677C6DED">
            <w:pPr>
              <w:widowControl/>
              <w:textAlignment w:val="center"/>
              <w:rPr>
                <w:rFonts w:hint="eastAsia" w:ascii="宋体" w:hAnsi="宋体" w:cs="宋体"/>
                <w:sz w:val="24"/>
              </w:rPr>
            </w:pPr>
            <w:r>
              <w:rPr>
                <w:rFonts w:hint="eastAsia" w:ascii="宋体" w:hAnsi="宋体" w:cs="宋体"/>
                <w:kern w:val="0"/>
                <w:sz w:val="24"/>
                <w:lang w:bidi="ar"/>
              </w:rPr>
              <w:t>系统提供全面的孕早期B超筛查统计分析查询与导出功能，支持对B超筛查月统计报表和产前超声筛查服务情况汇总表的查询与导出，以满足数据汇总、分析与上报等多种业务需求。</w:t>
            </w:r>
          </w:p>
        </w:tc>
      </w:tr>
      <w:tr w14:paraId="20A5395C">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C1C8B72">
            <w:pPr>
              <w:widowControl/>
              <w:jc w:val="center"/>
              <w:textAlignment w:val="center"/>
              <w:rPr>
                <w:rFonts w:hint="eastAsia" w:ascii="宋体" w:hAnsi="宋体" w:cs="宋体"/>
                <w:sz w:val="24"/>
              </w:rPr>
            </w:pPr>
            <w:r>
              <w:rPr>
                <w:rFonts w:hint="eastAsia" w:ascii="宋体" w:hAnsi="宋体" w:cs="宋体"/>
                <w:kern w:val="0"/>
                <w:sz w:val="24"/>
                <w:lang w:bidi="ar"/>
              </w:rPr>
              <w:t>123</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0E1E5023">
            <w:pPr>
              <w:widowControl/>
              <w:jc w:val="center"/>
              <w:textAlignment w:val="center"/>
              <w:rPr>
                <w:rFonts w:hint="eastAsia" w:ascii="宋体" w:hAnsi="宋体" w:cs="宋体"/>
                <w:sz w:val="24"/>
              </w:rPr>
            </w:pPr>
            <w:r>
              <w:rPr>
                <w:rFonts w:hint="eastAsia" w:ascii="宋体" w:hAnsi="宋体" w:cs="宋体"/>
                <w:kern w:val="0"/>
                <w:sz w:val="24"/>
                <w:lang w:bidi="ar"/>
              </w:rPr>
              <w:t>孕期SMA筛查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3BF4F946">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00BD2DD">
            <w:pPr>
              <w:widowControl/>
              <w:textAlignment w:val="center"/>
              <w:rPr>
                <w:rFonts w:hint="eastAsia" w:ascii="宋体" w:hAnsi="宋体" w:cs="宋体"/>
                <w:sz w:val="24"/>
              </w:rPr>
            </w:pPr>
            <w:r>
              <w:rPr>
                <w:rFonts w:hint="eastAsia" w:ascii="宋体" w:hAnsi="宋体" w:cs="宋体"/>
                <w:kern w:val="0"/>
                <w:sz w:val="24"/>
                <w:lang w:bidi="ar"/>
              </w:rPr>
              <w:t xml:space="preserve">    系统提供完整的SMA筛查档案管理功能，支持新建、修改和删除筛查档案信息，并可直接打开SMA筛查档案管理页面进行操作。</w:t>
            </w:r>
            <w:r>
              <w:rPr>
                <w:rFonts w:hint="eastAsia" w:ascii="宋体" w:hAnsi="宋体" w:cs="宋体"/>
                <w:kern w:val="0"/>
                <w:sz w:val="24"/>
                <w:lang w:bidi="ar"/>
              </w:rPr>
              <w:br w:type="textWrapping"/>
            </w:r>
            <w:r>
              <w:rPr>
                <w:rFonts w:hint="eastAsia" w:ascii="宋体" w:hAnsi="宋体" w:cs="宋体"/>
                <w:kern w:val="0"/>
                <w:sz w:val="24"/>
                <w:lang w:bidi="ar"/>
              </w:rPr>
              <w:t xml:space="preserve">    系统还能够与“健苗工程”系统对接，自动同步获取孕产妇档案信息，有效避免数据重复录入，提升档案建立效率。</w:t>
            </w:r>
          </w:p>
        </w:tc>
      </w:tr>
      <w:tr w14:paraId="6DED1893">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D96466D">
            <w:pPr>
              <w:widowControl/>
              <w:jc w:val="center"/>
              <w:textAlignment w:val="center"/>
              <w:rPr>
                <w:rFonts w:hint="eastAsia" w:ascii="宋体" w:hAnsi="宋体" w:cs="宋体"/>
                <w:sz w:val="24"/>
              </w:rPr>
            </w:pPr>
            <w:r>
              <w:rPr>
                <w:rFonts w:hint="eastAsia" w:ascii="宋体" w:hAnsi="宋体" w:cs="宋体"/>
                <w:kern w:val="0"/>
                <w:sz w:val="24"/>
                <w:lang w:bidi="ar"/>
              </w:rPr>
              <w:t>124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918B2C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38FDE81">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157BCA7">
            <w:pPr>
              <w:widowControl/>
              <w:textAlignment w:val="center"/>
              <w:rPr>
                <w:rFonts w:hint="eastAsia" w:ascii="宋体" w:hAnsi="宋体" w:cs="宋体"/>
                <w:sz w:val="24"/>
              </w:rPr>
            </w:pPr>
            <w:r>
              <w:rPr>
                <w:rFonts w:hint="eastAsia" w:ascii="宋体" w:hAnsi="宋体" w:cs="宋体"/>
                <w:kern w:val="0"/>
                <w:sz w:val="24"/>
                <w:lang w:bidi="ar"/>
              </w:rPr>
              <w:t xml:space="preserve">   系统提供全面的SMA筛查申请管理功能，支持为孕产妇及其丈夫分别进行筛查申请单的录入、修改与删除操作，并可打开对应管理页面进行专项处理。</w:t>
            </w:r>
            <w:r>
              <w:rPr>
                <w:rFonts w:hint="eastAsia" w:ascii="宋体" w:hAnsi="宋体" w:cs="宋体"/>
                <w:kern w:val="0"/>
                <w:sz w:val="24"/>
                <w:lang w:bidi="ar"/>
              </w:rPr>
              <w:br w:type="textWrapping"/>
            </w:r>
            <w:r>
              <w:rPr>
                <w:rFonts w:hint="eastAsia" w:ascii="宋体" w:hAnsi="宋体" w:cs="宋体"/>
                <w:kern w:val="0"/>
                <w:sz w:val="24"/>
                <w:lang w:bidi="ar"/>
              </w:rPr>
              <w:t xml:space="preserve">    系统内置强大的多维度查询功能，支持按标本编号、姓名、身份证号进行精确检索，也可根据性别、采样单位、采样时间范围等条件进行批量查询，并允许任意条件组合筛选。</w:t>
            </w:r>
            <w:r>
              <w:rPr>
                <w:rFonts w:hint="eastAsia" w:ascii="宋体" w:hAnsi="宋体" w:cs="宋体"/>
                <w:kern w:val="0"/>
                <w:sz w:val="24"/>
                <w:lang w:bidi="ar"/>
              </w:rPr>
              <w:br w:type="textWrapping"/>
            </w:r>
            <w:r>
              <w:rPr>
                <w:rFonts w:hint="eastAsia" w:ascii="宋体" w:hAnsi="宋体" w:cs="宋体"/>
                <w:kern w:val="0"/>
                <w:sz w:val="24"/>
                <w:lang w:bidi="ar"/>
              </w:rPr>
              <w:t xml:space="preserve">   所有申请单记录均支持导出为Excel文件，系统还提供申请单与知情同意书的直接打印功能，以满足全流程管理需求。</w:t>
            </w:r>
          </w:p>
        </w:tc>
      </w:tr>
      <w:tr w14:paraId="56B81C3E">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BD4AB4D">
            <w:pPr>
              <w:widowControl/>
              <w:jc w:val="center"/>
              <w:textAlignment w:val="center"/>
              <w:rPr>
                <w:rFonts w:hint="eastAsia" w:ascii="宋体" w:hAnsi="宋体" w:cs="宋体"/>
                <w:sz w:val="24"/>
              </w:rPr>
            </w:pPr>
            <w:r>
              <w:rPr>
                <w:rFonts w:hint="eastAsia" w:ascii="宋体" w:hAnsi="宋体" w:cs="宋体"/>
                <w:kern w:val="0"/>
                <w:sz w:val="24"/>
                <w:lang w:bidi="ar"/>
              </w:rPr>
              <w:t>125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8BC720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06F5435">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9FE2AAD">
            <w:pPr>
              <w:widowControl/>
              <w:textAlignment w:val="center"/>
              <w:rPr>
                <w:rFonts w:hint="eastAsia" w:ascii="宋体" w:hAnsi="宋体" w:cs="宋体"/>
                <w:sz w:val="24"/>
              </w:rPr>
            </w:pPr>
            <w:r>
              <w:rPr>
                <w:rFonts w:hint="eastAsia" w:ascii="宋体" w:hAnsi="宋体" w:cs="宋体"/>
                <w:kern w:val="0"/>
                <w:sz w:val="24"/>
                <w:lang w:bidi="ar"/>
              </w:rPr>
              <w:t xml:space="preserve">   系统全面支持SMA筛查申请单的多级流转与送检管理。基层单位可灵活选择上报路径，既可先将申请单上报至筛查分中心，也可直接送检至筛查中心。</w:t>
            </w:r>
            <w:r>
              <w:rPr>
                <w:rFonts w:hint="eastAsia" w:ascii="宋体" w:hAnsi="宋体" w:cs="宋体"/>
                <w:kern w:val="0"/>
                <w:sz w:val="24"/>
                <w:lang w:bidi="ar"/>
              </w:rPr>
              <w:br w:type="textWrapping"/>
            </w:r>
            <w:r>
              <w:rPr>
                <w:rFonts w:hint="eastAsia" w:ascii="宋体" w:hAnsi="宋体" w:cs="宋体"/>
                <w:kern w:val="0"/>
                <w:sz w:val="24"/>
                <w:lang w:bidi="ar"/>
              </w:rPr>
              <w:t xml:space="preserve">    系统同时提供申请单状态管理功能：在分中心或筛查中心未接收前，基层单位可对已上报或送检的申请单进行撤回操作。对于已提交的申请单，筛查分中心与筛查中心均具备接收与驳回的权限，实现对送检流程的闭环管理与有效监管。</w:t>
            </w:r>
          </w:p>
        </w:tc>
      </w:tr>
      <w:tr w14:paraId="108C4A4F">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02057DA">
            <w:pPr>
              <w:widowControl/>
              <w:jc w:val="center"/>
              <w:textAlignment w:val="center"/>
              <w:rPr>
                <w:rFonts w:hint="eastAsia" w:ascii="宋体" w:hAnsi="宋体" w:cs="宋体"/>
                <w:sz w:val="24"/>
              </w:rPr>
            </w:pPr>
            <w:r>
              <w:rPr>
                <w:rFonts w:hint="eastAsia" w:ascii="宋体" w:hAnsi="宋体" w:cs="宋体"/>
                <w:kern w:val="0"/>
                <w:sz w:val="24"/>
                <w:lang w:bidi="ar"/>
              </w:rPr>
              <w:t>126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3D7448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46CAC1D">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8138970">
            <w:pPr>
              <w:widowControl/>
              <w:textAlignment w:val="center"/>
              <w:rPr>
                <w:rFonts w:hint="eastAsia" w:ascii="宋体" w:hAnsi="宋体" w:cs="宋体"/>
                <w:sz w:val="24"/>
              </w:rPr>
            </w:pPr>
            <w:r>
              <w:rPr>
                <w:rFonts w:hint="eastAsia" w:ascii="宋体" w:hAnsi="宋体" w:cs="宋体"/>
                <w:kern w:val="0"/>
                <w:sz w:val="24"/>
                <w:lang w:bidi="ar"/>
              </w:rPr>
              <w:t xml:space="preserve">   本系统为SMA筛查申请单流转提供全流程、多角色的可视化跟踪管理。系统支持基层单位、筛查分中心和筛查中心根据不同权限，分别查看并导出各类状态的申请单记录，包括未上报、已上报、未接收、已送检及退回等状态，并支持打开对应状态的专属管理页面。</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对未上报、已上报、未接收和退回的申请单进行查看、导出及页面访问；筛查分中心可管理未接收、未上报、已上报和退回的申请单；筛查中心则具备对未接收、已送检和退回申请单的查看、导出与页面操作权限。</w:t>
            </w:r>
            <w:r>
              <w:rPr>
                <w:rFonts w:hint="eastAsia" w:ascii="宋体" w:hAnsi="宋体" w:cs="宋体"/>
                <w:kern w:val="0"/>
                <w:sz w:val="24"/>
                <w:lang w:bidi="ar"/>
              </w:rPr>
              <w:br w:type="textWrapping"/>
            </w:r>
            <w:r>
              <w:rPr>
                <w:rFonts w:hint="eastAsia" w:ascii="宋体" w:hAnsi="宋体" w:cs="宋体"/>
                <w:kern w:val="0"/>
                <w:sz w:val="24"/>
                <w:lang w:bidi="ar"/>
              </w:rPr>
              <w:t xml:space="preserve">    系统实现了多级机构间申请单状态的可视化跟踪与闭环管理，全面满足各级单位的业务协同与数据管理需求。</w:t>
            </w:r>
          </w:p>
        </w:tc>
      </w:tr>
      <w:tr w14:paraId="129D6D84">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0B6A26">
            <w:pPr>
              <w:widowControl/>
              <w:jc w:val="center"/>
              <w:textAlignment w:val="center"/>
              <w:rPr>
                <w:rFonts w:hint="eastAsia" w:ascii="宋体" w:hAnsi="宋体" w:cs="宋体"/>
                <w:sz w:val="24"/>
              </w:rPr>
            </w:pPr>
            <w:r>
              <w:rPr>
                <w:rFonts w:hint="eastAsia" w:ascii="宋体" w:hAnsi="宋体" w:cs="宋体"/>
                <w:kern w:val="0"/>
                <w:sz w:val="24"/>
                <w:lang w:bidi="ar"/>
              </w:rPr>
              <w:t>127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DF42F8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BCF8A3B">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3F6EAE0">
            <w:pPr>
              <w:widowControl/>
              <w:textAlignment w:val="center"/>
              <w:rPr>
                <w:rFonts w:hint="eastAsia" w:ascii="宋体" w:hAnsi="宋体" w:cs="宋体"/>
                <w:sz w:val="24"/>
              </w:rPr>
            </w:pPr>
            <w:r>
              <w:rPr>
                <w:rFonts w:hint="eastAsia" w:ascii="宋体" w:hAnsi="宋体" w:cs="宋体"/>
                <w:kern w:val="0"/>
                <w:sz w:val="24"/>
                <w:lang w:bidi="ar"/>
              </w:rPr>
              <w:t xml:space="preserve">    系统实现了SMA筛查业务与实验室检测环节的高效数据对接。系统支持按照标准化接口规范自动导出申请单数据，确保检测机构可直接接收并处理样本信息。</w:t>
            </w:r>
            <w:r>
              <w:rPr>
                <w:rFonts w:hint="eastAsia" w:ascii="宋体" w:hAnsi="宋体" w:cs="宋体"/>
                <w:kern w:val="0"/>
                <w:sz w:val="24"/>
                <w:lang w:bidi="ar"/>
              </w:rPr>
              <w:br w:type="textWrapping"/>
            </w:r>
            <w:r>
              <w:rPr>
                <w:rFonts w:hint="eastAsia" w:ascii="宋体" w:hAnsi="宋体" w:cs="宋体"/>
                <w:kern w:val="0"/>
                <w:sz w:val="24"/>
                <w:lang w:bidi="ar"/>
              </w:rPr>
              <w:t xml:space="preserve">    在实验完成后，系统还支持将实验室产生的筛查结果批量上传回系统，完整记录检测结论，从而实现从样本送检到结果返回的全流程数字化闭环管理</w:t>
            </w:r>
          </w:p>
        </w:tc>
      </w:tr>
      <w:tr w14:paraId="0949808D">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C7F2823">
            <w:pPr>
              <w:widowControl/>
              <w:jc w:val="center"/>
              <w:textAlignment w:val="center"/>
              <w:rPr>
                <w:rFonts w:hint="eastAsia" w:ascii="宋体" w:hAnsi="宋体" w:cs="宋体"/>
                <w:sz w:val="24"/>
              </w:rPr>
            </w:pPr>
            <w:r>
              <w:rPr>
                <w:rFonts w:hint="eastAsia" w:ascii="宋体" w:hAnsi="宋体" w:cs="宋体"/>
                <w:kern w:val="0"/>
                <w:sz w:val="24"/>
                <w:lang w:bidi="ar"/>
              </w:rPr>
              <w:t>128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5338F9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619967C">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2EAEF714">
            <w:pPr>
              <w:widowControl/>
              <w:textAlignment w:val="center"/>
              <w:rPr>
                <w:rFonts w:hint="eastAsia" w:ascii="宋体" w:hAnsi="宋体" w:cs="宋体"/>
                <w:sz w:val="24"/>
              </w:rPr>
            </w:pPr>
            <w:r>
              <w:rPr>
                <w:rFonts w:hint="eastAsia" w:ascii="宋体" w:hAnsi="宋体" w:cs="宋体"/>
                <w:kern w:val="0"/>
                <w:sz w:val="24"/>
                <w:lang w:bidi="ar"/>
              </w:rPr>
              <w:t xml:space="preserve">    系统提供分角色、多层级的筛查结果管理与查看功能。基层单位、筛查分中心及筛查中心均可查看与其权限相匹配的筛查结果，并可通过专属页面访问结果信息。其中，筛查中心还具备筛查结果的删除权限，实现了筛查结果在各级机构间的安全共享与有效管理。</w:t>
            </w:r>
          </w:p>
        </w:tc>
      </w:tr>
      <w:tr w14:paraId="3455AF92">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3D5633C">
            <w:pPr>
              <w:widowControl/>
              <w:jc w:val="center"/>
              <w:textAlignment w:val="center"/>
              <w:rPr>
                <w:rFonts w:hint="eastAsia" w:ascii="宋体" w:hAnsi="宋体" w:cs="宋体"/>
                <w:sz w:val="24"/>
              </w:rPr>
            </w:pPr>
            <w:r>
              <w:rPr>
                <w:rFonts w:hint="eastAsia" w:ascii="宋体" w:hAnsi="宋体" w:cs="宋体"/>
                <w:kern w:val="0"/>
                <w:sz w:val="24"/>
                <w:lang w:bidi="ar"/>
              </w:rPr>
              <w:t>129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C4CCF9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9C57334">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26E1826F">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系统为基层单位、筛查分中心和筛查中心提供统一的申请单动态跟踪功能，支持各机构实时掌握标本在送检、接收、检测及结果返回等各环节的状态。</w:t>
            </w:r>
            <w:r>
              <w:rPr>
                <w:rFonts w:hint="eastAsia" w:ascii="宋体" w:hAnsi="宋体" w:cs="宋体"/>
                <w:kern w:val="0"/>
                <w:sz w:val="24"/>
                <w:lang w:bidi="ar"/>
              </w:rPr>
              <w:br w:type="textWrapping"/>
            </w:r>
            <w:r>
              <w:rPr>
                <w:rFonts w:hint="eastAsia" w:ascii="宋体" w:hAnsi="宋体" w:cs="宋体"/>
                <w:kern w:val="0"/>
                <w:sz w:val="24"/>
                <w:lang w:bidi="ar"/>
              </w:rPr>
              <w:t xml:space="preserve">    用户可通过专用跟踪页面查看全流程动态信息，实现对标本流转过程的闭环管理与可视化监控。</w:t>
            </w:r>
          </w:p>
        </w:tc>
      </w:tr>
      <w:tr w14:paraId="59E1721F">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63D464F">
            <w:pPr>
              <w:widowControl/>
              <w:jc w:val="center"/>
              <w:textAlignment w:val="center"/>
              <w:rPr>
                <w:rFonts w:hint="eastAsia" w:ascii="宋体" w:hAnsi="宋体" w:cs="宋体"/>
                <w:sz w:val="24"/>
              </w:rPr>
            </w:pPr>
            <w:r>
              <w:rPr>
                <w:rFonts w:hint="eastAsia" w:ascii="宋体" w:hAnsi="宋体" w:cs="宋体"/>
                <w:kern w:val="0"/>
                <w:sz w:val="24"/>
                <w:lang w:bidi="ar"/>
              </w:rPr>
              <w:t>130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BF2F7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C8D0894">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98EE484">
            <w:pPr>
              <w:widowControl/>
              <w:textAlignment w:val="center"/>
              <w:rPr>
                <w:rFonts w:hint="eastAsia" w:ascii="宋体" w:hAnsi="宋体" w:cs="宋体"/>
                <w:sz w:val="24"/>
              </w:rPr>
            </w:pPr>
            <w:r>
              <w:rPr>
                <w:rFonts w:hint="eastAsia" w:ascii="宋体" w:hAnsi="宋体" w:cs="宋体"/>
                <w:kern w:val="0"/>
                <w:sz w:val="24"/>
                <w:lang w:bidi="ar"/>
              </w:rPr>
              <w:t xml:space="preserve">   系统提供完整的随访记录全周期管理功能，支持对随访记录进行添加、修改、删除和查看操作。</w:t>
            </w:r>
            <w:r>
              <w:rPr>
                <w:rFonts w:hint="eastAsia" w:ascii="宋体" w:hAnsi="宋体" w:cs="宋体"/>
                <w:kern w:val="0"/>
                <w:sz w:val="24"/>
                <w:lang w:bidi="ar"/>
              </w:rPr>
              <w:br w:type="textWrapping"/>
            </w:r>
            <w:r>
              <w:rPr>
                <w:rFonts w:hint="eastAsia" w:ascii="宋体" w:hAnsi="宋体" w:cs="宋体"/>
                <w:kern w:val="0"/>
                <w:sz w:val="24"/>
                <w:lang w:bidi="ar"/>
              </w:rPr>
              <w:t xml:space="preserve">    系统可自动根据新增的随访情况动态更新访视次数，确保随访进度准确同步。用户可通过随访功能页面便捷地开展各项随访管理工作，实现随访流程的规范化跟踪与维护。</w:t>
            </w:r>
          </w:p>
        </w:tc>
      </w:tr>
      <w:tr w14:paraId="64FE4785">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8E3E4C1">
            <w:pPr>
              <w:widowControl/>
              <w:jc w:val="center"/>
              <w:textAlignment w:val="center"/>
              <w:rPr>
                <w:rFonts w:hint="eastAsia" w:ascii="宋体" w:hAnsi="宋体" w:cs="宋体"/>
                <w:sz w:val="24"/>
              </w:rPr>
            </w:pPr>
            <w:r>
              <w:rPr>
                <w:rFonts w:hint="eastAsia" w:ascii="宋体" w:hAnsi="宋体" w:cs="宋体"/>
                <w:kern w:val="0"/>
                <w:sz w:val="24"/>
                <w:lang w:bidi="ar"/>
              </w:rPr>
              <w:t>131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9CBA39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450C6A1">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19E0ED5A">
            <w:pPr>
              <w:widowControl/>
              <w:textAlignment w:val="center"/>
              <w:rPr>
                <w:rFonts w:hint="eastAsia" w:ascii="宋体" w:hAnsi="宋体" w:cs="宋体"/>
                <w:sz w:val="24"/>
              </w:rPr>
            </w:pPr>
            <w:r>
              <w:rPr>
                <w:rFonts w:hint="eastAsia" w:ascii="宋体" w:hAnsi="宋体" w:cs="宋体"/>
                <w:kern w:val="0"/>
                <w:sz w:val="24"/>
                <w:lang w:bidi="ar"/>
              </w:rPr>
              <w:t xml:space="preserve">   系统提供完善的SMA筛查数据管理功能，支持对SMA筛查申请登记本和SMA筛查结果登记本进行综合查询与导出操作，确保筛查全流程数据可追溯、可分析，满足业务统计与数据上报需求</w:t>
            </w:r>
          </w:p>
        </w:tc>
      </w:tr>
      <w:tr w14:paraId="49A042CC">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A0AB181">
            <w:pPr>
              <w:widowControl/>
              <w:jc w:val="center"/>
              <w:textAlignment w:val="center"/>
              <w:rPr>
                <w:rFonts w:hint="eastAsia" w:ascii="宋体" w:hAnsi="宋体" w:cs="宋体"/>
                <w:sz w:val="24"/>
              </w:rPr>
            </w:pPr>
            <w:r>
              <w:rPr>
                <w:rFonts w:hint="eastAsia" w:ascii="宋体" w:hAnsi="宋体" w:cs="宋体"/>
                <w:kern w:val="0"/>
                <w:sz w:val="24"/>
                <w:lang w:bidi="ar"/>
              </w:rPr>
              <w:t>132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74862D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F042501">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2D0C3D81">
            <w:pPr>
              <w:widowControl/>
              <w:textAlignment w:val="center"/>
              <w:rPr>
                <w:rFonts w:hint="eastAsia" w:ascii="宋体" w:hAnsi="宋体" w:cs="宋体"/>
                <w:sz w:val="24"/>
              </w:rPr>
            </w:pPr>
            <w:r>
              <w:rPr>
                <w:rFonts w:hint="eastAsia" w:ascii="宋体" w:hAnsi="宋体" w:cs="宋体"/>
                <w:kern w:val="0"/>
                <w:sz w:val="24"/>
                <w:lang w:bidi="ar"/>
              </w:rPr>
              <w:t xml:space="preserve">   系统支持基于采样单位、筛查结果及户籍分类等多维条件对筛查工作量进行精准统计分析，并可将统计结果导出为标准化格式，有效支撑业务评估与数据上报工作</w:t>
            </w:r>
          </w:p>
        </w:tc>
      </w:tr>
      <w:tr w14:paraId="301A6BC0">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42F6A25">
            <w:pPr>
              <w:widowControl/>
              <w:jc w:val="center"/>
              <w:textAlignment w:val="center"/>
              <w:rPr>
                <w:rFonts w:hint="eastAsia" w:ascii="宋体" w:hAnsi="宋体" w:cs="宋体"/>
                <w:sz w:val="24"/>
              </w:rPr>
            </w:pPr>
            <w:r>
              <w:rPr>
                <w:rFonts w:hint="eastAsia" w:ascii="宋体" w:hAnsi="宋体" w:cs="宋体"/>
                <w:kern w:val="0"/>
                <w:sz w:val="24"/>
                <w:lang w:bidi="ar"/>
              </w:rPr>
              <w:t>133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A07E5B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C04298C">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36BA9CB4">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系统已开通微信端筛查结果查询服务，孕产妇可通过官方微信公众号或指定微信渠道，凭有效身份信息实时查询个人SMA筛查结果报告。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4A48EB2A">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A46DBC">
            <w:pPr>
              <w:widowControl/>
              <w:jc w:val="center"/>
              <w:textAlignment w:val="center"/>
              <w:rPr>
                <w:rFonts w:hint="eastAsia" w:ascii="宋体" w:hAnsi="宋体" w:cs="宋体"/>
                <w:sz w:val="24"/>
              </w:rPr>
            </w:pPr>
            <w:r>
              <w:rPr>
                <w:rFonts w:hint="eastAsia" w:ascii="宋体" w:hAnsi="宋体" w:cs="宋体"/>
                <w:kern w:val="0"/>
                <w:sz w:val="24"/>
                <w:lang w:bidi="ar"/>
              </w:rPr>
              <w:t>134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F1275A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2375B09">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60AC3A64">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系统为基层单位、筛查分中心及筛查中心提供统一的报告单打印功能，各机构均可通过专用打印页面生成标准化报告单，满足不同层级机构的业务输出需求。</w:t>
            </w:r>
          </w:p>
        </w:tc>
      </w:tr>
      <w:tr w14:paraId="358EED12">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A72861E">
            <w:pPr>
              <w:widowControl/>
              <w:jc w:val="center"/>
              <w:textAlignment w:val="center"/>
              <w:rPr>
                <w:rFonts w:hint="eastAsia" w:ascii="宋体" w:hAnsi="宋体" w:cs="宋体"/>
                <w:sz w:val="24"/>
              </w:rPr>
            </w:pPr>
            <w:r>
              <w:rPr>
                <w:rFonts w:hint="eastAsia" w:ascii="宋体" w:hAnsi="宋体" w:cs="宋体"/>
                <w:kern w:val="0"/>
                <w:sz w:val="24"/>
                <w:lang w:bidi="ar"/>
              </w:rPr>
              <w:t>135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690214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58E48E">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4744CD90">
            <w:pPr>
              <w:widowControl/>
              <w:textAlignment w:val="center"/>
              <w:rPr>
                <w:rFonts w:hint="eastAsia" w:ascii="宋体" w:hAnsi="宋体" w:cs="宋体"/>
                <w:sz w:val="24"/>
              </w:rPr>
            </w:pPr>
            <w:r>
              <w:rPr>
                <w:rFonts w:hint="eastAsia" w:ascii="宋体" w:hAnsi="宋体" w:cs="宋体"/>
                <w:kern w:val="0"/>
                <w:sz w:val="24"/>
                <w:lang w:bidi="ar"/>
              </w:rPr>
              <w:t xml:space="preserve">  系统实现了与专业SMA分析系统的双向数据对接：一方面支持将SMA申请信息准确上传至SMA分析系统进行处理，另一方面能够自动从风险分析系统获取完整的SMA筛查报告。这套机制确保了从样本送检到报告生成的全流程自动化，有效提升了筛查工作的效率和准确性。</w:t>
            </w:r>
          </w:p>
        </w:tc>
      </w:tr>
      <w:tr w14:paraId="3F793DB8">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729AA9F">
            <w:pPr>
              <w:widowControl/>
              <w:jc w:val="center"/>
              <w:textAlignment w:val="center"/>
              <w:rPr>
                <w:rFonts w:hint="eastAsia" w:ascii="宋体" w:hAnsi="宋体" w:cs="宋体"/>
                <w:sz w:val="24"/>
              </w:rPr>
            </w:pPr>
            <w:r>
              <w:rPr>
                <w:rFonts w:hint="eastAsia" w:ascii="宋体" w:hAnsi="宋体" w:cs="宋体"/>
                <w:kern w:val="0"/>
                <w:sz w:val="24"/>
                <w:lang w:bidi="ar"/>
              </w:rPr>
              <w:t>137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248382DC">
            <w:pPr>
              <w:widowControl/>
              <w:jc w:val="center"/>
              <w:textAlignment w:val="center"/>
              <w:rPr>
                <w:rFonts w:hint="eastAsia" w:ascii="宋体" w:hAnsi="宋体" w:cs="宋体"/>
                <w:sz w:val="24"/>
              </w:rPr>
            </w:pPr>
            <w:r>
              <w:rPr>
                <w:rFonts w:hint="eastAsia" w:ascii="宋体" w:hAnsi="宋体" w:cs="宋体"/>
                <w:kern w:val="0"/>
                <w:sz w:val="24"/>
                <w:lang w:bidi="ar"/>
              </w:rPr>
              <w:t>早中孕联合筛查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643FF761">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5022CB1">
            <w:pPr>
              <w:widowControl/>
              <w:textAlignment w:val="center"/>
              <w:rPr>
                <w:rFonts w:hint="eastAsia" w:ascii="宋体" w:hAnsi="宋体" w:cs="宋体"/>
                <w:sz w:val="24"/>
              </w:rPr>
            </w:pPr>
            <w:r>
              <w:rPr>
                <w:rFonts w:hint="eastAsia" w:ascii="宋体" w:hAnsi="宋体" w:cs="宋体"/>
                <w:kern w:val="0"/>
                <w:sz w:val="24"/>
                <w:lang w:bidi="ar"/>
              </w:rPr>
              <w:t xml:space="preserve">   系统提供完整的孕产妇早中孕联合筛查档案管理功能，支持档案信息的新建、修改与删除操作，并设有专属管理页面便于用户快速访问。</w:t>
            </w:r>
            <w:r>
              <w:rPr>
                <w:rFonts w:hint="eastAsia" w:ascii="宋体" w:hAnsi="宋体" w:cs="宋体"/>
                <w:kern w:val="0"/>
                <w:sz w:val="24"/>
                <w:lang w:bidi="ar"/>
              </w:rPr>
              <w:br w:type="textWrapping"/>
            </w:r>
            <w:r>
              <w:rPr>
                <w:rFonts w:hint="eastAsia" w:ascii="宋体" w:hAnsi="宋体" w:cs="宋体"/>
                <w:kern w:val="0"/>
                <w:sz w:val="24"/>
                <w:lang w:bidi="ar"/>
              </w:rPr>
              <w:t xml:space="preserve">    系统可实现与“健苗工程”系统的数据对接，自动同步获取孕产妇档案信息，有效避免信息重复录入，确保数据一致性与操作效率。</w:t>
            </w:r>
          </w:p>
        </w:tc>
      </w:tr>
      <w:tr w14:paraId="32AA9652">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419742">
            <w:pPr>
              <w:widowControl/>
              <w:jc w:val="center"/>
              <w:textAlignment w:val="center"/>
              <w:rPr>
                <w:rFonts w:hint="eastAsia" w:ascii="宋体" w:hAnsi="宋体" w:cs="宋体"/>
                <w:sz w:val="24"/>
              </w:rPr>
            </w:pPr>
            <w:r>
              <w:rPr>
                <w:rFonts w:hint="eastAsia" w:ascii="宋体" w:hAnsi="宋体" w:cs="宋体"/>
                <w:kern w:val="0"/>
                <w:sz w:val="24"/>
                <w:lang w:bidi="ar"/>
              </w:rPr>
              <w:t>138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454898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A2CF5FB">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9E57447">
            <w:pPr>
              <w:widowControl/>
              <w:textAlignment w:val="center"/>
              <w:rPr>
                <w:rFonts w:hint="eastAsia" w:ascii="宋体" w:hAnsi="宋体" w:cs="宋体"/>
                <w:sz w:val="24"/>
              </w:rPr>
            </w:pPr>
            <w:r>
              <w:rPr>
                <w:rFonts w:hint="eastAsia" w:ascii="宋体" w:hAnsi="宋体" w:cs="宋体"/>
                <w:kern w:val="0"/>
                <w:sz w:val="24"/>
                <w:lang w:bidi="ar"/>
              </w:rPr>
              <w:t xml:space="preserve">    系统为孕产妇早中孕联合筛查申请单提供全流程管理功能，支持申请单的录入、修改与删除操作，并设有专用功能页面统一处理筛查申请业务。</w:t>
            </w:r>
            <w:r>
              <w:rPr>
                <w:rFonts w:hint="eastAsia" w:ascii="宋体" w:hAnsi="宋体" w:cs="宋体"/>
                <w:kern w:val="0"/>
                <w:sz w:val="24"/>
                <w:lang w:bidi="ar"/>
              </w:rPr>
              <w:br w:type="textWrapping"/>
            </w:r>
            <w:r>
              <w:rPr>
                <w:rFonts w:hint="eastAsia" w:ascii="宋体" w:hAnsi="宋体" w:cs="宋体"/>
                <w:kern w:val="0"/>
                <w:sz w:val="24"/>
                <w:lang w:bidi="ar"/>
              </w:rPr>
              <w:t xml:space="preserve">    系统提供多维度查询方式，既可按照标本编号、姓名、身份证号进行精确检索，也可根据性别、采样单位、采样时间范围等条件进行批量筛选，同时支持多条件组合查询，满足不同场景下的查找需求。</w:t>
            </w:r>
            <w:r>
              <w:rPr>
                <w:rFonts w:hint="eastAsia" w:ascii="宋体" w:hAnsi="宋体" w:cs="宋体"/>
                <w:kern w:val="0"/>
                <w:sz w:val="24"/>
                <w:lang w:bidi="ar"/>
              </w:rPr>
              <w:br w:type="textWrapping"/>
            </w:r>
            <w:r>
              <w:rPr>
                <w:rFonts w:hint="eastAsia" w:ascii="宋体" w:hAnsi="宋体" w:cs="宋体"/>
                <w:kern w:val="0"/>
                <w:sz w:val="24"/>
                <w:lang w:bidi="ar"/>
              </w:rPr>
              <w:t xml:space="preserve">    系统还支持申请单和知情同意书的打印功能，并可将申请记录导出为Excel格式，便于数据存档与统计分析。</w:t>
            </w:r>
          </w:p>
        </w:tc>
      </w:tr>
      <w:tr w14:paraId="5DD1191C">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555890D">
            <w:pPr>
              <w:widowControl/>
              <w:jc w:val="center"/>
              <w:textAlignment w:val="center"/>
              <w:rPr>
                <w:rFonts w:hint="eastAsia" w:ascii="宋体" w:hAnsi="宋体" w:cs="宋体"/>
                <w:sz w:val="24"/>
              </w:rPr>
            </w:pPr>
            <w:r>
              <w:rPr>
                <w:rFonts w:hint="eastAsia" w:ascii="宋体" w:hAnsi="宋体" w:cs="宋体"/>
                <w:kern w:val="0"/>
                <w:sz w:val="24"/>
                <w:lang w:bidi="ar"/>
              </w:rPr>
              <w:t>139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77999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04BA527">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10B693C">
            <w:pPr>
              <w:widowControl/>
              <w:textAlignment w:val="center"/>
              <w:rPr>
                <w:rFonts w:hint="eastAsia" w:ascii="宋体" w:hAnsi="宋体" w:cs="宋体"/>
                <w:sz w:val="24"/>
              </w:rPr>
            </w:pPr>
            <w:r>
              <w:rPr>
                <w:rFonts w:hint="eastAsia" w:ascii="宋体" w:hAnsi="宋体" w:cs="宋体"/>
                <w:kern w:val="0"/>
                <w:sz w:val="24"/>
                <w:lang w:bidi="ar"/>
              </w:rPr>
              <w:t xml:space="preserve">   系统全面支持孕产妇早中孕联合筛查申请单的多级流转与送检管理。基层单位可根据实际情况灵活选择送检路径，既可先将申请单上报至筛查分中心进行初审，也可直接送检至筛查中心。</w:t>
            </w:r>
            <w:r>
              <w:rPr>
                <w:rFonts w:hint="eastAsia" w:ascii="宋体" w:hAnsi="宋体" w:cs="宋体"/>
                <w:kern w:val="0"/>
                <w:sz w:val="24"/>
                <w:lang w:bidi="ar"/>
              </w:rPr>
              <w:br w:type="textWrapping"/>
            </w:r>
            <w:r>
              <w:rPr>
                <w:rFonts w:hint="eastAsia" w:ascii="宋体" w:hAnsi="宋体" w:cs="宋体"/>
                <w:kern w:val="0"/>
                <w:sz w:val="24"/>
                <w:lang w:bidi="ar"/>
              </w:rPr>
              <w:t xml:space="preserve">    在申请单未被接收前，系统允许基层单位对已上报或送检的申请单进行撤回操作，提升了业务操作的灵活性。对于提交的申请单，筛查分中心与筛查中心均可进行接收或驳回处理，实现了对筛查申请流转全过程的闭环管理与有效监管。</w:t>
            </w:r>
          </w:p>
        </w:tc>
      </w:tr>
      <w:tr w14:paraId="42353A92">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9BD2834">
            <w:pPr>
              <w:widowControl/>
              <w:jc w:val="center"/>
              <w:textAlignment w:val="center"/>
              <w:rPr>
                <w:rFonts w:hint="eastAsia" w:ascii="宋体" w:hAnsi="宋体" w:cs="宋体"/>
                <w:sz w:val="24"/>
              </w:rPr>
            </w:pPr>
            <w:r>
              <w:rPr>
                <w:rFonts w:hint="eastAsia" w:ascii="宋体" w:hAnsi="宋体" w:cs="宋体"/>
                <w:kern w:val="0"/>
                <w:sz w:val="24"/>
                <w:lang w:bidi="ar"/>
              </w:rPr>
              <w:t>140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8BC355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75764BB">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EC04C20">
            <w:pPr>
              <w:widowControl/>
              <w:textAlignment w:val="center"/>
              <w:rPr>
                <w:rFonts w:hint="eastAsia" w:ascii="宋体" w:hAnsi="宋体" w:cs="宋体"/>
                <w:sz w:val="24"/>
              </w:rPr>
            </w:pPr>
            <w:r>
              <w:rPr>
                <w:rFonts w:hint="eastAsia" w:ascii="宋体" w:hAnsi="宋体" w:cs="宋体"/>
                <w:kern w:val="0"/>
                <w:sz w:val="24"/>
                <w:lang w:bidi="ar"/>
              </w:rPr>
              <w:t xml:space="preserve"> 系统构建了完整的申请单状态管理体系，为基层单位、筛查分中心和筛查中心提供分角色、分状态的精细化数据管理功能。各机构均可通过专属功能页面，对权限范围内的各类申请单记录进行查看和Excel导出操作。</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基层单位可管理未上报、已上报、未被接收和退回的申请单；筛查分中心可处理未接收、未上报、已上报和退回的申请单；筛查中心则负责未接收、已送检和退回的申请单</w:t>
            </w:r>
            <w:r>
              <w:rPr>
                <w:rFonts w:hint="eastAsia" w:ascii="宋体" w:hAnsi="宋体" w:cs="宋体"/>
                <w:kern w:val="0"/>
                <w:sz w:val="24"/>
                <w:lang w:bidi="ar"/>
              </w:rPr>
              <w:br w:type="textWrapping"/>
            </w:r>
            <w:r>
              <w:rPr>
                <w:rFonts w:hint="eastAsia" w:ascii="宋体" w:hAnsi="宋体" w:cs="宋体"/>
                <w:kern w:val="0"/>
                <w:sz w:val="24"/>
                <w:lang w:bidi="ar"/>
              </w:rPr>
              <w:t xml:space="preserve">   系统确保每个状态类型的申请单都支持专门的查询页面和导出功能，实现了多级机构间申请单流转的全过程可视化跟踪与数据闭环管理</w:t>
            </w:r>
          </w:p>
        </w:tc>
      </w:tr>
      <w:tr w14:paraId="75DEE8C7">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F14CFCE">
            <w:pPr>
              <w:widowControl/>
              <w:jc w:val="center"/>
              <w:textAlignment w:val="center"/>
              <w:rPr>
                <w:rFonts w:hint="eastAsia" w:ascii="宋体" w:hAnsi="宋体" w:cs="宋体"/>
                <w:sz w:val="24"/>
              </w:rPr>
            </w:pPr>
            <w:r>
              <w:rPr>
                <w:rFonts w:hint="eastAsia" w:ascii="宋体" w:hAnsi="宋体" w:cs="宋体"/>
                <w:kern w:val="0"/>
                <w:sz w:val="24"/>
                <w:lang w:bidi="ar"/>
              </w:rPr>
              <w:t>141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C74C05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604A846">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BB83BE7">
            <w:pPr>
              <w:widowControl/>
              <w:textAlignment w:val="center"/>
              <w:rPr>
                <w:rFonts w:hint="eastAsia" w:ascii="宋体" w:hAnsi="宋体" w:cs="宋体"/>
                <w:sz w:val="24"/>
              </w:rPr>
            </w:pPr>
            <w:r>
              <w:rPr>
                <w:rFonts w:hint="eastAsia" w:ascii="宋体" w:hAnsi="宋体" w:cs="宋体"/>
                <w:kern w:val="0"/>
                <w:sz w:val="24"/>
                <w:lang w:bidi="ar"/>
              </w:rPr>
              <w:t xml:space="preserve">    系统实现了与实验室检测系统的全流程数据对接。系统支持按照标准数据接口规范导出申请单至检测机构，确保样本信息准确传递；在实验完成后，可接收并上传检测系统生成的筛查结果至本系统，完整记录检测数据，形成从样本送检到结果返回的数字化闭环管理。</w:t>
            </w:r>
          </w:p>
        </w:tc>
      </w:tr>
      <w:tr w14:paraId="6E1F6D5B">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950EA9">
            <w:pPr>
              <w:widowControl/>
              <w:jc w:val="center"/>
              <w:textAlignment w:val="center"/>
              <w:rPr>
                <w:rFonts w:hint="eastAsia" w:ascii="宋体" w:hAnsi="宋体" w:cs="宋体"/>
                <w:sz w:val="24"/>
              </w:rPr>
            </w:pPr>
            <w:r>
              <w:rPr>
                <w:rFonts w:hint="eastAsia" w:ascii="宋体" w:hAnsi="宋体" w:cs="宋体"/>
                <w:kern w:val="0"/>
                <w:sz w:val="24"/>
                <w:lang w:bidi="ar"/>
              </w:rPr>
              <w:t>142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860205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AC4A2BB">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14A3E1F0">
            <w:pPr>
              <w:widowControl/>
              <w:textAlignment w:val="center"/>
              <w:rPr>
                <w:rFonts w:hint="eastAsia" w:ascii="宋体" w:hAnsi="宋体" w:cs="宋体"/>
                <w:sz w:val="24"/>
              </w:rPr>
            </w:pPr>
            <w:r>
              <w:rPr>
                <w:rFonts w:hint="eastAsia" w:ascii="宋体" w:hAnsi="宋体" w:cs="宋体"/>
                <w:kern w:val="0"/>
                <w:sz w:val="24"/>
                <w:lang w:bidi="ar"/>
              </w:rPr>
              <w:t xml:space="preserve">   系统提供筛查结果的统一管理平台，支持基层单位、筛查分中心和筛查中心通过专属页面查看与其权限对应的筛查结果，并可将结果数据导出为Excel文件。</w:t>
            </w:r>
            <w:r>
              <w:rPr>
                <w:rFonts w:hint="eastAsia" w:ascii="宋体" w:hAnsi="宋体" w:cs="宋体"/>
                <w:kern w:val="0"/>
                <w:sz w:val="24"/>
                <w:lang w:bidi="ar"/>
              </w:rPr>
              <w:br w:type="textWrapping"/>
            </w:r>
            <w:r>
              <w:rPr>
                <w:rFonts w:hint="eastAsia" w:ascii="宋体" w:hAnsi="宋体" w:cs="宋体"/>
                <w:kern w:val="0"/>
                <w:sz w:val="24"/>
                <w:lang w:bidi="ar"/>
              </w:rPr>
              <w:t xml:space="preserve">    筛查中心还拥有筛查结果的删除权限，实现了筛查结果在各级机构间的安全共享与规范管理。</w:t>
            </w:r>
          </w:p>
        </w:tc>
      </w:tr>
      <w:tr w14:paraId="051042B0">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6B32C9A">
            <w:pPr>
              <w:widowControl/>
              <w:jc w:val="center"/>
              <w:textAlignment w:val="center"/>
              <w:rPr>
                <w:rFonts w:hint="eastAsia" w:ascii="宋体" w:hAnsi="宋体" w:cs="宋体"/>
                <w:sz w:val="24"/>
              </w:rPr>
            </w:pPr>
            <w:r>
              <w:rPr>
                <w:rFonts w:hint="eastAsia" w:ascii="宋体" w:hAnsi="宋体" w:cs="宋体"/>
                <w:kern w:val="0"/>
                <w:sz w:val="24"/>
                <w:lang w:bidi="ar"/>
              </w:rPr>
              <w:t>143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2C2E33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992A112">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393A1A50">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申请单动态跟踪功能，支持各机构通过专用跟踪页面实时掌握标本在送检、接收、检测及结果返回等各环节的状态，实现对标本流转全过程的闭环管理与可视化监控。</w:t>
            </w:r>
          </w:p>
        </w:tc>
      </w:tr>
      <w:tr w14:paraId="3DD6457F">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BDB0253">
            <w:pPr>
              <w:widowControl/>
              <w:jc w:val="center"/>
              <w:textAlignment w:val="center"/>
              <w:rPr>
                <w:rFonts w:hint="eastAsia" w:ascii="宋体" w:hAnsi="宋体" w:cs="宋体"/>
                <w:sz w:val="24"/>
              </w:rPr>
            </w:pPr>
            <w:r>
              <w:rPr>
                <w:rFonts w:hint="eastAsia" w:ascii="宋体" w:hAnsi="宋体" w:cs="宋体"/>
                <w:kern w:val="0"/>
                <w:sz w:val="24"/>
                <w:lang w:bidi="ar"/>
              </w:rPr>
              <w:t>144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BF5005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11A1F49">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22EF0BC">
            <w:pPr>
              <w:widowControl/>
              <w:textAlignment w:val="center"/>
              <w:rPr>
                <w:rFonts w:hint="eastAsia" w:ascii="宋体" w:hAnsi="宋体" w:cs="宋体"/>
                <w:sz w:val="24"/>
              </w:rPr>
            </w:pPr>
            <w:r>
              <w:rPr>
                <w:rFonts w:hint="eastAsia" w:ascii="宋体" w:hAnsi="宋体" w:cs="宋体"/>
                <w:kern w:val="0"/>
                <w:sz w:val="24"/>
                <w:lang w:bidi="ar"/>
              </w:rPr>
              <w:t xml:space="preserve">   系统提供完整的随访信息管理功能，支持对随访记录进行新增、修改和删除操作，用户可通过随访功能页面便捷地开展随访信息维护工作，实现随访过程的规范化管理。</w:t>
            </w:r>
          </w:p>
        </w:tc>
      </w:tr>
      <w:tr w14:paraId="0B41D26E">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034FF56">
            <w:pPr>
              <w:widowControl/>
              <w:jc w:val="center"/>
              <w:textAlignment w:val="center"/>
              <w:rPr>
                <w:rFonts w:hint="eastAsia" w:ascii="宋体" w:hAnsi="宋体" w:cs="宋体"/>
                <w:sz w:val="24"/>
              </w:rPr>
            </w:pPr>
            <w:r>
              <w:rPr>
                <w:rFonts w:hint="eastAsia" w:ascii="宋体" w:hAnsi="宋体" w:cs="宋体"/>
                <w:kern w:val="0"/>
                <w:sz w:val="24"/>
                <w:lang w:bidi="ar"/>
              </w:rPr>
              <w:t>145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C347D2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4B22520">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146FC17">
            <w:pPr>
              <w:widowControl/>
              <w:textAlignment w:val="center"/>
              <w:rPr>
                <w:rFonts w:hint="eastAsia" w:ascii="宋体" w:hAnsi="宋体" w:cs="宋体"/>
                <w:sz w:val="24"/>
              </w:rPr>
            </w:pPr>
            <w:r>
              <w:rPr>
                <w:rFonts w:hint="eastAsia" w:ascii="宋体" w:hAnsi="宋体" w:cs="宋体"/>
                <w:kern w:val="0"/>
                <w:sz w:val="24"/>
                <w:lang w:bidi="ar"/>
              </w:rPr>
              <w:t xml:space="preserve">    系统支持对早中孕联合筛查的申请登记本和结果登记本进行查询与导出操作，实现筛查全流程数据的可追溯、可分析，满足数据管理与业务统计需求。</w:t>
            </w:r>
          </w:p>
        </w:tc>
      </w:tr>
      <w:tr w14:paraId="014FB380">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73271CA">
            <w:pPr>
              <w:widowControl/>
              <w:jc w:val="center"/>
              <w:textAlignment w:val="center"/>
              <w:rPr>
                <w:rFonts w:hint="eastAsia" w:ascii="宋体" w:hAnsi="宋体" w:cs="宋体"/>
                <w:sz w:val="24"/>
              </w:rPr>
            </w:pPr>
            <w:r>
              <w:rPr>
                <w:rFonts w:hint="eastAsia" w:ascii="宋体" w:hAnsi="宋体" w:cs="宋体"/>
                <w:kern w:val="0"/>
                <w:sz w:val="24"/>
                <w:lang w:bidi="ar"/>
              </w:rPr>
              <w:t>146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5445C8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A9F64F8">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1FF1261C">
            <w:pPr>
              <w:widowControl/>
              <w:textAlignment w:val="center"/>
              <w:rPr>
                <w:rFonts w:hint="eastAsia" w:ascii="宋体" w:hAnsi="宋体" w:cs="宋体"/>
                <w:sz w:val="24"/>
              </w:rPr>
            </w:pPr>
            <w:r>
              <w:rPr>
                <w:rFonts w:hint="eastAsia" w:ascii="宋体" w:hAnsi="宋体" w:cs="宋体"/>
                <w:kern w:val="0"/>
                <w:sz w:val="24"/>
                <w:lang w:bidi="ar"/>
              </w:rPr>
              <w:t xml:space="preserve">   系统具备完善的筛查工作量统计分析功能，支持按采血单位、筛查结果等多维度进行数据统计，并可进一步按高风险、临界风险和低风险等结果类型进行专项分析。</w:t>
            </w:r>
            <w:r>
              <w:rPr>
                <w:rFonts w:hint="eastAsia" w:ascii="宋体" w:hAnsi="宋体" w:cs="宋体"/>
                <w:kern w:val="0"/>
                <w:sz w:val="24"/>
                <w:lang w:bidi="ar"/>
              </w:rPr>
              <w:br w:type="textWrapping"/>
            </w:r>
            <w:r>
              <w:rPr>
                <w:rFonts w:hint="eastAsia" w:ascii="宋体" w:hAnsi="宋体" w:cs="宋体"/>
                <w:kern w:val="0"/>
                <w:sz w:val="24"/>
                <w:lang w:bidi="ar"/>
              </w:rPr>
              <w:t xml:space="preserve">    所有统计分析结果均支持导出，为业务管理和决策提供数据支撑。</w:t>
            </w:r>
          </w:p>
        </w:tc>
      </w:tr>
      <w:tr w14:paraId="342FF14B">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9A5F93C">
            <w:pPr>
              <w:widowControl/>
              <w:jc w:val="center"/>
              <w:textAlignment w:val="center"/>
              <w:rPr>
                <w:rFonts w:hint="eastAsia" w:ascii="宋体" w:hAnsi="宋体" w:cs="宋体"/>
                <w:sz w:val="24"/>
              </w:rPr>
            </w:pPr>
            <w:r>
              <w:rPr>
                <w:rFonts w:hint="eastAsia" w:ascii="宋体" w:hAnsi="宋体" w:cs="宋体"/>
                <w:kern w:val="0"/>
                <w:sz w:val="24"/>
                <w:lang w:bidi="ar"/>
              </w:rPr>
              <w:t>147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F57546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44ED8E6">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0FE3E0B3">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系统已开通微信端筛查结果查询服务，孕产妇可通过官方微信公众号或指定微信渠道，凭有效身份信息实时查询个人早中孕联合筛查结果报告。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012EB8F6">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E48A1EA">
            <w:pPr>
              <w:widowControl/>
              <w:jc w:val="center"/>
              <w:textAlignment w:val="center"/>
              <w:rPr>
                <w:rFonts w:hint="eastAsia" w:ascii="宋体" w:hAnsi="宋体" w:cs="宋体"/>
                <w:sz w:val="24"/>
              </w:rPr>
            </w:pPr>
            <w:r>
              <w:rPr>
                <w:rFonts w:hint="eastAsia" w:ascii="宋体" w:hAnsi="宋体" w:cs="宋体"/>
                <w:kern w:val="0"/>
                <w:sz w:val="24"/>
                <w:lang w:bidi="ar"/>
              </w:rPr>
              <w:t>148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378556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A71A152">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64468A26">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系统为基层单位、筛查分中心和筛查中心提供统一的报告单打印功能，各机构均可通过专用打印页面生成标准化报告单，满足不同层级机构的业务输出需求。</w:t>
            </w:r>
          </w:p>
        </w:tc>
      </w:tr>
      <w:tr w14:paraId="32EB0CCB">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87A7115">
            <w:pPr>
              <w:widowControl/>
              <w:jc w:val="center"/>
              <w:textAlignment w:val="center"/>
              <w:rPr>
                <w:rFonts w:hint="eastAsia" w:ascii="宋体" w:hAnsi="宋体" w:cs="宋体"/>
                <w:sz w:val="24"/>
              </w:rPr>
            </w:pPr>
            <w:r>
              <w:rPr>
                <w:rFonts w:hint="eastAsia" w:ascii="宋体" w:hAnsi="宋体" w:cs="宋体"/>
                <w:kern w:val="0"/>
                <w:sz w:val="24"/>
                <w:lang w:bidi="ar"/>
              </w:rPr>
              <w:t>149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C5129E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0C1E1FB">
            <w:pPr>
              <w:widowControl/>
              <w:jc w:val="center"/>
              <w:textAlignment w:val="center"/>
              <w:rPr>
                <w:rFonts w:hint="eastAsia" w:ascii="宋体" w:hAnsi="宋体" w:cs="宋体"/>
                <w:sz w:val="24"/>
              </w:rPr>
            </w:pPr>
            <w:r>
              <w:rPr>
                <w:rFonts w:hint="eastAsia" w:ascii="宋体" w:hAnsi="宋体" w:cs="宋体"/>
                <w:kern w:val="0"/>
                <w:sz w:val="24"/>
                <w:lang w:bidi="ar"/>
              </w:rPr>
              <w:t>基础配置</w:t>
            </w:r>
          </w:p>
        </w:tc>
        <w:tc>
          <w:tcPr>
            <w:tcW w:w="9687" w:type="dxa"/>
            <w:tcBorders>
              <w:top w:val="single" w:color="000000" w:sz="4" w:space="0"/>
              <w:left w:val="single" w:color="000000" w:sz="4" w:space="0"/>
              <w:bottom w:val="single" w:color="000000" w:sz="4" w:space="0"/>
              <w:right w:val="single" w:color="000000" w:sz="4" w:space="0"/>
            </w:tcBorders>
            <w:vAlign w:val="center"/>
          </w:tcPr>
          <w:p w14:paraId="49072A35">
            <w:pPr>
              <w:widowControl/>
              <w:textAlignment w:val="center"/>
              <w:rPr>
                <w:rFonts w:hint="eastAsia" w:ascii="宋体" w:hAnsi="宋体" w:cs="宋体"/>
                <w:sz w:val="24"/>
              </w:rPr>
            </w:pPr>
            <w:r>
              <w:rPr>
                <w:rFonts w:hint="eastAsia" w:ascii="宋体" w:hAnsi="宋体" w:cs="宋体"/>
                <w:kern w:val="0"/>
                <w:sz w:val="24"/>
                <w:lang w:bidi="ar"/>
              </w:rPr>
              <w:t xml:space="preserve">   系统支持灵活可配置的业务管理功能，用户可根据本单位实际情况自定义设置检验项目、检验者、审核者等关键参数，实现个性化工作流程配置，满足不同机构的差异化业务需求。</w:t>
            </w:r>
          </w:p>
        </w:tc>
      </w:tr>
      <w:tr w14:paraId="6992127C">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E56A3E8">
            <w:pPr>
              <w:widowControl/>
              <w:jc w:val="center"/>
              <w:textAlignment w:val="center"/>
              <w:rPr>
                <w:rFonts w:hint="eastAsia" w:ascii="宋体" w:hAnsi="宋体" w:cs="宋体"/>
                <w:sz w:val="24"/>
              </w:rPr>
            </w:pPr>
            <w:r>
              <w:rPr>
                <w:rFonts w:hint="eastAsia" w:ascii="宋体" w:hAnsi="宋体" w:cs="宋体"/>
                <w:kern w:val="0"/>
                <w:sz w:val="24"/>
                <w:lang w:bidi="ar"/>
              </w:rPr>
              <w:t>150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CDAE52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495FC55">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18FE29B0">
            <w:pPr>
              <w:widowControl/>
              <w:textAlignment w:val="center"/>
              <w:rPr>
                <w:rFonts w:hint="eastAsia" w:ascii="宋体" w:hAnsi="宋体" w:cs="宋体"/>
                <w:sz w:val="24"/>
              </w:rPr>
            </w:pPr>
            <w:r>
              <w:rPr>
                <w:rFonts w:hint="eastAsia" w:ascii="宋体" w:hAnsi="宋体" w:cs="宋体"/>
                <w:kern w:val="0"/>
                <w:sz w:val="24"/>
                <w:lang w:bidi="ar"/>
              </w:rPr>
              <w:t xml:space="preserve">   系统实现了与风险分析系统的双向数据对接，支持将早中孕联合筛查申请信息准确上传至风险分析系统进行处理，并能够自动获取该系统返回的筛查结果，确保从样本送检到结果生成的全流程自动化，有效提升筛查工作的效率和准确性。</w:t>
            </w:r>
          </w:p>
        </w:tc>
      </w:tr>
      <w:tr w14:paraId="78FBBA93">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3DC1F2D">
            <w:pPr>
              <w:widowControl/>
              <w:jc w:val="center"/>
              <w:textAlignment w:val="center"/>
              <w:rPr>
                <w:rFonts w:hint="eastAsia" w:ascii="宋体" w:hAnsi="宋体" w:cs="宋体"/>
                <w:sz w:val="24"/>
              </w:rPr>
            </w:pPr>
            <w:r>
              <w:rPr>
                <w:rFonts w:hint="eastAsia" w:ascii="宋体" w:hAnsi="宋体" w:cs="宋体"/>
                <w:kern w:val="0"/>
                <w:sz w:val="24"/>
                <w:lang w:bidi="ar"/>
              </w:rPr>
              <w:t>152</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EA4CC0D">
            <w:pPr>
              <w:widowControl/>
              <w:jc w:val="center"/>
              <w:textAlignment w:val="center"/>
              <w:rPr>
                <w:rFonts w:hint="eastAsia" w:ascii="宋体" w:hAnsi="宋体" w:cs="宋体"/>
                <w:sz w:val="24"/>
              </w:rPr>
            </w:pPr>
            <w:r>
              <w:rPr>
                <w:rFonts w:hint="eastAsia" w:ascii="宋体" w:hAnsi="宋体" w:cs="宋体"/>
                <w:kern w:val="0"/>
                <w:sz w:val="24"/>
                <w:lang w:bidi="ar"/>
              </w:rPr>
              <w:t>无创DNA筛查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2334EC3C">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05787A6">
            <w:pPr>
              <w:widowControl/>
              <w:textAlignment w:val="center"/>
              <w:rPr>
                <w:rFonts w:hint="eastAsia" w:ascii="宋体" w:hAnsi="宋体" w:cs="宋体"/>
                <w:sz w:val="24"/>
              </w:rPr>
            </w:pPr>
            <w:r>
              <w:rPr>
                <w:rFonts w:hint="eastAsia" w:ascii="宋体" w:hAnsi="宋体" w:cs="宋体"/>
                <w:kern w:val="0"/>
                <w:sz w:val="24"/>
                <w:lang w:bidi="ar"/>
              </w:rPr>
              <w:t xml:space="preserve">   系统提供完整的孕产妇无创DNA筛查档案管理功能，支持档案信息的新建、修改与删除操作，并设有专属管理页面便于用户快速访问。</w:t>
            </w:r>
            <w:r>
              <w:rPr>
                <w:rFonts w:hint="eastAsia" w:ascii="宋体" w:hAnsi="宋体" w:cs="宋体"/>
                <w:kern w:val="0"/>
                <w:sz w:val="24"/>
                <w:lang w:bidi="ar"/>
              </w:rPr>
              <w:br w:type="textWrapping"/>
            </w:r>
            <w:r>
              <w:rPr>
                <w:rFonts w:hint="eastAsia" w:ascii="宋体" w:hAnsi="宋体" w:cs="宋体"/>
                <w:kern w:val="0"/>
                <w:sz w:val="24"/>
                <w:lang w:bidi="ar"/>
              </w:rPr>
              <w:t xml:space="preserve">    系统可实现与“健苗工程”系统的数据对接，自动同步获取孕产妇档案信息，有效避免信息重复录入，确保数据一致性与操作效率。</w:t>
            </w:r>
          </w:p>
        </w:tc>
      </w:tr>
      <w:tr w14:paraId="389E848B">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C31A059">
            <w:pPr>
              <w:widowControl/>
              <w:jc w:val="center"/>
              <w:textAlignment w:val="center"/>
              <w:rPr>
                <w:rFonts w:hint="eastAsia" w:ascii="宋体" w:hAnsi="宋体" w:cs="宋体"/>
                <w:sz w:val="24"/>
              </w:rPr>
            </w:pPr>
            <w:r>
              <w:rPr>
                <w:rFonts w:hint="eastAsia" w:ascii="宋体" w:hAnsi="宋体" w:cs="宋体"/>
                <w:kern w:val="0"/>
                <w:sz w:val="24"/>
                <w:lang w:bidi="ar"/>
              </w:rPr>
              <w:t>153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6E1556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D96B0AE">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904CFA4">
            <w:pPr>
              <w:widowControl/>
              <w:textAlignment w:val="center"/>
              <w:rPr>
                <w:rFonts w:hint="eastAsia" w:ascii="宋体" w:hAnsi="宋体" w:cs="宋体"/>
                <w:sz w:val="24"/>
              </w:rPr>
            </w:pPr>
            <w:r>
              <w:rPr>
                <w:rFonts w:hint="eastAsia" w:ascii="宋体" w:hAnsi="宋体" w:cs="宋体"/>
                <w:kern w:val="0"/>
                <w:sz w:val="24"/>
                <w:lang w:bidi="ar"/>
              </w:rPr>
              <w:t xml:space="preserve">    系统为孕产妇无创DNA筛查申请单提供全流程管理功能，支持申请单的录入、修改与删除操作，并设有专用功能页面统一处理筛查申请业务。</w:t>
            </w:r>
            <w:r>
              <w:rPr>
                <w:rFonts w:hint="eastAsia" w:ascii="宋体" w:hAnsi="宋体" w:cs="宋体"/>
                <w:kern w:val="0"/>
                <w:sz w:val="24"/>
                <w:lang w:bidi="ar"/>
              </w:rPr>
              <w:br w:type="textWrapping"/>
            </w:r>
            <w:r>
              <w:rPr>
                <w:rFonts w:hint="eastAsia" w:ascii="宋体" w:hAnsi="宋体" w:cs="宋体"/>
                <w:kern w:val="0"/>
                <w:sz w:val="24"/>
                <w:lang w:bidi="ar"/>
              </w:rPr>
              <w:t xml:space="preserve">    系统提供多维度查询方式，既可按照标本编号、姓名、身份证号进行精确检索，也可根据性别、采样单位、采样时间范围等条件进行批量筛选。</w:t>
            </w:r>
            <w:r>
              <w:rPr>
                <w:rFonts w:hint="eastAsia" w:ascii="宋体" w:hAnsi="宋体" w:cs="宋体"/>
                <w:kern w:val="0"/>
                <w:sz w:val="24"/>
                <w:lang w:bidi="ar"/>
              </w:rPr>
              <w:br w:type="textWrapping"/>
            </w:r>
            <w:r>
              <w:rPr>
                <w:rFonts w:hint="eastAsia" w:ascii="宋体" w:hAnsi="宋体" w:cs="宋体"/>
                <w:kern w:val="0"/>
                <w:sz w:val="24"/>
                <w:lang w:bidi="ar"/>
              </w:rPr>
              <w:t xml:space="preserve">    同时支持多条件组合查询，满足不同场景下的查找需求。系统还支持申请单和知情同意书的打印功能，并可将申请记录导出为Excel格式，便于数据存档与统计分析。</w:t>
            </w:r>
          </w:p>
        </w:tc>
      </w:tr>
      <w:tr w14:paraId="4525D2DE">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4FAAA7">
            <w:pPr>
              <w:widowControl/>
              <w:jc w:val="center"/>
              <w:textAlignment w:val="center"/>
              <w:rPr>
                <w:rFonts w:hint="eastAsia" w:ascii="宋体" w:hAnsi="宋体" w:cs="宋体"/>
                <w:sz w:val="24"/>
              </w:rPr>
            </w:pPr>
            <w:r>
              <w:rPr>
                <w:rFonts w:hint="eastAsia" w:ascii="宋体" w:hAnsi="宋体" w:cs="宋体"/>
                <w:kern w:val="0"/>
                <w:sz w:val="24"/>
                <w:lang w:bidi="ar"/>
              </w:rPr>
              <w:t>154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F52A08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E66A43">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5875DC9">
            <w:pPr>
              <w:widowControl/>
              <w:textAlignment w:val="center"/>
              <w:rPr>
                <w:rFonts w:hint="eastAsia" w:ascii="宋体" w:hAnsi="宋体" w:cs="宋体"/>
                <w:sz w:val="24"/>
              </w:rPr>
            </w:pPr>
            <w:r>
              <w:rPr>
                <w:rFonts w:hint="eastAsia" w:ascii="宋体" w:hAnsi="宋体" w:cs="宋体"/>
                <w:kern w:val="0"/>
                <w:sz w:val="24"/>
                <w:lang w:bidi="ar"/>
              </w:rPr>
              <w:t xml:space="preserve">    系统全面支持无创DNA筛查申请单的多级流转与送检管理。基层单位可根据实际情况灵活选择送检路径，既可先将申请单上报至筛查分中心进行初审，也可直接送检至筛查中心。</w:t>
            </w:r>
            <w:r>
              <w:rPr>
                <w:rFonts w:hint="eastAsia" w:ascii="宋体" w:hAnsi="宋体" w:cs="宋体"/>
                <w:kern w:val="0"/>
                <w:sz w:val="24"/>
                <w:lang w:bidi="ar"/>
              </w:rPr>
              <w:br w:type="textWrapping"/>
            </w:r>
            <w:r>
              <w:rPr>
                <w:rFonts w:hint="eastAsia" w:ascii="宋体" w:hAnsi="宋体" w:cs="宋体"/>
                <w:kern w:val="0"/>
                <w:sz w:val="24"/>
                <w:lang w:bidi="ar"/>
              </w:rPr>
              <w:t xml:space="preserve">    在申请单未被接收前，系统允许基层单位对已上报或送检的申请单进行撤回操作，提升了业务操作的灵活性。</w:t>
            </w:r>
            <w:r>
              <w:rPr>
                <w:rFonts w:hint="eastAsia" w:ascii="宋体" w:hAnsi="宋体" w:cs="宋体"/>
                <w:kern w:val="0"/>
                <w:sz w:val="24"/>
                <w:lang w:bidi="ar"/>
              </w:rPr>
              <w:br w:type="textWrapping"/>
            </w:r>
            <w:r>
              <w:rPr>
                <w:rFonts w:hint="eastAsia" w:ascii="宋体" w:hAnsi="宋体" w:cs="宋体"/>
                <w:kern w:val="0"/>
                <w:sz w:val="24"/>
                <w:lang w:bidi="ar"/>
              </w:rPr>
              <w:t xml:space="preserve">    对于提交的申请单，筛查分中心与筛查中心均可进行接收或驳回处理，实现了对筛查申请流转全过程的闭环管理与有效监管</w:t>
            </w:r>
          </w:p>
        </w:tc>
      </w:tr>
      <w:tr w14:paraId="6DE35170">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717693C">
            <w:pPr>
              <w:widowControl/>
              <w:jc w:val="center"/>
              <w:textAlignment w:val="center"/>
              <w:rPr>
                <w:rFonts w:hint="eastAsia" w:ascii="宋体" w:hAnsi="宋体" w:cs="宋体"/>
                <w:sz w:val="24"/>
              </w:rPr>
            </w:pPr>
            <w:r>
              <w:rPr>
                <w:rFonts w:hint="eastAsia" w:ascii="宋体" w:hAnsi="宋体" w:cs="宋体"/>
                <w:kern w:val="0"/>
                <w:sz w:val="24"/>
                <w:lang w:bidi="ar"/>
              </w:rPr>
              <w:t>155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82D13C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45D02ED">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F461011">
            <w:pPr>
              <w:widowControl/>
              <w:textAlignment w:val="center"/>
              <w:rPr>
                <w:rFonts w:hint="eastAsia" w:ascii="宋体" w:hAnsi="宋体" w:cs="宋体"/>
                <w:sz w:val="24"/>
              </w:rPr>
            </w:pPr>
            <w:r>
              <w:rPr>
                <w:rFonts w:hint="eastAsia" w:ascii="宋体" w:hAnsi="宋体" w:cs="宋体"/>
                <w:kern w:val="0"/>
                <w:sz w:val="24"/>
                <w:lang w:bidi="ar"/>
              </w:rPr>
              <w:t xml:space="preserve">    系统构建了完整的无创DNA筛查申请单状态管理体系，为基层单位、筛查分中心和筛查中心提供分角色、分状态的精细化数据管理功能。各机构均可通过专属功能页面对权限范围内的各类申请单记录进行查看和Excel导出操作。</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基层单位可管理未上报、已上报、未被接收和退回的申请单；筛查分中心可处理未接收、未上报、已上报和退回的申请单；筛查中心则负责未接收、已送检和退回的申请单。</w:t>
            </w:r>
            <w:r>
              <w:rPr>
                <w:rFonts w:hint="eastAsia" w:ascii="宋体" w:hAnsi="宋体" w:cs="宋体"/>
                <w:kern w:val="0"/>
                <w:sz w:val="24"/>
                <w:lang w:bidi="ar"/>
              </w:rPr>
              <w:br w:type="textWrapping"/>
            </w:r>
            <w:r>
              <w:rPr>
                <w:rFonts w:hint="eastAsia" w:ascii="宋体" w:hAnsi="宋体" w:cs="宋体"/>
                <w:kern w:val="0"/>
                <w:sz w:val="24"/>
                <w:lang w:bidi="ar"/>
              </w:rPr>
              <w:t xml:space="preserve">   系统确保每个状态类型的申请单都支持专门的查询页面和导出功能，实现了多级机构间申请单流转的全过程可视化跟踪与数据闭环管理。</w:t>
            </w:r>
          </w:p>
        </w:tc>
      </w:tr>
      <w:tr w14:paraId="3B38B60A">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B819DE">
            <w:pPr>
              <w:widowControl/>
              <w:jc w:val="center"/>
              <w:textAlignment w:val="center"/>
              <w:rPr>
                <w:rFonts w:hint="eastAsia" w:ascii="宋体" w:hAnsi="宋体" w:cs="宋体"/>
                <w:sz w:val="24"/>
              </w:rPr>
            </w:pPr>
            <w:r>
              <w:rPr>
                <w:rFonts w:hint="eastAsia" w:ascii="宋体" w:hAnsi="宋体" w:cs="宋体"/>
                <w:kern w:val="0"/>
                <w:sz w:val="24"/>
                <w:lang w:bidi="ar"/>
              </w:rPr>
              <w:t>156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5C52DF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8805DA7">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F95A71C">
            <w:pPr>
              <w:widowControl/>
              <w:textAlignment w:val="center"/>
              <w:rPr>
                <w:rFonts w:hint="eastAsia" w:ascii="宋体" w:hAnsi="宋体" w:cs="宋体"/>
                <w:sz w:val="24"/>
              </w:rPr>
            </w:pPr>
            <w:r>
              <w:rPr>
                <w:rFonts w:hint="eastAsia" w:ascii="宋体" w:hAnsi="宋体" w:cs="宋体"/>
                <w:kern w:val="0"/>
                <w:sz w:val="24"/>
                <w:lang w:bidi="ar"/>
              </w:rPr>
              <w:t xml:space="preserve">   系统实现了与检测实验室的无缝数据对接，支持按照标准接口规范导出无创DNA筛查申请单至检测机构，确保样本信息准确传递。</w:t>
            </w:r>
            <w:r>
              <w:rPr>
                <w:rFonts w:hint="eastAsia" w:ascii="宋体" w:hAnsi="宋体" w:cs="宋体"/>
                <w:kern w:val="0"/>
                <w:sz w:val="24"/>
                <w:lang w:bidi="ar"/>
              </w:rPr>
              <w:br w:type="textWrapping"/>
            </w:r>
            <w:r>
              <w:rPr>
                <w:rFonts w:hint="eastAsia" w:ascii="宋体" w:hAnsi="宋体" w:cs="宋体"/>
                <w:kern w:val="0"/>
                <w:sz w:val="24"/>
                <w:lang w:bidi="ar"/>
              </w:rPr>
              <w:t xml:space="preserve">    实验完成后，系统可自动接收并上传检测机构返回的筛查结果，完整记录检测数据，形成从样本送检到结果返回的全流程数字化闭环管理。</w:t>
            </w:r>
          </w:p>
        </w:tc>
      </w:tr>
      <w:tr w14:paraId="511C30FF">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9AC6172">
            <w:pPr>
              <w:widowControl/>
              <w:jc w:val="center"/>
              <w:textAlignment w:val="center"/>
              <w:rPr>
                <w:rFonts w:hint="eastAsia" w:ascii="宋体" w:hAnsi="宋体" w:cs="宋体"/>
                <w:sz w:val="24"/>
              </w:rPr>
            </w:pPr>
            <w:r>
              <w:rPr>
                <w:rFonts w:hint="eastAsia" w:ascii="宋体" w:hAnsi="宋体" w:cs="宋体"/>
                <w:kern w:val="0"/>
                <w:sz w:val="24"/>
                <w:lang w:bidi="ar"/>
              </w:rPr>
              <w:t>157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52314A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DDC1406">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1EF8FD5A">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系统为基层单位、筛查分中心和筛查中心提供统一的无创DNA筛查结果管理平台，各机构可通过专属功能页面查看权限范围内的筛查结果。</w:t>
            </w:r>
            <w:r>
              <w:rPr>
                <w:rFonts w:hint="eastAsia" w:ascii="宋体" w:hAnsi="宋体" w:cs="宋体"/>
                <w:kern w:val="0"/>
                <w:sz w:val="24"/>
                <w:lang w:bidi="ar"/>
              </w:rPr>
              <w:br w:type="textWrapping"/>
            </w:r>
            <w:r>
              <w:rPr>
                <w:rFonts w:hint="eastAsia" w:ascii="宋体" w:hAnsi="宋体" w:cs="宋体"/>
                <w:kern w:val="0"/>
                <w:sz w:val="24"/>
                <w:lang w:bidi="ar"/>
              </w:rPr>
              <w:t xml:space="preserve">    筛查中心还具备筛查结果的删除权限，实现了筛查结果在各级机构间的安全共享与规范管理。</w:t>
            </w:r>
          </w:p>
        </w:tc>
      </w:tr>
      <w:tr w14:paraId="4DCAAEFD">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1909588">
            <w:pPr>
              <w:widowControl/>
              <w:jc w:val="center"/>
              <w:textAlignment w:val="center"/>
              <w:rPr>
                <w:rFonts w:hint="eastAsia" w:ascii="宋体" w:hAnsi="宋体" w:cs="宋体"/>
                <w:sz w:val="24"/>
              </w:rPr>
            </w:pPr>
            <w:r>
              <w:rPr>
                <w:rFonts w:hint="eastAsia" w:ascii="宋体" w:hAnsi="宋体" w:cs="宋体"/>
                <w:kern w:val="0"/>
                <w:sz w:val="24"/>
                <w:lang w:bidi="ar"/>
              </w:rPr>
              <w:t>158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2C555A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773B9F0">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3DB116F6">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申请单动态跟踪功能，支持各机构通过专用跟踪页面实时掌握无创DNA筛查标本在送检、接收、检测及结果返回等各环节的状态，实现对标本流转全过程的闭环管理与可视化监控。</w:t>
            </w:r>
          </w:p>
        </w:tc>
      </w:tr>
      <w:tr w14:paraId="4183C5C5">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3A7EEA8">
            <w:pPr>
              <w:widowControl/>
              <w:jc w:val="center"/>
              <w:textAlignment w:val="center"/>
              <w:rPr>
                <w:rFonts w:hint="eastAsia" w:ascii="宋体" w:hAnsi="宋体" w:cs="宋体"/>
                <w:sz w:val="24"/>
              </w:rPr>
            </w:pPr>
            <w:r>
              <w:rPr>
                <w:rFonts w:hint="eastAsia" w:ascii="宋体" w:hAnsi="宋体" w:cs="宋体"/>
                <w:kern w:val="0"/>
                <w:sz w:val="24"/>
                <w:lang w:bidi="ar"/>
              </w:rPr>
              <w:t>159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C7B9F9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DA52CF4">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4BA7E15">
            <w:pPr>
              <w:widowControl/>
              <w:textAlignment w:val="center"/>
              <w:rPr>
                <w:rFonts w:hint="eastAsia" w:ascii="宋体" w:hAnsi="宋体" w:cs="宋体"/>
                <w:sz w:val="24"/>
              </w:rPr>
            </w:pPr>
            <w:r>
              <w:rPr>
                <w:rFonts w:hint="eastAsia" w:ascii="宋体" w:hAnsi="宋体" w:cs="宋体"/>
                <w:kern w:val="0"/>
                <w:sz w:val="24"/>
                <w:lang w:bidi="ar"/>
              </w:rPr>
              <w:t xml:space="preserve">   系统提供完整的随访记录管理功能，支持对无创DNA筛查相关的随访记录进行添加、修改和删除操作，用户可通过随访功能页面便捷地开展随访信息维护工作，实现随访过程的规范化管理。</w:t>
            </w:r>
          </w:p>
        </w:tc>
      </w:tr>
      <w:tr w14:paraId="08D03A90">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746DDBF">
            <w:pPr>
              <w:widowControl/>
              <w:jc w:val="center"/>
              <w:textAlignment w:val="center"/>
              <w:rPr>
                <w:rFonts w:hint="eastAsia" w:ascii="宋体" w:hAnsi="宋体" w:cs="宋体"/>
                <w:sz w:val="24"/>
              </w:rPr>
            </w:pPr>
            <w:r>
              <w:rPr>
                <w:rFonts w:hint="eastAsia" w:ascii="宋体" w:hAnsi="宋体" w:cs="宋体"/>
                <w:kern w:val="0"/>
                <w:sz w:val="24"/>
                <w:lang w:bidi="ar"/>
              </w:rPr>
              <w:t>160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4B5D7A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F1F17D4">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66E20B16">
            <w:pPr>
              <w:widowControl/>
              <w:textAlignment w:val="center"/>
              <w:rPr>
                <w:rFonts w:hint="eastAsia" w:ascii="宋体" w:hAnsi="宋体" w:cs="宋体"/>
                <w:sz w:val="24"/>
              </w:rPr>
            </w:pPr>
            <w:r>
              <w:rPr>
                <w:rFonts w:hint="eastAsia" w:ascii="宋体" w:hAnsi="宋体" w:cs="宋体"/>
                <w:kern w:val="0"/>
                <w:sz w:val="24"/>
                <w:lang w:bidi="ar"/>
              </w:rPr>
              <w:t xml:space="preserve">   系统支持对无创DNA筛查申请单登记本和结果登记本进行查询与导出操作，实现筛查全流程数据的可追溯、可分析，满足数据管理与业务统计需求。</w:t>
            </w:r>
          </w:p>
        </w:tc>
      </w:tr>
      <w:tr w14:paraId="02BE04CF">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7636B8C">
            <w:pPr>
              <w:widowControl/>
              <w:jc w:val="center"/>
              <w:textAlignment w:val="center"/>
              <w:rPr>
                <w:rFonts w:hint="eastAsia" w:ascii="宋体" w:hAnsi="宋体" w:cs="宋体"/>
                <w:sz w:val="24"/>
              </w:rPr>
            </w:pPr>
            <w:r>
              <w:rPr>
                <w:rFonts w:hint="eastAsia" w:ascii="宋体" w:hAnsi="宋体" w:cs="宋体"/>
                <w:kern w:val="0"/>
                <w:sz w:val="24"/>
                <w:lang w:bidi="ar"/>
              </w:rPr>
              <w:t>161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C21AD6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3063690">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10680CC1">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系统提供全面的无创DNA筛查统计分析功能，支持对筛查结果、工作量及费用等关键指标进行多维度统计分析，所有分析结果均可导出，为业务管理和决策提供数据支撑。</w:t>
            </w:r>
          </w:p>
        </w:tc>
      </w:tr>
      <w:tr w14:paraId="4B35E5B9">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CB319F">
            <w:pPr>
              <w:widowControl/>
              <w:jc w:val="center"/>
              <w:textAlignment w:val="center"/>
              <w:rPr>
                <w:rFonts w:hint="eastAsia" w:ascii="宋体" w:hAnsi="宋体" w:cs="宋体"/>
                <w:sz w:val="24"/>
              </w:rPr>
            </w:pPr>
            <w:r>
              <w:rPr>
                <w:rFonts w:hint="eastAsia" w:ascii="宋体" w:hAnsi="宋体" w:cs="宋体"/>
                <w:kern w:val="0"/>
                <w:sz w:val="24"/>
                <w:lang w:bidi="ar"/>
              </w:rPr>
              <w:t>162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43B71F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790BD7E">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66C268A8">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系统已开通微信端无创DNA筛查结果查询服务，孕产妇可通过官方微信公众号或指定微信渠道，凭有效身份信息实时查询个人筛查结果报告。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5B0CC7B3">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DBACB3D">
            <w:pPr>
              <w:widowControl/>
              <w:jc w:val="center"/>
              <w:textAlignment w:val="center"/>
              <w:rPr>
                <w:rFonts w:hint="eastAsia" w:ascii="宋体" w:hAnsi="宋体" w:cs="宋体"/>
                <w:sz w:val="24"/>
              </w:rPr>
            </w:pPr>
            <w:r>
              <w:rPr>
                <w:rFonts w:hint="eastAsia" w:ascii="宋体" w:hAnsi="宋体" w:cs="宋体"/>
                <w:kern w:val="0"/>
                <w:sz w:val="24"/>
                <w:lang w:bidi="ar"/>
              </w:rPr>
              <w:t>163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213C59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B910BF3">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4684430B">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系统为基层单位、筛查分中心和筛查中心提供统一的报告单打印功能，各机构均可通过专用打印页面生成标准化无创DNA筛查报告单，满足不同层级机构的业务输出需求。</w:t>
            </w:r>
          </w:p>
        </w:tc>
      </w:tr>
      <w:tr w14:paraId="50C73605">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455FB8A">
            <w:pPr>
              <w:widowControl/>
              <w:jc w:val="center"/>
              <w:textAlignment w:val="center"/>
              <w:rPr>
                <w:rFonts w:hint="eastAsia" w:ascii="宋体" w:hAnsi="宋体" w:cs="宋体"/>
                <w:sz w:val="24"/>
              </w:rPr>
            </w:pPr>
            <w:r>
              <w:rPr>
                <w:rFonts w:hint="eastAsia" w:ascii="宋体" w:hAnsi="宋体" w:cs="宋体"/>
                <w:kern w:val="0"/>
                <w:sz w:val="24"/>
                <w:lang w:bidi="ar"/>
              </w:rPr>
              <w:t>164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19FAAF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56F54D3">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3B15DCDF">
            <w:pPr>
              <w:widowControl/>
              <w:textAlignment w:val="center"/>
              <w:rPr>
                <w:rFonts w:hint="eastAsia" w:ascii="宋体" w:hAnsi="宋体" w:cs="宋体"/>
                <w:sz w:val="24"/>
              </w:rPr>
            </w:pPr>
            <w:r>
              <w:rPr>
                <w:rFonts w:hint="eastAsia" w:ascii="宋体" w:hAnsi="宋体" w:cs="宋体"/>
                <w:kern w:val="0"/>
                <w:sz w:val="24"/>
                <w:lang w:bidi="ar"/>
              </w:rPr>
              <w:t xml:space="preserve">  系统实现了与风险分析系统的双向数据对接，支持将无创DNA筛查申请信息准确上传至风险分析系统进行处理，并能够自动获取该系统生成的检测报告，确保从样本送检到报告返回的全流程自动化，有效提升筛查工作的效率和准确性。</w:t>
            </w:r>
          </w:p>
        </w:tc>
      </w:tr>
      <w:tr w14:paraId="3EEB647E">
        <w:tblPrEx>
          <w:tblCellMar>
            <w:top w:w="0" w:type="dxa"/>
            <w:left w:w="108" w:type="dxa"/>
            <w:bottom w:w="0" w:type="dxa"/>
            <w:right w:w="108" w:type="dxa"/>
          </w:tblCellMar>
        </w:tblPrEx>
        <w:trPr>
          <w:gridAfter w:val="3"/>
          <w:wAfter w:w="12481" w:type="dxa"/>
          <w:trHeight w:val="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57043F3">
            <w:pPr>
              <w:widowControl/>
              <w:jc w:val="center"/>
              <w:textAlignment w:val="center"/>
              <w:rPr>
                <w:rFonts w:hint="eastAsia" w:ascii="宋体" w:hAnsi="宋体" w:cs="宋体"/>
                <w:sz w:val="24"/>
              </w:rPr>
            </w:pPr>
            <w:r>
              <w:rPr>
                <w:rFonts w:hint="eastAsia" w:ascii="宋体" w:hAnsi="宋体" w:cs="宋体"/>
                <w:kern w:val="0"/>
                <w:sz w:val="24"/>
                <w:lang w:bidi="ar"/>
              </w:rPr>
              <w:t>165</w:t>
            </w:r>
          </w:p>
        </w:tc>
      </w:tr>
      <w:tr w14:paraId="0496F0EF">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77B1DD9">
            <w:pPr>
              <w:widowControl/>
              <w:jc w:val="center"/>
              <w:textAlignment w:val="center"/>
              <w:rPr>
                <w:rFonts w:hint="eastAsia" w:ascii="宋体" w:hAnsi="宋体" w:cs="宋体"/>
                <w:sz w:val="24"/>
              </w:rPr>
            </w:pPr>
            <w:r>
              <w:rPr>
                <w:rFonts w:hint="eastAsia" w:ascii="宋体" w:hAnsi="宋体" w:cs="宋体"/>
                <w:kern w:val="0"/>
                <w:sz w:val="24"/>
                <w:lang w:bidi="ar"/>
              </w:rPr>
              <w:t>166</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934F322">
            <w:pPr>
              <w:widowControl/>
              <w:jc w:val="center"/>
              <w:textAlignment w:val="center"/>
              <w:rPr>
                <w:rFonts w:hint="eastAsia" w:ascii="宋体" w:hAnsi="宋体" w:cs="宋体"/>
                <w:sz w:val="24"/>
              </w:rPr>
            </w:pPr>
            <w:r>
              <w:rPr>
                <w:rFonts w:hint="eastAsia" w:ascii="宋体" w:hAnsi="宋体" w:cs="宋体"/>
                <w:kern w:val="0"/>
                <w:sz w:val="24"/>
                <w:lang w:bidi="ar"/>
              </w:rPr>
              <w:t>孕产妇耳聋基因筛查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7F604F5E">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CD1B845">
            <w:pPr>
              <w:widowControl/>
              <w:textAlignment w:val="center"/>
              <w:rPr>
                <w:rFonts w:hint="eastAsia" w:ascii="宋体" w:hAnsi="宋体" w:cs="宋体"/>
                <w:sz w:val="24"/>
              </w:rPr>
            </w:pPr>
            <w:r>
              <w:rPr>
                <w:rFonts w:hint="eastAsia" w:ascii="宋体" w:hAnsi="宋体" w:cs="宋体"/>
                <w:kern w:val="0"/>
                <w:sz w:val="24"/>
                <w:lang w:bidi="ar"/>
              </w:rPr>
              <w:t xml:space="preserve">   系统提供完整的孕产妇耳聋基因筛查档案管理功能，支持档案信息的新建、修改与删除操作，并设有专属管理页面便于用户快速访问。</w:t>
            </w:r>
            <w:r>
              <w:rPr>
                <w:rFonts w:hint="eastAsia" w:ascii="宋体" w:hAnsi="宋体" w:cs="宋体"/>
                <w:kern w:val="0"/>
                <w:sz w:val="24"/>
                <w:lang w:bidi="ar"/>
              </w:rPr>
              <w:br w:type="textWrapping"/>
            </w:r>
            <w:r>
              <w:rPr>
                <w:rFonts w:hint="eastAsia" w:ascii="宋体" w:hAnsi="宋体" w:cs="宋体"/>
                <w:kern w:val="0"/>
                <w:sz w:val="24"/>
                <w:lang w:bidi="ar"/>
              </w:rPr>
              <w:t xml:space="preserve">    系统可实现与“健苗工程”系统的数据对接，自动同步获取孕产妇档案信息，有效避免信息重复录入，确保数据一致性与操作效率。</w:t>
            </w:r>
          </w:p>
        </w:tc>
      </w:tr>
      <w:tr w14:paraId="7D95F1B9">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A5A757">
            <w:pPr>
              <w:widowControl/>
              <w:jc w:val="center"/>
              <w:textAlignment w:val="center"/>
              <w:rPr>
                <w:rFonts w:hint="eastAsia" w:ascii="宋体" w:hAnsi="宋体" w:cs="宋体"/>
                <w:sz w:val="24"/>
              </w:rPr>
            </w:pPr>
            <w:r>
              <w:rPr>
                <w:rFonts w:hint="eastAsia" w:ascii="宋体" w:hAnsi="宋体" w:cs="宋体"/>
                <w:kern w:val="0"/>
                <w:sz w:val="24"/>
                <w:lang w:bidi="ar"/>
              </w:rPr>
              <w:t>167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711760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3E96740">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C2AB607">
            <w:pPr>
              <w:widowControl/>
              <w:textAlignment w:val="center"/>
              <w:rPr>
                <w:rFonts w:hint="eastAsia" w:ascii="宋体" w:hAnsi="宋体" w:cs="宋体"/>
                <w:sz w:val="24"/>
              </w:rPr>
            </w:pPr>
            <w:r>
              <w:rPr>
                <w:rFonts w:hint="eastAsia" w:ascii="宋体" w:hAnsi="宋体" w:cs="宋体"/>
                <w:kern w:val="0"/>
                <w:sz w:val="24"/>
                <w:lang w:bidi="ar"/>
              </w:rPr>
              <w:t xml:space="preserve">    系统为孕产妇及其丈夫提供完整的耳聋基因筛查申请管理功能，支持双方申请单的独立录入、修改与删除操作，并设有专用功能页面统一处理筛查申请业务。</w:t>
            </w:r>
            <w:r>
              <w:rPr>
                <w:rFonts w:hint="eastAsia" w:ascii="宋体" w:hAnsi="宋体" w:cs="宋体"/>
                <w:kern w:val="0"/>
                <w:sz w:val="24"/>
                <w:lang w:bidi="ar"/>
              </w:rPr>
              <w:br w:type="textWrapping"/>
            </w:r>
            <w:r>
              <w:rPr>
                <w:rFonts w:hint="eastAsia" w:ascii="宋体" w:hAnsi="宋体" w:cs="宋体"/>
                <w:kern w:val="0"/>
                <w:sz w:val="24"/>
                <w:lang w:bidi="ar"/>
              </w:rPr>
              <w:t xml:space="preserve">    系统提供多维度查询方式，既可按照样品编号、姓名、身份证号进行精确检索，也可根据性别、采样单位、采样时间范围等条件进行批量筛选，同时支持多条件组合查询。</w:t>
            </w:r>
            <w:r>
              <w:rPr>
                <w:rFonts w:hint="eastAsia" w:ascii="宋体" w:hAnsi="宋体" w:cs="宋体"/>
                <w:kern w:val="0"/>
                <w:sz w:val="24"/>
                <w:lang w:bidi="ar"/>
              </w:rPr>
              <w:br w:type="textWrapping"/>
            </w:r>
            <w:r>
              <w:rPr>
                <w:rFonts w:hint="eastAsia" w:ascii="宋体" w:hAnsi="宋体" w:cs="宋体"/>
                <w:kern w:val="0"/>
                <w:sz w:val="24"/>
                <w:lang w:bidi="ar"/>
              </w:rPr>
              <w:t xml:space="preserve">    系统还支持申请单和知情同意书的打印功能，并可将申请记录导出为Excel格式，便于数据存档与统计分析。</w:t>
            </w:r>
          </w:p>
        </w:tc>
      </w:tr>
      <w:tr w14:paraId="2F2DA21F">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C673579">
            <w:pPr>
              <w:widowControl/>
              <w:jc w:val="center"/>
              <w:textAlignment w:val="center"/>
              <w:rPr>
                <w:rFonts w:hint="eastAsia" w:ascii="宋体" w:hAnsi="宋体" w:cs="宋体"/>
                <w:sz w:val="24"/>
              </w:rPr>
            </w:pPr>
            <w:r>
              <w:rPr>
                <w:rFonts w:hint="eastAsia" w:ascii="宋体" w:hAnsi="宋体" w:cs="宋体"/>
                <w:kern w:val="0"/>
                <w:sz w:val="24"/>
                <w:lang w:bidi="ar"/>
              </w:rPr>
              <w:t>168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E7B59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D16BEF8">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CA91F96">
            <w:pPr>
              <w:widowControl/>
              <w:textAlignment w:val="center"/>
              <w:rPr>
                <w:rFonts w:hint="eastAsia" w:ascii="宋体" w:hAnsi="宋体" w:cs="宋体"/>
                <w:sz w:val="24"/>
              </w:rPr>
            </w:pPr>
            <w:r>
              <w:rPr>
                <w:rFonts w:hint="eastAsia" w:ascii="宋体" w:hAnsi="宋体" w:cs="宋体"/>
                <w:kern w:val="0"/>
                <w:sz w:val="24"/>
                <w:lang w:bidi="ar"/>
              </w:rPr>
              <w:t xml:space="preserve">    系统全面支持耳聋基因筛查申请单的多级流转与送检管理。基层单位可根据实际情况灵活选择送检路径，既可先将申请单上报至筛查分中心进行初审，也可直接送检至筛查中心。</w:t>
            </w:r>
            <w:r>
              <w:rPr>
                <w:rFonts w:hint="eastAsia" w:ascii="宋体" w:hAnsi="宋体" w:cs="宋体"/>
                <w:kern w:val="0"/>
                <w:sz w:val="24"/>
                <w:lang w:bidi="ar"/>
              </w:rPr>
              <w:br w:type="textWrapping"/>
            </w:r>
            <w:r>
              <w:rPr>
                <w:rFonts w:hint="eastAsia" w:ascii="宋体" w:hAnsi="宋体" w:cs="宋体"/>
                <w:kern w:val="0"/>
                <w:sz w:val="24"/>
                <w:lang w:bidi="ar"/>
              </w:rPr>
              <w:t xml:space="preserve">    在申请单未被接收前，系统允许基层单位对已上报或送检的申请单进行撤回操作，提升了业务操作的灵活性。对于提交的申请单，筛查分中心与筛查中心均可进行接收或驳回处理，实现了对筛查申请流转全过程的闭环管理与有效监管。</w:t>
            </w:r>
          </w:p>
        </w:tc>
      </w:tr>
      <w:tr w14:paraId="369FF498">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4B15702">
            <w:pPr>
              <w:widowControl/>
              <w:jc w:val="center"/>
              <w:textAlignment w:val="center"/>
              <w:rPr>
                <w:rFonts w:hint="eastAsia" w:ascii="宋体" w:hAnsi="宋体" w:cs="宋体"/>
                <w:sz w:val="24"/>
              </w:rPr>
            </w:pPr>
            <w:r>
              <w:rPr>
                <w:rFonts w:hint="eastAsia" w:ascii="宋体" w:hAnsi="宋体" w:cs="宋体"/>
                <w:kern w:val="0"/>
                <w:sz w:val="24"/>
                <w:lang w:bidi="ar"/>
              </w:rPr>
              <w:t>169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2638FB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08E1F59">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755836E">
            <w:pPr>
              <w:widowControl/>
              <w:textAlignment w:val="center"/>
              <w:rPr>
                <w:rFonts w:hint="eastAsia" w:ascii="宋体" w:hAnsi="宋体" w:cs="宋体"/>
                <w:sz w:val="24"/>
              </w:rPr>
            </w:pPr>
            <w:r>
              <w:rPr>
                <w:rFonts w:hint="eastAsia" w:ascii="宋体" w:hAnsi="宋体" w:cs="宋体"/>
                <w:kern w:val="0"/>
                <w:sz w:val="24"/>
                <w:lang w:bidi="ar"/>
              </w:rPr>
              <w:t xml:space="preserve">    系统构建了完整的耳聋基因筛查申请单状态管理体系，为基层单位、筛查分中心和筛查中心提供分角色、分状态的精细化数据管理功能。各机构均可通过专属功能页面对权限范围内的各类申请单记录进行查看和Excel导出操作。</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基层单位可管理未上报、已上报、未被接收和退回的申请单；筛查分中心可处理未接收、未上报、已上报和退回的申请单；筛查中心则负责未接收、已送检和退回的申请单。</w:t>
            </w:r>
            <w:r>
              <w:rPr>
                <w:rFonts w:hint="eastAsia" w:ascii="宋体" w:hAnsi="宋体" w:cs="宋体"/>
                <w:kern w:val="0"/>
                <w:sz w:val="24"/>
                <w:lang w:bidi="ar"/>
              </w:rPr>
              <w:br w:type="textWrapping"/>
            </w:r>
            <w:r>
              <w:rPr>
                <w:rFonts w:hint="eastAsia" w:ascii="宋体" w:hAnsi="宋体" w:cs="宋体"/>
                <w:kern w:val="0"/>
                <w:sz w:val="24"/>
                <w:lang w:bidi="ar"/>
              </w:rPr>
              <w:t xml:space="preserve">   系统确保每个状态类型的申请单都支持专门的查询页面和导出功能，实现了多级机构间申请单流转的全过程可视化跟踪与数据闭环管理。</w:t>
            </w:r>
          </w:p>
        </w:tc>
      </w:tr>
      <w:tr w14:paraId="4B31E922">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17738B2">
            <w:pPr>
              <w:widowControl/>
              <w:jc w:val="center"/>
              <w:textAlignment w:val="center"/>
              <w:rPr>
                <w:rFonts w:hint="eastAsia" w:ascii="宋体" w:hAnsi="宋体" w:cs="宋体"/>
                <w:sz w:val="24"/>
              </w:rPr>
            </w:pPr>
            <w:r>
              <w:rPr>
                <w:rFonts w:hint="eastAsia" w:ascii="宋体" w:hAnsi="宋体" w:cs="宋体"/>
                <w:kern w:val="0"/>
                <w:sz w:val="24"/>
                <w:lang w:bidi="ar"/>
              </w:rPr>
              <w:t>170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5C6D77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84498B0">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AA29B6F">
            <w:pPr>
              <w:widowControl/>
              <w:textAlignment w:val="center"/>
              <w:rPr>
                <w:rFonts w:hint="eastAsia" w:ascii="宋体" w:hAnsi="宋体" w:cs="宋体"/>
                <w:sz w:val="24"/>
              </w:rPr>
            </w:pPr>
            <w:r>
              <w:rPr>
                <w:rFonts w:hint="eastAsia" w:ascii="宋体" w:hAnsi="宋体" w:cs="宋体"/>
                <w:kern w:val="0"/>
                <w:sz w:val="24"/>
                <w:lang w:bidi="ar"/>
              </w:rPr>
              <w:t xml:space="preserve">    系统实现了与检测实验室的完整数据闭环管理，支持按照标准接口规范导出耳聋基因筛查申请单至检测机构；在实验完成后，系统可自动接收并上传检测机构返回的筛查结果，并支持对病例进行确诊结果标注。</w:t>
            </w:r>
            <w:r>
              <w:rPr>
                <w:rFonts w:hint="eastAsia" w:ascii="宋体" w:hAnsi="宋体" w:cs="宋体"/>
                <w:kern w:val="0"/>
                <w:sz w:val="24"/>
                <w:lang w:bidi="ar"/>
              </w:rPr>
              <w:br w:type="textWrapping"/>
            </w:r>
            <w:r>
              <w:rPr>
                <w:rFonts w:hint="eastAsia" w:ascii="宋体" w:hAnsi="宋体" w:cs="宋体"/>
                <w:kern w:val="0"/>
                <w:sz w:val="24"/>
                <w:lang w:bidi="ar"/>
              </w:rPr>
              <w:t xml:space="preserve">   提供诊断结果的查询和Excel导出功能，确保从样本送检到确诊跟踪的全流程数字化管理。</w:t>
            </w:r>
          </w:p>
        </w:tc>
      </w:tr>
      <w:tr w14:paraId="729D44D4">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4C9A846">
            <w:pPr>
              <w:widowControl/>
              <w:jc w:val="center"/>
              <w:textAlignment w:val="center"/>
              <w:rPr>
                <w:rFonts w:hint="eastAsia" w:ascii="宋体" w:hAnsi="宋体" w:cs="宋体"/>
                <w:sz w:val="24"/>
              </w:rPr>
            </w:pPr>
            <w:r>
              <w:rPr>
                <w:rFonts w:hint="eastAsia" w:ascii="宋体" w:hAnsi="宋体" w:cs="宋体"/>
                <w:kern w:val="0"/>
                <w:sz w:val="24"/>
                <w:lang w:bidi="ar"/>
              </w:rPr>
              <w:t>171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74966F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600BE6B">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5595E5C9">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系统为基层单位、筛查分中心和筛查中心提供统一的耳聋基因筛查结果管理平台，各机构可通过专属功能页面查看权限范围内的筛查结果。</w:t>
            </w:r>
            <w:r>
              <w:rPr>
                <w:rFonts w:hint="eastAsia" w:ascii="宋体" w:hAnsi="宋体" w:cs="宋体"/>
                <w:kern w:val="0"/>
                <w:sz w:val="24"/>
                <w:lang w:bidi="ar"/>
              </w:rPr>
              <w:br w:type="textWrapping"/>
            </w:r>
            <w:r>
              <w:rPr>
                <w:rFonts w:hint="eastAsia" w:ascii="宋体" w:hAnsi="宋体" w:cs="宋体"/>
                <w:kern w:val="0"/>
                <w:sz w:val="24"/>
                <w:lang w:bidi="ar"/>
              </w:rPr>
              <w:t xml:space="preserve">    筛查中心还具备筛查结果的删除权限，实现了筛查结果在各级机构间的安全共享与规范管理。</w:t>
            </w:r>
          </w:p>
        </w:tc>
      </w:tr>
      <w:tr w14:paraId="098DBC25">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666800A">
            <w:pPr>
              <w:widowControl/>
              <w:jc w:val="center"/>
              <w:textAlignment w:val="center"/>
              <w:rPr>
                <w:rFonts w:hint="eastAsia" w:ascii="宋体" w:hAnsi="宋体" w:cs="宋体"/>
                <w:sz w:val="24"/>
              </w:rPr>
            </w:pPr>
            <w:r>
              <w:rPr>
                <w:rFonts w:hint="eastAsia" w:ascii="宋体" w:hAnsi="宋体" w:cs="宋体"/>
                <w:kern w:val="0"/>
                <w:sz w:val="24"/>
                <w:lang w:bidi="ar"/>
              </w:rPr>
              <w:t>172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54ABF6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9D75A2">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66B6B013">
            <w:pPr>
              <w:widowControl/>
              <w:textAlignment w:val="center"/>
              <w:rPr>
                <w:rFonts w:hint="eastAsia" w:ascii="宋体" w:hAnsi="宋体" w:cs="宋体"/>
                <w:sz w:val="24"/>
              </w:rPr>
            </w:pPr>
            <w:r>
              <w:rPr>
                <w:rFonts w:hint="eastAsia" w:ascii="宋体" w:hAnsi="宋体" w:cs="宋体"/>
                <w:kern w:val="0"/>
                <w:sz w:val="24"/>
                <w:lang w:bidi="ar"/>
              </w:rPr>
              <w:t xml:space="preserve">    系统提供申请单全流程动态跟踪功能，用户可通过专用跟踪页面实时掌握耳聋基因筛查标本在送检、接收、检测及结果返回等各环节的状态，实现对标本流转全过程的闭环管理与可视化监控。</w:t>
            </w:r>
          </w:p>
        </w:tc>
      </w:tr>
      <w:tr w14:paraId="738DC02F">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D7798DB">
            <w:pPr>
              <w:widowControl/>
              <w:jc w:val="center"/>
              <w:textAlignment w:val="center"/>
              <w:rPr>
                <w:rFonts w:hint="eastAsia" w:ascii="宋体" w:hAnsi="宋体" w:cs="宋体"/>
                <w:sz w:val="24"/>
              </w:rPr>
            </w:pPr>
            <w:r>
              <w:rPr>
                <w:rFonts w:hint="eastAsia" w:ascii="宋体" w:hAnsi="宋体" w:cs="宋体"/>
                <w:kern w:val="0"/>
                <w:sz w:val="24"/>
                <w:lang w:bidi="ar"/>
              </w:rPr>
              <w:t>173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02FD2F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BE0E0D">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72DCFE8">
            <w:pPr>
              <w:widowControl/>
              <w:textAlignment w:val="center"/>
              <w:rPr>
                <w:rFonts w:hint="eastAsia" w:ascii="宋体" w:hAnsi="宋体" w:cs="宋体"/>
                <w:sz w:val="24"/>
              </w:rPr>
            </w:pPr>
            <w:r>
              <w:rPr>
                <w:rFonts w:hint="eastAsia" w:ascii="宋体" w:hAnsi="宋体" w:cs="宋体"/>
                <w:kern w:val="0"/>
                <w:sz w:val="24"/>
                <w:lang w:bidi="ar"/>
              </w:rPr>
              <w:t xml:space="preserve">    系统提供完整的随访信息管理功能，用户可通过随访功能页面进行随访记录的维护与管理，实现耳聋基因筛查随访工作的规范化执行</w:t>
            </w:r>
          </w:p>
        </w:tc>
      </w:tr>
      <w:tr w14:paraId="150441DA">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012C12A">
            <w:pPr>
              <w:widowControl/>
              <w:jc w:val="center"/>
              <w:textAlignment w:val="center"/>
              <w:rPr>
                <w:rFonts w:hint="eastAsia" w:ascii="宋体" w:hAnsi="宋体" w:cs="宋体"/>
                <w:sz w:val="24"/>
              </w:rPr>
            </w:pPr>
            <w:r>
              <w:rPr>
                <w:rFonts w:hint="eastAsia" w:ascii="宋体" w:hAnsi="宋体" w:cs="宋体"/>
                <w:kern w:val="0"/>
                <w:sz w:val="24"/>
                <w:lang w:bidi="ar"/>
              </w:rPr>
              <w:t>174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A8925E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A80BB61">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47A1609D">
            <w:pPr>
              <w:widowControl/>
              <w:textAlignment w:val="center"/>
              <w:rPr>
                <w:rFonts w:hint="eastAsia" w:ascii="宋体" w:hAnsi="宋体" w:cs="宋体"/>
                <w:sz w:val="24"/>
              </w:rPr>
            </w:pPr>
            <w:r>
              <w:rPr>
                <w:rFonts w:hint="eastAsia" w:ascii="宋体" w:hAnsi="宋体" w:cs="宋体"/>
                <w:kern w:val="0"/>
                <w:sz w:val="24"/>
                <w:lang w:bidi="ar"/>
              </w:rPr>
              <w:t xml:space="preserve">    系统支持耳聋基因筛查申请登记本和结果登记本的查询与导出功能，实现筛查全流程数据的可追溯管理与统计分析，满足业务监管和数据上报需求。</w:t>
            </w:r>
          </w:p>
        </w:tc>
      </w:tr>
      <w:tr w14:paraId="1761EA2B">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F5F015D">
            <w:pPr>
              <w:widowControl/>
              <w:jc w:val="center"/>
              <w:textAlignment w:val="center"/>
              <w:rPr>
                <w:rFonts w:hint="eastAsia" w:ascii="宋体" w:hAnsi="宋体" w:cs="宋体"/>
                <w:sz w:val="24"/>
              </w:rPr>
            </w:pPr>
            <w:r>
              <w:rPr>
                <w:rFonts w:hint="eastAsia" w:ascii="宋体" w:hAnsi="宋体" w:cs="宋体"/>
                <w:kern w:val="0"/>
                <w:sz w:val="24"/>
                <w:lang w:bidi="ar"/>
              </w:rPr>
              <w:t>175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AC43D5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571929D">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6112555E">
            <w:pPr>
              <w:widowControl/>
              <w:textAlignment w:val="center"/>
              <w:rPr>
                <w:rFonts w:hint="eastAsia" w:ascii="宋体" w:hAnsi="宋体" w:cs="宋体"/>
                <w:sz w:val="24"/>
              </w:rPr>
            </w:pPr>
            <w:r>
              <w:rPr>
                <w:rFonts w:hint="eastAsia" w:ascii="宋体" w:hAnsi="宋体" w:cs="宋体"/>
                <w:kern w:val="0"/>
                <w:sz w:val="24"/>
                <w:lang w:bidi="ar"/>
              </w:rPr>
              <w:t xml:space="preserve">    系统提供全面的耳聋基因筛查统计分析功能，支持对筛查结果、工作量及费用等关键指标进行多维度统计分析，所有分析结果均可导出，为业务管理和决策提供数据支撑。</w:t>
            </w:r>
          </w:p>
        </w:tc>
      </w:tr>
      <w:tr w14:paraId="279222CC">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2612021">
            <w:pPr>
              <w:widowControl/>
              <w:jc w:val="center"/>
              <w:textAlignment w:val="center"/>
              <w:rPr>
                <w:rFonts w:hint="eastAsia" w:ascii="宋体" w:hAnsi="宋体" w:cs="宋体"/>
                <w:sz w:val="24"/>
              </w:rPr>
            </w:pPr>
            <w:r>
              <w:rPr>
                <w:rFonts w:hint="eastAsia" w:ascii="宋体" w:hAnsi="宋体" w:cs="宋体"/>
                <w:kern w:val="0"/>
                <w:sz w:val="24"/>
                <w:lang w:bidi="ar"/>
              </w:rPr>
              <w:t>176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31A67C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0C3CAC">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1B80643C">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系统已开通微信端耳聋基因筛查结果查询服务，孕产妇可通过官方微信公众号或指定微信渠道，凭有效身份信息实时查询个人筛查结果报告。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046137F3">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C4DAD26">
            <w:pPr>
              <w:widowControl/>
              <w:jc w:val="center"/>
              <w:textAlignment w:val="center"/>
              <w:rPr>
                <w:rFonts w:hint="eastAsia" w:ascii="宋体" w:hAnsi="宋体" w:cs="宋体"/>
                <w:sz w:val="24"/>
              </w:rPr>
            </w:pPr>
            <w:r>
              <w:rPr>
                <w:rFonts w:hint="eastAsia" w:ascii="宋体" w:hAnsi="宋体" w:cs="宋体"/>
                <w:kern w:val="0"/>
                <w:sz w:val="24"/>
                <w:lang w:bidi="ar"/>
              </w:rPr>
              <w:t>177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AF857C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44B75DB">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3DF53E3B">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系统为基层单位、筛查分中心和筛查中心提供统一的报告单打印功能，各机构均可通过专用打印页面生成标准化耳聋基因筛查报告单，满足不同层级机构的业务输出需求。</w:t>
            </w:r>
          </w:p>
        </w:tc>
      </w:tr>
      <w:tr w14:paraId="331FE2F8">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0AC28F1">
            <w:pPr>
              <w:widowControl/>
              <w:jc w:val="center"/>
              <w:textAlignment w:val="center"/>
              <w:rPr>
                <w:rFonts w:hint="eastAsia" w:ascii="宋体" w:hAnsi="宋体" w:cs="宋体"/>
                <w:sz w:val="24"/>
              </w:rPr>
            </w:pPr>
            <w:r>
              <w:rPr>
                <w:rFonts w:hint="eastAsia" w:ascii="宋体" w:hAnsi="宋体" w:cs="宋体"/>
                <w:kern w:val="0"/>
                <w:sz w:val="24"/>
                <w:lang w:bidi="ar"/>
              </w:rPr>
              <w:t>178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AB59D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3A2D1CB">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28572B2B">
            <w:pPr>
              <w:widowControl/>
              <w:textAlignment w:val="center"/>
              <w:rPr>
                <w:rFonts w:hint="eastAsia" w:ascii="宋体" w:hAnsi="宋体" w:cs="宋体"/>
                <w:sz w:val="24"/>
              </w:rPr>
            </w:pPr>
            <w:r>
              <w:rPr>
                <w:rFonts w:hint="eastAsia" w:ascii="宋体" w:hAnsi="宋体" w:cs="宋体"/>
                <w:kern w:val="0"/>
                <w:sz w:val="24"/>
                <w:lang w:bidi="ar"/>
              </w:rPr>
              <w:t xml:space="preserve">    系统实现了与专业检测系统的数据对接，支持将耳聋基因筛查申请信息上传至耳聋基因分析系统，并能够从风险分析系统自动获取筛查结果，确保从样本送检到结果返回的全流程自动化处理。</w:t>
            </w:r>
          </w:p>
        </w:tc>
      </w:tr>
      <w:tr w14:paraId="2C58899B">
        <w:tblPrEx>
          <w:tblCellMar>
            <w:top w:w="0" w:type="dxa"/>
            <w:left w:w="108" w:type="dxa"/>
            <w:bottom w:w="0" w:type="dxa"/>
            <w:right w:w="108" w:type="dxa"/>
          </w:tblCellMar>
        </w:tblPrEx>
        <w:trPr>
          <w:trHeight w:val="724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9530F78">
            <w:pPr>
              <w:widowControl/>
              <w:jc w:val="center"/>
              <w:textAlignment w:val="center"/>
              <w:rPr>
                <w:rFonts w:hint="eastAsia" w:ascii="宋体" w:hAnsi="宋体" w:cs="宋体"/>
                <w:sz w:val="24"/>
              </w:rPr>
            </w:pPr>
            <w:r>
              <w:rPr>
                <w:rFonts w:hint="eastAsia" w:ascii="宋体" w:hAnsi="宋体" w:cs="宋体"/>
                <w:kern w:val="0"/>
                <w:sz w:val="24"/>
                <w:lang w:bidi="ar"/>
              </w:rPr>
              <w:t>180</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2856475">
            <w:pPr>
              <w:widowControl/>
              <w:jc w:val="center"/>
              <w:textAlignment w:val="center"/>
              <w:rPr>
                <w:rFonts w:hint="eastAsia" w:ascii="宋体" w:hAnsi="宋体" w:cs="宋体"/>
                <w:sz w:val="24"/>
              </w:rPr>
            </w:pPr>
            <w:r>
              <w:rPr>
                <w:rFonts w:hint="eastAsia" w:ascii="宋体" w:hAnsi="宋体" w:cs="宋体"/>
                <w:kern w:val="0"/>
                <w:sz w:val="24"/>
                <w:lang w:bidi="ar"/>
              </w:rPr>
              <w:t>孕期心理评估</w:t>
            </w:r>
          </w:p>
        </w:tc>
        <w:tc>
          <w:tcPr>
            <w:tcW w:w="1313" w:type="dxa"/>
            <w:tcBorders>
              <w:top w:val="single" w:color="000000" w:sz="4" w:space="0"/>
              <w:left w:val="single" w:color="000000" w:sz="4" w:space="0"/>
              <w:bottom w:val="single" w:color="000000" w:sz="4" w:space="0"/>
              <w:right w:val="single" w:color="000000" w:sz="4" w:space="0"/>
            </w:tcBorders>
            <w:vAlign w:val="center"/>
          </w:tcPr>
          <w:p w14:paraId="426BABA1">
            <w:pPr>
              <w:widowControl/>
              <w:jc w:val="center"/>
              <w:textAlignment w:val="center"/>
              <w:rPr>
                <w:rFonts w:hint="eastAsia" w:ascii="宋体" w:hAnsi="宋体" w:cs="宋体"/>
                <w:sz w:val="24"/>
              </w:rPr>
            </w:pPr>
            <w:r>
              <w:rPr>
                <w:rFonts w:hint="eastAsia" w:ascii="宋体" w:hAnsi="宋体" w:cs="宋体"/>
                <w:kern w:val="0"/>
                <w:sz w:val="24"/>
                <w:lang w:bidi="ar"/>
              </w:rPr>
              <w:t>EPDS产后抑郁评估</w:t>
            </w:r>
          </w:p>
        </w:tc>
        <w:tc>
          <w:tcPr>
            <w:tcW w:w="9687" w:type="dxa"/>
            <w:tcBorders>
              <w:top w:val="single" w:color="000000" w:sz="4" w:space="0"/>
              <w:left w:val="single" w:color="000000" w:sz="4" w:space="0"/>
              <w:bottom w:val="single" w:color="000000" w:sz="4" w:space="0"/>
              <w:right w:val="single" w:color="000000" w:sz="4" w:space="0"/>
            </w:tcBorders>
            <w:vAlign w:val="center"/>
          </w:tcPr>
          <w:p w14:paraId="37A41223">
            <w:pPr>
              <w:widowControl/>
              <w:textAlignment w:val="center"/>
              <w:rPr>
                <w:rFonts w:hint="eastAsia" w:ascii="宋体" w:hAnsi="宋体" w:cs="宋体"/>
                <w:sz w:val="24"/>
              </w:rPr>
            </w:pPr>
            <w:r>
              <w:rPr>
                <w:rFonts w:hint="eastAsia" w:ascii="宋体" w:hAnsi="宋体" w:cs="宋体"/>
                <w:kern w:val="0"/>
                <w:sz w:val="24"/>
                <w:lang w:bidi="ar"/>
              </w:rPr>
              <w:t xml:space="preserve">    EPDS 产后抑郁评估功能围绕全场景评测、结果管理与便捷操作展开，覆盖题目维护、多端评测、自动计算、报告输出及结果同步。</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产后抑郁评测题目进行更新维护；医生可在电脑端为服务对象评测，服务对象也能在手机端自助评测，手机端评测结果会同步至系统供医生查看。系统能根据所选题目选项自动计算评分，并出具辅助诊断意见，同时支持报告单打印；评测后，结果列表可查看、可删除；</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 EPDS 产后抑郁评估 tab 页面作为专属操作入口，全方位满足产后抑郁评估的规范化、便捷化需求。</w:t>
            </w:r>
          </w:p>
        </w:tc>
      </w:tr>
      <w:tr w14:paraId="6049B29F">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BA3BE52">
            <w:pPr>
              <w:widowControl/>
              <w:jc w:val="center"/>
              <w:textAlignment w:val="center"/>
              <w:rPr>
                <w:rFonts w:hint="eastAsia" w:ascii="宋体" w:hAnsi="宋体" w:cs="宋体"/>
                <w:sz w:val="24"/>
              </w:rPr>
            </w:pPr>
            <w:r>
              <w:rPr>
                <w:rFonts w:hint="eastAsia" w:ascii="宋体" w:hAnsi="宋体" w:cs="宋体"/>
                <w:kern w:val="0"/>
                <w:sz w:val="24"/>
                <w:lang w:bidi="ar"/>
              </w:rPr>
              <w:t>181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3C946C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BAD04DA">
            <w:pPr>
              <w:widowControl/>
              <w:jc w:val="center"/>
              <w:textAlignment w:val="center"/>
              <w:rPr>
                <w:rFonts w:hint="eastAsia" w:ascii="宋体" w:hAnsi="宋体" w:cs="宋体"/>
                <w:sz w:val="24"/>
              </w:rPr>
            </w:pPr>
            <w:r>
              <w:rPr>
                <w:rFonts w:hint="eastAsia" w:ascii="宋体" w:hAnsi="宋体" w:cs="宋体"/>
                <w:kern w:val="0"/>
                <w:sz w:val="24"/>
                <w:lang w:bidi="ar"/>
              </w:rPr>
              <w:t>抑郁自评</w:t>
            </w:r>
          </w:p>
        </w:tc>
        <w:tc>
          <w:tcPr>
            <w:tcW w:w="9687" w:type="dxa"/>
            <w:tcBorders>
              <w:top w:val="single" w:color="000000" w:sz="4" w:space="0"/>
              <w:left w:val="single" w:color="000000" w:sz="4" w:space="0"/>
              <w:bottom w:val="single" w:color="000000" w:sz="4" w:space="0"/>
              <w:right w:val="single" w:color="000000" w:sz="4" w:space="0"/>
            </w:tcBorders>
            <w:vAlign w:val="center"/>
          </w:tcPr>
          <w:p w14:paraId="47A000C0">
            <w:pPr>
              <w:widowControl/>
              <w:textAlignment w:val="center"/>
              <w:rPr>
                <w:rFonts w:hint="eastAsia" w:ascii="宋体" w:hAnsi="宋体" w:cs="宋体"/>
                <w:sz w:val="24"/>
              </w:rPr>
            </w:pPr>
            <w:r>
              <w:rPr>
                <w:rFonts w:hint="eastAsia" w:ascii="宋体" w:hAnsi="宋体" w:cs="宋体"/>
                <w:kern w:val="0"/>
                <w:sz w:val="24"/>
                <w:lang w:bidi="ar"/>
              </w:rPr>
              <w:t xml:space="preserve">    抑郁自评功能围绕全场景评测、结果管理与便捷操作展开，覆盖题目维护、多端评测、自动计算、报告输出及结果同步。</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抑郁自评题目进行更新维护；医生可在电脑端为服务对象完成自评，服务对象也能在手机端自助进行自评，且手机端自评结果会同步至系统供医生查看。系统能根据所选题目选项自动计算评分，并出具辅助诊断意见，同时支持报告单打印；评测完成后，结果列表可查看、可删除；</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此外，还支持打开抑郁自评 tab 页面作为专属操作入口，全方位满足抑郁自评的规范化与便捷化需求。</w:t>
            </w:r>
          </w:p>
        </w:tc>
      </w:tr>
      <w:tr w14:paraId="37CFFA09">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65654AF">
            <w:pPr>
              <w:widowControl/>
              <w:jc w:val="center"/>
              <w:textAlignment w:val="center"/>
              <w:rPr>
                <w:rFonts w:hint="eastAsia" w:ascii="宋体" w:hAnsi="宋体" w:cs="宋体"/>
                <w:sz w:val="24"/>
              </w:rPr>
            </w:pPr>
            <w:r>
              <w:rPr>
                <w:rFonts w:hint="eastAsia" w:ascii="宋体" w:hAnsi="宋体" w:cs="宋体"/>
                <w:kern w:val="0"/>
                <w:sz w:val="24"/>
                <w:lang w:bidi="ar"/>
              </w:rPr>
              <w:t>182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8FB65A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F77E50E">
            <w:pPr>
              <w:widowControl/>
              <w:jc w:val="center"/>
              <w:textAlignment w:val="center"/>
              <w:rPr>
                <w:rFonts w:hint="eastAsia" w:ascii="宋体" w:hAnsi="宋体" w:cs="宋体"/>
                <w:sz w:val="24"/>
              </w:rPr>
            </w:pPr>
            <w:r>
              <w:rPr>
                <w:rFonts w:hint="eastAsia" w:ascii="宋体" w:hAnsi="宋体" w:cs="宋体"/>
                <w:kern w:val="0"/>
                <w:sz w:val="24"/>
                <w:lang w:bidi="ar"/>
              </w:rPr>
              <w:t>焦虑自评</w:t>
            </w:r>
          </w:p>
        </w:tc>
        <w:tc>
          <w:tcPr>
            <w:tcW w:w="9687" w:type="dxa"/>
            <w:tcBorders>
              <w:top w:val="single" w:color="000000" w:sz="4" w:space="0"/>
              <w:left w:val="single" w:color="000000" w:sz="4" w:space="0"/>
              <w:bottom w:val="single" w:color="000000" w:sz="4" w:space="0"/>
              <w:right w:val="single" w:color="000000" w:sz="4" w:space="0"/>
            </w:tcBorders>
            <w:vAlign w:val="center"/>
          </w:tcPr>
          <w:p w14:paraId="559B09B3">
            <w:pPr>
              <w:widowControl/>
              <w:textAlignment w:val="center"/>
              <w:rPr>
                <w:rFonts w:hint="eastAsia" w:ascii="宋体" w:hAnsi="宋体" w:cs="宋体"/>
                <w:sz w:val="24"/>
              </w:rPr>
            </w:pPr>
            <w:r>
              <w:rPr>
                <w:rFonts w:hint="eastAsia" w:ascii="宋体" w:hAnsi="宋体" w:cs="宋体"/>
                <w:kern w:val="0"/>
                <w:sz w:val="24"/>
                <w:lang w:bidi="ar"/>
              </w:rPr>
              <w:t xml:space="preserve">    焦虑自评功能围绕全场景评测、结果管理与便捷操作展开，覆盖题目维护、多端评测、自动计算、报告输出及结果同步。</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焦虑自评题目进行更新维护；医生可在电脑端为服务对象完成自评，服务对象也能在手机端自助进行焦虑自评，且手机端自评结果会同步至系统供医生查看。系统能根据所选题目选项自动计算评分，并出具辅助诊断意见，同时支持报告单打印；评测完成后，结果列表可查看、可删除；</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此外，还支持打开焦虑自评 tab 页面作为专属操作入口，全方位满足焦虑自评的规范化与便捷化需求。</w:t>
            </w:r>
          </w:p>
        </w:tc>
      </w:tr>
      <w:tr w14:paraId="54EF4433">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0B7F539">
            <w:pPr>
              <w:widowControl/>
              <w:jc w:val="center"/>
              <w:textAlignment w:val="center"/>
              <w:rPr>
                <w:rFonts w:hint="eastAsia" w:ascii="宋体" w:hAnsi="宋体" w:cs="宋体"/>
                <w:sz w:val="24"/>
              </w:rPr>
            </w:pPr>
            <w:r>
              <w:rPr>
                <w:rFonts w:hint="eastAsia" w:ascii="宋体" w:hAnsi="宋体" w:cs="宋体"/>
                <w:kern w:val="0"/>
                <w:sz w:val="24"/>
                <w:lang w:bidi="ar"/>
              </w:rPr>
              <w:t>183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C47704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BAA8B0B">
            <w:pPr>
              <w:widowControl/>
              <w:jc w:val="center"/>
              <w:textAlignment w:val="center"/>
              <w:rPr>
                <w:rFonts w:hint="eastAsia" w:ascii="宋体" w:hAnsi="宋体" w:cs="宋体"/>
                <w:sz w:val="24"/>
              </w:rPr>
            </w:pPr>
            <w:r>
              <w:rPr>
                <w:rFonts w:hint="eastAsia" w:ascii="宋体" w:hAnsi="宋体" w:cs="宋体"/>
                <w:kern w:val="0"/>
                <w:sz w:val="24"/>
                <w:lang w:bidi="ar"/>
              </w:rPr>
              <w:t>90项目症状筛查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28A4CA3D">
            <w:pPr>
              <w:widowControl/>
              <w:textAlignment w:val="center"/>
              <w:rPr>
                <w:rFonts w:hint="eastAsia" w:ascii="宋体" w:hAnsi="宋体" w:cs="宋体"/>
                <w:sz w:val="24"/>
              </w:rPr>
            </w:pPr>
            <w:r>
              <w:rPr>
                <w:rFonts w:hint="eastAsia" w:ascii="宋体" w:hAnsi="宋体" w:cs="宋体"/>
                <w:kern w:val="0"/>
                <w:sz w:val="24"/>
                <w:lang w:bidi="ar"/>
              </w:rPr>
              <w:t xml:space="preserve">    90 项目症状筛查功能围绕全场景筛查、灵活答题模式与结果管理展开，覆盖题目维护、多端操作、自动计算、报告输出及结果同步。</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 90 项目症状筛查题目进行更新维护，题目作答提供列表模式和翻页模式两种选择，且分别对应专属的 tab 页面入口。医生可在电脑端为服务对象筛查，服务对象也能在手机端自助筛查，手机端筛查结果会同步至系统供医生查看。系统能根据所选题目选项自动计算评分，并出具辅助诊断意见，同时支持报告单打印；</w:t>
            </w:r>
            <w:r>
              <w:rPr>
                <w:rFonts w:hint="eastAsia" w:ascii="宋体" w:hAnsi="宋体" w:cs="宋体"/>
                <w:kern w:val="0"/>
                <w:sz w:val="24"/>
                <w:lang w:bidi="ar"/>
              </w:rPr>
              <w:br w:type="textWrapping"/>
            </w:r>
            <w:r>
              <w:rPr>
                <w:rFonts w:hint="eastAsia" w:ascii="宋体" w:hAnsi="宋体" w:cs="宋体"/>
                <w:kern w:val="0"/>
                <w:sz w:val="24"/>
                <w:lang w:bidi="ar"/>
              </w:rPr>
              <w:t xml:space="preserve">    筛查完成后，结果列表可查看、可删除，全方位满足 90 项目症状筛查的规范化、灵活化与便捷化需求。</w:t>
            </w:r>
          </w:p>
        </w:tc>
      </w:tr>
      <w:tr w14:paraId="79D1B27E">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A1841A6">
            <w:pPr>
              <w:widowControl/>
              <w:jc w:val="center"/>
              <w:textAlignment w:val="center"/>
              <w:rPr>
                <w:rFonts w:hint="eastAsia" w:ascii="宋体" w:hAnsi="宋体" w:cs="宋体"/>
                <w:sz w:val="24"/>
              </w:rPr>
            </w:pPr>
            <w:r>
              <w:rPr>
                <w:rFonts w:hint="eastAsia" w:ascii="宋体" w:hAnsi="宋体" w:cs="宋体"/>
                <w:kern w:val="0"/>
                <w:sz w:val="24"/>
                <w:lang w:bidi="ar"/>
              </w:rPr>
              <w:t>184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F9B777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A41E086">
            <w:pPr>
              <w:widowControl/>
              <w:jc w:val="center"/>
              <w:textAlignment w:val="center"/>
              <w:rPr>
                <w:rFonts w:hint="eastAsia" w:ascii="宋体" w:hAnsi="宋体" w:cs="宋体"/>
                <w:sz w:val="24"/>
              </w:rPr>
            </w:pPr>
            <w:r>
              <w:rPr>
                <w:rFonts w:hint="eastAsia" w:ascii="宋体" w:hAnsi="宋体" w:cs="宋体"/>
                <w:kern w:val="0"/>
                <w:sz w:val="24"/>
                <w:lang w:bidi="ar"/>
              </w:rPr>
              <w:t>PHQ-9抑郁症筛查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2C4F508B">
            <w:pPr>
              <w:widowControl/>
              <w:textAlignment w:val="center"/>
              <w:rPr>
                <w:rFonts w:hint="eastAsia" w:ascii="宋体" w:hAnsi="宋体" w:cs="宋体"/>
                <w:sz w:val="24"/>
              </w:rPr>
            </w:pPr>
            <w:r>
              <w:rPr>
                <w:rFonts w:hint="eastAsia" w:ascii="宋体" w:hAnsi="宋体" w:cs="宋体"/>
                <w:kern w:val="0"/>
                <w:sz w:val="24"/>
                <w:lang w:bidi="ar"/>
              </w:rPr>
              <w:t xml:space="preserve">    PHQ-9 抑郁症筛查功能围绕全场景筛查、结果管理与便捷操作展开，覆盖题目维护、多端筛查、自动计算、报告输出及结果同步。</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 PHQ-9 抑郁症筛查题目进行更新维护；医生可在电脑端为服务对象完成筛查，服务对象也能在手机端自助进行筛查，且手机端筛查结果会同步至系统供医生查看。系统能根据所选题目选项自动计算评分，并出具辅助诊断意见，同时支持报告单打印；筛查完成后，结果列表可查看、可删除；</w:t>
            </w:r>
            <w:r>
              <w:rPr>
                <w:rFonts w:hint="eastAsia" w:ascii="宋体" w:hAnsi="宋体" w:cs="宋体"/>
                <w:kern w:val="0"/>
                <w:sz w:val="24"/>
                <w:lang w:bidi="ar"/>
              </w:rPr>
              <w:br w:type="textWrapping"/>
            </w:r>
            <w:r>
              <w:rPr>
                <w:rFonts w:hint="eastAsia" w:ascii="宋体" w:hAnsi="宋体" w:cs="宋体"/>
                <w:kern w:val="0"/>
                <w:sz w:val="24"/>
                <w:lang w:bidi="ar"/>
              </w:rPr>
              <w:t xml:space="preserve">    此外，还支持打开 PHQ-9 抑郁症筛查 tab 页面作为专属操作入口，全方位满足 PHQ-9 抑郁症筛查的规范化与便捷化需求。</w:t>
            </w:r>
          </w:p>
        </w:tc>
      </w:tr>
      <w:tr w14:paraId="1FF0513E">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CB98F58">
            <w:pPr>
              <w:widowControl/>
              <w:jc w:val="center"/>
              <w:textAlignment w:val="center"/>
              <w:rPr>
                <w:rFonts w:hint="eastAsia" w:ascii="宋体" w:hAnsi="宋体" w:cs="宋体"/>
                <w:sz w:val="24"/>
              </w:rPr>
            </w:pPr>
            <w:r>
              <w:rPr>
                <w:rFonts w:hint="eastAsia" w:ascii="宋体" w:hAnsi="宋体" w:cs="宋体"/>
                <w:kern w:val="0"/>
                <w:sz w:val="24"/>
                <w:lang w:bidi="ar"/>
              </w:rPr>
              <w:t>185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5BD21A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3C1A351">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66A3408D">
            <w:pPr>
              <w:widowControl/>
              <w:textAlignment w:val="center"/>
              <w:rPr>
                <w:rFonts w:hint="eastAsia" w:ascii="宋体" w:hAnsi="宋体" w:cs="宋体"/>
                <w:sz w:val="24"/>
              </w:rPr>
            </w:pPr>
            <w:r>
              <w:rPr>
                <w:rFonts w:hint="eastAsia" w:ascii="宋体" w:hAnsi="宋体" w:cs="宋体"/>
                <w:kern w:val="0"/>
                <w:sz w:val="24"/>
                <w:lang w:bidi="ar"/>
              </w:rPr>
              <w:t xml:space="preserve">    登记本功能围绕各类心理评测记录的管理展开，核心满足多类型登记本的查询与导出需求。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该功能支持对 EPDS 产后抑郁评测、抑郁自评、焦虑自评、90 项目症状筛查、PHQ-9 抑郁筛查这五类登记本进行查询，同时每类登记本均支持导出操作，方便工作人员获取、留存不同心理评测的记录数据，全方位满足心理评测登记本的规范化管理需求。</w:t>
            </w:r>
          </w:p>
        </w:tc>
      </w:tr>
      <w:tr w14:paraId="453FBF20">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1698034">
            <w:pPr>
              <w:widowControl/>
              <w:jc w:val="center"/>
              <w:textAlignment w:val="center"/>
              <w:rPr>
                <w:rFonts w:hint="eastAsia" w:ascii="宋体" w:hAnsi="宋体" w:cs="宋体"/>
                <w:sz w:val="24"/>
              </w:rPr>
            </w:pPr>
            <w:r>
              <w:rPr>
                <w:rFonts w:hint="eastAsia" w:ascii="宋体" w:hAnsi="宋体" w:cs="宋体"/>
                <w:kern w:val="0"/>
                <w:sz w:val="24"/>
                <w:lang w:bidi="ar"/>
              </w:rPr>
              <w:t>186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7682C1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26F9EEE">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6F30FBFB">
            <w:pPr>
              <w:widowControl/>
              <w:textAlignment w:val="center"/>
              <w:rPr>
                <w:rFonts w:hint="eastAsia" w:ascii="宋体" w:hAnsi="宋体" w:cs="宋体"/>
                <w:sz w:val="24"/>
              </w:rPr>
            </w:pPr>
            <w:r>
              <w:rPr>
                <w:rFonts w:hint="eastAsia" w:ascii="宋体" w:hAnsi="宋体" w:cs="宋体"/>
                <w:kern w:val="0"/>
                <w:sz w:val="24"/>
                <w:lang w:bidi="ar"/>
              </w:rPr>
              <w:t xml:space="preserve">    统计分析功能围绕五类心理筛查的量化与结果分类展开，全面覆盖筛查数据的深度分析需求。</w:t>
            </w:r>
            <w:r>
              <w:rPr>
                <w:rFonts w:hint="eastAsia" w:ascii="宋体" w:hAnsi="宋体" w:cs="宋体"/>
                <w:kern w:val="0"/>
                <w:sz w:val="24"/>
                <w:lang w:bidi="ar"/>
              </w:rPr>
              <w:br w:type="textWrapping"/>
            </w:r>
            <w:r>
              <w:rPr>
                <w:rFonts w:hint="eastAsia" w:ascii="宋体" w:hAnsi="宋体" w:cs="宋体"/>
                <w:kern w:val="0"/>
                <w:sz w:val="24"/>
                <w:lang w:bidi="ar"/>
              </w:rPr>
              <w:t xml:space="preserve">    该功能针对 EPDS 产后抑郁筛查、抑郁自评、焦虑自评、90 项目症状筛查、PHQ-9 抑郁症筛查，分别提供两类统计分析：一是对各类筛查的筛查量进行统计分析，掌握整体筛查规模；二是对各类筛查的结果进行分类统计分析，细化结果分布情况，全方位支撑心理筛查工作的数据化复盘与决策参考。</w:t>
            </w:r>
          </w:p>
        </w:tc>
      </w:tr>
      <w:tr w14:paraId="605F2CD3">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993FAAE">
            <w:pPr>
              <w:widowControl/>
              <w:jc w:val="center"/>
              <w:textAlignment w:val="center"/>
              <w:rPr>
                <w:rFonts w:hint="eastAsia" w:ascii="宋体" w:hAnsi="宋体" w:cs="宋体"/>
                <w:sz w:val="24"/>
              </w:rPr>
            </w:pPr>
            <w:r>
              <w:rPr>
                <w:rFonts w:hint="eastAsia" w:ascii="宋体" w:hAnsi="宋体" w:cs="宋体"/>
                <w:kern w:val="0"/>
                <w:sz w:val="24"/>
                <w:lang w:bidi="ar"/>
              </w:rPr>
              <w:t>188</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D04A6B2">
            <w:pPr>
              <w:widowControl/>
              <w:jc w:val="center"/>
              <w:textAlignment w:val="center"/>
              <w:rPr>
                <w:rFonts w:hint="eastAsia" w:ascii="宋体" w:hAnsi="宋体" w:cs="宋体"/>
                <w:sz w:val="24"/>
              </w:rPr>
            </w:pPr>
            <w:r>
              <w:rPr>
                <w:rFonts w:hint="eastAsia" w:ascii="宋体" w:hAnsi="宋体" w:cs="宋体"/>
                <w:kern w:val="0"/>
                <w:sz w:val="24"/>
                <w:lang w:bidi="ar"/>
              </w:rPr>
              <w:t>新生儿串联质谱筛查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367BF16D">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BE9B8B1">
            <w:pPr>
              <w:widowControl/>
              <w:textAlignment w:val="center"/>
              <w:rPr>
                <w:rFonts w:hint="eastAsia" w:ascii="宋体" w:hAnsi="宋体" w:cs="宋体"/>
                <w:sz w:val="24"/>
              </w:rPr>
            </w:pPr>
            <w:r>
              <w:rPr>
                <w:rFonts w:hint="eastAsia" w:ascii="宋体" w:hAnsi="宋体" w:cs="宋体"/>
                <w:kern w:val="0"/>
                <w:sz w:val="24"/>
                <w:lang w:bidi="ar"/>
              </w:rPr>
              <w:t xml:space="preserve">   系统提供完整的新生儿串联质谱筛查档案管理功能，支持档案信息的新建、修改、删除与查看操作，并设有专属管理页面便于用户快速访问。</w:t>
            </w:r>
            <w:r>
              <w:rPr>
                <w:rFonts w:hint="eastAsia" w:ascii="宋体" w:hAnsi="宋体" w:cs="宋体"/>
                <w:kern w:val="0"/>
                <w:sz w:val="24"/>
                <w:lang w:bidi="ar"/>
              </w:rPr>
              <w:br w:type="textWrapping"/>
            </w:r>
            <w:r>
              <w:rPr>
                <w:rFonts w:hint="eastAsia" w:ascii="宋体" w:hAnsi="宋体" w:cs="宋体"/>
                <w:kern w:val="0"/>
                <w:sz w:val="24"/>
                <w:lang w:bidi="ar"/>
              </w:rPr>
              <w:t xml:space="preserve">   系统可实现与“健苗工程”系统的数据对接，自动同步获取新生儿档案信息，有效避免信息重复录入，确保数据一致性与操作效率。</w:t>
            </w:r>
          </w:p>
        </w:tc>
      </w:tr>
      <w:tr w14:paraId="1AE3E776">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E478247">
            <w:pPr>
              <w:widowControl/>
              <w:jc w:val="center"/>
              <w:textAlignment w:val="center"/>
              <w:rPr>
                <w:rFonts w:hint="eastAsia" w:ascii="宋体" w:hAnsi="宋体" w:cs="宋体"/>
                <w:sz w:val="24"/>
              </w:rPr>
            </w:pPr>
            <w:r>
              <w:rPr>
                <w:rFonts w:hint="eastAsia" w:ascii="宋体" w:hAnsi="宋体" w:cs="宋体"/>
                <w:kern w:val="0"/>
                <w:sz w:val="24"/>
                <w:lang w:bidi="ar"/>
              </w:rPr>
              <w:t>189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85DBFA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F8E25B0">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B48975F">
            <w:pPr>
              <w:widowControl/>
              <w:textAlignment w:val="center"/>
              <w:rPr>
                <w:rFonts w:hint="eastAsia" w:ascii="宋体" w:hAnsi="宋体" w:cs="宋体"/>
                <w:sz w:val="24"/>
              </w:rPr>
            </w:pPr>
            <w:r>
              <w:rPr>
                <w:rFonts w:hint="eastAsia" w:ascii="宋体" w:hAnsi="宋体" w:cs="宋体"/>
                <w:kern w:val="0"/>
                <w:sz w:val="24"/>
                <w:lang w:bidi="ar"/>
              </w:rPr>
              <w:t xml:space="preserve">    系统为新生儿串联质谱筛查提供完整的申请单管理功能，支持申请单的录入、修改与删除操作，并设有专用功能页面统一处理筛查申请业务。</w:t>
            </w:r>
            <w:r>
              <w:rPr>
                <w:rFonts w:hint="eastAsia" w:ascii="宋体" w:hAnsi="宋体" w:cs="宋体"/>
                <w:kern w:val="0"/>
                <w:sz w:val="24"/>
                <w:lang w:bidi="ar"/>
              </w:rPr>
              <w:br w:type="textWrapping"/>
            </w:r>
            <w:r>
              <w:rPr>
                <w:rFonts w:hint="eastAsia" w:ascii="宋体" w:hAnsi="宋体" w:cs="宋体"/>
                <w:kern w:val="0"/>
                <w:sz w:val="24"/>
                <w:lang w:bidi="ar"/>
              </w:rPr>
              <w:t xml:space="preserve">    系统提供多维度查询方式，既可按照母亲姓名、采血编号进行精确检索，也可根据筛查分类、血片分类、采血时间范围、采血单位、费用分类等条件进行批量筛选，同时支持多条件组合查询。</w:t>
            </w:r>
            <w:r>
              <w:rPr>
                <w:rFonts w:hint="eastAsia" w:ascii="宋体" w:hAnsi="宋体" w:cs="宋体"/>
                <w:kern w:val="0"/>
                <w:sz w:val="24"/>
                <w:lang w:bidi="ar"/>
              </w:rPr>
              <w:br w:type="textWrapping"/>
            </w:r>
            <w:r>
              <w:rPr>
                <w:rFonts w:hint="eastAsia" w:ascii="宋体" w:hAnsi="宋体" w:cs="宋体"/>
                <w:kern w:val="0"/>
                <w:sz w:val="24"/>
                <w:lang w:bidi="ar"/>
              </w:rPr>
              <w:t xml:space="preserve">   系统还支持知情同意书的打印功能，并可将申请记录导出为Excel格式，便于数据存档与统计分析。</w:t>
            </w:r>
          </w:p>
        </w:tc>
      </w:tr>
      <w:tr w14:paraId="3811FDAD">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336C70">
            <w:pPr>
              <w:widowControl/>
              <w:jc w:val="center"/>
              <w:textAlignment w:val="center"/>
              <w:rPr>
                <w:rFonts w:hint="eastAsia" w:ascii="宋体" w:hAnsi="宋体" w:cs="宋体"/>
                <w:sz w:val="24"/>
              </w:rPr>
            </w:pPr>
            <w:r>
              <w:rPr>
                <w:rFonts w:hint="eastAsia" w:ascii="宋体" w:hAnsi="宋体" w:cs="宋体"/>
                <w:kern w:val="0"/>
                <w:sz w:val="24"/>
                <w:lang w:bidi="ar"/>
              </w:rPr>
              <w:t>190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3D3E4F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303E797">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7D88278">
            <w:pPr>
              <w:widowControl/>
              <w:textAlignment w:val="center"/>
              <w:rPr>
                <w:rFonts w:hint="eastAsia" w:ascii="宋体" w:hAnsi="宋体" w:cs="宋体"/>
                <w:sz w:val="24"/>
              </w:rPr>
            </w:pPr>
            <w:r>
              <w:rPr>
                <w:rFonts w:hint="eastAsia" w:ascii="宋体" w:hAnsi="宋体" w:cs="宋体"/>
                <w:kern w:val="0"/>
                <w:sz w:val="24"/>
                <w:lang w:bidi="ar"/>
              </w:rPr>
              <w:t xml:space="preserve">    系统全面支持新生儿串联质谱筛查申请单的多级流转与送检管理。基层单位可根据实际情况灵活选择送检路径，既可先将申请单上报至筛查分中心进行初审，也可直接送检至筛查中心。</w:t>
            </w:r>
            <w:r>
              <w:rPr>
                <w:rFonts w:hint="eastAsia" w:ascii="宋体" w:hAnsi="宋体" w:cs="宋体"/>
                <w:kern w:val="0"/>
                <w:sz w:val="24"/>
                <w:lang w:bidi="ar"/>
              </w:rPr>
              <w:br w:type="textWrapping"/>
            </w:r>
            <w:r>
              <w:rPr>
                <w:rFonts w:hint="eastAsia" w:ascii="宋体" w:hAnsi="宋体" w:cs="宋体"/>
                <w:kern w:val="0"/>
                <w:sz w:val="24"/>
                <w:lang w:bidi="ar"/>
              </w:rPr>
              <w:t xml:space="preserve">    在申请单未被接收前，系统允许基层单位对已上报或送检的申请单进行撤回操作。对于提交的申请单，筛查分中心与筛查中心均可进行接收或驳回处理；当采血卡被驳回时，基层单位可执行重采操作，实现了对筛查申请流转全过程的闭环管理与质量监控。</w:t>
            </w:r>
          </w:p>
        </w:tc>
      </w:tr>
      <w:tr w14:paraId="2F2FD1F1">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53DA5A6">
            <w:pPr>
              <w:widowControl/>
              <w:jc w:val="center"/>
              <w:textAlignment w:val="center"/>
              <w:rPr>
                <w:rFonts w:hint="eastAsia" w:ascii="宋体" w:hAnsi="宋体" w:cs="宋体"/>
                <w:sz w:val="24"/>
              </w:rPr>
            </w:pPr>
            <w:r>
              <w:rPr>
                <w:rFonts w:hint="eastAsia" w:ascii="宋体" w:hAnsi="宋体" w:cs="宋体"/>
                <w:kern w:val="0"/>
                <w:sz w:val="24"/>
                <w:lang w:bidi="ar"/>
              </w:rPr>
              <w:t>191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90895F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96D00B6">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5C12EDF">
            <w:pPr>
              <w:widowControl/>
              <w:textAlignment w:val="center"/>
              <w:rPr>
                <w:rFonts w:hint="eastAsia" w:ascii="宋体" w:hAnsi="宋体" w:cs="宋体"/>
                <w:sz w:val="24"/>
              </w:rPr>
            </w:pPr>
            <w:r>
              <w:rPr>
                <w:rFonts w:hint="eastAsia" w:ascii="宋体" w:hAnsi="宋体" w:cs="宋体"/>
                <w:kern w:val="0"/>
                <w:sz w:val="24"/>
                <w:lang w:bidi="ar"/>
              </w:rPr>
              <w:t xml:space="preserve">    系统构建了完善的新生儿串联质谱筛查申请单状态管理体系，为基层单位、筛查分中心和筛查中心提供分角色、分状态的精细化数据管理功能。各机构均可通过专属功能页面对权限范围内的各类申请单记录进行查看和Excel导出操作。</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基层单位可管理未上报、已上报、未被接收、退回和待复筛的申请单；筛查分中心可处理未接收、未上报、已上报、退回和待复筛的申请单；筛查中心则负责未接收、已送检、退回和待复筛的申请单。</w:t>
            </w:r>
            <w:r>
              <w:rPr>
                <w:rFonts w:hint="eastAsia" w:ascii="宋体" w:hAnsi="宋体" w:cs="宋体"/>
                <w:kern w:val="0"/>
                <w:sz w:val="24"/>
                <w:lang w:bidi="ar"/>
              </w:rPr>
              <w:br w:type="textWrapping"/>
            </w:r>
            <w:r>
              <w:rPr>
                <w:rFonts w:hint="eastAsia" w:ascii="宋体" w:hAnsi="宋体" w:cs="宋体"/>
                <w:kern w:val="0"/>
                <w:sz w:val="24"/>
                <w:lang w:bidi="ar"/>
              </w:rPr>
              <w:t xml:space="preserve">   系统确保每个状态类型的申请单都支持专门的查询页面和导出功能，实现了多级机构间申请单流转的全过程可视化跟踪与闭环管理。</w:t>
            </w:r>
          </w:p>
        </w:tc>
      </w:tr>
      <w:tr w14:paraId="391095E9">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895D57A">
            <w:pPr>
              <w:widowControl/>
              <w:jc w:val="center"/>
              <w:textAlignment w:val="center"/>
              <w:rPr>
                <w:rFonts w:hint="eastAsia" w:ascii="宋体" w:hAnsi="宋体" w:cs="宋体"/>
                <w:sz w:val="24"/>
              </w:rPr>
            </w:pPr>
            <w:r>
              <w:rPr>
                <w:rFonts w:hint="eastAsia" w:ascii="宋体" w:hAnsi="宋体" w:cs="宋体"/>
                <w:kern w:val="0"/>
                <w:sz w:val="24"/>
                <w:lang w:bidi="ar"/>
              </w:rPr>
              <w:t>192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2B9BB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F026326">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9A27935">
            <w:pPr>
              <w:widowControl/>
              <w:textAlignment w:val="center"/>
              <w:rPr>
                <w:rFonts w:hint="eastAsia" w:ascii="宋体" w:hAnsi="宋体" w:cs="宋体"/>
                <w:sz w:val="24"/>
              </w:rPr>
            </w:pPr>
            <w:r>
              <w:rPr>
                <w:rFonts w:hint="eastAsia" w:ascii="宋体" w:hAnsi="宋体" w:cs="宋体"/>
                <w:kern w:val="0"/>
                <w:sz w:val="24"/>
                <w:lang w:bidi="ar"/>
              </w:rPr>
              <w:t xml:space="preserve">    系统实现了与检测实验室的完整数据对接，支持按照标准接口规范导出新生儿串联质谱筛查申请单至检测机构；</w:t>
            </w:r>
            <w:r>
              <w:rPr>
                <w:rFonts w:hint="eastAsia" w:ascii="宋体" w:hAnsi="宋体" w:cs="宋体"/>
                <w:kern w:val="0"/>
                <w:sz w:val="24"/>
                <w:lang w:bidi="ar"/>
              </w:rPr>
              <w:br w:type="textWrapping"/>
            </w:r>
            <w:r>
              <w:rPr>
                <w:rFonts w:hint="eastAsia" w:ascii="宋体" w:hAnsi="宋体" w:cs="宋体"/>
                <w:kern w:val="0"/>
                <w:sz w:val="24"/>
                <w:lang w:bidi="ar"/>
              </w:rPr>
              <w:t xml:space="preserve">    实验完成后，系统可自动接收并上传检测机构返回的筛查结果，形成从样本送检到结果返回的全流程数字化闭环管理。</w:t>
            </w:r>
          </w:p>
        </w:tc>
      </w:tr>
      <w:tr w14:paraId="6E5A46E5">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C53D333">
            <w:pPr>
              <w:widowControl/>
              <w:jc w:val="center"/>
              <w:textAlignment w:val="center"/>
              <w:rPr>
                <w:rFonts w:hint="eastAsia" w:ascii="宋体" w:hAnsi="宋体" w:cs="宋体"/>
                <w:sz w:val="24"/>
              </w:rPr>
            </w:pPr>
            <w:r>
              <w:rPr>
                <w:rFonts w:hint="eastAsia" w:ascii="宋体" w:hAnsi="宋体" w:cs="宋体"/>
                <w:kern w:val="0"/>
                <w:sz w:val="24"/>
                <w:lang w:bidi="ar"/>
              </w:rPr>
              <w:t>193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6DA374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C8759E9">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2F91258C">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系统为基层单位、筛查分中心和筛查中心提供统一的新生儿串联质谱筛查结果管理平台，各机构可通过专属功能页面查看权限范围内的筛查结果，并支持将结果数据导出为Excel文件。</w:t>
            </w:r>
            <w:r>
              <w:rPr>
                <w:rFonts w:hint="eastAsia" w:ascii="宋体" w:hAnsi="宋体" w:cs="宋体"/>
                <w:kern w:val="0"/>
                <w:sz w:val="24"/>
                <w:lang w:bidi="ar"/>
              </w:rPr>
              <w:br w:type="textWrapping"/>
            </w:r>
            <w:r>
              <w:rPr>
                <w:rFonts w:hint="eastAsia" w:ascii="宋体" w:hAnsi="宋体" w:cs="宋体"/>
                <w:kern w:val="0"/>
                <w:sz w:val="24"/>
                <w:lang w:bidi="ar"/>
              </w:rPr>
              <w:t xml:space="preserve">    筛查中心还具备筛查结果的删除权限，实现了筛查结果在各级机构间的安全共享与规范管理。</w:t>
            </w:r>
          </w:p>
        </w:tc>
      </w:tr>
      <w:tr w14:paraId="31C4BEA1">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85EB3A2">
            <w:pPr>
              <w:widowControl/>
              <w:jc w:val="center"/>
              <w:textAlignment w:val="center"/>
              <w:rPr>
                <w:rFonts w:hint="eastAsia" w:ascii="宋体" w:hAnsi="宋体" w:cs="宋体"/>
                <w:sz w:val="24"/>
              </w:rPr>
            </w:pPr>
            <w:r>
              <w:rPr>
                <w:rFonts w:hint="eastAsia" w:ascii="宋体" w:hAnsi="宋体" w:cs="宋体"/>
                <w:kern w:val="0"/>
                <w:sz w:val="24"/>
                <w:lang w:bidi="ar"/>
              </w:rPr>
              <w:t>194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41E0BD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FB83316">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288C8486">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申请单动态跟踪功能，支持各机构通过专用跟踪页面实时掌握新生儿串联质谱筛查标本在送检、接收、检测及结果返回等各环节的状态，实现对标本流转全过程的闭环管理与可视化监控。</w:t>
            </w:r>
          </w:p>
        </w:tc>
      </w:tr>
      <w:tr w14:paraId="4B0A25F3">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3D1F7EF">
            <w:pPr>
              <w:widowControl/>
              <w:jc w:val="center"/>
              <w:textAlignment w:val="center"/>
              <w:rPr>
                <w:rFonts w:hint="eastAsia" w:ascii="宋体" w:hAnsi="宋体" w:cs="宋体"/>
                <w:sz w:val="24"/>
              </w:rPr>
            </w:pPr>
            <w:r>
              <w:rPr>
                <w:rFonts w:hint="eastAsia" w:ascii="宋体" w:hAnsi="宋体" w:cs="宋体"/>
                <w:kern w:val="0"/>
                <w:sz w:val="24"/>
                <w:lang w:bidi="ar"/>
              </w:rPr>
              <w:t>195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92176A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3D27F12">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D61C689">
            <w:pPr>
              <w:widowControl/>
              <w:textAlignment w:val="center"/>
              <w:rPr>
                <w:rFonts w:hint="eastAsia" w:ascii="宋体" w:hAnsi="宋体" w:cs="宋体"/>
                <w:sz w:val="24"/>
              </w:rPr>
            </w:pPr>
            <w:r>
              <w:rPr>
                <w:rFonts w:hint="eastAsia" w:ascii="宋体" w:hAnsi="宋体" w:cs="宋体"/>
                <w:kern w:val="0"/>
                <w:sz w:val="24"/>
                <w:lang w:bidi="ar"/>
              </w:rPr>
              <w:t xml:space="preserve">    系统提供全面的随访信息管理功能，支持对新生儿串联质谱筛查的随访记录进行新增、修改、删除操作，并支持多次随访记录的连续录入。</w:t>
            </w:r>
            <w:r>
              <w:rPr>
                <w:rFonts w:hint="eastAsia" w:ascii="宋体" w:hAnsi="宋体" w:cs="宋体"/>
                <w:kern w:val="0"/>
                <w:sz w:val="24"/>
                <w:lang w:bidi="ar"/>
              </w:rPr>
              <w:br w:type="textWrapping"/>
            </w:r>
            <w:r>
              <w:rPr>
                <w:rFonts w:hint="eastAsia" w:ascii="宋体" w:hAnsi="宋体" w:cs="宋体"/>
                <w:kern w:val="0"/>
                <w:sz w:val="24"/>
                <w:lang w:bidi="ar"/>
              </w:rPr>
              <w:t xml:space="preserve">    用户可通过随访功能页面便捷地开展随访信息维护工作，实现筛查阳性病例的规范化随访管理。</w:t>
            </w:r>
          </w:p>
        </w:tc>
      </w:tr>
      <w:tr w14:paraId="624CE872">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F5EAD3F">
            <w:pPr>
              <w:widowControl/>
              <w:jc w:val="center"/>
              <w:textAlignment w:val="center"/>
              <w:rPr>
                <w:rFonts w:hint="eastAsia" w:ascii="宋体" w:hAnsi="宋体" w:cs="宋体"/>
                <w:sz w:val="24"/>
              </w:rPr>
            </w:pPr>
            <w:r>
              <w:rPr>
                <w:rFonts w:hint="eastAsia" w:ascii="宋体" w:hAnsi="宋体" w:cs="宋体"/>
                <w:kern w:val="0"/>
                <w:sz w:val="24"/>
                <w:lang w:bidi="ar"/>
              </w:rPr>
              <w:t>196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E293F2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F6878E9">
            <w:pPr>
              <w:widowControl/>
              <w:jc w:val="center"/>
              <w:textAlignment w:val="center"/>
              <w:rPr>
                <w:rFonts w:hint="eastAsia" w:ascii="宋体" w:hAnsi="宋体" w:cs="宋体"/>
                <w:sz w:val="24"/>
              </w:rPr>
            </w:pPr>
            <w:r>
              <w:rPr>
                <w:rFonts w:hint="eastAsia" w:ascii="宋体" w:hAnsi="宋体" w:cs="宋体"/>
                <w:kern w:val="0"/>
                <w:sz w:val="24"/>
                <w:lang w:bidi="ar"/>
              </w:rPr>
              <w:t>随访结果列表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05F34FE6">
            <w:pPr>
              <w:widowControl/>
              <w:textAlignment w:val="center"/>
              <w:rPr>
                <w:rFonts w:hint="eastAsia" w:ascii="宋体" w:hAnsi="宋体" w:cs="宋体"/>
                <w:sz w:val="24"/>
              </w:rPr>
            </w:pPr>
            <w:r>
              <w:rPr>
                <w:rFonts w:hint="eastAsia" w:ascii="宋体" w:hAnsi="宋体" w:cs="宋体"/>
                <w:kern w:val="0"/>
                <w:sz w:val="24"/>
                <w:lang w:bidi="ar"/>
              </w:rPr>
              <w:t xml:space="preserve">    系统提供多维度的随访结果检索与导出功能，支持按随访分类、随访时间范围、随访单位等条件进行批量检索，并支持多条件组合查询。</w:t>
            </w:r>
            <w:r>
              <w:rPr>
                <w:rFonts w:hint="eastAsia" w:ascii="宋体" w:hAnsi="宋体" w:cs="宋体"/>
                <w:kern w:val="0"/>
                <w:sz w:val="24"/>
                <w:lang w:bidi="ar"/>
              </w:rPr>
              <w:br w:type="textWrapping"/>
            </w:r>
            <w:r>
              <w:rPr>
                <w:rFonts w:hint="eastAsia" w:ascii="宋体" w:hAnsi="宋体" w:cs="宋体"/>
                <w:kern w:val="0"/>
                <w:sz w:val="24"/>
                <w:lang w:bidi="ar"/>
              </w:rPr>
              <w:t xml:space="preserve">    用户可通过随访结果列表页面查看筛选结果，并将查询数据导出为Excel文件，便于开展数据分析和跟踪管理。</w:t>
            </w:r>
          </w:p>
        </w:tc>
      </w:tr>
      <w:tr w14:paraId="128C965B">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B7E389A">
            <w:pPr>
              <w:widowControl/>
              <w:jc w:val="center"/>
              <w:textAlignment w:val="center"/>
              <w:rPr>
                <w:rFonts w:hint="eastAsia" w:ascii="宋体" w:hAnsi="宋体" w:cs="宋体"/>
                <w:sz w:val="24"/>
              </w:rPr>
            </w:pPr>
            <w:r>
              <w:rPr>
                <w:rFonts w:hint="eastAsia" w:ascii="宋体" w:hAnsi="宋体" w:cs="宋体"/>
                <w:kern w:val="0"/>
                <w:sz w:val="24"/>
                <w:lang w:bidi="ar"/>
              </w:rPr>
              <w:t>197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44E47F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A2B5DF0">
            <w:pPr>
              <w:widowControl/>
              <w:jc w:val="center"/>
              <w:textAlignment w:val="center"/>
              <w:rPr>
                <w:rFonts w:hint="eastAsia" w:ascii="宋体" w:hAnsi="宋体" w:cs="宋体"/>
                <w:sz w:val="24"/>
              </w:rPr>
            </w:pPr>
            <w:r>
              <w:rPr>
                <w:rFonts w:hint="eastAsia" w:ascii="宋体" w:hAnsi="宋体" w:cs="宋体"/>
                <w:kern w:val="0"/>
                <w:sz w:val="24"/>
                <w:lang w:bidi="ar"/>
              </w:rPr>
              <w:t>确诊列表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6CBFBB98">
            <w:pPr>
              <w:widowControl/>
              <w:textAlignment w:val="center"/>
              <w:rPr>
                <w:rFonts w:hint="eastAsia" w:ascii="宋体" w:hAnsi="宋体" w:cs="宋体"/>
                <w:sz w:val="24"/>
              </w:rPr>
            </w:pPr>
            <w:r>
              <w:rPr>
                <w:rFonts w:hint="eastAsia" w:ascii="宋体" w:hAnsi="宋体" w:cs="宋体"/>
                <w:kern w:val="0"/>
                <w:sz w:val="24"/>
                <w:lang w:bidi="ar"/>
              </w:rPr>
              <w:t xml:space="preserve">    系统提供完善的确诊病例管理功能，支持对筛查阳性病例进行确诊结果标注，并可查看详细的确诊信息。</w:t>
            </w:r>
            <w:r>
              <w:rPr>
                <w:rFonts w:hint="eastAsia" w:ascii="宋体" w:hAnsi="宋体" w:cs="宋体"/>
                <w:kern w:val="0"/>
                <w:sz w:val="24"/>
                <w:lang w:bidi="ar"/>
              </w:rPr>
              <w:br w:type="textWrapping"/>
            </w:r>
            <w:r>
              <w:rPr>
                <w:rFonts w:hint="eastAsia" w:ascii="宋体" w:hAnsi="宋体" w:cs="宋体"/>
                <w:kern w:val="0"/>
                <w:sz w:val="24"/>
                <w:lang w:bidi="ar"/>
              </w:rPr>
              <w:t xml:space="preserve">    用户可通过确诊列表页面浏览所有确诊病例，并将列表数据导出为Excel格式，便于医疗跟踪和病例分析。</w:t>
            </w:r>
          </w:p>
        </w:tc>
      </w:tr>
      <w:tr w14:paraId="44A92267">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670D655">
            <w:pPr>
              <w:widowControl/>
              <w:jc w:val="center"/>
              <w:textAlignment w:val="center"/>
              <w:rPr>
                <w:rFonts w:hint="eastAsia" w:ascii="宋体" w:hAnsi="宋体" w:cs="宋体"/>
                <w:sz w:val="24"/>
              </w:rPr>
            </w:pPr>
            <w:r>
              <w:rPr>
                <w:rFonts w:hint="eastAsia" w:ascii="宋体" w:hAnsi="宋体" w:cs="宋体"/>
                <w:kern w:val="0"/>
                <w:sz w:val="24"/>
                <w:lang w:bidi="ar"/>
              </w:rPr>
              <w:t>198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1DB5A5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7257ED0">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747EEF24">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系统提供全面的新生儿串联质谱筛查数据管理功能，支持采血花名册、初筛阳性及召回记录、串联质谱筛查结果的查询与导出操作，实现从采血到结果追踪的全流程数据可追溯管理。</w:t>
            </w:r>
          </w:p>
        </w:tc>
      </w:tr>
      <w:tr w14:paraId="2E46765A">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79999AB">
            <w:pPr>
              <w:widowControl/>
              <w:jc w:val="center"/>
              <w:textAlignment w:val="center"/>
              <w:rPr>
                <w:rFonts w:hint="eastAsia" w:ascii="宋体" w:hAnsi="宋体" w:cs="宋体"/>
                <w:sz w:val="24"/>
              </w:rPr>
            </w:pPr>
            <w:r>
              <w:rPr>
                <w:rFonts w:hint="eastAsia" w:ascii="宋体" w:hAnsi="宋体" w:cs="宋体"/>
                <w:kern w:val="0"/>
                <w:sz w:val="24"/>
                <w:lang w:bidi="ar"/>
              </w:rPr>
              <w:t>199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AA8FD3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00683B0">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24F6E1F0">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新生儿串联质谱筛查统计分析功能，涵盖采血统计、复筛分析、退回血片分析、血片时效分析、实验室工作量统计、综合统计分析及费用统计分析等多个维度，支持对筛查工作全流程的数据监控与绩效评估。</w:t>
            </w:r>
          </w:p>
        </w:tc>
      </w:tr>
      <w:tr w14:paraId="7681FF0C">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0371D15">
            <w:pPr>
              <w:widowControl/>
              <w:jc w:val="center"/>
              <w:textAlignment w:val="center"/>
              <w:rPr>
                <w:rFonts w:hint="eastAsia" w:ascii="宋体" w:hAnsi="宋体" w:cs="宋体"/>
                <w:sz w:val="24"/>
              </w:rPr>
            </w:pPr>
            <w:r>
              <w:rPr>
                <w:rFonts w:hint="eastAsia" w:ascii="宋体" w:hAnsi="宋体" w:cs="宋体"/>
                <w:kern w:val="0"/>
                <w:sz w:val="24"/>
                <w:lang w:bidi="ar"/>
              </w:rPr>
              <w:t>200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D6385E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1579AA">
            <w:pPr>
              <w:widowControl/>
              <w:jc w:val="center"/>
              <w:textAlignment w:val="center"/>
              <w:rPr>
                <w:rFonts w:hint="eastAsia" w:ascii="宋体" w:hAnsi="宋体" w:cs="宋体"/>
                <w:sz w:val="24"/>
              </w:rPr>
            </w:pPr>
            <w:r>
              <w:rPr>
                <w:rFonts w:hint="eastAsia" w:ascii="宋体" w:hAnsi="宋体" w:cs="宋体"/>
                <w:kern w:val="0"/>
                <w:sz w:val="24"/>
                <w:lang w:bidi="ar"/>
              </w:rPr>
              <w:t>短信功能</w:t>
            </w:r>
          </w:p>
        </w:tc>
        <w:tc>
          <w:tcPr>
            <w:tcW w:w="9687" w:type="dxa"/>
            <w:tcBorders>
              <w:top w:val="single" w:color="000000" w:sz="4" w:space="0"/>
              <w:left w:val="single" w:color="000000" w:sz="4" w:space="0"/>
              <w:bottom w:val="single" w:color="000000" w:sz="4" w:space="0"/>
              <w:right w:val="single" w:color="000000" w:sz="4" w:space="0"/>
            </w:tcBorders>
            <w:vAlign w:val="center"/>
          </w:tcPr>
          <w:p w14:paraId="08E93AD0">
            <w:pPr>
              <w:widowControl/>
              <w:textAlignment w:val="center"/>
              <w:rPr>
                <w:rFonts w:hint="eastAsia" w:ascii="宋体" w:hAnsi="宋体" w:cs="宋体"/>
                <w:sz w:val="24"/>
              </w:rPr>
            </w:pPr>
            <w:r>
              <w:rPr>
                <w:rFonts w:hint="eastAsia" w:ascii="宋体" w:hAnsi="宋体" w:cs="宋体"/>
                <w:kern w:val="0"/>
                <w:sz w:val="24"/>
                <w:lang w:bidi="ar"/>
              </w:rPr>
              <w:t xml:space="preserve">   系统提供短信自动提醒与通知功能，可根据设定标准向未筛查人群自动发送短信提醒，并在筛查完成后通过短信通知新生儿父母筛查结果。</w:t>
            </w:r>
            <w:r>
              <w:rPr>
                <w:rFonts w:hint="eastAsia" w:ascii="宋体" w:hAnsi="宋体" w:cs="宋体"/>
                <w:kern w:val="0"/>
                <w:sz w:val="24"/>
                <w:lang w:bidi="ar"/>
              </w:rPr>
              <w:br w:type="textWrapping"/>
            </w:r>
            <w:r>
              <w:rPr>
                <w:rFonts w:hint="eastAsia" w:ascii="宋体" w:hAnsi="宋体" w:cs="宋体"/>
                <w:kern w:val="0"/>
                <w:sz w:val="24"/>
                <w:lang w:bidi="ar"/>
              </w:rPr>
              <w:t xml:space="preserve">    用户可通过专用短信管理页面进行相关操作，有效提升筛查覆盖率和结果告知效率。</w:t>
            </w:r>
          </w:p>
        </w:tc>
      </w:tr>
      <w:tr w14:paraId="33BD0CDD">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422661E">
            <w:pPr>
              <w:widowControl/>
              <w:jc w:val="center"/>
              <w:textAlignment w:val="center"/>
              <w:rPr>
                <w:rFonts w:hint="eastAsia" w:ascii="宋体" w:hAnsi="宋体" w:cs="宋体"/>
                <w:sz w:val="24"/>
              </w:rPr>
            </w:pPr>
            <w:r>
              <w:rPr>
                <w:rFonts w:hint="eastAsia" w:ascii="宋体" w:hAnsi="宋体" w:cs="宋体"/>
                <w:kern w:val="0"/>
                <w:sz w:val="24"/>
                <w:lang w:bidi="ar"/>
              </w:rPr>
              <w:t>201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6B4895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70636A9">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046BB9A1">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系统已开通微信端新生儿串联质谱筛查结果查询服务，新生儿家属可通过官方微信公众号或指定微信渠道，凭有效身份信息实时查询筛查结果报告。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07E38693">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6A336AD">
            <w:pPr>
              <w:widowControl/>
              <w:jc w:val="center"/>
              <w:textAlignment w:val="center"/>
              <w:rPr>
                <w:rFonts w:hint="eastAsia" w:ascii="宋体" w:hAnsi="宋体" w:cs="宋体"/>
                <w:sz w:val="24"/>
              </w:rPr>
            </w:pPr>
            <w:r>
              <w:rPr>
                <w:rFonts w:hint="eastAsia" w:ascii="宋体" w:hAnsi="宋体" w:cs="宋体"/>
                <w:kern w:val="0"/>
                <w:sz w:val="24"/>
                <w:lang w:bidi="ar"/>
              </w:rPr>
              <w:t>202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E7574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AF4AB0B">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0752A07D">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系统为基层单位、筛查分中心和筛查中心提供统一的报告单打印功能，各机构均可通过专用打印页面生成标准化新生儿串联质谱筛查报告单，满足不同层级机构的业务输出需求。</w:t>
            </w:r>
          </w:p>
        </w:tc>
      </w:tr>
      <w:tr w14:paraId="24E8EE8B">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EAE5A7E">
            <w:pPr>
              <w:widowControl/>
              <w:jc w:val="center"/>
              <w:textAlignment w:val="center"/>
              <w:rPr>
                <w:rFonts w:hint="eastAsia" w:ascii="宋体" w:hAnsi="宋体" w:cs="宋体"/>
                <w:sz w:val="24"/>
              </w:rPr>
            </w:pPr>
            <w:r>
              <w:rPr>
                <w:rFonts w:hint="eastAsia" w:ascii="宋体" w:hAnsi="宋体" w:cs="宋体"/>
                <w:kern w:val="0"/>
                <w:sz w:val="24"/>
                <w:lang w:bidi="ar"/>
              </w:rPr>
              <w:t>203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1D26A3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0429787">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55BBE910">
            <w:pPr>
              <w:widowControl/>
              <w:textAlignment w:val="center"/>
              <w:rPr>
                <w:rFonts w:hint="eastAsia" w:ascii="宋体" w:hAnsi="宋体" w:cs="宋体"/>
                <w:sz w:val="24"/>
              </w:rPr>
            </w:pPr>
            <w:r>
              <w:rPr>
                <w:rFonts w:hint="eastAsia" w:ascii="宋体" w:hAnsi="宋体" w:cs="宋体"/>
                <w:kern w:val="0"/>
                <w:sz w:val="24"/>
                <w:lang w:bidi="ar"/>
              </w:rPr>
              <w:t xml:space="preserve">   系统实现了与风险分析系统的数据对接，支持将新生儿串联质谱筛查申请信息上传至风险分析系统，并能够自动获取该系统生成的检测报告，确保从样本送检到报告返回的全流程自动化处理。</w:t>
            </w:r>
          </w:p>
        </w:tc>
      </w:tr>
      <w:tr w14:paraId="361EC756">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7141B46">
            <w:pPr>
              <w:widowControl/>
              <w:jc w:val="center"/>
              <w:textAlignment w:val="center"/>
              <w:rPr>
                <w:rFonts w:hint="eastAsia" w:ascii="宋体" w:hAnsi="宋体" w:cs="宋体"/>
                <w:sz w:val="24"/>
              </w:rPr>
            </w:pPr>
            <w:r>
              <w:rPr>
                <w:rFonts w:hint="eastAsia" w:ascii="宋体" w:hAnsi="宋体" w:cs="宋体"/>
                <w:kern w:val="0"/>
                <w:sz w:val="24"/>
                <w:lang w:bidi="ar"/>
              </w:rPr>
              <w:t>205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966F88F">
            <w:pPr>
              <w:widowControl/>
              <w:jc w:val="center"/>
              <w:textAlignment w:val="center"/>
              <w:rPr>
                <w:rFonts w:hint="eastAsia" w:ascii="宋体" w:hAnsi="宋体" w:cs="宋体"/>
                <w:sz w:val="24"/>
              </w:rPr>
            </w:pPr>
            <w:r>
              <w:rPr>
                <w:rFonts w:hint="eastAsia" w:ascii="宋体" w:hAnsi="宋体" w:cs="宋体"/>
                <w:kern w:val="0"/>
                <w:sz w:val="24"/>
                <w:lang w:bidi="ar"/>
              </w:rPr>
              <w:t>新生儿SCID筛查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7E5A85A0">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1C538BE">
            <w:pPr>
              <w:widowControl/>
              <w:textAlignment w:val="center"/>
              <w:rPr>
                <w:rFonts w:hint="eastAsia" w:ascii="宋体" w:hAnsi="宋体" w:cs="宋体"/>
                <w:sz w:val="24"/>
              </w:rPr>
            </w:pPr>
            <w:r>
              <w:rPr>
                <w:rFonts w:hint="eastAsia" w:ascii="宋体" w:hAnsi="宋体" w:cs="宋体"/>
                <w:kern w:val="0"/>
                <w:sz w:val="24"/>
                <w:lang w:bidi="ar"/>
              </w:rPr>
              <w:t xml:space="preserve">   系统提供完整的新生儿SCID筛查档案管理功能，支持档案信息的新建、修改、删除与查看操作，并设有专属管理页面便于用户快速访问。</w:t>
            </w:r>
            <w:r>
              <w:rPr>
                <w:rFonts w:hint="eastAsia" w:ascii="宋体" w:hAnsi="宋体" w:cs="宋体"/>
                <w:kern w:val="0"/>
                <w:sz w:val="24"/>
                <w:lang w:bidi="ar"/>
              </w:rPr>
              <w:br w:type="textWrapping"/>
            </w:r>
            <w:r>
              <w:rPr>
                <w:rFonts w:hint="eastAsia" w:ascii="宋体" w:hAnsi="宋体" w:cs="宋体"/>
                <w:kern w:val="0"/>
                <w:sz w:val="24"/>
                <w:lang w:bidi="ar"/>
              </w:rPr>
              <w:t xml:space="preserve">    系统可实现与“健苗工程”系统的数据对接，自动同步获取新生儿档案信息，有效避免信息重复录入，确保数据一致性与操作效率。</w:t>
            </w:r>
          </w:p>
        </w:tc>
      </w:tr>
      <w:tr w14:paraId="3ADF774A">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5D200E3">
            <w:pPr>
              <w:widowControl/>
              <w:jc w:val="center"/>
              <w:textAlignment w:val="center"/>
              <w:rPr>
                <w:rFonts w:hint="eastAsia" w:ascii="宋体" w:hAnsi="宋体" w:cs="宋体"/>
                <w:sz w:val="24"/>
              </w:rPr>
            </w:pPr>
            <w:r>
              <w:rPr>
                <w:rFonts w:hint="eastAsia" w:ascii="宋体" w:hAnsi="宋体" w:cs="宋体"/>
                <w:kern w:val="0"/>
                <w:sz w:val="24"/>
                <w:lang w:bidi="ar"/>
              </w:rPr>
              <w:t>206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478EBB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DF7B0DB">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248B8A0">
            <w:pPr>
              <w:widowControl/>
              <w:textAlignment w:val="center"/>
              <w:rPr>
                <w:rFonts w:hint="eastAsia" w:ascii="宋体" w:hAnsi="宋体" w:cs="宋体"/>
                <w:sz w:val="24"/>
              </w:rPr>
            </w:pPr>
            <w:r>
              <w:rPr>
                <w:rFonts w:hint="eastAsia" w:ascii="宋体" w:hAnsi="宋体" w:cs="宋体"/>
                <w:kern w:val="0"/>
                <w:sz w:val="24"/>
                <w:lang w:bidi="ar"/>
              </w:rPr>
              <w:t xml:space="preserve">    系统为新生儿SCID筛查提供完整的申请单管理功能，支持申请单的录入、修改与删除操作，并设有专用功能页面统一处理筛查申请业务。</w:t>
            </w:r>
            <w:r>
              <w:rPr>
                <w:rFonts w:hint="eastAsia" w:ascii="宋体" w:hAnsi="宋体" w:cs="宋体"/>
                <w:kern w:val="0"/>
                <w:sz w:val="24"/>
                <w:lang w:bidi="ar"/>
              </w:rPr>
              <w:br w:type="textWrapping"/>
            </w:r>
            <w:r>
              <w:rPr>
                <w:rFonts w:hint="eastAsia" w:ascii="宋体" w:hAnsi="宋体" w:cs="宋体"/>
                <w:kern w:val="0"/>
                <w:sz w:val="24"/>
                <w:lang w:bidi="ar"/>
              </w:rPr>
              <w:t xml:space="preserve">    系统提供多维度查询方式，既可按照母亲姓名、采血编号进行精确检索，也可根据筛查分类、血片分类、采血时间范围、采血单位、费用分类等条件进行批量筛选，同时支持多条件组合查询。</w:t>
            </w:r>
            <w:r>
              <w:rPr>
                <w:rFonts w:hint="eastAsia" w:ascii="宋体" w:hAnsi="宋体" w:cs="宋体"/>
                <w:kern w:val="0"/>
                <w:sz w:val="24"/>
                <w:lang w:bidi="ar"/>
              </w:rPr>
              <w:br w:type="textWrapping"/>
            </w:r>
            <w:r>
              <w:rPr>
                <w:rFonts w:hint="eastAsia" w:ascii="宋体" w:hAnsi="宋体" w:cs="宋体"/>
                <w:kern w:val="0"/>
                <w:sz w:val="24"/>
                <w:lang w:bidi="ar"/>
              </w:rPr>
              <w:t xml:space="preserve">    系统还支持知情同意书的打印功能，并可将申请记录导出为Excel格式，便于数据存档与统计分析。</w:t>
            </w:r>
          </w:p>
        </w:tc>
      </w:tr>
      <w:tr w14:paraId="5D4BFFB2">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F02F53">
            <w:pPr>
              <w:widowControl/>
              <w:jc w:val="center"/>
              <w:textAlignment w:val="center"/>
              <w:rPr>
                <w:rFonts w:hint="eastAsia" w:ascii="宋体" w:hAnsi="宋体" w:cs="宋体"/>
                <w:sz w:val="24"/>
              </w:rPr>
            </w:pPr>
            <w:r>
              <w:rPr>
                <w:rFonts w:hint="eastAsia" w:ascii="宋体" w:hAnsi="宋体" w:cs="宋体"/>
                <w:kern w:val="0"/>
                <w:sz w:val="24"/>
                <w:lang w:bidi="ar"/>
              </w:rPr>
              <w:t>207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E543AA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05BC92E">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C41A461">
            <w:pPr>
              <w:widowControl/>
              <w:textAlignment w:val="center"/>
              <w:rPr>
                <w:rFonts w:hint="eastAsia" w:ascii="宋体" w:hAnsi="宋体" w:cs="宋体"/>
                <w:sz w:val="24"/>
              </w:rPr>
            </w:pPr>
            <w:r>
              <w:rPr>
                <w:rFonts w:hint="eastAsia" w:ascii="宋体" w:hAnsi="宋体" w:cs="宋体"/>
                <w:kern w:val="0"/>
                <w:sz w:val="24"/>
                <w:lang w:bidi="ar"/>
              </w:rPr>
              <w:t xml:space="preserve">    系统全面支持新生儿SCID筛查申请单的多级流转与送检管理。基层单位可根据实际情况灵活选择送检路径，既可先将申请单上报至筛查分中心进行初审，也可直接送检至筛查中心。在申请单未被接收前，系统允许基层单位对已上报或送检的申请单进行撤回操作。</w:t>
            </w:r>
            <w:r>
              <w:rPr>
                <w:rFonts w:hint="eastAsia" w:ascii="宋体" w:hAnsi="宋体" w:cs="宋体"/>
                <w:kern w:val="0"/>
                <w:sz w:val="24"/>
                <w:lang w:bidi="ar"/>
              </w:rPr>
              <w:br w:type="textWrapping"/>
            </w:r>
            <w:r>
              <w:rPr>
                <w:rFonts w:hint="eastAsia" w:ascii="宋体" w:hAnsi="宋体" w:cs="宋体"/>
                <w:kern w:val="0"/>
                <w:sz w:val="24"/>
                <w:lang w:bidi="ar"/>
              </w:rPr>
              <w:t xml:space="preserve">    对于提交的申请单，筛查分中心与筛查中心均可进行接收或驳回处理；当采血卡被驳回时，基层单位可执行重采操作，实现了对筛查申请流转全过程的闭环管理与质量监控。</w:t>
            </w:r>
          </w:p>
        </w:tc>
      </w:tr>
      <w:tr w14:paraId="084ED77C">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79D2B73">
            <w:pPr>
              <w:widowControl/>
              <w:jc w:val="center"/>
              <w:textAlignment w:val="center"/>
              <w:rPr>
                <w:rFonts w:hint="eastAsia" w:ascii="宋体" w:hAnsi="宋体" w:cs="宋体"/>
                <w:sz w:val="24"/>
              </w:rPr>
            </w:pPr>
            <w:r>
              <w:rPr>
                <w:rFonts w:hint="eastAsia" w:ascii="宋体" w:hAnsi="宋体" w:cs="宋体"/>
                <w:kern w:val="0"/>
                <w:sz w:val="24"/>
                <w:lang w:bidi="ar"/>
              </w:rPr>
              <w:t>208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398C82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7442151">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BBEF878">
            <w:pPr>
              <w:widowControl/>
              <w:textAlignment w:val="center"/>
              <w:rPr>
                <w:rFonts w:hint="eastAsia" w:ascii="宋体" w:hAnsi="宋体" w:cs="宋体"/>
                <w:sz w:val="24"/>
              </w:rPr>
            </w:pPr>
            <w:r>
              <w:rPr>
                <w:rFonts w:hint="eastAsia" w:ascii="宋体" w:hAnsi="宋体" w:cs="宋体"/>
                <w:kern w:val="0"/>
                <w:sz w:val="24"/>
                <w:lang w:bidi="ar"/>
              </w:rPr>
              <w:t xml:space="preserve">   系统构建了完善的新生儿SCID筛查申请单状态管理体系，为基层单位、筛查分中心和筛查中心提供分角色、分状态的精细化数据管理功能。各机构均可通过专属功能页面对权限范围内的各类申请单记录进行查看和Excel导出操作。</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基层单位可管理未上报、已上报、未被接收、退回和待复筛的申请单；筛查分中心可处理未接收、未上报、已上报、退回和待复筛的申请单；筛查中心则负责未接收、已送检、退回和待复筛的申请单。</w:t>
            </w:r>
            <w:r>
              <w:rPr>
                <w:rFonts w:hint="eastAsia" w:ascii="宋体" w:hAnsi="宋体" w:cs="宋体"/>
                <w:kern w:val="0"/>
                <w:sz w:val="24"/>
                <w:lang w:bidi="ar"/>
              </w:rPr>
              <w:br w:type="textWrapping"/>
            </w:r>
            <w:r>
              <w:rPr>
                <w:rFonts w:hint="eastAsia" w:ascii="宋体" w:hAnsi="宋体" w:cs="宋体"/>
                <w:kern w:val="0"/>
                <w:sz w:val="24"/>
                <w:lang w:bidi="ar"/>
              </w:rPr>
              <w:t xml:space="preserve">    系统确保每个状态类型的申请单都支持专门的查询页面和导出功能，实现了多级机构间申请单流转的全过程可视化跟踪与闭环管理。</w:t>
            </w:r>
          </w:p>
        </w:tc>
      </w:tr>
      <w:tr w14:paraId="3832B52E">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3AD52E3">
            <w:pPr>
              <w:widowControl/>
              <w:jc w:val="center"/>
              <w:textAlignment w:val="center"/>
              <w:rPr>
                <w:rFonts w:hint="eastAsia" w:ascii="宋体" w:hAnsi="宋体" w:cs="宋体"/>
                <w:sz w:val="24"/>
              </w:rPr>
            </w:pPr>
            <w:r>
              <w:rPr>
                <w:rFonts w:hint="eastAsia" w:ascii="宋体" w:hAnsi="宋体" w:cs="宋体"/>
                <w:kern w:val="0"/>
                <w:sz w:val="24"/>
                <w:lang w:bidi="ar"/>
              </w:rPr>
              <w:t>209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B51BA1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95BCB5B">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1955034">
            <w:pPr>
              <w:widowControl/>
              <w:textAlignment w:val="center"/>
              <w:rPr>
                <w:rFonts w:hint="eastAsia" w:ascii="宋体" w:hAnsi="宋体" w:cs="宋体"/>
                <w:sz w:val="24"/>
              </w:rPr>
            </w:pPr>
            <w:r>
              <w:rPr>
                <w:rFonts w:hint="eastAsia" w:ascii="宋体" w:hAnsi="宋体" w:cs="宋体"/>
                <w:kern w:val="0"/>
                <w:sz w:val="24"/>
                <w:lang w:bidi="ar"/>
              </w:rPr>
              <w:t xml:space="preserve">    系统实现了与检测实验室的完整数据对接，支持按照标准接口规范导出新生儿SCID筛查申请单至检测机构；</w:t>
            </w:r>
            <w:r>
              <w:rPr>
                <w:rFonts w:hint="eastAsia" w:ascii="宋体" w:hAnsi="宋体" w:cs="宋体"/>
                <w:kern w:val="0"/>
                <w:sz w:val="24"/>
                <w:lang w:bidi="ar"/>
              </w:rPr>
              <w:br w:type="textWrapping"/>
            </w:r>
            <w:r>
              <w:rPr>
                <w:rFonts w:hint="eastAsia" w:ascii="宋体" w:hAnsi="宋体" w:cs="宋体"/>
                <w:kern w:val="0"/>
                <w:sz w:val="24"/>
                <w:lang w:bidi="ar"/>
              </w:rPr>
              <w:t xml:space="preserve">    实验完成后，系统可自动接收并上传检测机构返回的筛查结果，形成从样本送检到结果返回的全流程数字化闭环管理。</w:t>
            </w:r>
          </w:p>
        </w:tc>
      </w:tr>
      <w:tr w14:paraId="258BEB4F">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C5D7AD5">
            <w:pPr>
              <w:widowControl/>
              <w:jc w:val="center"/>
              <w:textAlignment w:val="center"/>
              <w:rPr>
                <w:rFonts w:hint="eastAsia" w:ascii="宋体" w:hAnsi="宋体" w:cs="宋体"/>
                <w:sz w:val="24"/>
              </w:rPr>
            </w:pPr>
            <w:r>
              <w:rPr>
                <w:rFonts w:hint="eastAsia" w:ascii="宋体" w:hAnsi="宋体" w:cs="宋体"/>
                <w:kern w:val="0"/>
                <w:sz w:val="24"/>
                <w:lang w:bidi="ar"/>
              </w:rPr>
              <w:t>210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93DFE0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A47BC78">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0D1624BC">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系统为基层单位、筛查分中心和筛查中心提供统一的新生儿SCID筛查结果管理平台，各机构可通过专属功能页面查看权限范围内的筛查结果。</w:t>
            </w:r>
            <w:r>
              <w:rPr>
                <w:rFonts w:hint="eastAsia" w:ascii="宋体" w:hAnsi="宋体" w:cs="宋体"/>
                <w:kern w:val="0"/>
                <w:sz w:val="24"/>
                <w:lang w:bidi="ar"/>
              </w:rPr>
              <w:br w:type="textWrapping"/>
            </w:r>
            <w:r>
              <w:rPr>
                <w:rFonts w:hint="eastAsia" w:ascii="宋体" w:hAnsi="宋体" w:cs="宋体"/>
                <w:kern w:val="0"/>
                <w:sz w:val="24"/>
                <w:lang w:bidi="ar"/>
              </w:rPr>
              <w:t xml:space="preserve">    筛查中心还具备筛查结果的删除权限，实现了筛查结果在各级机构间的安全共享与规范管理。</w:t>
            </w:r>
          </w:p>
        </w:tc>
      </w:tr>
      <w:tr w14:paraId="686282E1">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CEF338">
            <w:pPr>
              <w:widowControl/>
              <w:jc w:val="center"/>
              <w:textAlignment w:val="center"/>
              <w:rPr>
                <w:rFonts w:hint="eastAsia" w:ascii="宋体" w:hAnsi="宋体" w:cs="宋体"/>
                <w:sz w:val="24"/>
              </w:rPr>
            </w:pPr>
            <w:r>
              <w:rPr>
                <w:rFonts w:hint="eastAsia" w:ascii="宋体" w:hAnsi="宋体" w:cs="宋体"/>
                <w:kern w:val="0"/>
                <w:sz w:val="24"/>
                <w:lang w:bidi="ar"/>
              </w:rPr>
              <w:t>211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55563B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DE478E">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156BECA7">
            <w:pPr>
              <w:widowControl/>
              <w:textAlignment w:val="center"/>
              <w:rPr>
                <w:rFonts w:hint="eastAsia" w:ascii="宋体" w:hAnsi="宋体" w:cs="宋体"/>
                <w:sz w:val="24"/>
              </w:rPr>
            </w:pPr>
            <w:r>
              <w:rPr>
                <w:rFonts w:hint="eastAsia" w:ascii="宋体" w:hAnsi="宋体" w:cs="宋体"/>
                <w:kern w:val="0"/>
                <w:sz w:val="24"/>
                <w:lang w:bidi="ar"/>
              </w:rPr>
              <w:t xml:space="preserve">    系统提供申请单全流程动态跟踪功能，用户可通过专用跟踪页面实时掌握新生儿SCID筛查标本在送检、接收、检测及结果返回等各环节的状态，实现对标本流转全过程的闭环管理与可视化监控。</w:t>
            </w:r>
          </w:p>
        </w:tc>
      </w:tr>
      <w:tr w14:paraId="1554EF5B">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43E521">
            <w:pPr>
              <w:widowControl/>
              <w:jc w:val="center"/>
              <w:textAlignment w:val="center"/>
              <w:rPr>
                <w:rFonts w:hint="eastAsia" w:ascii="宋体" w:hAnsi="宋体" w:cs="宋体"/>
                <w:sz w:val="24"/>
              </w:rPr>
            </w:pPr>
            <w:r>
              <w:rPr>
                <w:rFonts w:hint="eastAsia" w:ascii="宋体" w:hAnsi="宋体" w:cs="宋体"/>
                <w:kern w:val="0"/>
                <w:sz w:val="24"/>
                <w:lang w:bidi="ar"/>
              </w:rPr>
              <w:t>212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5B9F25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992B4CC">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C2EAAA3">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系统提供全面的新生儿SCID筛查随访管理功能，支持对随访信息进行新增、修改、删除及多次随访记录录入，并可通过随访功能页面开展多维度数据检索。</w:t>
            </w:r>
            <w:r>
              <w:rPr>
                <w:rFonts w:hint="eastAsia" w:ascii="宋体" w:hAnsi="宋体" w:cs="宋体"/>
                <w:kern w:val="0"/>
                <w:sz w:val="24"/>
                <w:lang w:bidi="ar"/>
              </w:rPr>
              <w:br w:type="textWrapping"/>
            </w:r>
            <w:r>
              <w:rPr>
                <w:rFonts w:hint="eastAsia" w:ascii="宋体" w:hAnsi="宋体" w:cs="宋体"/>
                <w:kern w:val="0"/>
                <w:sz w:val="24"/>
                <w:lang w:bidi="ar"/>
              </w:rPr>
              <w:t xml:space="preserve">    系统支持按随访分类、时间范围、单位等条件进行批量查询，同时支持多条件组合检索，所有随访结果均可导出为Excel格式，实现随访工作的规范化管理和数据分析。</w:t>
            </w:r>
          </w:p>
        </w:tc>
      </w:tr>
      <w:tr w14:paraId="20C8CDD7">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66F3C1D">
            <w:pPr>
              <w:widowControl/>
              <w:jc w:val="center"/>
              <w:textAlignment w:val="center"/>
              <w:rPr>
                <w:rFonts w:hint="eastAsia" w:ascii="宋体" w:hAnsi="宋体" w:cs="宋体"/>
                <w:sz w:val="24"/>
              </w:rPr>
            </w:pPr>
            <w:r>
              <w:rPr>
                <w:rFonts w:hint="eastAsia" w:ascii="宋体" w:hAnsi="宋体" w:cs="宋体"/>
                <w:kern w:val="0"/>
                <w:sz w:val="24"/>
                <w:lang w:bidi="ar"/>
              </w:rPr>
              <w:t>213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4621E5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333E379">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58AA854D">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系统提供全面的新生儿SCID筛查数据管理功能，支持采血花名册和SCID筛查结果的查询与导出操作，实现从采血到结果追踪的全流程数据可追溯管理。</w:t>
            </w:r>
          </w:p>
        </w:tc>
      </w:tr>
      <w:tr w14:paraId="46BF6451">
        <w:tblPrEx>
          <w:tblCellMar>
            <w:top w:w="0" w:type="dxa"/>
            <w:left w:w="108" w:type="dxa"/>
            <w:bottom w:w="0" w:type="dxa"/>
            <w:right w:w="108" w:type="dxa"/>
          </w:tblCellMar>
        </w:tblPrEx>
        <w:trPr>
          <w:trHeight w:val="85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28D760A">
            <w:pPr>
              <w:widowControl/>
              <w:jc w:val="center"/>
              <w:textAlignment w:val="center"/>
              <w:rPr>
                <w:rFonts w:hint="eastAsia" w:ascii="宋体" w:hAnsi="宋体" w:cs="宋体"/>
                <w:sz w:val="24"/>
              </w:rPr>
            </w:pPr>
            <w:r>
              <w:rPr>
                <w:rFonts w:hint="eastAsia" w:ascii="宋体" w:hAnsi="宋体" w:cs="宋体"/>
                <w:kern w:val="0"/>
                <w:sz w:val="24"/>
                <w:lang w:bidi="ar"/>
              </w:rPr>
              <w:t>214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F63BA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C5BE763">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4CC899C1">
            <w:pPr>
              <w:widowControl/>
              <w:textAlignment w:val="center"/>
              <w:rPr>
                <w:rFonts w:hint="eastAsia" w:ascii="宋体" w:hAnsi="宋体" w:cs="宋体"/>
                <w:sz w:val="24"/>
              </w:rPr>
            </w:pPr>
            <w:r>
              <w:rPr>
                <w:rFonts w:hint="eastAsia" w:ascii="宋体" w:hAnsi="宋体" w:cs="宋体"/>
                <w:kern w:val="0"/>
                <w:sz w:val="24"/>
                <w:lang w:bidi="ar"/>
              </w:rPr>
              <w:t xml:space="preserve">    系统提供新生儿SCID筛查专项统计功能，支持采血统计表和实验室工作量统计，为管理工作提供数据支撑。</w:t>
            </w:r>
          </w:p>
        </w:tc>
      </w:tr>
      <w:tr w14:paraId="03150434">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7786426">
            <w:pPr>
              <w:widowControl/>
              <w:jc w:val="center"/>
              <w:textAlignment w:val="center"/>
              <w:rPr>
                <w:rFonts w:hint="eastAsia" w:ascii="宋体" w:hAnsi="宋体" w:cs="宋体"/>
                <w:sz w:val="24"/>
              </w:rPr>
            </w:pPr>
            <w:r>
              <w:rPr>
                <w:rFonts w:hint="eastAsia" w:ascii="宋体" w:hAnsi="宋体" w:cs="宋体"/>
                <w:kern w:val="0"/>
                <w:sz w:val="24"/>
                <w:lang w:bidi="ar"/>
              </w:rPr>
              <w:t>215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0A6CEC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A57CBB6">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552EE506">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系统已开通微信端新生儿SCID筛查结果查询服务，新生儿家属可通过官方微信公众号或指定微信渠道，凭有效身份信息实时查询筛查结果报告。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53D8A744">
        <w:tblPrEx>
          <w:tblCellMar>
            <w:top w:w="0" w:type="dxa"/>
            <w:left w:w="108" w:type="dxa"/>
            <w:bottom w:w="0" w:type="dxa"/>
            <w:right w:w="108" w:type="dxa"/>
          </w:tblCellMar>
        </w:tblPrEx>
        <w:trPr>
          <w:trHeight w:val="85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84EFD61">
            <w:pPr>
              <w:widowControl/>
              <w:jc w:val="center"/>
              <w:textAlignment w:val="center"/>
              <w:rPr>
                <w:rFonts w:hint="eastAsia" w:ascii="宋体" w:hAnsi="宋体" w:cs="宋体"/>
                <w:sz w:val="24"/>
              </w:rPr>
            </w:pPr>
            <w:r>
              <w:rPr>
                <w:rFonts w:hint="eastAsia" w:ascii="宋体" w:hAnsi="宋体" w:cs="宋体"/>
                <w:kern w:val="0"/>
                <w:sz w:val="24"/>
                <w:lang w:bidi="ar"/>
              </w:rPr>
              <w:t>216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95B5EC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151239B">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50CFED8A">
            <w:pPr>
              <w:widowControl/>
              <w:textAlignment w:val="center"/>
              <w:rPr>
                <w:rFonts w:hint="eastAsia" w:ascii="宋体" w:hAnsi="宋体" w:cs="宋体"/>
                <w:sz w:val="24"/>
              </w:rPr>
            </w:pPr>
            <w:r>
              <w:rPr>
                <w:rFonts w:hint="eastAsia" w:ascii="宋体" w:hAnsi="宋体" w:cs="宋体"/>
                <w:kern w:val="0"/>
                <w:sz w:val="24"/>
                <w:lang w:bidi="ar"/>
              </w:rPr>
              <w:t xml:space="preserve">    系统支持新生儿SCID筛查报告单的打印功能，用户可通过专用报告打印页面快速生成标准化报告单，满足业务输出需求。</w:t>
            </w:r>
          </w:p>
        </w:tc>
      </w:tr>
      <w:tr w14:paraId="76EBCBAA">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995B744">
            <w:pPr>
              <w:widowControl/>
              <w:jc w:val="center"/>
              <w:textAlignment w:val="center"/>
              <w:rPr>
                <w:rFonts w:hint="eastAsia" w:ascii="宋体" w:hAnsi="宋体" w:cs="宋体"/>
                <w:sz w:val="24"/>
              </w:rPr>
            </w:pPr>
            <w:r>
              <w:rPr>
                <w:rFonts w:hint="eastAsia" w:ascii="宋体" w:hAnsi="宋体" w:cs="宋体"/>
                <w:kern w:val="0"/>
                <w:sz w:val="24"/>
                <w:lang w:bidi="ar"/>
              </w:rPr>
              <w:t>217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FA4843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570397F">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5D5A93FA">
            <w:pPr>
              <w:widowControl/>
              <w:textAlignment w:val="center"/>
              <w:rPr>
                <w:rFonts w:hint="eastAsia" w:ascii="宋体" w:hAnsi="宋体" w:cs="宋体"/>
                <w:sz w:val="24"/>
              </w:rPr>
            </w:pPr>
            <w:r>
              <w:rPr>
                <w:rFonts w:hint="eastAsia" w:ascii="宋体" w:hAnsi="宋体" w:cs="宋体"/>
                <w:kern w:val="0"/>
                <w:sz w:val="24"/>
                <w:lang w:bidi="ar"/>
              </w:rPr>
              <w:t xml:space="preserve">    系统实现了与风险分析系统的数据对接，支持将新生儿SCID筛查申请信息上传至风险分析系统，并能够自动获取该系统生成的检测报告，确保从样本送检到报告返回的全流程自动化处理。</w:t>
            </w:r>
          </w:p>
        </w:tc>
      </w:tr>
      <w:tr w14:paraId="544730AF">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F11D89">
            <w:pPr>
              <w:widowControl/>
              <w:jc w:val="center"/>
              <w:textAlignment w:val="center"/>
              <w:rPr>
                <w:rFonts w:hint="eastAsia" w:ascii="宋体" w:hAnsi="宋体" w:cs="宋体"/>
                <w:sz w:val="24"/>
              </w:rPr>
            </w:pPr>
            <w:r>
              <w:rPr>
                <w:rFonts w:hint="eastAsia" w:ascii="宋体" w:hAnsi="宋体" w:cs="宋体"/>
                <w:kern w:val="0"/>
                <w:sz w:val="24"/>
                <w:lang w:bidi="ar"/>
              </w:rPr>
              <w:t>219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1306F673">
            <w:pPr>
              <w:widowControl/>
              <w:jc w:val="center"/>
              <w:textAlignment w:val="center"/>
              <w:rPr>
                <w:rFonts w:hint="eastAsia" w:ascii="宋体" w:hAnsi="宋体" w:cs="宋体"/>
                <w:sz w:val="24"/>
              </w:rPr>
            </w:pPr>
            <w:r>
              <w:rPr>
                <w:rFonts w:hint="eastAsia" w:ascii="宋体" w:hAnsi="宋体" w:cs="宋体"/>
                <w:kern w:val="0"/>
                <w:sz w:val="24"/>
                <w:lang w:bidi="ar"/>
              </w:rPr>
              <w:t>新生儿SMA筛查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0D295FEA">
            <w:pPr>
              <w:widowControl/>
              <w:jc w:val="center"/>
              <w:textAlignment w:val="center"/>
              <w:rPr>
                <w:rFonts w:hint="eastAsia" w:ascii="宋体" w:hAnsi="宋体" w:cs="宋体"/>
                <w:sz w:val="24"/>
              </w:rPr>
            </w:pPr>
            <w:r>
              <w:rPr>
                <w:rFonts w:hint="eastAsia" w:ascii="宋体" w:hAnsi="宋体" w:cs="宋体"/>
                <w:kern w:val="0"/>
                <w:sz w:val="24"/>
                <w:lang w:bidi="ar"/>
              </w:rPr>
              <w:t>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7514816">
            <w:pPr>
              <w:widowControl/>
              <w:textAlignment w:val="center"/>
              <w:rPr>
                <w:rFonts w:hint="eastAsia" w:ascii="宋体" w:hAnsi="宋体" w:cs="宋体"/>
                <w:sz w:val="24"/>
              </w:rPr>
            </w:pPr>
            <w:r>
              <w:rPr>
                <w:rFonts w:hint="eastAsia" w:ascii="宋体" w:hAnsi="宋体" w:cs="宋体"/>
                <w:kern w:val="0"/>
                <w:sz w:val="24"/>
                <w:lang w:bidi="ar"/>
              </w:rPr>
              <w:t xml:space="preserve">    系统提供完整的新生儿SMA筛查档案管理功能，支持档案信息的新建、修改、删除与查看操作，并设有专属管理页面便于用户快速访问。</w:t>
            </w:r>
            <w:r>
              <w:rPr>
                <w:rFonts w:hint="eastAsia" w:ascii="宋体" w:hAnsi="宋体" w:cs="宋体"/>
                <w:kern w:val="0"/>
                <w:sz w:val="24"/>
                <w:lang w:bidi="ar"/>
              </w:rPr>
              <w:br w:type="textWrapping"/>
            </w:r>
            <w:r>
              <w:rPr>
                <w:rFonts w:hint="eastAsia" w:ascii="宋体" w:hAnsi="宋体" w:cs="宋体"/>
                <w:kern w:val="0"/>
                <w:sz w:val="24"/>
                <w:lang w:bidi="ar"/>
              </w:rPr>
              <w:t xml:space="preserve">    系统可实现与“健苗工程”系统的数据对接，自动同步获取新生儿档案信息，有效避免信息重复录入，确保数据一致性与操作效率。</w:t>
            </w:r>
          </w:p>
        </w:tc>
      </w:tr>
      <w:tr w14:paraId="38E9C497">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A23885C">
            <w:pPr>
              <w:widowControl/>
              <w:jc w:val="center"/>
              <w:textAlignment w:val="center"/>
              <w:rPr>
                <w:rFonts w:hint="eastAsia" w:ascii="宋体" w:hAnsi="宋体" w:cs="宋体"/>
                <w:sz w:val="24"/>
              </w:rPr>
            </w:pPr>
            <w:r>
              <w:rPr>
                <w:rFonts w:hint="eastAsia" w:ascii="宋体" w:hAnsi="宋体" w:cs="宋体"/>
                <w:kern w:val="0"/>
                <w:sz w:val="24"/>
                <w:lang w:bidi="ar"/>
              </w:rPr>
              <w:t>220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03302A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F949E2">
            <w:pPr>
              <w:widowControl/>
              <w:jc w:val="center"/>
              <w:textAlignment w:val="center"/>
              <w:rPr>
                <w:rFonts w:hint="eastAsia" w:ascii="宋体" w:hAnsi="宋体" w:cs="宋体"/>
                <w:sz w:val="24"/>
              </w:rPr>
            </w:pPr>
            <w:r>
              <w:rPr>
                <w:rFonts w:hint="eastAsia" w:ascii="宋体" w:hAnsi="宋体" w:cs="宋体"/>
                <w:kern w:val="0"/>
                <w:sz w:val="24"/>
                <w:lang w:bidi="ar"/>
              </w:rPr>
              <w:t>申请管理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9944A0E">
            <w:pPr>
              <w:widowControl/>
              <w:textAlignment w:val="center"/>
              <w:rPr>
                <w:rFonts w:hint="eastAsia" w:ascii="宋体" w:hAnsi="宋体" w:cs="宋体"/>
                <w:sz w:val="24"/>
              </w:rPr>
            </w:pPr>
            <w:r>
              <w:rPr>
                <w:rFonts w:hint="eastAsia" w:ascii="宋体" w:hAnsi="宋体" w:cs="宋体"/>
                <w:kern w:val="0"/>
                <w:sz w:val="24"/>
                <w:lang w:bidi="ar"/>
              </w:rPr>
              <w:t xml:space="preserve">    系统为新生儿SMA筛查提供完整的申请单管理功能，支持申请单的录入、修改与删除操作，并设有专用功能页面统一处理筛查申请业务。</w:t>
            </w:r>
            <w:r>
              <w:rPr>
                <w:rFonts w:hint="eastAsia" w:ascii="宋体" w:hAnsi="宋体" w:cs="宋体"/>
                <w:kern w:val="0"/>
                <w:sz w:val="24"/>
                <w:lang w:bidi="ar"/>
              </w:rPr>
              <w:br w:type="textWrapping"/>
            </w:r>
            <w:r>
              <w:rPr>
                <w:rFonts w:hint="eastAsia" w:ascii="宋体" w:hAnsi="宋体" w:cs="宋体"/>
                <w:kern w:val="0"/>
                <w:sz w:val="24"/>
                <w:lang w:bidi="ar"/>
              </w:rPr>
              <w:t xml:space="preserve">    系统提供多维度查询方式，既可按照母亲姓名、采血编号进行精确检索，也可根据筛查分类、血片分类、采血时间范围、采血单位、费用分类等条件进行批量筛选，同时支持多条件组合查询。</w:t>
            </w:r>
            <w:r>
              <w:rPr>
                <w:rFonts w:hint="eastAsia" w:ascii="宋体" w:hAnsi="宋体" w:cs="宋体"/>
                <w:kern w:val="0"/>
                <w:sz w:val="24"/>
                <w:lang w:bidi="ar"/>
              </w:rPr>
              <w:br w:type="textWrapping"/>
            </w:r>
            <w:r>
              <w:rPr>
                <w:rFonts w:hint="eastAsia" w:ascii="宋体" w:hAnsi="宋体" w:cs="宋体"/>
                <w:kern w:val="0"/>
                <w:sz w:val="24"/>
                <w:lang w:bidi="ar"/>
              </w:rPr>
              <w:t xml:space="preserve">    系统还支持知情同意书的打印功能，并可将申请记录导出为Excel格式，便于数据存档与统计分析。</w:t>
            </w:r>
          </w:p>
        </w:tc>
      </w:tr>
      <w:tr w14:paraId="737B90D9">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B27B5F6">
            <w:pPr>
              <w:widowControl/>
              <w:jc w:val="center"/>
              <w:textAlignment w:val="center"/>
              <w:rPr>
                <w:rFonts w:hint="eastAsia" w:ascii="宋体" w:hAnsi="宋体" w:cs="宋体"/>
                <w:sz w:val="24"/>
              </w:rPr>
            </w:pPr>
            <w:r>
              <w:rPr>
                <w:rFonts w:hint="eastAsia" w:ascii="宋体" w:hAnsi="宋体" w:cs="宋体"/>
                <w:kern w:val="0"/>
                <w:sz w:val="24"/>
                <w:lang w:bidi="ar"/>
              </w:rPr>
              <w:t>221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D7C87C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D724019">
            <w:pPr>
              <w:widowControl/>
              <w:jc w:val="center"/>
              <w:textAlignment w:val="center"/>
              <w:rPr>
                <w:rFonts w:hint="eastAsia" w:ascii="宋体" w:hAnsi="宋体" w:cs="宋体"/>
                <w:sz w:val="24"/>
              </w:rPr>
            </w:pPr>
            <w:r>
              <w:rPr>
                <w:rFonts w:hint="eastAsia" w:ascii="宋体" w:hAnsi="宋体" w:cs="宋体"/>
                <w:kern w:val="0"/>
                <w:sz w:val="24"/>
                <w:lang w:bidi="ar"/>
              </w:rPr>
              <w:t>流程管理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311F89D">
            <w:pPr>
              <w:widowControl/>
              <w:textAlignment w:val="center"/>
              <w:rPr>
                <w:rFonts w:hint="eastAsia" w:ascii="宋体" w:hAnsi="宋体" w:cs="宋体"/>
                <w:sz w:val="24"/>
              </w:rPr>
            </w:pPr>
            <w:r>
              <w:rPr>
                <w:rFonts w:hint="eastAsia" w:ascii="宋体" w:hAnsi="宋体" w:cs="宋体"/>
                <w:kern w:val="0"/>
                <w:sz w:val="24"/>
                <w:lang w:bidi="ar"/>
              </w:rPr>
              <w:t xml:space="preserve">    系统全面支持新生儿SMA筛查申请单的多级流转与送检管理。基层单位可根据实际情况灵活选择送检路径，既可先将申请单上报至筛查分中心进行初审，也可直接送检至筛查中心。</w:t>
            </w:r>
            <w:r>
              <w:rPr>
                <w:rFonts w:hint="eastAsia" w:ascii="宋体" w:hAnsi="宋体" w:cs="宋体"/>
                <w:kern w:val="0"/>
                <w:sz w:val="24"/>
                <w:lang w:bidi="ar"/>
              </w:rPr>
              <w:br w:type="textWrapping"/>
            </w:r>
            <w:r>
              <w:rPr>
                <w:rFonts w:hint="eastAsia" w:ascii="宋体" w:hAnsi="宋体" w:cs="宋体"/>
                <w:kern w:val="0"/>
                <w:sz w:val="24"/>
                <w:lang w:bidi="ar"/>
              </w:rPr>
              <w:t xml:space="preserve">    在申请单未被接收前，系统允许基层单位对已上报或送检的申请单进行撤回操作。对于提交的申请单，筛查分中心与筛查中心均可进行接收或驳回处理；当采血卡被驳回时，基层单位可执行重采操作，实现了对筛查申请流转全过程的闭环管理与质量监控。</w:t>
            </w:r>
          </w:p>
        </w:tc>
      </w:tr>
      <w:tr w14:paraId="021B9EDA">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670D1A9">
            <w:pPr>
              <w:widowControl/>
              <w:jc w:val="center"/>
              <w:textAlignment w:val="center"/>
              <w:rPr>
                <w:rFonts w:hint="eastAsia" w:ascii="宋体" w:hAnsi="宋体" w:cs="宋体"/>
                <w:sz w:val="24"/>
              </w:rPr>
            </w:pPr>
            <w:r>
              <w:rPr>
                <w:rFonts w:hint="eastAsia" w:ascii="宋体" w:hAnsi="宋体" w:cs="宋体"/>
                <w:kern w:val="0"/>
                <w:sz w:val="24"/>
                <w:lang w:bidi="ar"/>
              </w:rPr>
              <w:t>222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12831E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E0F989A">
            <w:pPr>
              <w:widowControl/>
              <w:jc w:val="center"/>
              <w:textAlignment w:val="center"/>
              <w:rPr>
                <w:rFonts w:hint="eastAsia" w:ascii="宋体" w:hAnsi="宋体" w:cs="宋体"/>
                <w:sz w:val="24"/>
              </w:rPr>
            </w:pPr>
            <w:r>
              <w:rPr>
                <w:rFonts w:hint="eastAsia" w:ascii="宋体" w:hAnsi="宋体" w:cs="宋体"/>
                <w:kern w:val="0"/>
                <w:sz w:val="24"/>
                <w:lang w:bidi="ar"/>
              </w:rPr>
              <w:t>申请单管理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75E276F">
            <w:pPr>
              <w:widowControl/>
              <w:textAlignment w:val="center"/>
              <w:rPr>
                <w:rFonts w:hint="eastAsia" w:ascii="宋体" w:hAnsi="宋体" w:cs="宋体"/>
                <w:sz w:val="24"/>
              </w:rPr>
            </w:pPr>
            <w:r>
              <w:rPr>
                <w:rFonts w:hint="eastAsia" w:ascii="宋体" w:hAnsi="宋体" w:cs="宋体"/>
                <w:kern w:val="0"/>
                <w:sz w:val="24"/>
                <w:lang w:bidi="ar"/>
              </w:rPr>
              <w:t xml:space="preserve">    系统构建了完善的新生儿SMA筛查申请单状态管理体系，为基层单位、筛查分中心和筛查中心提供分角色、分状态的精细化数据管理功能。各机构均可通过专属功能页面对权限范围内的各类申请单记录进行查看和Excel导出操作。</w:t>
            </w:r>
            <w:r>
              <w:rPr>
                <w:rFonts w:hint="eastAsia" w:ascii="宋体" w:hAnsi="宋体" w:cs="宋体"/>
                <w:kern w:val="0"/>
                <w:sz w:val="24"/>
                <w:lang w:bidi="ar"/>
              </w:rPr>
              <w:br w:type="textWrapping"/>
            </w:r>
            <w:r>
              <w:rPr>
                <w:rFonts w:hint="eastAsia" w:ascii="宋体" w:hAnsi="宋体" w:cs="宋体"/>
                <w:kern w:val="0"/>
                <w:sz w:val="24"/>
                <w:lang w:bidi="ar"/>
              </w:rPr>
              <w:t xml:space="preserve">    基层单位可管理未上报、已上报、未被接收、退回和待复筛的申请单；筛查分中心可处理未接收、未上报、已上报、退回和待复筛的申请单；筛查中心则负责未接收、已送检、退回和待复筛的申请单。</w:t>
            </w:r>
            <w:r>
              <w:rPr>
                <w:rFonts w:hint="eastAsia" w:ascii="宋体" w:hAnsi="宋体" w:cs="宋体"/>
                <w:kern w:val="0"/>
                <w:sz w:val="24"/>
                <w:lang w:bidi="ar"/>
              </w:rPr>
              <w:br w:type="textWrapping"/>
            </w:r>
            <w:r>
              <w:rPr>
                <w:rFonts w:hint="eastAsia" w:ascii="宋体" w:hAnsi="宋体" w:cs="宋体"/>
                <w:kern w:val="0"/>
                <w:sz w:val="24"/>
                <w:lang w:bidi="ar"/>
              </w:rPr>
              <w:t xml:space="preserve">   系统确保每个状态类型的申请单都支持专门的查询页面和导出功能，实现了多级机构间申请单流转的全过程可视化跟踪与闭环管理。</w:t>
            </w:r>
          </w:p>
        </w:tc>
      </w:tr>
      <w:tr w14:paraId="30A4F299">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8A9B648">
            <w:pPr>
              <w:widowControl/>
              <w:jc w:val="center"/>
              <w:textAlignment w:val="center"/>
              <w:rPr>
                <w:rFonts w:hint="eastAsia" w:ascii="宋体" w:hAnsi="宋体" w:cs="宋体"/>
                <w:sz w:val="24"/>
              </w:rPr>
            </w:pPr>
            <w:r>
              <w:rPr>
                <w:rFonts w:hint="eastAsia" w:ascii="宋体" w:hAnsi="宋体" w:cs="宋体"/>
                <w:kern w:val="0"/>
                <w:sz w:val="24"/>
                <w:lang w:bidi="ar"/>
              </w:rPr>
              <w:t>223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1C2E4F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CD79FFE">
            <w:pPr>
              <w:widowControl/>
              <w:jc w:val="center"/>
              <w:textAlignment w:val="center"/>
              <w:rPr>
                <w:rFonts w:hint="eastAsia" w:ascii="宋体" w:hAnsi="宋体" w:cs="宋体"/>
                <w:sz w:val="24"/>
              </w:rPr>
            </w:pPr>
            <w:r>
              <w:rPr>
                <w:rFonts w:hint="eastAsia" w:ascii="宋体" w:hAnsi="宋体" w:cs="宋体"/>
                <w:kern w:val="0"/>
                <w:sz w:val="24"/>
                <w:lang w:bidi="ar"/>
              </w:rPr>
              <w:t>实验室管理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721A433">
            <w:pPr>
              <w:widowControl/>
              <w:textAlignment w:val="center"/>
              <w:rPr>
                <w:rFonts w:hint="eastAsia" w:ascii="宋体" w:hAnsi="宋体" w:cs="宋体"/>
                <w:sz w:val="24"/>
              </w:rPr>
            </w:pPr>
            <w:r>
              <w:rPr>
                <w:rFonts w:hint="eastAsia" w:ascii="宋体" w:hAnsi="宋体" w:cs="宋体"/>
                <w:kern w:val="0"/>
                <w:sz w:val="24"/>
                <w:lang w:bidi="ar"/>
              </w:rPr>
              <w:t xml:space="preserve">    系统实现了与检测实验室的完整数据对接，支持按照标准接口规范导出新生儿SMA筛查申请单至检测机构；在实验完成后，系统可自动接收并上传检测机构返回的筛查结果，形成从样本送检到结果返回的全流程数字化闭环管理。</w:t>
            </w:r>
          </w:p>
        </w:tc>
      </w:tr>
      <w:tr w14:paraId="10302DB3">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2FBA8A8">
            <w:pPr>
              <w:widowControl/>
              <w:jc w:val="center"/>
              <w:textAlignment w:val="center"/>
              <w:rPr>
                <w:rFonts w:hint="eastAsia" w:ascii="宋体" w:hAnsi="宋体" w:cs="宋体"/>
                <w:sz w:val="24"/>
              </w:rPr>
            </w:pPr>
            <w:r>
              <w:rPr>
                <w:rFonts w:hint="eastAsia" w:ascii="宋体" w:hAnsi="宋体" w:cs="宋体"/>
                <w:kern w:val="0"/>
                <w:sz w:val="24"/>
                <w:lang w:bidi="ar"/>
              </w:rPr>
              <w:t>224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B81FD0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4D53176">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11D76AFD">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系统为基层单位、筛查分中心和筛查中心提供统一的新生儿SMA筛查结果管理平台，各机构可通过专属功能页面查看权限范围内的筛查结果。</w:t>
            </w:r>
            <w:r>
              <w:rPr>
                <w:rFonts w:hint="eastAsia" w:ascii="宋体" w:hAnsi="宋体" w:cs="宋体"/>
                <w:kern w:val="0"/>
                <w:sz w:val="24"/>
                <w:lang w:bidi="ar"/>
              </w:rPr>
              <w:br w:type="textWrapping"/>
            </w:r>
            <w:r>
              <w:rPr>
                <w:rFonts w:hint="eastAsia" w:ascii="宋体" w:hAnsi="宋体" w:cs="宋体"/>
                <w:kern w:val="0"/>
                <w:sz w:val="24"/>
                <w:lang w:bidi="ar"/>
              </w:rPr>
              <w:t xml:space="preserve">    筛查中心还具备筛查结果的删除权限，实现了筛查结果在各级机构间的安全共享与规范管理。</w:t>
            </w:r>
          </w:p>
        </w:tc>
      </w:tr>
      <w:tr w14:paraId="2D8BA2CA">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355F1F0">
            <w:pPr>
              <w:widowControl/>
              <w:jc w:val="center"/>
              <w:textAlignment w:val="center"/>
              <w:rPr>
                <w:rFonts w:hint="eastAsia" w:ascii="宋体" w:hAnsi="宋体" w:cs="宋体"/>
                <w:sz w:val="24"/>
              </w:rPr>
            </w:pPr>
            <w:r>
              <w:rPr>
                <w:rFonts w:hint="eastAsia" w:ascii="宋体" w:hAnsi="宋体" w:cs="宋体"/>
                <w:kern w:val="0"/>
                <w:sz w:val="24"/>
                <w:lang w:bidi="ar"/>
              </w:rPr>
              <w:t>225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32F49B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82C0743">
            <w:pPr>
              <w:widowControl/>
              <w:jc w:val="center"/>
              <w:textAlignment w:val="center"/>
              <w:rPr>
                <w:rFonts w:hint="eastAsia" w:ascii="宋体" w:hAnsi="宋体" w:cs="宋体"/>
                <w:sz w:val="24"/>
              </w:rPr>
            </w:pPr>
            <w:r>
              <w:rPr>
                <w:rFonts w:hint="eastAsia" w:ascii="宋体" w:hAnsi="宋体" w:cs="宋体"/>
                <w:kern w:val="0"/>
                <w:sz w:val="24"/>
                <w:lang w:bidi="ar"/>
              </w:rPr>
              <w:t>动态追踪</w:t>
            </w:r>
          </w:p>
        </w:tc>
        <w:tc>
          <w:tcPr>
            <w:tcW w:w="9687" w:type="dxa"/>
            <w:tcBorders>
              <w:top w:val="single" w:color="000000" w:sz="4" w:space="0"/>
              <w:left w:val="single" w:color="000000" w:sz="4" w:space="0"/>
              <w:bottom w:val="single" w:color="000000" w:sz="4" w:space="0"/>
              <w:right w:val="single" w:color="000000" w:sz="4" w:space="0"/>
            </w:tcBorders>
            <w:vAlign w:val="center"/>
          </w:tcPr>
          <w:p w14:paraId="0C1F7301">
            <w:pPr>
              <w:widowControl/>
              <w:textAlignment w:val="center"/>
              <w:rPr>
                <w:rFonts w:hint="eastAsia" w:ascii="宋体" w:hAnsi="宋体" w:cs="宋体"/>
                <w:sz w:val="24"/>
              </w:rPr>
            </w:pPr>
            <w:r>
              <w:rPr>
                <w:rFonts w:hint="eastAsia" w:ascii="宋体" w:hAnsi="宋体" w:cs="宋体"/>
                <w:kern w:val="0"/>
                <w:sz w:val="24"/>
                <w:lang w:bidi="ar"/>
              </w:rPr>
              <w:t xml:space="preserve">    系统提供申请单全流程动态跟踪功能，用户可通过专用跟踪页面实时掌握新生儿SMA筛查标本在送检、接收、检测及结果返回等各环节的状态，实现对标本流转全过程的闭环管理与可视化监控。</w:t>
            </w:r>
          </w:p>
        </w:tc>
      </w:tr>
      <w:tr w14:paraId="55428B9D">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0F0E66A">
            <w:pPr>
              <w:widowControl/>
              <w:jc w:val="center"/>
              <w:textAlignment w:val="center"/>
              <w:rPr>
                <w:rFonts w:hint="eastAsia" w:ascii="宋体" w:hAnsi="宋体" w:cs="宋体"/>
                <w:sz w:val="24"/>
              </w:rPr>
            </w:pPr>
            <w:r>
              <w:rPr>
                <w:rFonts w:hint="eastAsia" w:ascii="宋体" w:hAnsi="宋体" w:cs="宋体"/>
                <w:kern w:val="0"/>
                <w:sz w:val="24"/>
                <w:lang w:bidi="ar"/>
              </w:rPr>
              <w:t>226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4C451D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A847D12">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7BEFED1">
            <w:pPr>
              <w:widowControl/>
              <w:textAlignment w:val="center"/>
              <w:rPr>
                <w:rFonts w:hint="eastAsia" w:ascii="宋体" w:hAnsi="宋体" w:cs="宋体"/>
                <w:sz w:val="24"/>
              </w:rPr>
            </w:pPr>
            <w:r>
              <w:rPr>
                <w:rFonts w:hint="eastAsia" w:ascii="宋体" w:hAnsi="宋体" w:cs="宋体"/>
                <w:kern w:val="0"/>
                <w:sz w:val="24"/>
                <w:lang w:bidi="ar"/>
              </w:rPr>
              <w:t xml:space="preserve">    系统提供完整的随访信息管理功能，支持对新生儿SMA筛查随访记录进行新增、修改和删除操作，用户可通过随访功能页面便捷地开展随访信息维护工作，实现随访过程的规范化管理。</w:t>
            </w:r>
          </w:p>
        </w:tc>
      </w:tr>
      <w:tr w14:paraId="1D0035F7">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4F2F141">
            <w:pPr>
              <w:widowControl/>
              <w:jc w:val="center"/>
              <w:textAlignment w:val="center"/>
              <w:rPr>
                <w:rFonts w:hint="eastAsia" w:ascii="宋体" w:hAnsi="宋体" w:cs="宋体"/>
                <w:sz w:val="24"/>
              </w:rPr>
            </w:pPr>
            <w:r>
              <w:rPr>
                <w:rFonts w:hint="eastAsia" w:ascii="宋体" w:hAnsi="宋体" w:cs="宋体"/>
                <w:kern w:val="0"/>
                <w:sz w:val="24"/>
                <w:lang w:bidi="ar"/>
              </w:rPr>
              <w:t>227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71E480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BEAA88">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60A109C2">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系统提供全面的新生儿SMA筛查数据管理功能，支持采血花名册和SMA筛查结果的查询与导出操作，实现从采血到结果追踪的全流程数据可追溯管理。</w:t>
            </w:r>
          </w:p>
        </w:tc>
      </w:tr>
      <w:tr w14:paraId="79934D30">
        <w:tblPrEx>
          <w:tblCellMar>
            <w:top w:w="0" w:type="dxa"/>
            <w:left w:w="108" w:type="dxa"/>
            <w:bottom w:w="0" w:type="dxa"/>
            <w:right w:w="108" w:type="dxa"/>
          </w:tblCellMar>
        </w:tblPrEx>
        <w:trPr>
          <w:trHeight w:val="85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C22FA15">
            <w:pPr>
              <w:widowControl/>
              <w:jc w:val="center"/>
              <w:textAlignment w:val="center"/>
              <w:rPr>
                <w:rFonts w:hint="eastAsia" w:ascii="宋体" w:hAnsi="宋体" w:cs="宋体"/>
                <w:sz w:val="24"/>
              </w:rPr>
            </w:pPr>
            <w:r>
              <w:rPr>
                <w:rFonts w:hint="eastAsia" w:ascii="宋体" w:hAnsi="宋体" w:cs="宋体"/>
                <w:kern w:val="0"/>
                <w:sz w:val="24"/>
                <w:lang w:bidi="ar"/>
              </w:rPr>
              <w:t>228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4E0B7B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BF3E6C1">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66E851B4">
            <w:pPr>
              <w:widowControl/>
              <w:textAlignment w:val="center"/>
              <w:rPr>
                <w:rFonts w:hint="eastAsia" w:ascii="宋体" w:hAnsi="宋体" w:cs="宋体"/>
                <w:sz w:val="24"/>
              </w:rPr>
            </w:pPr>
            <w:r>
              <w:rPr>
                <w:rFonts w:hint="eastAsia" w:ascii="宋体" w:hAnsi="宋体" w:cs="宋体"/>
                <w:kern w:val="0"/>
                <w:sz w:val="24"/>
                <w:lang w:bidi="ar"/>
              </w:rPr>
              <w:t xml:space="preserve">   系统提供新生儿SMA筛查专项统计功能，支持采血统计表和实验室工作量统计，为管理工作提供数据支撑。</w:t>
            </w:r>
          </w:p>
        </w:tc>
      </w:tr>
      <w:tr w14:paraId="215B46A5">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30532BC">
            <w:pPr>
              <w:widowControl/>
              <w:jc w:val="center"/>
              <w:textAlignment w:val="center"/>
              <w:rPr>
                <w:rFonts w:hint="eastAsia" w:ascii="宋体" w:hAnsi="宋体" w:cs="宋体"/>
                <w:sz w:val="24"/>
              </w:rPr>
            </w:pPr>
            <w:r>
              <w:rPr>
                <w:rFonts w:hint="eastAsia" w:ascii="宋体" w:hAnsi="宋体" w:cs="宋体"/>
                <w:kern w:val="0"/>
                <w:sz w:val="24"/>
                <w:lang w:bidi="ar"/>
              </w:rPr>
              <w:t>229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978195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F71A7B4">
            <w:pPr>
              <w:widowControl/>
              <w:jc w:val="center"/>
              <w:textAlignment w:val="center"/>
              <w:rPr>
                <w:rFonts w:hint="eastAsia" w:ascii="宋体" w:hAnsi="宋体" w:cs="宋体"/>
                <w:sz w:val="24"/>
              </w:rPr>
            </w:pPr>
            <w:r>
              <w:rPr>
                <w:rFonts w:hint="eastAsia" w:ascii="宋体" w:hAnsi="宋体" w:cs="宋体"/>
                <w:kern w:val="0"/>
                <w:sz w:val="24"/>
                <w:lang w:bidi="ar"/>
              </w:rPr>
              <w:t>微信结果查询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363B7098">
            <w:pPr>
              <w:widowControl/>
              <w:textAlignment w:val="center"/>
              <w:rPr>
                <w:rFonts w:hint="eastAsia" w:ascii="宋体" w:hAnsi="宋体" w:cs="宋体"/>
                <w:sz w:val="24"/>
              </w:rPr>
            </w:pPr>
            <w:r>
              <w:rPr>
                <w:rFonts w:hint="eastAsia" w:ascii="宋体" w:hAnsi="宋体" w:cs="宋体"/>
                <w:kern w:val="0"/>
                <w:sz w:val="24"/>
                <w:lang w:bidi="ar"/>
              </w:rPr>
              <w:t xml:space="preserve">   系统已开通微信端新生儿SMA筛查结果查询服务，新生儿家属可通过官方微信公众号或指定微信渠道，凭有效身份信息实时查询筛查结果报告。</w:t>
            </w:r>
            <w:r>
              <w:rPr>
                <w:rFonts w:hint="eastAsia" w:ascii="宋体" w:hAnsi="宋体" w:cs="宋体"/>
                <w:kern w:val="0"/>
                <w:sz w:val="24"/>
                <w:lang w:bidi="ar"/>
              </w:rPr>
              <w:br w:type="textWrapping"/>
            </w:r>
            <w:r>
              <w:rPr>
                <w:rFonts w:hint="eastAsia" w:ascii="宋体" w:hAnsi="宋体" w:cs="宋体"/>
                <w:kern w:val="0"/>
                <w:sz w:val="24"/>
                <w:lang w:bidi="ar"/>
              </w:rPr>
              <w:t xml:space="preserve">    该功能为服务对象提供了便捷的结果获取方式，有效缩短传统线下查询的等待时间，提升了筛查服务的整体效率与用户体验。</w:t>
            </w:r>
          </w:p>
        </w:tc>
      </w:tr>
      <w:tr w14:paraId="6618AFE5">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5B1F019">
            <w:pPr>
              <w:widowControl/>
              <w:jc w:val="center"/>
              <w:textAlignment w:val="center"/>
              <w:rPr>
                <w:rFonts w:hint="eastAsia" w:ascii="宋体" w:hAnsi="宋体" w:cs="宋体"/>
                <w:sz w:val="24"/>
              </w:rPr>
            </w:pPr>
            <w:r>
              <w:rPr>
                <w:rFonts w:hint="eastAsia" w:ascii="宋体" w:hAnsi="宋体" w:cs="宋体"/>
                <w:kern w:val="0"/>
                <w:sz w:val="24"/>
                <w:lang w:bidi="ar"/>
              </w:rPr>
              <w:t>230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654C5D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D36FCB6">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118994A8">
            <w:pPr>
              <w:widowControl/>
              <w:textAlignment w:val="center"/>
              <w:rPr>
                <w:rFonts w:hint="eastAsia" w:ascii="宋体" w:hAnsi="宋体" w:cs="宋体"/>
                <w:sz w:val="24"/>
              </w:rPr>
            </w:pPr>
            <w:r>
              <w:rPr>
                <w:rFonts w:hint="eastAsia" w:ascii="宋体" w:hAnsi="宋体" w:cs="宋体"/>
                <w:kern w:val="0"/>
                <w:sz w:val="24"/>
                <w:lang w:bidi="ar"/>
              </w:rPr>
              <w:t xml:space="preserve">    系统为基层单位、筛查分中心和筛查中心提供统一的报告单打印功能，各机构均可通过专用打印页面生成标准化新生儿SMA筛查报告单，满足不同层级机构的业务输出需求。</w:t>
            </w:r>
          </w:p>
        </w:tc>
      </w:tr>
      <w:tr w14:paraId="4A0F7323">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C20CD3D">
            <w:pPr>
              <w:widowControl/>
              <w:jc w:val="center"/>
              <w:textAlignment w:val="center"/>
              <w:rPr>
                <w:rFonts w:hint="eastAsia" w:ascii="宋体" w:hAnsi="宋体" w:cs="宋体"/>
                <w:sz w:val="24"/>
              </w:rPr>
            </w:pPr>
            <w:r>
              <w:rPr>
                <w:rFonts w:hint="eastAsia" w:ascii="宋体" w:hAnsi="宋体" w:cs="宋体"/>
                <w:kern w:val="0"/>
                <w:sz w:val="24"/>
                <w:lang w:bidi="ar"/>
              </w:rPr>
              <w:t>231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16E905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9A3A0F6">
            <w:pPr>
              <w:widowControl/>
              <w:jc w:val="center"/>
              <w:textAlignment w:val="center"/>
              <w:rPr>
                <w:rFonts w:hint="eastAsia" w:ascii="宋体" w:hAnsi="宋体" w:cs="宋体"/>
                <w:sz w:val="24"/>
              </w:rPr>
            </w:pPr>
            <w:r>
              <w:rPr>
                <w:rFonts w:hint="eastAsia" w:ascii="宋体" w:hAnsi="宋体" w:cs="宋体"/>
                <w:kern w:val="0"/>
                <w:sz w:val="24"/>
                <w:lang w:bidi="ar"/>
              </w:rPr>
              <w:t>分析软件接口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5562CAEB">
            <w:pPr>
              <w:widowControl/>
              <w:textAlignment w:val="center"/>
              <w:rPr>
                <w:rFonts w:hint="eastAsia" w:ascii="宋体" w:hAnsi="宋体" w:cs="宋体"/>
                <w:sz w:val="24"/>
              </w:rPr>
            </w:pPr>
            <w:r>
              <w:rPr>
                <w:rFonts w:hint="eastAsia" w:ascii="宋体" w:hAnsi="宋体" w:cs="宋体"/>
                <w:kern w:val="0"/>
                <w:sz w:val="24"/>
                <w:lang w:bidi="ar"/>
              </w:rPr>
              <w:t xml:space="preserve">    系统实现了与风险分析系统的数据对接，支持将新生儿SMA筛查申请信息上传至风险分析系统，并能够自动获取该系统生成的检测报告，确保从样本送检到报告返回的全流程自动化处理。</w:t>
            </w:r>
          </w:p>
        </w:tc>
      </w:tr>
      <w:tr w14:paraId="0295E2F7">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DC0D06B">
            <w:pPr>
              <w:widowControl/>
              <w:jc w:val="center"/>
              <w:textAlignment w:val="center"/>
              <w:rPr>
                <w:rFonts w:hint="eastAsia" w:ascii="宋体" w:hAnsi="宋体" w:cs="宋体"/>
                <w:sz w:val="24"/>
              </w:rPr>
            </w:pPr>
            <w:r>
              <w:rPr>
                <w:rFonts w:hint="eastAsia" w:ascii="宋体" w:hAnsi="宋体" w:cs="宋体"/>
                <w:kern w:val="0"/>
                <w:sz w:val="24"/>
                <w:lang w:bidi="ar"/>
              </w:rPr>
              <w:t>233</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9087661">
            <w:pPr>
              <w:widowControl/>
              <w:jc w:val="center"/>
              <w:textAlignment w:val="center"/>
              <w:rPr>
                <w:rFonts w:hint="eastAsia" w:ascii="宋体" w:hAnsi="宋体" w:cs="宋体"/>
                <w:sz w:val="24"/>
              </w:rPr>
            </w:pPr>
            <w:r>
              <w:rPr>
                <w:rFonts w:hint="eastAsia" w:ascii="宋体" w:hAnsi="宋体" w:cs="宋体"/>
                <w:kern w:val="0"/>
                <w:sz w:val="24"/>
                <w:lang w:bidi="ar"/>
              </w:rPr>
              <w:t>新生儿先心病筛查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54B25B73">
            <w:pPr>
              <w:widowControl/>
              <w:jc w:val="center"/>
              <w:textAlignment w:val="center"/>
              <w:rPr>
                <w:rFonts w:hint="eastAsia" w:ascii="宋体" w:hAnsi="宋体" w:cs="宋体"/>
                <w:sz w:val="24"/>
              </w:rPr>
            </w:pPr>
            <w:r>
              <w:rPr>
                <w:rFonts w:hint="eastAsia" w:ascii="宋体" w:hAnsi="宋体" w:cs="宋体"/>
                <w:kern w:val="0"/>
                <w:sz w:val="24"/>
                <w:lang w:bidi="ar"/>
              </w:rPr>
              <w:t>筛查个案管理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96B407D">
            <w:pPr>
              <w:widowControl/>
              <w:textAlignment w:val="center"/>
              <w:rPr>
                <w:rFonts w:hint="eastAsia" w:ascii="宋体" w:hAnsi="宋体" w:cs="宋体"/>
                <w:sz w:val="24"/>
              </w:rPr>
            </w:pPr>
            <w:r>
              <w:rPr>
                <w:rFonts w:hint="eastAsia" w:ascii="宋体" w:hAnsi="宋体" w:cs="宋体"/>
                <w:kern w:val="0"/>
                <w:sz w:val="24"/>
                <w:lang w:bidi="ar"/>
              </w:rPr>
              <w:t xml:space="preserve">    为服务对象提供全面的新生儿先心病筛查档案管理功能，支持新建、修改与删除筛查档案，并可实现与“健苗工程”系统中儿童档案的信息共享，有效避免重复建档。</w:t>
            </w:r>
            <w:r>
              <w:rPr>
                <w:rFonts w:hint="eastAsia" w:ascii="宋体" w:hAnsi="宋体" w:cs="宋体"/>
                <w:kern w:val="0"/>
                <w:sz w:val="24"/>
                <w:lang w:bidi="ar"/>
              </w:rPr>
              <w:br w:type="textWrapping"/>
            </w:r>
            <w:r>
              <w:rPr>
                <w:rFonts w:hint="eastAsia" w:ascii="宋体" w:hAnsi="宋体" w:cs="宋体"/>
                <w:kern w:val="0"/>
                <w:sz w:val="24"/>
                <w:lang w:bidi="ar"/>
              </w:rPr>
              <w:t xml:space="preserve">对于已存在儿童档案的服务对象，系统将自动识别，无需重复建立筛查档案。可以灵活设置筛查个案中相关的高危因素字典，供医生选择，减少医生工作量。此外，系统还支持一键打开筛查个案管理页面，便于用户查看个案详情。 </w:t>
            </w:r>
          </w:p>
        </w:tc>
      </w:tr>
      <w:tr w14:paraId="7BB83190">
        <w:tblPrEx>
          <w:tblCellMar>
            <w:top w:w="0" w:type="dxa"/>
            <w:left w:w="108" w:type="dxa"/>
            <w:bottom w:w="0" w:type="dxa"/>
            <w:right w:w="108" w:type="dxa"/>
          </w:tblCellMar>
        </w:tblPrEx>
        <w:trPr>
          <w:trHeight w:val="427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B30D241">
            <w:pPr>
              <w:widowControl/>
              <w:jc w:val="center"/>
              <w:textAlignment w:val="center"/>
              <w:rPr>
                <w:rFonts w:hint="eastAsia" w:ascii="宋体" w:hAnsi="宋体" w:cs="宋体"/>
                <w:sz w:val="24"/>
              </w:rPr>
            </w:pPr>
            <w:r>
              <w:rPr>
                <w:rFonts w:hint="eastAsia" w:ascii="宋体" w:hAnsi="宋体" w:cs="宋体"/>
                <w:kern w:val="0"/>
                <w:sz w:val="24"/>
                <w:lang w:bidi="ar"/>
              </w:rPr>
              <w:t>234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AFEEE1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101D1F6">
            <w:pPr>
              <w:widowControl/>
              <w:jc w:val="center"/>
              <w:textAlignment w:val="center"/>
              <w:rPr>
                <w:rFonts w:hint="eastAsia" w:ascii="宋体" w:hAnsi="宋体" w:cs="宋体"/>
                <w:sz w:val="24"/>
              </w:rPr>
            </w:pPr>
            <w:r>
              <w:rPr>
                <w:rFonts w:hint="eastAsia" w:ascii="宋体" w:hAnsi="宋体" w:cs="宋体"/>
                <w:kern w:val="0"/>
                <w:sz w:val="24"/>
                <w:lang w:bidi="ar"/>
              </w:rPr>
              <w:t>筛查管理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DE094C6">
            <w:pPr>
              <w:widowControl/>
              <w:textAlignment w:val="center"/>
              <w:rPr>
                <w:rFonts w:hint="eastAsia" w:ascii="宋体" w:hAnsi="宋体" w:cs="宋体"/>
                <w:sz w:val="24"/>
              </w:rPr>
            </w:pPr>
            <w:r>
              <w:rPr>
                <w:rFonts w:hint="eastAsia" w:ascii="宋体" w:hAnsi="宋体" w:cs="宋体"/>
                <w:kern w:val="0"/>
                <w:sz w:val="24"/>
                <w:lang w:bidi="ar"/>
              </w:rPr>
              <w:t xml:space="preserve">    先心病筛查管理以筛查信息的全生命周期管理为基础，支持对筛查记录进行新增、修改与删除，保障了数据的完整性与灵活性。模块的核心在于引入智能化判断机制：系统能够根据录入的血氧饱和度数值自动判断筛查结果，有效减少了人工误判，提升了筛查的准确性与效率。对于“可疑”的个案，模块提供了无缝的转诊衔接流程。系统支持灵活配置转诊合作单位，医护人员可一键为可疑者填写转诊信息，并打印标准化的转诊单，打通了从初级筛查到上级诊断的关键环节。所有功能均整合在一个统一的筛查页面中，实现了从筛查录入、智能判断到转诊管理的全流程线上操作，构建了“筛查-识别-转诊”的标准化工作闭环，显著提升了先心病早期发现的效率与成功率。</w:t>
            </w:r>
          </w:p>
        </w:tc>
      </w:tr>
      <w:tr w14:paraId="1050D1CF">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4526602">
            <w:pPr>
              <w:widowControl/>
              <w:jc w:val="center"/>
              <w:textAlignment w:val="center"/>
              <w:rPr>
                <w:rFonts w:hint="eastAsia" w:ascii="宋体" w:hAnsi="宋体" w:cs="宋体"/>
                <w:sz w:val="24"/>
              </w:rPr>
            </w:pPr>
            <w:r>
              <w:rPr>
                <w:rFonts w:hint="eastAsia" w:ascii="宋体" w:hAnsi="宋体" w:cs="宋体"/>
                <w:kern w:val="0"/>
                <w:sz w:val="24"/>
                <w:lang w:bidi="ar"/>
              </w:rPr>
              <w:t>235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8204EF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A8142D4">
            <w:pPr>
              <w:widowControl/>
              <w:jc w:val="center"/>
              <w:textAlignment w:val="center"/>
              <w:rPr>
                <w:rFonts w:hint="eastAsia" w:ascii="宋体" w:hAnsi="宋体" w:cs="宋体"/>
                <w:sz w:val="24"/>
              </w:rPr>
            </w:pPr>
            <w:r>
              <w:rPr>
                <w:rFonts w:hint="eastAsia" w:ascii="宋体" w:hAnsi="宋体" w:cs="宋体"/>
                <w:kern w:val="0"/>
                <w:sz w:val="24"/>
                <w:lang w:bidi="ar"/>
              </w:rPr>
              <w:t>B超筛查管理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BED793C">
            <w:pPr>
              <w:widowControl/>
              <w:textAlignment w:val="center"/>
              <w:rPr>
                <w:rFonts w:hint="eastAsia" w:ascii="宋体" w:hAnsi="宋体" w:cs="宋体"/>
                <w:sz w:val="24"/>
              </w:rPr>
            </w:pPr>
            <w:r>
              <w:rPr>
                <w:rFonts w:hint="eastAsia" w:ascii="宋体" w:hAnsi="宋体" w:cs="宋体"/>
                <w:kern w:val="0"/>
                <w:sz w:val="24"/>
                <w:lang w:bidi="ar"/>
              </w:rPr>
              <w:t xml:space="preserve">    该模块可以添加儿童的B超筛查结果，当为其增加B超结果异常时，系统可自动将其状态标注为 “待确诊” ，从而在人群中快速标识出需要重点跟进的高危个案，实现诊疗状态的透明化管理。系统支持对B超筛查数据进行修改、删除等维护操作，并允许记录多次复查结果，为医生提供连续、完整的影像数据链条，辅助其进行病情评估。通过灵活设置临床印象字典，系统统一了诊断描述的规范性，确保了数据的一致性与可分析性。所有功能均集成在统一的心脏病B超筛查页面中，实现了一站式管理。</w:t>
            </w:r>
          </w:p>
        </w:tc>
      </w:tr>
      <w:tr w14:paraId="4BCB2473">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78DB1F8">
            <w:pPr>
              <w:widowControl/>
              <w:jc w:val="center"/>
              <w:textAlignment w:val="center"/>
              <w:rPr>
                <w:rFonts w:hint="eastAsia" w:ascii="宋体" w:hAnsi="宋体" w:cs="宋体"/>
                <w:sz w:val="24"/>
              </w:rPr>
            </w:pPr>
            <w:r>
              <w:rPr>
                <w:rFonts w:hint="eastAsia" w:ascii="宋体" w:hAnsi="宋体" w:cs="宋体"/>
                <w:kern w:val="0"/>
                <w:sz w:val="24"/>
                <w:lang w:bidi="ar"/>
              </w:rPr>
              <w:t>236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1F11A4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98B30C5">
            <w:pPr>
              <w:widowControl/>
              <w:jc w:val="center"/>
              <w:textAlignment w:val="center"/>
              <w:rPr>
                <w:rFonts w:hint="eastAsia" w:ascii="宋体" w:hAnsi="宋体" w:cs="宋体"/>
                <w:sz w:val="24"/>
              </w:rPr>
            </w:pPr>
            <w:r>
              <w:rPr>
                <w:rFonts w:hint="eastAsia" w:ascii="宋体" w:hAnsi="宋体" w:cs="宋体"/>
                <w:kern w:val="0"/>
                <w:sz w:val="24"/>
                <w:lang w:bidi="ar"/>
              </w:rPr>
              <w:t>确诊管理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BDB013B">
            <w:pPr>
              <w:widowControl/>
              <w:textAlignment w:val="center"/>
              <w:rPr>
                <w:rFonts w:hint="eastAsia" w:ascii="宋体" w:hAnsi="宋体" w:cs="宋体"/>
                <w:sz w:val="24"/>
              </w:rPr>
            </w:pPr>
            <w:r>
              <w:rPr>
                <w:rFonts w:hint="eastAsia" w:ascii="宋体" w:hAnsi="宋体" w:cs="宋体"/>
                <w:kern w:val="0"/>
                <w:sz w:val="24"/>
                <w:lang w:bidi="ar"/>
              </w:rPr>
              <w:t xml:space="preserve">    医疗人员在专用的确诊页面上，对患儿的最终诊断数据进行新增、修改与删除，确保诊断结论的准确性与可维护性。对于经确诊并需要进一步治疗的患儿，系统提供了无缝的治疗转诊通路，支持医护人员根据病情和资源情况，灵活设置并选择目标治疗单位，高效完成治疗分流。同时，系统支持上传确诊相关的医学影像报告、诊断书等关键附件，将线下分散的纸质文件转化为集中管理的电子档案，为确诊结论提供了坚实的证据支持，也便于日后调阅与核查。</w:t>
            </w:r>
          </w:p>
        </w:tc>
      </w:tr>
      <w:tr w14:paraId="5D45C77C">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B423EE5">
            <w:pPr>
              <w:widowControl/>
              <w:jc w:val="center"/>
              <w:textAlignment w:val="center"/>
              <w:rPr>
                <w:rFonts w:hint="eastAsia" w:ascii="宋体" w:hAnsi="宋体" w:cs="宋体"/>
                <w:sz w:val="24"/>
              </w:rPr>
            </w:pPr>
            <w:r>
              <w:rPr>
                <w:rFonts w:hint="eastAsia" w:ascii="宋体" w:hAnsi="宋体" w:cs="宋体"/>
                <w:kern w:val="0"/>
                <w:sz w:val="24"/>
                <w:lang w:bidi="ar"/>
              </w:rPr>
              <w:t>237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773BF5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E8058E1">
            <w:pPr>
              <w:widowControl/>
              <w:jc w:val="center"/>
              <w:textAlignment w:val="center"/>
              <w:rPr>
                <w:rFonts w:hint="eastAsia" w:ascii="宋体" w:hAnsi="宋体" w:cs="宋体"/>
                <w:sz w:val="24"/>
              </w:rPr>
            </w:pPr>
            <w:r>
              <w:rPr>
                <w:rFonts w:hint="eastAsia" w:ascii="宋体" w:hAnsi="宋体" w:cs="宋体"/>
                <w:kern w:val="0"/>
                <w:sz w:val="24"/>
                <w:lang w:bidi="ar"/>
              </w:rPr>
              <w:t>治疗管理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CDE7545">
            <w:pPr>
              <w:widowControl/>
              <w:textAlignment w:val="center"/>
              <w:rPr>
                <w:rFonts w:hint="eastAsia" w:ascii="宋体" w:hAnsi="宋体" w:cs="宋体"/>
                <w:sz w:val="24"/>
              </w:rPr>
            </w:pPr>
            <w:r>
              <w:rPr>
                <w:rFonts w:hint="eastAsia" w:ascii="宋体" w:hAnsi="宋体" w:cs="宋体"/>
                <w:kern w:val="0"/>
                <w:sz w:val="24"/>
                <w:lang w:bidi="ar"/>
              </w:rPr>
              <w:t xml:space="preserve">   治疗管理是在先心病患儿完成确诊与转诊后，于专用的治疗信息页面上，对患儿在接受治疗过程中产生的关键数据进行系统性的记录与维护，支持对治疗数据的新增、修改与删除操作。</w:t>
            </w:r>
          </w:p>
        </w:tc>
      </w:tr>
      <w:tr w14:paraId="2C434DD8">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902BDB5">
            <w:pPr>
              <w:widowControl/>
              <w:jc w:val="center"/>
              <w:textAlignment w:val="center"/>
              <w:rPr>
                <w:rFonts w:hint="eastAsia" w:ascii="宋体" w:hAnsi="宋体" w:cs="宋体"/>
                <w:sz w:val="24"/>
              </w:rPr>
            </w:pPr>
            <w:r>
              <w:rPr>
                <w:rFonts w:hint="eastAsia" w:ascii="宋体" w:hAnsi="宋体" w:cs="宋体"/>
                <w:kern w:val="0"/>
                <w:sz w:val="24"/>
                <w:lang w:bidi="ar"/>
              </w:rPr>
              <w:t>238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934A48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3992F87">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6C12F60">
            <w:pPr>
              <w:widowControl/>
              <w:textAlignment w:val="center"/>
              <w:rPr>
                <w:rFonts w:hint="eastAsia" w:ascii="宋体" w:hAnsi="宋体" w:cs="宋体"/>
                <w:sz w:val="24"/>
              </w:rPr>
            </w:pPr>
            <w:r>
              <w:rPr>
                <w:rFonts w:hint="eastAsia" w:ascii="宋体" w:hAnsi="宋体" w:cs="宋体"/>
                <w:kern w:val="0"/>
                <w:sz w:val="24"/>
                <w:lang w:bidi="ar"/>
              </w:rPr>
              <w:t xml:space="preserve">    随访管理模块可以录入儿童的随访结果，该模块的核心功能是主动的随访计划与执行跟踪。系统支持为每位阳性患儿预约并设置下次随访时间，并据此自动生成清晰的待随访任务列表，有效提醒医护人员按时执行随访，变被动等待为主动管理。医护人员在统一的随访页面中录入每次的随访结果。这一设计确保了随访工作的条理性和执行力，使每一次随访都有记录、可追溯。</w:t>
            </w:r>
          </w:p>
        </w:tc>
      </w:tr>
      <w:tr w14:paraId="599C9CC3">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0E1463">
            <w:pPr>
              <w:widowControl/>
              <w:jc w:val="center"/>
              <w:textAlignment w:val="center"/>
              <w:rPr>
                <w:rFonts w:hint="eastAsia" w:ascii="宋体" w:hAnsi="宋体" w:cs="宋体"/>
                <w:sz w:val="24"/>
              </w:rPr>
            </w:pPr>
            <w:r>
              <w:rPr>
                <w:rFonts w:hint="eastAsia" w:ascii="宋体" w:hAnsi="宋体" w:cs="宋体"/>
                <w:kern w:val="0"/>
                <w:sz w:val="24"/>
                <w:lang w:bidi="ar"/>
              </w:rPr>
              <w:t>239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030E74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F25ED1B">
            <w:pPr>
              <w:widowControl/>
              <w:jc w:val="center"/>
              <w:textAlignment w:val="center"/>
              <w:rPr>
                <w:rFonts w:hint="eastAsia" w:ascii="宋体" w:hAnsi="宋体" w:cs="宋体"/>
                <w:sz w:val="24"/>
              </w:rPr>
            </w:pPr>
            <w:r>
              <w:rPr>
                <w:rFonts w:hint="eastAsia" w:ascii="宋体" w:hAnsi="宋体" w:cs="宋体"/>
                <w:kern w:val="0"/>
                <w:sz w:val="24"/>
                <w:lang w:bidi="ar"/>
              </w:rPr>
              <w:t>待随访列表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2D05FBE0">
            <w:pPr>
              <w:widowControl/>
              <w:textAlignment w:val="center"/>
              <w:rPr>
                <w:rFonts w:hint="eastAsia" w:ascii="宋体" w:hAnsi="宋体" w:cs="宋体"/>
                <w:sz w:val="24"/>
              </w:rPr>
            </w:pPr>
            <w:r>
              <w:rPr>
                <w:rFonts w:hint="eastAsia" w:ascii="宋体" w:hAnsi="宋体" w:cs="宋体"/>
                <w:kern w:val="0"/>
                <w:sz w:val="24"/>
                <w:lang w:bidi="ar"/>
              </w:rPr>
              <w:t xml:space="preserve">    系统将所有处于待随访状态的儿童在待随访列表页面进行统一汇聚和集中展示，使工作人员能够一目了然地掌握全部待办任务。可以直接在待随访列表对儿童进行新增、修改和删除随访数据等全功能操作，实现了任务展示与业务处理的一体化，避免了在多页面间切换的繁琐，极大优化了工作流程。系统可以将待随访名单一键导出。这使得管理人员可以便捷地生成任务报表，用于工作派发、进度核对或线下会议讨论，打通了线上系统管理与线下实际工作的闭环。</w:t>
            </w:r>
          </w:p>
        </w:tc>
      </w:tr>
      <w:tr w14:paraId="3A8E00BE">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836BD41">
            <w:pPr>
              <w:widowControl/>
              <w:jc w:val="center"/>
              <w:textAlignment w:val="center"/>
              <w:rPr>
                <w:rFonts w:hint="eastAsia" w:ascii="宋体" w:hAnsi="宋体" w:cs="宋体"/>
                <w:sz w:val="24"/>
              </w:rPr>
            </w:pPr>
            <w:r>
              <w:rPr>
                <w:rFonts w:hint="eastAsia" w:ascii="宋体" w:hAnsi="宋体" w:cs="宋体"/>
                <w:kern w:val="0"/>
                <w:sz w:val="24"/>
                <w:lang w:bidi="ar"/>
              </w:rPr>
              <w:t>240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074D5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E2EDD92">
            <w:pPr>
              <w:widowControl/>
              <w:jc w:val="center"/>
              <w:textAlignment w:val="center"/>
              <w:rPr>
                <w:rFonts w:hint="eastAsia" w:ascii="宋体" w:hAnsi="宋体" w:cs="宋体"/>
                <w:sz w:val="24"/>
              </w:rPr>
            </w:pPr>
            <w:r>
              <w:rPr>
                <w:rFonts w:hint="eastAsia" w:ascii="宋体" w:hAnsi="宋体" w:cs="宋体"/>
                <w:kern w:val="0"/>
                <w:sz w:val="24"/>
                <w:lang w:bidi="ar"/>
              </w:rPr>
              <w:t>个案信息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36F6F126">
            <w:pPr>
              <w:widowControl/>
              <w:textAlignment w:val="center"/>
              <w:rPr>
                <w:rFonts w:hint="eastAsia" w:ascii="宋体" w:hAnsi="宋体" w:cs="宋体"/>
                <w:sz w:val="24"/>
              </w:rPr>
            </w:pPr>
            <w:r>
              <w:rPr>
                <w:rFonts w:hint="eastAsia" w:ascii="宋体" w:hAnsi="宋体" w:cs="宋体"/>
                <w:kern w:val="0"/>
                <w:sz w:val="24"/>
                <w:lang w:bidi="ar"/>
              </w:rPr>
              <w:t xml:space="preserve">    个案信息列表提供了强大的个案查询功能，允许用户快速定位并列出所有已创建筛查档案的儿童。对于列表中的每一个个案，系统整合并清晰展示其完整的筛查状态与全流程详情实现了对单个儿童筛查历程的穿透式管理。同时，系统支持将查询出的个案列表及关键信息一键导出。所有操作在儿童个案信息tab页面完成，便于高效完成相关操作与信息管理。</w:t>
            </w:r>
          </w:p>
        </w:tc>
      </w:tr>
      <w:tr w14:paraId="37476689">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4BF4CDE">
            <w:pPr>
              <w:widowControl/>
              <w:jc w:val="center"/>
              <w:textAlignment w:val="center"/>
              <w:rPr>
                <w:rFonts w:hint="eastAsia" w:ascii="宋体" w:hAnsi="宋体" w:cs="宋体"/>
                <w:sz w:val="24"/>
              </w:rPr>
            </w:pPr>
            <w:r>
              <w:rPr>
                <w:rFonts w:hint="eastAsia" w:ascii="宋体" w:hAnsi="宋体" w:cs="宋体"/>
                <w:kern w:val="0"/>
                <w:sz w:val="24"/>
                <w:lang w:bidi="ar"/>
              </w:rPr>
              <w:t>241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9F4C44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E1BAE4A">
            <w:pPr>
              <w:widowControl/>
              <w:jc w:val="center"/>
              <w:textAlignment w:val="center"/>
              <w:rPr>
                <w:rFonts w:hint="eastAsia" w:ascii="宋体" w:hAnsi="宋体" w:cs="宋体"/>
                <w:sz w:val="24"/>
              </w:rPr>
            </w:pPr>
            <w:r>
              <w:rPr>
                <w:rFonts w:hint="eastAsia" w:ascii="宋体" w:hAnsi="宋体" w:cs="宋体"/>
                <w:kern w:val="0"/>
                <w:sz w:val="24"/>
                <w:lang w:bidi="ar"/>
              </w:rPr>
              <w:t>筛查信息列表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36FA3170">
            <w:pPr>
              <w:widowControl/>
              <w:textAlignment w:val="center"/>
              <w:rPr>
                <w:rFonts w:hint="eastAsia" w:ascii="宋体" w:hAnsi="宋体" w:cs="宋体"/>
                <w:sz w:val="24"/>
              </w:rPr>
            </w:pPr>
            <w:r>
              <w:rPr>
                <w:rFonts w:hint="eastAsia" w:ascii="宋体" w:hAnsi="宋体" w:cs="宋体"/>
                <w:kern w:val="0"/>
                <w:sz w:val="24"/>
                <w:lang w:bidi="ar"/>
              </w:rPr>
              <w:t xml:space="preserve">    在筛查信息列表上可以通过儿童姓名或母亲姓名等多种关键条件，快速定位目标儿童的筛查信息。通过筛查信息列表页面，用户可以总览所有儿童的筛查概况；而筛查信息录入页面则为新增和录入筛查结果提供了专属、高效的操作空间。</w:t>
            </w:r>
            <w:r>
              <w:rPr>
                <w:rFonts w:hint="eastAsia" w:ascii="宋体" w:hAnsi="宋体" w:cs="宋体"/>
                <w:kern w:val="0"/>
                <w:sz w:val="24"/>
                <w:lang w:bidi="ar"/>
              </w:rPr>
              <w:br w:type="textWrapping"/>
            </w:r>
            <w:r>
              <w:rPr>
                <w:rFonts w:hint="eastAsia" w:ascii="宋体" w:hAnsi="宋体" w:cs="宋体"/>
                <w:kern w:val="0"/>
                <w:sz w:val="24"/>
                <w:lang w:bidi="ar"/>
              </w:rPr>
              <w:t>用户可以一键查看任一儿童的当前筛查状态、转诊状态，并追溯其历次筛查的完整详情，形成对儿童健康档案的纵向穿透。同时，导出功能确保了这些筛选后的关键信息能够被灵活地用于线下分析或汇报。所有查询和导出何以在筛查信息列表页面操作，显著提升了筛查工作的日常操作效率和数据透明度。</w:t>
            </w:r>
          </w:p>
        </w:tc>
      </w:tr>
      <w:tr w14:paraId="2537FC4A">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9356F3C">
            <w:pPr>
              <w:widowControl/>
              <w:jc w:val="center"/>
              <w:textAlignment w:val="center"/>
              <w:rPr>
                <w:rFonts w:hint="eastAsia" w:ascii="宋体" w:hAnsi="宋体" w:cs="宋体"/>
                <w:sz w:val="24"/>
              </w:rPr>
            </w:pPr>
            <w:r>
              <w:rPr>
                <w:rFonts w:hint="eastAsia" w:ascii="宋体" w:hAnsi="宋体" w:cs="宋体"/>
                <w:kern w:val="0"/>
                <w:sz w:val="24"/>
                <w:lang w:bidi="ar"/>
              </w:rPr>
              <w:t>242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1F925F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E3348E7">
            <w:pPr>
              <w:widowControl/>
              <w:jc w:val="center"/>
              <w:textAlignment w:val="center"/>
              <w:rPr>
                <w:rFonts w:hint="eastAsia" w:ascii="宋体" w:hAnsi="宋体" w:cs="宋体"/>
                <w:sz w:val="24"/>
              </w:rPr>
            </w:pPr>
            <w:r>
              <w:rPr>
                <w:rFonts w:hint="eastAsia" w:ascii="宋体" w:hAnsi="宋体" w:cs="宋体"/>
                <w:kern w:val="0"/>
                <w:sz w:val="24"/>
                <w:lang w:bidi="ar"/>
              </w:rPr>
              <w:t>B超筛查列表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4080B8A2">
            <w:pPr>
              <w:widowControl/>
              <w:textAlignment w:val="center"/>
              <w:rPr>
                <w:rFonts w:hint="eastAsia" w:ascii="宋体" w:hAnsi="宋体" w:cs="宋体"/>
                <w:sz w:val="24"/>
              </w:rPr>
            </w:pPr>
            <w:r>
              <w:rPr>
                <w:rFonts w:hint="eastAsia" w:ascii="宋体" w:hAnsi="宋体" w:cs="宋体"/>
                <w:kern w:val="0"/>
                <w:sz w:val="24"/>
                <w:lang w:bidi="ar"/>
              </w:rPr>
              <w:t xml:space="preserve">    B超筛查列表tab页面可以同时查询已进行B超筛查与未进行B超筛查的儿童信息。针对筛查列表中的儿童，特别是“未筛查”人群，医护人员可快速进入B超筛查录入页面，高效录入B超筛查结果，完成从任务到执行的无缝衔接。</w:t>
            </w:r>
            <w:r>
              <w:rPr>
                <w:rFonts w:hint="eastAsia" w:ascii="宋体" w:hAnsi="宋体" w:cs="宋体"/>
                <w:kern w:val="0"/>
                <w:sz w:val="24"/>
                <w:lang w:bidi="ar"/>
              </w:rPr>
              <w:br w:type="textWrapping"/>
            </w:r>
            <w:r>
              <w:rPr>
                <w:rFonts w:hint="eastAsia" w:ascii="宋体" w:hAnsi="宋体" w:cs="宋体"/>
                <w:kern w:val="0"/>
                <w:sz w:val="24"/>
                <w:lang w:bidi="ar"/>
              </w:rPr>
              <w:t xml:space="preserve">    此外，模块支持将筛查列表及结果一键导出，便于进行线下数据归档、工作量统计或质量复查，打通了线上操作与线下管理的数据通路。</w:t>
            </w:r>
          </w:p>
        </w:tc>
      </w:tr>
      <w:tr w14:paraId="67902244">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FD669C3">
            <w:pPr>
              <w:widowControl/>
              <w:jc w:val="center"/>
              <w:textAlignment w:val="center"/>
              <w:rPr>
                <w:rFonts w:hint="eastAsia" w:ascii="宋体" w:hAnsi="宋体" w:cs="宋体"/>
                <w:sz w:val="24"/>
              </w:rPr>
            </w:pPr>
            <w:r>
              <w:rPr>
                <w:rFonts w:hint="eastAsia" w:ascii="宋体" w:hAnsi="宋体" w:cs="宋体"/>
                <w:kern w:val="0"/>
                <w:sz w:val="24"/>
                <w:lang w:bidi="ar"/>
              </w:rPr>
              <w:t>243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FA4579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C168DE">
            <w:pPr>
              <w:widowControl/>
              <w:jc w:val="center"/>
              <w:textAlignment w:val="center"/>
              <w:rPr>
                <w:rFonts w:hint="eastAsia" w:ascii="宋体" w:hAnsi="宋体" w:cs="宋体"/>
                <w:sz w:val="24"/>
              </w:rPr>
            </w:pPr>
            <w:r>
              <w:rPr>
                <w:rFonts w:hint="eastAsia" w:ascii="宋体" w:hAnsi="宋体" w:cs="宋体"/>
                <w:kern w:val="0"/>
                <w:sz w:val="24"/>
                <w:lang w:bidi="ar"/>
              </w:rPr>
              <w:t>确诊儿童管理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CE0CFC9">
            <w:pPr>
              <w:widowControl/>
              <w:textAlignment w:val="center"/>
              <w:rPr>
                <w:rFonts w:hint="eastAsia" w:ascii="宋体" w:hAnsi="宋体" w:cs="宋体"/>
                <w:sz w:val="24"/>
              </w:rPr>
            </w:pPr>
            <w:r>
              <w:rPr>
                <w:rFonts w:hint="eastAsia" w:ascii="宋体" w:hAnsi="宋体" w:cs="宋体"/>
                <w:kern w:val="0"/>
                <w:sz w:val="24"/>
                <w:lang w:bidi="ar"/>
              </w:rPr>
              <w:t>确诊儿童管理页面可以查询待确诊和已确诊的儿童信息。针对需要确诊的儿童，医护人员可以快速进入确认信息录入页面，高效录入确诊结果。</w:t>
            </w:r>
          </w:p>
        </w:tc>
      </w:tr>
      <w:tr w14:paraId="1670ABA8">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F7F7926">
            <w:pPr>
              <w:widowControl/>
              <w:jc w:val="center"/>
              <w:textAlignment w:val="center"/>
              <w:rPr>
                <w:rFonts w:hint="eastAsia" w:ascii="宋体" w:hAnsi="宋体" w:cs="宋体"/>
                <w:sz w:val="24"/>
              </w:rPr>
            </w:pPr>
            <w:r>
              <w:rPr>
                <w:rFonts w:hint="eastAsia" w:ascii="宋体" w:hAnsi="宋体" w:cs="宋体"/>
                <w:kern w:val="0"/>
                <w:sz w:val="24"/>
                <w:lang w:bidi="ar"/>
              </w:rPr>
              <w:t>244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857769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E6DDCF1">
            <w:pPr>
              <w:widowControl/>
              <w:jc w:val="center"/>
              <w:textAlignment w:val="center"/>
              <w:rPr>
                <w:rFonts w:hint="eastAsia" w:ascii="宋体" w:hAnsi="宋体" w:cs="宋体"/>
                <w:sz w:val="24"/>
              </w:rPr>
            </w:pPr>
            <w:r>
              <w:rPr>
                <w:rFonts w:hint="eastAsia" w:ascii="宋体" w:hAnsi="宋体" w:cs="宋体"/>
                <w:kern w:val="0"/>
                <w:sz w:val="24"/>
                <w:lang w:bidi="ar"/>
              </w:rPr>
              <w:t>确诊信息列表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67C1F213">
            <w:pPr>
              <w:widowControl/>
              <w:textAlignment w:val="center"/>
              <w:rPr>
                <w:rFonts w:hint="eastAsia" w:ascii="宋体" w:hAnsi="宋体" w:cs="宋体"/>
                <w:sz w:val="24"/>
              </w:rPr>
            </w:pPr>
            <w:r>
              <w:rPr>
                <w:rFonts w:hint="eastAsia" w:ascii="宋体" w:hAnsi="宋体" w:cs="宋体"/>
                <w:kern w:val="0"/>
                <w:sz w:val="24"/>
                <w:lang w:bidi="ar"/>
              </w:rPr>
              <w:t>确诊信息列表页面可以查询已确诊的的儿童信息，支持一键导出确诊信息列表查询结果，便于进行归档、工作量统计和数据质量管理。</w:t>
            </w:r>
          </w:p>
        </w:tc>
      </w:tr>
      <w:tr w14:paraId="655D7B27">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B75FCF5">
            <w:pPr>
              <w:widowControl/>
              <w:jc w:val="center"/>
              <w:textAlignment w:val="center"/>
              <w:rPr>
                <w:rFonts w:hint="eastAsia" w:ascii="宋体" w:hAnsi="宋体" w:cs="宋体"/>
                <w:sz w:val="24"/>
              </w:rPr>
            </w:pPr>
            <w:r>
              <w:rPr>
                <w:rFonts w:hint="eastAsia" w:ascii="宋体" w:hAnsi="宋体" w:cs="宋体"/>
                <w:kern w:val="0"/>
                <w:sz w:val="24"/>
                <w:lang w:bidi="ar"/>
              </w:rPr>
              <w:t>245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876344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9C113A9">
            <w:pPr>
              <w:widowControl/>
              <w:jc w:val="center"/>
              <w:textAlignment w:val="center"/>
              <w:rPr>
                <w:rFonts w:hint="eastAsia" w:ascii="宋体" w:hAnsi="宋体" w:cs="宋体"/>
                <w:sz w:val="24"/>
              </w:rPr>
            </w:pPr>
            <w:r>
              <w:rPr>
                <w:rFonts w:hint="eastAsia" w:ascii="宋体" w:hAnsi="宋体" w:cs="宋体"/>
                <w:kern w:val="0"/>
                <w:sz w:val="24"/>
                <w:lang w:bidi="ar"/>
              </w:rPr>
              <w:t>治疗情况管理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F1C2252">
            <w:pPr>
              <w:widowControl/>
              <w:textAlignment w:val="center"/>
              <w:rPr>
                <w:rFonts w:hint="eastAsia" w:ascii="宋体" w:hAnsi="宋体" w:cs="宋体"/>
                <w:sz w:val="24"/>
              </w:rPr>
            </w:pPr>
            <w:r>
              <w:rPr>
                <w:rFonts w:hint="eastAsia" w:ascii="宋体" w:hAnsi="宋体" w:cs="宋体"/>
                <w:kern w:val="0"/>
                <w:sz w:val="24"/>
                <w:lang w:bidi="ar"/>
              </w:rPr>
              <w:t>治疗情况管理页面可以查询待治疗和已治疗的儿童信息，针对需要治疗的儿童，医护人员可以快速进入治疗信息录入页面，高效录入治疗情况信息。</w:t>
            </w:r>
          </w:p>
        </w:tc>
      </w:tr>
      <w:tr w14:paraId="4C6ADF24">
        <w:tblPrEx>
          <w:tblCellMar>
            <w:top w:w="0" w:type="dxa"/>
            <w:left w:w="108" w:type="dxa"/>
            <w:bottom w:w="0" w:type="dxa"/>
            <w:right w:w="108" w:type="dxa"/>
          </w:tblCellMar>
        </w:tblPrEx>
        <w:trPr>
          <w:trHeight w:val="85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4A7F6D">
            <w:pPr>
              <w:widowControl/>
              <w:jc w:val="center"/>
              <w:textAlignment w:val="center"/>
              <w:rPr>
                <w:rFonts w:hint="eastAsia" w:ascii="宋体" w:hAnsi="宋体" w:cs="宋体"/>
                <w:sz w:val="24"/>
              </w:rPr>
            </w:pPr>
            <w:r>
              <w:rPr>
                <w:rFonts w:hint="eastAsia" w:ascii="宋体" w:hAnsi="宋体" w:cs="宋体"/>
                <w:kern w:val="0"/>
                <w:sz w:val="24"/>
                <w:lang w:bidi="ar"/>
              </w:rPr>
              <w:t>246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B0766E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603210F">
            <w:pPr>
              <w:widowControl/>
              <w:jc w:val="center"/>
              <w:textAlignment w:val="center"/>
              <w:rPr>
                <w:rFonts w:hint="eastAsia" w:ascii="宋体" w:hAnsi="宋体" w:cs="宋体"/>
                <w:sz w:val="24"/>
              </w:rPr>
            </w:pPr>
            <w:r>
              <w:rPr>
                <w:rFonts w:hint="eastAsia" w:ascii="宋体" w:hAnsi="宋体" w:cs="宋体"/>
                <w:kern w:val="0"/>
                <w:sz w:val="24"/>
                <w:lang w:bidi="ar"/>
              </w:rPr>
              <w:t>治疗信息列表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4117E2F6">
            <w:pPr>
              <w:widowControl/>
              <w:textAlignment w:val="center"/>
              <w:rPr>
                <w:rFonts w:hint="eastAsia" w:ascii="宋体" w:hAnsi="宋体" w:cs="宋体"/>
                <w:sz w:val="24"/>
              </w:rPr>
            </w:pPr>
            <w:r>
              <w:rPr>
                <w:rFonts w:hint="eastAsia" w:ascii="宋体" w:hAnsi="宋体" w:cs="宋体"/>
                <w:kern w:val="0"/>
                <w:sz w:val="24"/>
                <w:lang w:bidi="ar"/>
              </w:rPr>
              <w:t>治疗信息列表页面可以查询已治疗的儿童信息，支持一键导出治疗信息列表查询结果，便于进行归档、工作量统计和数据质量管理。</w:t>
            </w:r>
          </w:p>
        </w:tc>
      </w:tr>
      <w:tr w14:paraId="4F3AEB69">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AFF57DF">
            <w:pPr>
              <w:widowControl/>
              <w:jc w:val="center"/>
              <w:textAlignment w:val="center"/>
              <w:rPr>
                <w:rFonts w:hint="eastAsia" w:ascii="宋体" w:hAnsi="宋体" w:cs="宋体"/>
                <w:sz w:val="24"/>
              </w:rPr>
            </w:pPr>
            <w:r>
              <w:rPr>
                <w:rFonts w:hint="eastAsia" w:ascii="宋体" w:hAnsi="宋体" w:cs="宋体"/>
                <w:kern w:val="0"/>
                <w:sz w:val="24"/>
                <w:lang w:bidi="ar"/>
              </w:rPr>
              <w:t>247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0DAE02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7D5FF5A">
            <w:pPr>
              <w:widowControl/>
              <w:jc w:val="center"/>
              <w:textAlignment w:val="center"/>
              <w:rPr>
                <w:rFonts w:hint="eastAsia" w:ascii="宋体" w:hAnsi="宋体" w:cs="宋体"/>
                <w:sz w:val="24"/>
              </w:rPr>
            </w:pPr>
            <w:r>
              <w:rPr>
                <w:rFonts w:hint="eastAsia" w:ascii="宋体" w:hAnsi="宋体" w:cs="宋体"/>
                <w:kern w:val="0"/>
                <w:sz w:val="24"/>
                <w:lang w:bidi="ar"/>
              </w:rPr>
              <w:t>登记本与查询统计</w:t>
            </w:r>
          </w:p>
        </w:tc>
        <w:tc>
          <w:tcPr>
            <w:tcW w:w="9687" w:type="dxa"/>
            <w:tcBorders>
              <w:top w:val="single" w:color="000000" w:sz="4" w:space="0"/>
              <w:left w:val="single" w:color="000000" w:sz="4" w:space="0"/>
              <w:bottom w:val="single" w:color="000000" w:sz="4" w:space="0"/>
              <w:right w:val="single" w:color="000000" w:sz="4" w:space="0"/>
            </w:tcBorders>
            <w:vAlign w:val="center"/>
          </w:tcPr>
          <w:p w14:paraId="07B1E8C1">
            <w:pPr>
              <w:widowControl/>
              <w:textAlignment w:val="center"/>
              <w:rPr>
                <w:rFonts w:hint="eastAsia" w:ascii="宋体" w:hAnsi="宋体" w:cs="宋体"/>
                <w:sz w:val="24"/>
              </w:rPr>
            </w:pPr>
            <w:r>
              <w:rPr>
                <w:rFonts w:hint="eastAsia" w:ascii="宋体" w:hAnsi="宋体" w:cs="宋体"/>
                <w:kern w:val="0"/>
                <w:sz w:val="24"/>
                <w:lang w:bidi="ar"/>
              </w:rPr>
              <w:t xml:space="preserve">   系统提供全面的先心病筛查数据查询与导出功能，支持对先心病筛查个案登记本，筛查信息登记本，B超筛查登记本，确诊信息登记本，治疗信息登记本，阳性患儿随访登记本进行查询。同时针对每类查询结果，均提供导出功能，方便工作人员获取纸质或电子版本的登记信息，高效适配新生儿先心病筛查数据管理与使用的日常场景。</w:t>
            </w:r>
          </w:p>
        </w:tc>
      </w:tr>
      <w:tr w14:paraId="24F89407">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265F6EF">
            <w:pPr>
              <w:widowControl/>
              <w:jc w:val="center"/>
              <w:textAlignment w:val="center"/>
              <w:rPr>
                <w:rFonts w:hint="eastAsia" w:ascii="宋体" w:hAnsi="宋体" w:cs="宋体"/>
                <w:sz w:val="24"/>
              </w:rPr>
            </w:pPr>
            <w:r>
              <w:rPr>
                <w:rFonts w:hint="eastAsia" w:ascii="宋体" w:hAnsi="宋体" w:cs="宋体"/>
                <w:kern w:val="0"/>
                <w:sz w:val="24"/>
                <w:lang w:bidi="ar"/>
              </w:rPr>
              <w:t>249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CBEF5DB">
            <w:pPr>
              <w:widowControl/>
              <w:jc w:val="center"/>
              <w:textAlignment w:val="center"/>
              <w:rPr>
                <w:rFonts w:hint="eastAsia" w:ascii="宋体" w:hAnsi="宋体" w:cs="宋体"/>
                <w:sz w:val="24"/>
              </w:rPr>
            </w:pPr>
            <w:r>
              <w:rPr>
                <w:rFonts w:hint="eastAsia" w:ascii="宋体" w:hAnsi="宋体" w:cs="宋体"/>
                <w:kern w:val="0"/>
                <w:sz w:val="24"/>
                <w:lang w:bidi="ar"/>
              </w:rPr>
              <w:t>0-6岁儿童眼保健及视力检查管理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04EAB3E5">
            <w:pPr>
              <w:widowControl/>
              <w:jc w:val="center"/>
              <w:textAlignment w:val="center"/>
              <w:rPr>
                <w:rFonts w:hint="eastAsia" w:ascii="宋体" w:hAnsi="宋体" w:cs="宋体"/>
                <w:sz w:val="24"/>
              </w:rPr>
            </w:pPr>
            <w:r>
              <w:rPr>
                <w:rFonts w:hint="eastAsia" w:ascii="宋体" w:hAnsi="宋体" w:cs="宋体"/>
                <w:kern w:val="0"/>
                <w:sz w:val="24"/>
                <w:lang w:bidi="ar"/>
              </w:rPr>
              <w:t>眼保健和视力检查档案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3B0409CB">
            <w:pPr>
              <w:widowControl/>
              <w:textAlignment w:val="center"/>
              <w:rPr>
                <w:rFonts w:hint="eastAsia" w:ascii="宋体" w:hAnsi="宋体" w:cs="宋体"/>
                <w:sz w:val="24"/>
              </w:rPr>
            </w:pPr>
            <w:r>
              <w:rPr>
                <w:rFonts w:hint="eastAsia" w:ascii="宋体" w:hAnsi="宋体" w:cs="宋体"/>
                <w:kern w:val="0"/>
                <w:sz w:val="24"/>
                <w:lang w:bidi="ar"/>
              </w:rPr>
              <w:t xml:space="preserve">    可以通过专门的眼筛档案录入tab页面和眼筛档案列表页面，新增，修改，删除儿童档案，对儿童眼筛档案进行集中、规范的台账式管理。系统可以自动生成唯一档案编号的功能，为每一位儿童的每一次筛查建立标准、可追溯的唯一标识。系统设计不仅服务于单次筛查记录，也可以长期动态跟踪，为监测儿童视力发育趋势、评估干预效果提供了数据基础。</w:t>
            </w:r>
          </w:p>
        </w:tc>
      </w:tr>
      <w:tr w14:paraId="75CCA1D7">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F539DDE">
            <w:pPr>
              <w:widowControl/>
              <w:jc w:val="center"/>
              <w:textAlignment w:val="center"/>
              <w:rPr>
                <w:rFonts w:hint="eastAsia" w:ascii="宋体" w:hAnsi="宋体" w:cs="宋体"/>
                <w:sz w:val="24"/>
              </w:rPr>
            </w:pPr>
            <w:r>
              <w:rPr>
                <w:rFonts w:hint="eastAsia" w:ascii="宋体" w:hAnsi="宋体" w:cs="宋体"/>
                <w:kern w:val="0"/>
                <w:sz w:val="24"/>
                <w:lang w:bidi="ar"/>
              </w:rPr>
              <w:t>250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5DC38D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C7E9A28">
            <w:pPr>
              <w:widowControl/>
              <w:jc w:val="center"/>
              <w:textAlignment w:val="center"/>
              <w:rPr>
                <w:rFonts w:hint="eastAsia" w:ascii="宋体" w:hAnsi="宋体" w:cs="宋体"/>
                <w:sz w:val="24"/>
              </w:rPr>
            </w:pPr>
            <w:r>
              <w:rPr>
                <w:rFonts w:hint="eastAsia" w:ascii="宋体" w:hAnsi="宋体" w:cs="宋体"/>
                <w:kern w:val="0"/>
                <w:sz w:val="24"/>
                <w:lang w:bidi="ar"/>
              </w:rPr>
              <w:t>高危因素管理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FECAD99">
            <w:pPr>
              <w:widowControl/>
              <w:textAlignment w:val="center"/>
              <w:rPr>
                <w:rFonts w:hint="eastAsia" w:ascii="宋体" w:hAnsi="宋体" w:cs="宋体"/>
                <w:sz w:val="24"/>
              </w:rPr>
            </w:pPr>
            <w:r>
              <w:rPr>
                <w:rFonts w:hint="eastAsia" w:ascii="宋体" w:hAnsi="宋体" w:cs="宋体"/>
                <w:kern w:val="0"/>
                <w:sz w:val="24"/>
                <w:lang w:bidi="ar"/>
              </w:rPr>
              <w:t xml:space="preserve">    高危因素管理可以对影响儿童视力健康的高危因素进行灵活、全程的识别与监控。在建立儿童眼保健和视力检查档案时，系统能够同步进行高危因素的评估与记录。这使得每一份档案不仅能反映当次的检查结果，还能清晰标识出该儿童存在的潜在风险，为后续的筛查和干预提供关键依据。特别在“满月健康管理”这一早期关键节点，就对高危因素进行筛查和管理。这实现了对儿童视力风险的早期发现和早期预警，将健康管理的关口前移。</w:t>
            </w:r>
          </w:p>
        </w:tc>
      </w:tr>
      <w:tr w14:paraId="09E7106B">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669BE73">
            <w:pPr>
              <w:widowControl/>
              <w:jc w:val="center"/>
              <w:textAlignment w:val="center"/>
              <w:rPr>
                <w:rFonts w:hint="eastAsia" w:ascii="宋体" w:hAnsi="宋体" w:cs="宋体"/>
                <w:sz w:val="24"/>
              </w:rPr>
            </w:pPr>
            <w:r>
              <w:rPr>
                <w:rFonts w:hint="eastAsia" w:ascii="宋体" w:hAnsi="宋体" w:cs="宋体"/>
                <w:kern w:val="0"/>
                <w:sz w:val="24"/>
                <w:lang w:bidi="ar"/>
              </w:rPr>
              <w:t>251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1BC19A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8319170">
            <w:pPr>
              <w:widowControl/>
              <w:jc w:val="center"/>
              <w:textAlignment w:val="center"/>
              <w:rPr>
                <w:rFonts w:hint="eastAsia" w:ascii="宋体" w:hAnsi="宋体" w:cs="宋体"/>
                <w:sz w:val="24"/>
              </w:rPr>
            </w:pPr>
            <w:r>
              <w:rPr>
                <w:rFonts w:hint="eastAsia" w:ascii="宋体" w:hAnsi="宋体" w:cs="宋体"/>
                <w:kern w:val="0"/>
                <w:sz w:val="24"/>
                <w:lang w:bidi="ar"/>
              </w:rPr>
              <w:t>眼保健和视力检查列表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70A520C5">
            <w:pPr>
              <w:widowControl/>
              <w:textAlignment w:val="center"/>
              <w:rPr>
                <w:rFonts w:hint="eastAsia" w:ascii="宋体" w:hAnsi="宋体" w:cs="宋体"/>
                <w:sz w:val="24"/>
              </w:rPr>
            </w:pPr>
            <w:r>
              <w:rPr>
                <w:rFonts w:hint="eastAsia" w:ascii="宋体" w:hAnsi="宋体" w:cs="宋体"/>
                <w:kern w:val="0"/>
                <w:sz w:val="24"/>
                <w:lang w:bidi="ar"/>
              </w:rPr>
              <w:t xml:space="preserve">    在眼保健和视力检查列表页面中，集中显示所有儿童的档案及其历次筛查动态，提供整体工作情况的直观视图。医护人员可以在该列表便捷地钻取查询任一儿童的详细信息，包括完整的眼保健记录，详细的视力筛查记录，所有的转诊转诊状态与转诊单内容。可以记录每次筛查的结果，对需要进一步诊治的儿童启动转诊流程，查看转诊状态和接诊单情况。</w:t>
            </w:r>
          </w:p>
        </w:tc>
      </w:tr>
      <w:tr w14:paraId="6E1ED8ED">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6D8D40">
            <w:pPr>
              <w:widowControl/>
              <w:jc w:val="center"/>
              <w:textAlignment w:val="center"/>
              <w:rPr>
                <w:rFonts w:hint="eastAsia" w:ascii="宋体" w:hAnsi="宋体" w:cs="宋体"/>
                <w:sz w:val="24"/>
              </w:rPr>
            </w:pPr>
            <w:r>
              <w:rPr>
                <w:rFonts w:hint="eastAsia" w:ascii="宋体" w:hAnsi="宋体" w:cs="宋体"/>
                <w:kern w:val="0"/>
                <w:sz w:val="24"/>
                <w:lang w:bidi="ar"/>
              </w:rPr>
              <w:t>252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5D0827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B296A72">
            <w:pPr>
              <w:widowControl/>
              <w:jc w:val="center"/>
              <w:textAlignment w:val="center"/>
              <w:rPr>
                <w:rFonts w:hint="eastAsia" w:ascii="宋体" w:hAnsi="宋体" w:cs="宋体"/>
                <w:sz w:val="24"/>
              </w:rPr>
            </w:pPr>
            <w:r>
              <w:rPr>
                <w:rFonts w:hint="eastAsia" w:ascii="宋体" w:hAnsi="宋体" w:cs="宋体"/>
                <w:kern w:val="0"/>
                <w:sz w:val="24"/>
                <w:lang w:bidi="ar"/>
              </w:rPr>
              <w:t>检查项目字典</w:t>
            </w:r>
          </w:p>
        </w:tc>
        <w:tc>
          <w:tcPr>
            <w:tcW w:w="9687" w:type="dxa"/>
            <w:tcBorders>
              <w:top w:val="single" w:color="000000" w:sz="4" w:space="0"/>
              <w:left w:val="single" w:color="000000" w:sz="4" w:space="0"/>
              <w:bottom w:val="single" w:color="000000" w:sz="4" w:space="0"/>
              <w:right w:val="single" w:color="000000" w:sz="4" w:space="0"/>
            </w:tcBorders>
            <w:vAlign w:val="center"/>
          </w:tcPr>
          <w:p w14:paraId="6EE54F44">
            <w:pPr>
              <w:widowControl/>
              <w:textAlignment w:val="center"/>
              <w:rPr>
                <w:rFonts w:hint="eastAsia" w:ascii="宋体" w:hAnsi="宋体" w:cs="宋体"/>
                <w:sz w:val="24"/>
              </w:rPr>
            </w:pPr>
            <w:r>
              <w:rPr>
                <w:rFonts w:hint="eastAsia" w:ascii="宋体" w:hAnsi="宋体" w:cs="宋体"/>
                <w:kern w:val="0"/>
                <w:sz w:val="24"/>
                <w:lang w:bidi="ar"/>
              </w:rPr>
              <w:t xml:space="preserve">    在检查项目字典页面，可以设置检查项目，以及检查项目是手动输入结果还是选项结果，并且可以设置具体选项，以及设置该选项是否必填。特别针对屈光检查专业项目，还可以输入正负数。系统可以根据设置的正常异常结果自动判断异常减少人工误判，提高效率。尤其对于核心的视力检查，系统能根据国际标准视力表，并结合受检儿童的具体年龄，自动给出符合该年龄段发育特征的、科学的正常/异常结论，确保了筛查结果的准确性和专业性。</w:t>
            </w:r>
          </w:p>
        </w:tc>
      </w:tr>
      <w:tr w14:paraId="6DBB9C3F">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074F003">
            <w:pPr>
              <w:widowControl/>
              <w:jc w:val="center"/>
              <w:textAlignment w:val="center"/>
              <w:rPr>
                <w:rFonts w:hint="eastAsia" w:ascii="宋体" w:hAnsi="宋体" w:cs="宋体"/>
                <w:sz w:val="24"/>
              </w:rPr>
            </w:pPr>
            <w:r>
              <w:rPr>
                <w:rFonts w:hint="eastAsia" w:ascii="宋体" w:hAnsi="宋体" w:cs="宋体"/>
                <w:kern w:val="0"/>
                <w:sz w:val="24"/>
                <w:lang w:bidi="ar"/>
              </w:rPr>
              <w:t>253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1287CE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94D8822">
            <w:pPr>
              <w:widowControl/>
              <w:jc w:val="center"/>
              <w:textAlignment w:val="center"/>
              <w:rPr>
                <w:rFonts w:hint="eastAsia" w:ascii="宋体" w:hAnsi="宋体" w:cs="宋体"/>
                <w:sz w:val="24"/>
              </w:rPr>
            </w:pPr>
            <w:r>
              <w:rPr>
                <w:rFonts w:hint="eastAsia" w:ascii="宋体" w:hAnsi="宋体" w:cs="宋体"/>
                <w:kern w:val="0"/>
                <w:sz w:val="24"/>
                <w:lang w:bidi="ar"/>
              </w:rPr>
              <w:t>健康指导内容管理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E6C59BF">
            <w:pPr>
              <w:widowControl/>
              <w:textAlignment w:val="center"/>
              <w:rPr>
                <w:rFonts w:hint="eastAsia" w:ascii="宋体" w:hAnsi="宋体" w:cs="宋体"/>
                <w:sz w:val="24"/>
              </w:rPr>
            </w:pPr>
            <w:r>
              <w:rPr>
                <w:rFonts w:hint="eastAsia" w:ascii="宋体" w:hAnsi="宋体" w:cs="宋体"/>
                <w:kern w:val="0"/>
                <w:sz w:val="24"/>
                <w:lang w:bidi="ar"/>
              </w:rPr>
              <w:t xml:space="preserve">    健康指导内容管理将健康指导明确分为普遍性指导和针对性指导两大类，并通过独立的页面进行管理和展示，逻辑清晰。严格遵循儿童发育规律，内容按9个关键年龄组（从满月至4-6岁）进行划分和管理，确保指导的时效性和科学性。每个年龄组的健康指导的内容分普遍性指导、针对性指导和针对性指导其他指导三部分，系统能根据儿童的具体年龄和本次检查项目，自动匹配对应的普遍性健康指导内容，实现标准化知识的精准推送。医护人员可以基于筛查中的异常发现或特殊情况，手工输入针对性的指导建议和其他注意事项，实现“一人一策”的个性化管理。</w:t>
            </w:r>
          </w:p>
        </w:tc>
      </w:tr>
      <w:tr w14:paraId="25F4764F">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1660F00">
            <w:pPr>
              <w:widowControl/>
              <w:jc w:val="center"/>
              <w:textAlignment w:val="center"/>
              <w:rPr>
                <w:rFonts w:hint="eastAsia" w:ascii="宋体" w:hAnsi="宋体" w:cs="宋体"/>
                <w:sz w:val="24"/>
              </w:rPr>
            </w:pPr>
            <w:r>
              <w:rPr>
                <w:rFonts w:hint="eastAsia" w:ascii="宋体" w:hAnsi="宋体" w:cs="宋体"/>
                <w:kern w:val="0"/>
                <w:sz w:val="24"/>
                <w:lang w:bidi="ar"/>
              </w:rPr>
              <w:t>254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35A656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DF17B5C">
            <w:pPr>
              <w:widowControl/>
              <w:jc w:val="center"/>
              <w:textAlignment w:val="center"/>
              <w:rPr>
                <w:rFonts w:hint="eastAsia" w:ascii="宋体" w:hAnsi="宋体" w:cs="宋体"/>
                <w:sz w:val="24"/>
              </w:rPr>
            </w:pPr>
            <w:r>
              <w:rPr>
                <w:rFonts w:hint="eastAsia" w:ascii="宋体" w:hAnsi="宋体" w:cs="宋体"/>
                <w:kern w:val="0"/>
                <w:sz w:val="24"/>
                <w:lang w:bidi="ar"/>
              </w:rPr>
              <w:t>检查信息管理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41648D2">
            <w:pPr>
              <w:widowControl/>
              <w:textAlignment w:val="center"/>
              <w:rPr>
                <w:rFonts w:hint="eastAsia" w:ascii="宋体" w:hAnsi="宋体" w:cs="宋体"/>
                <w:sz w:val="24"/>
              </w:rPr>
            </w:pPr>
            <w:r>
              <w:rPr>
                <w:rFonts w:hint="eastAsia" w:ascii="宋体" w:hAnsi="宋体" w:cs="宋体"/>
                <w:kern w:val="0"/>
                <w:sz w:val="24"/>
                <w:lang w:bidi="ar"/>
              </w:rPr>
              <w:t xml:space="preserve">   在检查信息管理列表，可以录入各个年龄组的眼保健和视力检查结果，并根据提前设置好的字典判断异常项目。针对需要转诊的表单，系统生成的转诊单上自动带入异常项目和未做检查项目。</w:t>
            </w:r>
          </w:p>
        </w:tc>
      </w:tr>
      <w:tr w14:paraId="0172CD34">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E6B7C42">
            <w:pPr>
              <w:widowControl/>
              <w:jc w:val="center"/>
              <w:textAlignment w:val="center"/>
              <w:rPr>
                <w:rFonts w:hint="eastAsia" w:ascii="宋体" w:hAnsi="宋体" w:cs="宋体"/>
                <w:sz w:val="24"/>
              </w:rPr>
            </w:pPr>
            <w:r>
              <w:rPr>
                <w:rFonts w:hint="eastAsia" w:ascii="宋体" w:hAnsi="宋体" w:cs="宋体"/>
                <w:kern w:val="0"/>
                <w:sz w:val="24"/>
                <w:lang w:bidi="ar"/>
              </w:rPr>
              <w:t>255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C8AB55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05C6BE8">
            <w:pPr>
              <w:widowControl/>
              <w:jc w:val="center"/>
              <w:textAlignment w:val="center"/>
              <w:rPr>
                <w:rFonts w:hint="eastAsia" w:ascii="宋体" w:hAnsi="宋体" w:cs="宋体"/>
                <w:sz w:val="24"/>
              </w:rPr>
            </w:pPr>
            <w:r>
              <w:rPr>
                <w:rFonts w:hint="eastAsia" w:ascii="宋体" w:hAnsi="宋体" w:cs="宋体"/>
                <w:kern w:val="0"/>
                <w:sz w:val="24"/>
                <w:lang w:bidi="ar"/>
              </w:rPr>
              <w:t>眼底筛查管理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4A462E6">
            <w:pPr>
              <w:widowControl/>
              <w:textAlignment w:val="center"/>
              <w:rPr>
                <w:rFonts w:hint="eastAsia" w:ascii="宋体" w:hAnsi="宋体" w:cs="宋体"/>
                <w:sz w:val="24"/>
              </w:rPr>
            </w:pPr>
            <w:r>
              <w:rPr>
                <w:rFonts w:hint="eastAsia" w:ascii="宋体" w:hAnsi="宋体" w:cs="宋体"/>
                <w:kern w:val="0"/>
                <w:sz w:val="24"/>
                <w:lang w:bidi="ar"/>
              </w:rPr>
              <w:t xml:space="preserve">   系统能够提供完整的眼底筛查档案录入与列表查看页面，实现了对该专项检查记录的新增、修改、删除等全生命周期管理，确保数据独立且完整。</w:t>
            </w:r>
            <w:r>
              <w:rPr>
                <w:rFonts w:hint="eastAsia" w:ascii="宋体" w:hAnsi="宋体" w:cs="宋体"/>
                <w:kern w:val="0"/>
                <w:sz w:val="24"/>
                <w:lang w:bidi="ar"/>
              </w:rPr>
              <w:br w:type="textWrapping"/>
            </w:r>
            <w:r>
              <w:rPr>
                <w:rFonts w:hint="eastAsia" w:ascii="宋体" w:hAnsi="宋体" w:cs="宋体"/>
                <w:kern w:val="0"/>
                <w:sz w:val="24"/>
                <w:lang w:bidi="ar"/>
              </w:rPr>
              <w:t>系统能够根据儿童档案中的“早产”情况，自动判定该儿童是否为眼底筛查的适应人群。这一功能确保了筛查工作的及时性和针对性，有效避免了高危儿童的漏查，是实现疾病早期发现的关键一环。</w:t>
            </w:r>
          </w:p>
        </w:tc>
      </w:tr>
      <w:tr w14:paraId="6382A85D">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C36E77C">
            <w:pPr>
              <w:widowControl/>
              <w:jc w:val="center"/>
              <w:textAlignment w:val="center"/>
              <w:rPr>
                <w:rFonts w:hint="eastAsia" w:ascii="宋体" w:hAnsi="宋体" w:cs="宋体"/>
                <w:sz w:val="24"/>
              </w:rPr>
            </w:pPr>
            <w:r>
              <w:rPr>
                <w:rFonts w:hint="eastAsia" w:ascii="宋体" w:hAnsi="宋体" w:cs="宋体"/>
                <w:kern w:val="0"/>
                <w:sz w:val="24"/>
                <w:lang w:bidi="ar"/>
              </w:rPr>
              <w:t>256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15B3E3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46F865C">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58251A3">
            <w:pPr>
              <w:widowControl/>
              <w:textAlignment w:val="center"/>
              <w:rPr>
                <w:rFonts w:hint="eastAsia" w:ascii="宋体" w:hAnsi="宋体" w:cs="宋体"/>
                <w:sz w:val="24"/>
              </w:rPr>
            </w:pPr>
            <w:r>
              <w:rPr>
                <w:rFonts w:hint="eastAsia" w:ascii="宋体" w:hAnsi="宋体" w:cs="宋体"/>
                <w:kern w:val="0"/>
                <w:sz w:val="24"/>
                <w:lang w:bidi="ar"/>
              </w:rPr>
              <w:t xml:space="preserve">    系统为0-6岁眼保健及视力检查的服务对象提供完整的随访记录管理功能，支持打开随访录入页面对定期随访信息进行录入、查看、修改与删除。系统可以一键打开随访信息列表，以便高效完成相关操作与长期跟踪。</w:t>
            </w:r>
          </w:p>
        </w:tc>
      </w:tr>
      <w:tr w14:paraId="4ACA28A3">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81E2EF">
            <w:pPr>
              <w:widowControl/>
              <w:jc w:val="center"/>
              <w:textAlignment w:val="center"/>
              <w:rPr>
                <w:rFonts w:hint="eastAsia" w:ascii="宋体" w:hAnsi="宋体" w:cs="宋体"/>
                <w:sz w:val="24"/>
              </w:rPr>
            </w:pPr>
            <w:r>
              <w:rPr>
                <w:rFonts w:hint="eastAsia" w:ascii="宋体" w:hAnsi="宋体" w:cs="宋体"/>
                <w:kern w:val="0"/>
                <w:sz w:val="24"/>
                <w:lang w:bidi="ar"/>
              </w:rPr>
              <w:t>257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FEBBAE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16ED03D">
            <w:pPr>
              <w:widowControl/>
              <w:jc w:val="center"/>
              <w:textAlignment w:val="center"/>
              <w:rPr>
                <w:rFonts w:hint="eastAsia" w:ascii="宋体" w:hAnsi="宋体" w:cs="宋体"/>
                <w:sz w:val="24"/>
              </w:rPr>
            </w:pPr>
            <w:r>
              <w:rPr>
                <w:rFonts w:hint="eastAsia" w:ascii="宋体" w:hAnsi="宋体" w:cs="宋体"/>
                <w:kern w:val="0"/>
                <w:sz w:val="24"/>
                <w:lang w:bidi="ar"/>
              </w:rPr>
              <w:t>转诊管理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337B290">
            <w:pPr>
              <w:widowControl/>
              <w:textAlignment w:val="center"/>
              <w:rPr>
                <w:rFonts w:hint="eastAsia" w:ascii="宋体" w:hAnsi="宋体" w:cs="宋体"/>
                <w:sz w:val="24"/>
              </w:rPr>
            </w:pPr>
            <w:r>
              <w:rPr>
                <w:rFonts w:hint="eastAsia" w:ascii="宋体" w:hAnsi="宋体" w:cs="宋体"/>
                <w:kern w:val="0"/>
                <w:sz w:val="24"/>
                <w:lang w:bidi="ar"/>
              </w:rPr>
              <w:t xml:space="preserve">   转出单位在系统中设置转诊单位，转诊时，选择目标机构后，可打印出标准的转诊单，完成转诊发起。接诊单位在收到儿童后，可在系统中录入并打印回执单，将接诊情况正式反馈给转出单位，形成信息闭环。</w:t>
            </w:r>
            <w:r>
              <w:rPr>
                <w:rFonts w:hint="eastAsia" w:ascii="宋体" w:hAnsi="宋体" w:cs="宋体"/>
                <w:kern w:val="0"/>
                <w:sz w:val="24"/>
                <w:lang w:bidi="ar"/>
              </w:rPr>
              <w:br w:type="textWrapping"/>
            </w:r>
            <w:r>
              <w:rPr>
                <w:rFonts w:hint="eastAsia" w:ascii="宋体" w:hAnsi="宋体" w:cs="宋体"/>
                <w:kern w:val="0"/>
                <w:sz w:val="24"/>
                <w:lang w:bidi="ar"/>
              </w:rPr>
              <w:t>系统为转出单位和接诊单位提供了清晰的转诊管理列表，接诊单位可以查询所有转至本机构的儿童信息，便于安排后续诊疗。转出单位可以查询所有转至外单位的儿童信息，实现对外转儿童的持续跟踪。并且可以实时查询儿童的接诊状态，极大提升了沟通效率和管理的透明度。</w:t>
            </w:r>
          </w:p>
        </w:tc>
      </w:tr>
      <w:tr w14:paraId="0D947488">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885C563">
            <w:pPr>
              <w:widowControl/>
              <w:jc w:val="center"/>
              <w:textAlignment w:val="center"/>
              <w:rPr>
                <w:rFonts w:hint="eastAsia" w:ascii="宋体" w:hAnsi="宋体" w:cs="宋体"/>
                <w:sz w:val="24"/>
              </w:rPr>
            </w:pPr>
            <w:r>
              <w:rPr>
                <w:rFonts w:hint="eastAsia" w:ascii="宋体" w:hAnsi="宋体" w:cs="宋体"/>
                <w:kern w:val="0"/>
                <w:sz w:val="24"/>
                <w:lang w:bidi="ar"/>
              </w:rPr>
              <w:t>258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EF24E7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0B818F9">
            <w:pPr>
              <w:widowControl/>
              <w:jc w:val="center"/>
              <w:textAlignment w:val="center"/>
              <w:rPr>
                <w:rFonts w:hint="eastAsia" w:ascii="宋体" w:hAnsi="宋体" w:cs="宋体"/>
                <w:sz w:val="24"/>
              </w:rPr>
            </w:pPr>
            <w:r>
              <w:rPr>
                <w:rFonts w:hint="eastAsia" w:ascii="宋体" w:hAnsi="宋体" w:cs="宋体"/>
                <w:kern w:val="0"/>
                <w:sz w:val="24"/>
                <w:lang w:bidi="ar"/>
              </w:rPr>
              <w:t>转介机构管理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1A2CCB7">
            <w:pPr>
              <w:widowControl/>
              <w:textAlignment w:val="center"/>
              <w:rPr>
                <w:rFonts w:hint="eastAsia" w:ascii="宋体" w:hAnsi="宋体" w:cs="宋体"/>
                <w:sz w:val="24"/>
              </w:rPr>
            </w:pPr>
            <w:r>
              <w:rPr>
                <w:rFonts w:hint="eastAsia" w:ascii="宋体" w:hAnsi="宋体" w:cs="宋体"/>
                <w:kern w:val="0"/>
                <w:sz w:val="24"/>
                <w:lang w:bidi="ar"/>
              </w:rPr>
              <w:t xml:space="preserve">   转介机构管理提供了一个精细化、分类别的转诊机构配置中心，实现转诊流程的精准分流与专业化管理。管理员可以通过专门的设置页面，为转出机构维护一个合作的转诊机构，并且支持关联多个转介机构，构建起一个灵活、可靠的转诊协作网络。可以在转诊机构上设置 “异常转诊” 和 “检查转诊” 两类不同的转介机构，这种分类确保在转诊发起时，就能根据儿童的具体情况精准地选择最合适的目的地，避免了转诊的盲目性，提高了转诊效率和成功率。</w:t>
            </w:r>
          </w:p>
        </w:tc>
      </w:tr>
      <w:tr w14:paraId="53FE63EC">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3473630">
            <w:pPr>
              <w:widowControl/>
              <w:jc w:val="center"/>
              <w:textAlignment w:val="center"/>
              <w:rPr>
                <w:rFonts w:hint="eastAsia" w:ascii="宋体" w:hAnsi="宋体" w:cs="宋体"/>
                <w:sz w:val="24"/>
              </w:rPr>
            </w:pPr>
            <w:r>
              <w:rPr>
                <w:rFonts w:hint="eastAsia" w:ascii="宋体" w:hAnsi="宋体" w:cs="宋体"/>
                <w:kern w:val="0"/>
                <w:sz w:val="24"/>
                <w:lang w:bidi="ar"/>
              </w:rPr>
              <w:t>259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DF68C6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6762C41">
            <w:pPr>
              <w:widowControl/>
              <w:jc w:val="center"/>
              <w:textAlignment w:val="center"/>
              <w:rPr>
                <w:rFonts w:hint="eastAsia" w:ascii="宋体" w:hAnsi="宋体" w:cs="宋体"/>
                <w:sz w:val="24"/>
              </w:rPr>
            </w:pPr>
            <w:r>
              <w:rPr>
                <w:rFonts w:hint="eastAsia" w:ascii="宋体" w:hAnsi="宋体" w:cs="宋体"/>
                <w:kern w:val="0"/>
                <w:sz w:val="24"/>
                <w:lang w:bidi="ar"/>
              </w:rPr>
              <w:t>转介单管理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E8CA0B7">
            <w:pPr>
              <w:widowControl/>
              <w:textAlignment w:val="center"/>
              <w:rPr>
                <w:rFonts w:hint="eastAsia" w:ascii="宋体" w:hAnsi="宋体" w:cs="宋体"/>
                <w:sz w:val="24"/>
              </w:rPr>
            </w:pPr>
            <w:r>
              <w:rPr>
                <w:rFonts w:hint="eastAsia" w:ascii="宋体" w:hAnsi="宋体" w:cs="宋体"/>
                <w:kern w:val="0"/>
                <w:sz w:val="24"/>
                <w:lang w:bidi="ar"/>
              </w:rPr>
              <w:t xml:space="preserve">   转介单管理将转诊信息与儿童历次检查档案的深度集成与情景化展示，确保转诊历史的可追溯性与操作的便捷性。在查询儿童的历次检查信息时，系统可以同步显示与该次检查相关的转诊信息。系统能够根据儿童转诊时的不同年龄，自动生成并显示与之对应的、符合该年龄段筛查规范的转诊单项目与检查结果。用户可直接基于这份预填好信息的转诊单进行打印。</w:t>
            </w:r>
          </w:p>
        </w:tc>
      </w:tr>
      <w:tr w14:paraId="43F889FD">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14C2D99">
            <w:pPr>
              <w:widowControl/>
              <w:jc w:val="center"/>
              <w:textAlignment w:val="center"/>
              <w:rPr>
                <w:rFonts w:hint="eastAsia" w:ascii="宋体" w:hAnsi="宋体" w:cs="宋体"/>
                <w:sz w:val="24"/>
              </w:rPr>
            </w:pPr>
            <w:r>
              <w:rPr>
                <w:rFonts w:hint="eastAsia" w:ascii="宋体" w:hAnsi="宋体" w:cs="宋体"/>
                <w:kern w:val="0"/>
                <w:sz w:val="24"/>
                <w:lang w:bidi="ar"/>
              </w:rPr>
              <w:t>260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27E30C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E2144B6">
            <w:pPr>
              <w:widowControl/>
              <w:jc w:val="center"/>
              <w:textAlignment w:val="center"/>
              <w:rPr>
                <w:rFonts w:hint="eastAsia" w:ascii="宋体" w:hAnsi="宋体" w:cs="宋体"/>
                <w:sz w:val="24"/>
              </w:rPr>
            </w:pPr>
            <w:r>
              <w:rPr>
                <w:rFonts w:hint="eastAsia" w:ascii="宋体" w:hAnsi="宋体" w:cs="宋体"/>
                <w:kern w:val="0"/>
                <w:sz w:val="24"/>
                <w:lang w:bidi="ar"/>
              </w:rPr>
              <w:t>回执单管理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D55E9D5">
            <w:pPr>
              <w:widowControl/>
              <w:textAlignment w:val="center"/>
              <w:rPr>
                <w:rFonts w:hint="eastAsia" w:ascii="宋体" w:hAnsi="宋体" w:cs="宋体"/>
                <w:sz w:val="24"/>
              </w:rPr>
            </w:pPr>
            <w:r>
              <w:rPr>
                <w:rFonts w:hint="eastAsia" w:ascii="宋体" w:hAnsi="宋体" w:cs="宋体"/>
                <w:kern w:val="0"/>
                <w:sz w:val="24"/>
                <w:lang w:bidi="ar"/>
              </w:rPr>
              <w:t xml:space="preserve">    回执单管理模块能够根据儿童所处的不同年龄段，生成并打印标准化的回执单。可以打印6个月、24个月、36个月、4岁、5岁、6岁回执单，精准覆盖国家儿童保健规范中的重点年龄。</w:t>
            </w:r>
          </w:p>
        </w:tc>
      </w:tr>
      <w:tr w14:paraId="0BC63B2F">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0D2812F">
            <w:pPr>
              <w:widowControl/>
              <w:jc w:val="center"/>
              <w:textAlignment w:val="center"/>
              <w:rPr>
                <w:rFonts w:hint="eastAsia" w:ascii="宋体" w:hAnsi="宋体" w:cs="宋体"/>
                <w:sz w:val="24"/>
              </w:rPr>
            </w:pPr>
            <w:r>
              <w:rPr>
                <w:rFonts w:hint="eastAsia" w:ascii="宋体" w:hAnsi="宋体" w:cs="宋体"/>
                <w:kern w:val="0"/>
                <w:sz w:val="24"/>
                <w:lang w:bidi="ar"/>
              </w:rPr>
              <w:t>261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6B2AC7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F8FE4AA">
            <w:pPr>
              <w:widowControl/>
              <w:jc w:val="center"/>
              <w:textAlignment w:val="center"/>
              <w:rPr>
                <w:rFonts w:hint="eastAsia" w:ascii="宋体" w:hAnsi="宋体" w:cs="宋体"/>
                <w:sz w:val="24"/>
              </w:rPr>
            </w:pPr>
            <w:r>
              <w:rPr>
                <w:rFonts w:hint="eastAsia" w:ascii="宋体" w:hAnsi="宋体" w:cs="宋体"/>
                <w:kern w:val="0"/>
                <w:sz w:val="24"/>
                <w:lang w:bidi="ar"/>
              </w:rPr>
              <w:t>单据打印管理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E4442DF">
            <w:pPr>
              <w:widowControl/>
              <w:textAlignment w:val="center"/>
              <w:rPr>
                <w:rFonts w:hint="eastAsia" w:ascii="宋体" w:hAnsi="宋体" w:cs="宋体"/>
                <w:sz w:val="24"/>
              </w:rPr>
            </w:pPr>
            <w:r>
              <w:rPr>
                <w:rFonts w:hint="eastAsia" w:ascii="宋体" w:hAnsi="宋体" w:cs="宋体"/>
                <w:kern w:val="0"/>
                <w:sz w:val="24"/>
                <w:lang w:bidi="ar"/>
              </w:rPr>
              <w:t xml:space="preserve">   可以为0-6岁儿童眼保健及视力检查单位提供统一的报告单打印功能，各机构均可通过专用打印页面生成标准化的新生儿期满月健康管理检查单据，婴儿期3个月健康管理检查单据，婴儿期6个月健康管理检查单据，婴儿期8个月健康管理检查单据，婴儿期12个月健康管理检查单据，幼儿期18个月健康管理检查单据，幼儿期24个月健康管理检查单据，幼儿期30个月健康管理检查单据，幼儿期36个月健康管理检查单据，学龄前4岁健康管理检查单据，学龄前5岁健康管理检查单据，学龄前6岁健康管理检查单据。</w:t>
            </w:r>
          </w:p>
        </w:tc>
      </w:tr>
      <w:tr w14:paraId="10A84E49">
        <w:tblPrEx>
          <w:tblCellMar>
            <w:top w:w="0" w:type="dxa"/>
            <w:left w:w="108" w:type="dxa"/>
            <w:bottom w:w="0" w:type="dxa"/>
            <w:right w:w="108" w:type="dxa"/>
          </w:tblCellMar>
        </w:tblPrEx>
        <w:trPr>
          <w:trHeight w:val="427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ED92934">
            <w:pPr>
              <w:widowControl/>
              <w:jc w:val="center"/>
              <w:textAlignment w:val="center"/>
              <w:rPr>
                <w:rFonts w:hint="eastAsia" w:ascii="宋体" w:hAnsi="宋体" w:cs="宋体"/>
                <w:sz w:val="24"/>
              </w:rPr>
            </w:pPr>
            <w:r>
              <w:rPr>
                <w:rFonts w:hint="eastAsia" w:ascii="宋体" w:hAnsi="宋体" w:cs="宋体"/>
                <w:kern w:val="0"/>
                <w:sz w:val="24"/>
                <w:lang w:bidi="ar"/>
              </w:rPr>
              <w:t>262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C0E936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6396BEC">
            <w:pPr>
              <w:widowControl/>
              <w:jc w:val="center"/>
              <w:textAlignment w:val="center"/>
              <w:rPr>
                <w:rFonts w:hint="eastAsia" w:ascii="宋体" w:hAnsi="宋体" w:cs="宋体"/>
                <w:sz w:val="24"/>
              </w:rPr>
            </w:pPr>
            <w:r>
              <w:rPr>
                <w:rFonts w:hint="eastAsia" w:ascii="宋体" w:hAnsi="宋体" w:cs="宋体"/>
                <w:kern w:val="0"/>
                <w:sz w:val="24"/>
                <w:lang w:bidi="ar"/>
              </w:rPr>
              <w:t>筛查登记本管理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3EE1BAA">
            <w:pPr>
              <w:widowControl/>
              <w:textAlignment w:val="center"/>
              <w:rPr>
                <w:rFonts w:hint="eastAsia" w:ascii="宋体" w:hAnsi="宋体" w:cs="宋体"/>
                <w:sz w:val="24"/>
              </w:rPr>
            </w:pPr>
            <w:r>
              <w:rPr>
                <w:rFonts w:hint="eastAsia" w:ascii="宋体" w:hAnsi="宋体" w:cs="宋体"/>
                <w:kern w:val="0"/>
                <w:sz w:val="24"/>
                <w:lang w:bidi="ar"/>
              </w:rPr>
              <w:t xml:space="preserve">  筛查登记本功能模块可满足0-6岁儿童眼保健及视力检查信息的查询与导出需求，支持对新生儿期满月健康管理检查登记本，婴儿期3个月健康管理检查登记本，婴儿期6个月健康管理检查登记本，婴儿期8个月健康管理检查登记本，婴儿期12个月健康管理检查登记本，幼儿期18个月健康管理检查登记本，幼儿期24个月健康管理检查登记本，幼儿期30个月健康管理检查登记本，幼儿期36个月健康管理检查登记本，学龄前4岁健康管理检查登记本，学龄前5岁健康管理检查登记本，学龄前6岁健康管理检查登记本的查询操作，同时针对每类查询结果，均提供导出功能，方便工作人员获取纸质或电子版本的信息，高效适配0-6岁儿童眼保健及视力检查数据管理与使用的日常场景。</w:t>
            </w:r>
          </w:p>
        </w:tc>
      </w:tr>
      <w:tr w14:paraId="0D9145B7">
        <w:tblPrEx>
          <w:tblCellMar>
            <w:top w:w="0" w:type="dxa"/>
            <w:left w:w="108" w:type="dxa"/>
            <w:bottom w:w="0" w:type="dxa"/>
            <w:right w:w="108" w:type="dxa"/>
          </w:tblCellMar>
        </w:tblPrEx>
        <w:trPr>
          <w:trHeight w:val="484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3CFEE02">
            <w:pPr>
              <w:widowControl/>
              <w:jc w:val="center"/>
              <w:textAlignment w:val="center"/>
              <w:rPr>
                <w:rFonts w:hint="eastAsia" w:ascii="宋体" w:hAnsi="宋体" w:cs="宋体"/>
                <w:sz w:val="24"/>
              </w:rPr>
            </w:pPr>
            <w:r>
              <w:rPr>
                <w:rFonts w:hint="eastAsia" w:ascii="宋体" w:hAnsi="宋体" w:cs="宋体"/>
                <w:kern w:val="0"/>
                <w:sz w:val="24"/>
                <w:lang w:bidi="ar"/>
              </w:rPr>
              <w:t>263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AEA91F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3EFEA96">
            <w:pPr>
              <w:widowControl/>
              <w:jc w:val="center"/>
              <w:textAlignment w:val="center"/>
              <w:rPr>
                <w:rFonts w:hint="eastAsia" w:ascii="宋体" w:hAnsi="宋体" w:cs="宋体"/>
                <w:sz w:val="24"/>
              </w:rPr>
            </w:pPr>
            <w:r>
              <w:rPr>
                <w:rFonts w:hint="eastAsia" w:ascii="宋体" w:hAnsi="宋体" w:cs="宋体"/>
                <w:kern w:val="0"/>
                <w:sz w:val="24"/>
                <w:lang w:bidi="ar"/>
              </w:rPr>
              <w:t>异常项目登记本管理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6073536">
            <w:pPr>
              <w:widowControl/>
              <w:textAlignment w:val="center"/>
              <w:rPr>
                <w:rFonts w:hint="eastAsia" w:ascii="宋体" w:hAnsi="宋体" w:cs="宋体"/>
                <w:sz w:val="24"/>
              </w:rPr>
            </w:pPr>
            <w:r>
              <w:rPr>
                <w:rFonts w:hint="eastAsia" w:ascii="宋体" w:hAnsi="宋体" w:cs="宋体"/>
                <w:kern w:val="0"/>
                <w:sz w:val="24"/>
                <w:lang w:bidi="ar"/>
              </w:rPr>
              <w:t xml:space="preserve">   异常项目登记本功能模块可满足0-6岁儿童眼保健及视力检查异常信息的查询与导出需求，支持对新生儿期满月健康管理检查异常项目登记本，婴儿期3个月健康管理检查异常项目登记本，婴儿期6个月健康管理检查异常项目登记本，婴儿期8个月健康管理检查异常项目登记本，婴儿期12个月健康管理检查异常项目登记本，幼儿期18个月健康管理检查异常项目登记本，幼儿期24个月健康管理检查异常项目登记本，幼儿期30个月健康管理检查异常项目登记本，幼儿期36个月健康管理检查异常项目登记本，学龄前4岁健康管理检查异常项目登记本，学龄前5岁健康管理检查异常项目登记本，学龄前6岁健康管理检查异常项目登记本的查询操作，同时针对每类查询结果，均提供导出功能，方便工作人员获取纸质或电子版本的信息，高效适配0-6岁儿童眼保健及视力检查异常数据管理与使用的日常场景。</w:t>
            </w:r>
          </w:p>
        </w:tc>
      </w:tr>
      <w:tr w14:paraId="3D04C247">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92C42F1">
            <w:pPr>
              <w:widowControl/>
              <w:jc w:val="center"/>
              <w:textAlignment w:val="center"/>
              <w:rPr>
                <w:rFonts w:hint="eastAsia" w:ascii="宋体" w:hAnsi="宋体" w:cs="宋体"/>
                <w:sz w:val="24"/>
              </w:rPr>
            </w:pPr>
            <w:r>
              <w:rPr>
                <w:rFonts w:hint="eastAsia" w:ascii="宋体" w:hAnsi="宋体" w:cs="宋体"/>
                <w:kern w:val="0"/>
                <w:sz w:val="24"/>
                <w:lang w:bidi="ar"/>
              </w:rPr>
              <w:t>264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210D9A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B7A23FE">
            <w:pPr>
              <w:widowControl/>
              <w:jc w:val="center"/>
              <w:textAlignment w:val="center"/>
              <w:rPr>
                <w:rFonts w:hint="eastAsia" w:ascii="宋体" w:hAnsi="宋体" w:cs="宋体"/>
                <w:sz w:val="24"/>
              </w:rPr>
            </w:pPr>
            <w:r>
              <w:rPr>
                <w:rFonts w:hint="eastAsia" w:ascii="宋体" w:hAnsi="宋体" w:cs="宋体"/>
                <w:kern w:val="0"/>
                <w:sz w:val="24"/>
                <w:lang w:bidi="ar"/>
              </w:rPr>
              <w:t>检查项目统计分析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47C3C90D">
            <w:pPr>
              <w:widowControl/>
              <w:textAlignment w:val="center"/>
              <w:rPr>
                <w:rFonts w:hint="eastAsia" w:ascii="宋体" w:hAnsi="宋体" w:cs="宋体"/>
                <w:sz w:val="24"/>
              </w:rPr>
            </w:pPr>
            <w:r>
              <w:rPr>
                <w:rFonts w:hint="eastAsia" w:ascii="宋体" w:hAnsi="宋体" w:cs="宋体"/>
                <w:kern w:val="0"/>
                <w:sz w:val="24"/>
                <w:lang w:bidi="ar"/>
              </w:rPr>
              <w:t xml:space="preserve">    检查项目统计分析模块可全面覆盖0-6岁儿童眼保健和视力检查相关数据的查询与导出需求，核心支持关键统计报表的管理操作。具体包括，可以按照检查单位、检查时间对所有的检查项目按照正常、异常进行统计。</w:t>
            </w:r>
          </w:p>
        </w:tc>
      </w:tr>
      <w:tr w14:paraId="2160D04C">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A9DED5D">
            <w:pPr>
              <w:widowControl/>
              <w:jc w:val="center"/>
              <w:textAlignment w:val="center"/>
              <w:rPr>
                <w:rFonts w:hint="eastAsia" w:ascii="宋体" w:hAnsi="宋体" w:cs="宋体"/>
                <w:sz w:val="24"/>
              </w:rPr>
            </w:pPr>
            <w:r>
              <w:rPr>
                <w:rFonts w:hint="eastAsia" w:ascii="宋体" w:hAnsi="宋体" w:cs="宋体"/>
                <w:kern w:val="0"/>
                <w:sz w:val="24"/>
                <w:lang w:bidi="ar"/>
              </w:rPr>
              <w:t>265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A8053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3DDEA20">
            <w:pPr>
              <w:widowControl/>
              <w:jc w:val="center"/>
              <w:textAlignment w:val="center"/>
              <w:rPr>
                <w:rFonts w:hint="eastAsia" w:ascii="宋体" w:hAnsi="宋体" w:cs="宋体"/>
                <w:sz w:val="24"/>
              </w:rPr>
            </w:pPr>
            <w:r>
              <w:rPr>
                <w:rFonts w:hint="eastAsia" w:ascii="宋体" w:hAnsi="宋体" w:cs="宋体"/>
                <w:kern w:val="0"/>
                <w:sz w:val="24"/>
                <w:lang w:bidi="ar"/>
              </w:rPr>
              <w:t>指标统计分析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136B95DC">
            <w:pPr>
              <w:widowControl/>
              <w:textAlignment w:val="center"/>
              <w:rPr>
                <w:rFonts w:hint="eastAsia" w:ascii="宋体" w:hAnsi="宋体" w:cs="宋体"/>
                <w:sz w:val="24"/>
              </w:rPr>
            </w:pPr>
            <w:r>
              <w:rPr>
                <w:rFonts w:hint="eastAsia" w:ascii="宋体" w:hAnsi="宋体" w:cs="宋体"/>
                <w:kern w:val="0"/>
                <w:sz w:val="24"/>
                <w:lang w:bidi="ar"/>
              </w:rPr>
              <w:t xml:space="preserve">    指标统计分析模块可全面覆盖0-6岁儿童眼保健和视力检查相关数据的查询与导出需求，核心支持关键统计报表的管理操作。具体包括，可以按照管理单位、统计时间，对辖区内的儿童按照年龄段统0-6岁儿童数、建档数、建档率、1次及以上人数、覆盖率、异常人数、异常率、异常人次数、转诊人次数、转诊率、视力检查人数、视力不良检出人数、视力不良检出率。</w:t>
            </w:r>
          </w:p>
        </w:tc>
      </w:tr>
      <w:tr w14:paraId="622DAE91">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A23B001">
            <w:pPr>
              <w:widowControl/>
              <w:jc w:val="center"/>
              <w:textAlignment w:val="center"/>
              <w:rPr>
                <w:rFonts w:hint="eastAsia" w:ascii="宋体" w:hAnsi="宋体" w:cs="宋体"/>
                <w:sz w:val="24"/>
              </w:rPr>
            </w:pPr>
            <w:r>
              <w:rPr>
                <w:rFonts w:hint="eastAsia" w:ascii="宋体" w:hAnsi="宋体" w:cs="宋体"/>
                <w:kern w:val="0"/>
                <w:sz w:val="24"/>
                <w:lang w:bidi="ar"/>
              </w:rPr>
              <w:t>267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6623D946">
            <w:pPr>
              <w:widowControl/>
              <w:jc w:val="center"/>
              <w:textAlignment w:val="center"/>
              <w:rPr>
                <w:rFonts w:hint="eastAsia" w:ascii="宋体" w:hAnsi="宋体" w:cs="宋体"/>
                <w:sz w:val="24"/>
              </w:rPr>
            </w:pPr>
            <w:r>
              <w:rPr>
                <w:rFonts w:hint="eastAsia" w:ascii="宋体" w:hAnsi="宋体" w:cs="宋体"/>
                <w:kern w:val="0"/>
                <w:sz w:val="24"/>
                <w:lang w:bidi="ar"/>
              </w:rPr>
              <w:t>新生儿髋关节脱位筛查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08533424">
            <w:pPr>
              <w:widowControl/>
              <w:jc w:val="center"/>
              <w:textAlignment w:val="center"/>
              <w:rPr>
                <w:rFonts w:hint="eastAsia" w:ascii="宋体" w:hAnsi="宋体" w:cs="宋体"/>
                <w:sz w:val="24"/>
              </w:rPr>
            </w:pPr>
            <w:r>
              <w:rPr>
                <w:rFonts w:hint="eastAsia" w:ascii="宋体" w:hAnsi="宋体" w:cs="宋体"/>
                <w:kern w:val="0"/>
                <w:sz w:val="24"/>
                <w:lang w:bidi="ar"/>
              </w:rPr>
              <w:t>髋关节脱位筛查档案管理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B03F728">
            <w:pPr>
              <w:widowControl/>
              <w:textAlignment w:val="center"/>
              <w:rPr>
                <w:rFonts w:hint="eastAsia" w:ascii="宋体" w:hAnsi="宋体" w:cs="宋体"/>
                <w:sz w:val="24"/>
              </w:rPr>
            </w:pPr>
            <w:r>
              <w:rPr>
                <w:rFonts w:hint="eastAsia" w:ascii="宋体" w:hAnsi="宋体" w:cs="宋体"/>
                <w:kern w:val="0"/>
                <w:sz w:val="24"/>
                <w:lang w:bidi="ar"/>
              </w:rPr>
              <w:t xml:space="preserve">    为服务对象提供全面的髋关节脱位筛查档案管理功能，支持新建、修改与删除筛查档案，并可实现与“健苗工程”系统中儿童档案的信息共享，有效避免重复建档。</w:t>
            </w:r>
            <w:r>
              <w:rPr>
                <w:rFonts w:hint="eastAsia" w:ascii="宋体" w:hAnsi="宋体" w:cs="宋体"/>
                <w:kern w:val="0"/>
                <w:sz w:val="24"/>
                <w:lang w:bidi="ar"/>
              </w:rPr>
              <w:br w:type="textWrapping"/>
            </w:r>
            <w:r>
              <w:rPr>
                <w:rFonts w:hint="eastAsia" w:ascii="宋体" w:hAnsi="宋体" w:cs="宋体"/>
                <w:kern w:val="0"/>
                <w:sz w:val="24"/>
                <w:lang w:bidi="ar"/>
              </w:rPr>
              <w:t xml:space="preserve">   对于已存在儿童档案的服务对象，系统将自动识别，无需重复建立筛查档案。可以灵活设置筛查个案中相关的高危因素字典，供医生选择，减少医生工作量。此外，系统还支持一键打开筛查个案管理页面，便于用户查看个案详情。</w:t>
            </w:r>
          </w:p>
        </w:tc>
      </w:tr>
      <w:tr w14:paraId="399BB5BB">
        <w:tblPrEx>
          <w:tblCellMar>
            <w:top w:w="0" w:type="dxa"/>
            <w:left w:w="108" w:type="dxa"/>
            <w:bottom w:w="0" w:type="dxa"/>
            <w:right w:w="108" w:type="dxa"/>
          </w:tblCellMar>
        </w:tblPrEx>
        <w:trPr>
          <w:trHeight w:val="31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D8EE664">
            <w:pPr>
              <w:widowControl/>
              <w:jc w:val="center"/>
              <w:textAlignment w:val="center"/>
              <w:rPr>
                <w:rFonts w:hint="eastAsia" w:ascii="宋体" w:hAnsi="宋体" w:cs="宋体"/>
                <w:sz w:val="24"/>
              </w:rPr>
            </w:pPr>
            <w:r>
              <w:rPr>
                <w:rFonts w:hint="eastAsia" w:ascii="宋体" w:hAnsi="宋体" w:cs="宋体"/>
                <w:kern w:val="0"/>
                <w:sz w:val="24"/>
                <w:lang w:bidi="ar"/>
              </w:rPr>
              <w:t>268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294B8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142E1D7">
            <w:pPr>
              <w:widowControl/>
              <w:jc w:val="center"/>
              <w:textAlignment w:val="center"/>
              <w:rPr>
                <w:rFonts w:hint="eastAsia" w:ascii="宋体" w:hAnsi="宋体" w:cs="宋体"/>
                <w:sz w:val="24"/>
              </w:rPr>
            </w:pPr>
            <w:r>
              <w:rPr>
                <w:rFonts w:hint="eastAsia" w:ascii="宋体" w:hAnsi="宋体" w:cs="宋体"/>
                <w:kern w:val="0"/>
                <w:sz w:val="24"/>
                <w:lang w:bidi="ar"/>
              </w:rPr>
              <w:t>筛查信息管理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DDEDB9C">
            <w:pPr>
              <w:widowControl/>
              <w:textAlignment w:val="center"/>
              <w:rPr>
                <w:rFonts w:hint="eastAsia" w:ascii="宋体" w:hAnsi="宋体" w:cs="宋体"/>
                <w:sz w:val="24"/>
              </w:rPr>
            </w:pPr>
            <w:r>
              <w:rPr>
                <w:rFonts w:hint="eastAsia" w:ascii="宋体" w:hAnsi="宋体" w:cs="宋体"/>
                <w:kern w:val="0"/>
                <w:sz w:val="24"/>
                <w:lang w:bidi="ar"/>
              </w:rPr>
              <w:t xml:space="preserve">    筛查信息管理以髋关节筛查信息的全生命周期管理为基础，支持对髋关节筛查记录进行新增、修改与删除，保障了数据的完整性与灵活性。可以灵活设置筛查方法和筛选结果字典，供医生选择。</w:t>
            </w:r>
          </w:p>
        </w:tc>
      </w:tr>
      <w:tr w14:paraId="2B26B80F">
        <w:tblPrEx>
          <w:tblCellMar>
            <w:top w:w="0" w:type="dxa"/>
            <w:left w:w="108" w:type="dxa"/>
            <w:bottom w:w="0" w:type="dxa"/>
            <w:right w:w="108" w:type="dxa"/>
          </w:tblCellMar>
        </w:tblPrEx>
        <w:trPr>
          <w:trHeight w:val="29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5979A68">
            <w:pPr>
              <w:widowControl/>
              <w:jc w:val="center"/>
              <w:textAlignment w:val="center"/>
              <w:rPr>
                <w:rFonts w:hint="eastAsia" w:ascii="宋体" w:hAnsi="宋体" w:cs="宋体"/>
                <w:sz w:val="24"/>
              </w:rPr>
            </w:pPr>
            <w:r>
              <w:rPr>
                <w:rFonts w:hint="eastAsia" w:ascii="宋体" w:hAnsi="宋体" w:cs="宋体"/>
                <w:kern w:val="0"/>
                <w:sz w:val="24"/>
                <w:lang w:bidi="ar"/>
              </w:rPr>
              <w:t>269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40B489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FECCDA0">
            <w:pPr>
              <w:widowControl/>
              <w:jc w:val="center"/>
              <w:textAlignment w:val="center"/>
              <w:rPr>
                <w:rFonts w:hint="eastAsia" w:ascii="宋体" w:hAnsi="宋体" w:cs="宋体"/>
                <w:sz w:val="24"/>
              </w:rPr>
            </w:pPr>
            <w:r>
              <w:rPr>
                <w:rFonts w:hint="eastAsia" w:ascii="宋体" w:hAnsi="宋体" w:cs="宋体"/>
                <w:kern w:val="0"/>
                <w:sz w:val="24"/>
                <w:lang w:bidi="ar"/>
              </w:rPr>
              <w:t>确诊信息管理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A996E3C">
            <w:pPr>
              <w:widowControl/>
              <w:textAlignment w:val="center"/>
              <w:rPr>
                <w:rFonts w:hint="eastAsia" w:ascii="宋体" w:hAnsi="宋体" w:cs="宋体"/>
                <w:sz w:val="24"/>
              </w:rPr>
            </w:pPr>
            <w:r>
              <w:rPr>
                <w:rFonts w:hint="eastAsia" w:ascii="宋体" w:hAnsi="宋体" w:cs="宋体"/>
                <w:kern w:val="0"/>
                <w:sz w:val="24"/>
                <w:lang w:bidi="ar"/>
              </w:rPr>
              <w:t xml:space="preserve">    医疗人员在专用的髋关节确诊页面上，对患儿的最终诊断数据进行新增、修改与删除，确保诊断结论的准确性与可维护性。可以灵活设置专科检查结果，临床检查结果，确诊结果，处理意见和指导意见字典选项，供医生选择。</w:t>
            </w:r>
          </w:p>
        </w:tc>
      </w:tr>
      <w:tr w14:paraId="040AC3DB">
        <w:tblPrEx>
          <w:tblCellMar>
            <w:top w:w="0" w:type="dxa"/>
            <w:left w:w="108" w:type="dxa"/>
            <w:bottom w:w="0" w:type="dxa"/>
            <w:right w:w="108" w:type="dxa"/>
          </w:tblCellMar>
        </w:tblPrEx>
        <w:trPr>
          <w:trHeight w:val="31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76FDD23">
            <w:pPr>
              <w:widowControl/>
              <w:jc w:val="center"/>
              <w:textAlignment w:val="center"/>
              <w:rPr>
                <w:rFonts w:hint="eastAsia" w:ascii="宋体" w:hAnsi="宋体" w:cs="宋体"/>
                <w:sz w:val="24"/>
              </w:rPr>
            </w:pPr>
            <w:r>
              <w:rPr>
                <w:rFonts w:hint="eastAsia" w:ascii="宋体" w:hAnsi="宋体" w:cs="宋体"/>
                <w:kern w:val="0"/>
                <w:sz w:val="24"/>
                <w:lang w:bidi="ar"/>
              </w:rPr>
              <w:t>270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983385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A155D62">
            <w:pPr>
              <w:widowControl/>
              <w:jc w:val="center"/>
              <w:textAlignment w:val="center"/>
              <w:rPr>
                <w:rFonts w:hint="eastAsia" w:ascii="宋体" w:hAnsi="宋体" w:cs="宋体"/>
                <w:sz w:val="24"/>
              </w:rPr>
            </w:pPr>
            <w:r>
              <w:rPr>
                <w:rFonts w:hint="eastAsia" w:ascii="宋体" w:hAnsi="宋体" w:cs="宋体"/>
                <w:kern w:val="0"/>
                <w:sz w:val="24"/>
                <w:lang w:bidi="ar"/>
              </w:rPr>
              <w:t>随访信息管理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0AC7B80">
            <w:pPr>
              <w:widowControl/>
              <w:textAlignment w:val="center"/>
              <w:rPr>
                <w:rFonts w:hint="eastAsia" w:ascii="宋体" w:hAnsi="宋体" w:cs="宋体"/>
                <w:sz w:val="24"/>
              </w:rPr>
            </w:pPr>
            <w:r>
              <w:rPr>
                <w:rFonts w:hint="eastAsia" w:ascii="宋体" w:hAnsi="宋体" w:cs="宋体"/>
                <w:kern w:val="0"/>
                <w:sz w:val="24"/>
                <w:lang w:bidi="ar"/>
              </w:rPr>
              <w:t xml:space="preserve">    医疗人员在专用的髋关节随访诊页面上，对患儿的随访数据进行新增、修改与删除，确保随访工作的条理性和执行力，使每一次随访都有记录、可追溯。  </w:t>
            </w:r>
          </w:p>
        </w:tc>
      </w:tr>
      <w:tr w14:paraId="68C339EC">
        <w:tblPrEx>
          <w:tblCellMar>
            <w:top w:w="0" w:type="dxa"/>
            <w:left w:w="108" w:type="dxa"/>
            <w:bottom w:w="0" w:type="dxa"/>
            <w:right w:w="108" w:type="dxa"/>
          </w:tblCellMar>
        </w:tblPrEx>
        <w:trPr>
          <w:trHeight w:val="63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C0860AE">
            <w:pPr>
              <w:widowControl/>
              <w:jc w:val="center"/>
              <w:textAlignment w:val="center"/>
              <w:rPr>
                <w:rFonts w:hint="eastAsia" w:ascii="宋体" w:hAnsi="宋体" w:cs="宋体"/>
                <w:sz w:val="24"/>
              </w:rPr>
            </w:pPr>
            <w:r>
              <w:rPr>
                <w:rFonts w:hint="eastAsia" w:ascii="宋体" w:hAnsi="宋体" w:cs="宋体"/>
                <w:kern w:val="0"/>
                <w:sz w:val="24"/>
                <w:lang w:bidi="ar"/>
              </w:rPr>
              <w:t>271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871CEE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11C1A2A">
            <w:pPr>
              <w:widowControl/>
              <w:jc w:val="center"/>
              <w:textAlignment w:val="center"/>
              <w:rPr>
                <w:rFonts w:hint="eastAsia" w:ascii="宋体" w:hAnsi="宋体" w:cs="宋体"/>
                <w:sz w:val="24"/>
              </w:rPr>
            </w:pPr>
            <w:r>
              <w:rPr>
                <w:rFonts w:hint="eastAsia" w:ascii="宋体" w:hAnsi="宋体" w:cs="宋体"/>
                <w:kern w:val="0"/>
                <w:sz w:val="24"/>
                <w:lang w:bidi="ar"/>
              </w:rPr>
              <w:t>个案信息列表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4E247C59">
            <w:pPr>
              <w:widowControl/>
              <w:textAlignment w:val="center"/>
              <w:rPr>
                <w:rFonts w:hint="eastAsia" w:ascii="宋体" w:hAnsi="宋体" w:cs="宋体"/>
                <w:sz w:val="24"/>
              </w:rPr>
            </w:pPr>
            <w:r>
              <w:rPr>
                <w:rFonts w:hint="eastAsia" w:ascii="宋体" w:hAnsi="宋体" w:cs="宋体"/>
                <w:kern w:val="0"/>
                <w:sz w:val="24"/>
                <w:lang w:bidi="ar"/>
              </w:rPr>
              <w:t xml:space="preserve">    个案信息列表提供了强大的个案查询功能，允许用户打开个案信息列表页面，快速定位并列出所有已创建筛查档案的儿童。对于列表中的每一个个案，系统整合并清晰展示其完整的筛查状态与高危因素。同时，系统可以将查询出的个案列表及关键信息一键导出。</w:t>
            </w:r>
          </w:p>
        </w:tc>
      </w:tr>
      <w:tr w14:paraId="5037228C">
        <w:tblPrEx>
          <w:tblCellMar>
            <w:top w:w="0" w:type="dxa"/>
            <w:left w:w="108" w:type="dxa"/>
            <w:bottom w:w="0" w:type="dxa"/>
            <w:right w:w="108" w:type="dxa"/>
          </w:tblCellMar>
        </w:tblPrEx>
        <w:trPr>
          <w:trHeight w:val="57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491F98A">
            <w:pPr>
              <w:widowControl/>
              <w:jc w:val="center"/>
              <w:textAlignment w:val="center"/>
              <w:rPr>
                <w:rFonts w:hint="eastAsia" w:ascii="宋体" w:hAnsi="宋体" w:cs="宋体"/>
                <w:sz w:val="24"/>
              </w:rPr>
            </w:pPr>
            <w:r>
              <w:rPr>
                <w:rFonts w:hint="eastAsia" w:ascii="宋体" w:hAnsi="宋体" w:cs="宋体"/>
                <w:kern w:val="0"/>
                <w:sz w:val="24"/>
                <w:lang w:bidi="ar"/>
              </w:rPr>
              <w:t>272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F1EDEB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526261">
            <w:pPr>
              <w:widowControl/>
              <w:jc w:val="center"/>
              <w:textAlignment w:val="center"/>
              <w:rPr>
                <w:rFonts w:hint="eastAsia" w:ascii="宋体" w:hAnsi="宋体" w:cs="宋体"/>
                <w:sz w:val="24"/>
              </w:rPr>
            </w:pPr>
            <w:r>
              <w:rPr>
                <w:rFonts w:hint="eastAsia" w:ascii="宋体" w:hAnsi="宋体" w:cs="宋体"/>
                <w:kern w:val="0"/>
                <w:sz w:val="24"/>
                <w:lang w:bidi="ar"/>
              </w:rPr>
              <w:t>筛查信息列表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2994E58D">
            <w:pPr>
              <w:widowControl/>
              <w:textAlignment w:val="center"/>
              <w:rPr>
                <w:rFonts w:hint="eastAsia" w:ascii="宋体" w:hAnsi="宋体" w:cs="宋体"/>
                <w:sz w:val="24"/>
              </w:rPr>
            </w:pPr>
            <w:r>
              <w:rPr>
                <w:rFonts w:hint="eastAsia" w:ascii="宋体" w:hAnsi="宋体" w:cs="宋体"/>
                <w:kern w:val="0"/>
                <w:sz w:val="24"/>
                <w:lang w:bidi="ar"/>
              </w:rPr>
              <w:t xml:space="preserve">    在筛查信息列表上可以通过筛查单位，筛查时间等等多种关键条件，快速定位目标儿童的筛查信息。通过筛查信息列表页面，用户可以总览所有儿童的筛查概况，可以查看筛查结果正常和筛查结果异常的儿童。并且可以导出查询到的个案信息列表。</w:t>
            </w:r>
          </w:p>
        </w:tc>
      </w:tr>
      <w:tr w14:paraId="197D22A2">
        <w:tblPrEx>
          <w:tblCellMar>
            <w:top w:w="0" w:type="dxa"/>
            <w:left w:w="108" w:type="dxa"/>
            <w:bottom w:w="0" w:type="dxa"/>
            <w:right w:w="108" w:type="dxa"/>
          </w:tblCellMar>
        </w:tblPrEx>
        <w:trPr>
          <w:trHeight w:val="58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E3523E8">
            <w:pPr>
              <w:widowControl/>
              <w:jc w:val="center"/>
              <w:textAlignment w:val="center"/>
              <w:rPr>
                <w:rFonts w:hint="eastAsia" w:ascii="宋体" w:hAnsi="宋体" w:cs="宋体"/>
                <w:sz w:val="24"/>
              </w:rPr>
            </w:pPr>
            <w:r>
              <w:rPr>
                <w:rFonts w:hint="eastAsia" w:ascii="宋体" w:hAnsi="宋体" w:cs="宋体"/>
                <w:kern w:val="0"/>
                <w:sz w:val="24"/>
                <w:lang w:bidi="ar"/>
              </w:rPr>
              <w:t>273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AF6D5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001CE4F">
            <w:pPr>
              <w:widowControl/>
              <w:jc w:val="center"/>
              <w:textAlignment w:val="center"/>
              <w:rPr>
                <w:rFonts w:hint="eastAsia" w:ascii="宋体" w:hAnsi="宋体" w:cs="宋体"/>
                <w:sz w:val="24"/>
              </w:rPr>
            </w:pPr>
            <w:r>
              <w:rPr>
                <w:rFonts w:hint="eastAsia" w:ascii="宋体" w:hAnsi="宋体" w:cs="宋体"/>
                <w:kern w:val="0"/>
                <w:sz w:val="24"/>
                <w:lang w:bidi="ar"/>
              </w:rPr>
              <w:t>确诊信息列表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10549FA4">
            <w:pPr>
              <w:widowControl/>
              <w:textAlignment w:val="center"/>
              <w:rPr>
                <w:rFonts w:hint="eastAsia" w:ascii="宋体" w:hAnsi="宋体" w:cs="宋体"/>
                <w:sz w:val="24"/>
              </w:rPr>
            </w:pPr>
            <w:r>
              <w:rPr>
                <w:rFonts w:hint="eastAsia" w:ascii="宋体" w:hAnsi="宋体" w:cs="宋体"/>
                <w:kern w:val="0"/>
                <w:sz w:val="24"/>
                <w:lang w:bidi="ar"/>
              </w:rPr>
              <w:t xml:space="preserve">    在确诊信息列表上可以通过确诊单位，确诊时间等等多种关键条件，快速定位目标儿童的确诊信息。通过确诊信息列表页面，用户可以总览所有儿童的确诊概况，可以通过确诊结果分类查询儿童信息，并且可以导出查询到的个案信息列表。</w:t>
            </w:r>
          </w:p>
        </w:tc>
      </w:tr>
      <w:tr w14:paraId="5E50AF2B">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0A66256">
            <w:pPr>
              <w:widowControl/>
              <w:jc w:val="center"/>
              <w:textAlignment w:val="center"/>
              <w:rPr>
                <w:rFonts w:hint="eastAsia" w:ascii="宋体" w:hAnsi="宋体" w:cs="宋体"/>
                <w:sz w:val="24"/>
              </w:rPr>
            </w:pPr>
            <w:r>
              <w:rPr>
                <w:rFonts w:hint="eastAsia" w:ascii="宋体" w:hAnsi="宋体" w:cs="宋体"/>
                <w:kern w:val="0"/>
                <w:sz w:val="24"/>
                <w:lang w:bidi="ar"/>
              </w:rPr>
              <w:t>274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A17740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0CA2075">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554BF707">
            <w:pPr>
              <w:widowControl/>
              <w:textAlignment w:val="center"/>
              <w:rPr>
                <w:rFonts w:hint="eastAsia" w:ascii="宋体" w:hAnsi="宋体" w:cs="宋体"/>
                <w:sz w:val="24"/>
              </w:rPr>
            </w:pPr>
            <w:r>
              <w:rPr>
                <w:rFonts w:hint="eastAsia" w:ascii="宋体" w:hAnsi="宋体" w:cs="宋体"/>
                <w:kern w:val="0"/>
                <w:sz w:val="24"/>
                <w:lang w:bidi="ar"/>
              </w:rPr>
              <w:t>系统提供全面的新生儿髋关脱位节筛查数据登记本查询与导出功能，支持对髋关节筛查信息登记本，髋关节确诊信息登记本，髋关节随访信息登记本进行查询，并支持导出。</w:t>
            </w:r>
          </w:p>
        </w:tc>
      </w:tr>
      <w:tr w14:paraId="00A16B85">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85CE67A">
            <w:pPr>
              <w:widowControl/>
              <w:jc w:val="center"/>
              <w:textAlignment w:val="center"/>
              <w:rPr>
                <w:rFonts w:hint="eastAsia" w:ascii="宋体" w:hAnsi="宋体" w:cs="宋体"/>
                <w:sz w:val="24"/>
              </w:rPr>
            </w:pPr>
            <w:r>
              <w:rPr>
                <w:rFonts w:hint="eastAsia" w:ascii="宋体" w:hAnsi="宋体" w:cs="宋体"/>
                <w:kern w:val="0"/>
                <w:sz w:val="24"/>
                <w:lang w:bidi="ar"/>
              </w:rPr>
              <w:t>275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F02B8B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67497D3">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61F14999">
            <w:pPr>
              <w:widowControl/>
              <w:textAlignment w:val="center"/>
              <w:rPr>
                <w:rFonts w:hint="eastAsia" w:ascii="宋体" w:hAnsi="宋体" w:cs="宋体"/>
                <w:sz w:val="24"/>
              </w:rPr>
            </w:pPr>
            <w:r>
              <w:rPr>
                <w:rFonts w:hint="eastAsia" w:ascii="宋体" w:hAnsi="宋体" w:cs="宋体"/>
                <w:kern w:val="0"/>
                <w:sz w:val="24"/>
                <w:lang w:bidi="ar"/>
              </w:rPr>
              <w:t>系统提供全面的新生儿髋关脱位节筛查数据分析报表查询与导出功能，统计并监控筛查阳性率、可疑率等，为临床决策提供数据一依据。</w:t>
            </w:r>
          </w:p>
        </w:tc>
      </w:tr>
      <w:tr w14:paraId="0A12C470">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BA6873C">
            <w:pPr>
              <w:widowControl/>
              <w:jc w:val="center"/>
              <w:textAlignment w:val="center"/>
              <w:rPr>
                <w:rFonts w:hint="eastAsia" w:ascii="宋体" w:hAnsi="宋体" w:cs="宋体"/>
                <w:sz w:val="24"/>
              </w:rPr>
            </w:pPr>
            <w:r>
              <w:rPr>
                <w:rFonts w:hint="eastAsia" w:ascii="宋体" w:hAnsi="宋体" w:cs="宋体"/>
                <w:kern w:val="0"/>
                <w:sz w:val="24"/>
                <w:lang w:bidi="ar"/>
              </w:rPr>
              <w:t>277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E9EF24C">
            <w:pPr>
              <w:widowControl/>
              <w:jc w:val="center"/>
              <w:textAlignment w:val="center"/>
              <w:rPr>
                <w:rFonts w:hint="eastAsia" w:ascii="宋体" w:hAnsi="宋体" w:cs="宋体"/>
                <w:sz w:val="24"/>
              </w:rPr>
            </w:pPr>
            <w:r>
              <w:rPr>
                <w:rFonts w:hint="eastAsia" w:ascii="宋体" w:hAnsi="宋体" w:cs="宋体"/>
                <w:kern w:val="0"/>
                <w:sz w:val="24"/>
                <w:lang w:bidi="ar"/>
              </w:rPr>
              <w:t>儿童孤独症筛查与康复管理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42C22952">
            <w:pPr>
              <w:widowControl/>
              <w:jc w:val="center"/>
              <w:textAlignment w:val="center"/>
              <w:rPr>
                <w:rFonts w:hint="eastAsia" w:ascii="宋体" w:hAnsi="宋体" w:cs="宋体"/>
                <w:sz w:val="24"/>
              </w:rPr>
            </w:pPr>
            <w:r>
              <w:rPr>
                <w:rFonts w:hint="eastAsia" w:ascii="宋体" w:hAnsi="宋体" w:cs="宋体"/>
                <w:kern w:val="0"/>
                <w:sz w:val="24"/>
                <w:lang w:bidi="ar"/>
              </w:rPr>
              <w:t>孤独症筛查档案管理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DB81538">
            <w:pPr>
              <w:widowControl/>
              <w:textAlignment w:val="center"/>
              <w:rPr>
                <w:rFonts w:hint="eastAsia" w:ascii="宋体" w:hAnsi="宋体" w:cs="宋体"/>
                <w:sz w:val="24"/>
              </w:rPr>
            </w:pPr>
            <w:r>
              <w:rPr>
                <w:rFonts w:hint="eastAsia" w:ascii="宋体" w:hAnsi="宋体" w:cs="宋体"/>
                <w:kern w:val="0"/>
                <w:sz w:val="24"/>
                <w:lang w:bidi="ar"/>
              </w:rPr>
              <w:t xml:space="preserve">    为服务对象提供全面的孤独症筛查档案管理功能，支持新建、修改与删除筛查档案，并可实现与“健苗工程”系统中儿童档案的信息共享，有效避免重复建档。此外，系统还支持一键打开筛查个案管理页面，便于用户查看个案详情。</w:t>
            </w:r>
          </w:p>
        </w:tc>
      </w:tr>
      <w:tr w14:paraId="3711C9EB">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D06ADEB">
            <w:pPr>
              <w:widowControl/>
              <w:jc w:val="center"/>
              <w:textAlignment w:val="center"/>
              <w:rPr>
                <w:rFonts w:hint="eastAsia" w:ascii="宋体" w:hAnsi="宋体" w:cs="宋体"/>
                <w:sz w:val="24"/>
              </w:rPr>
            </w:pPr>
            <w:r>
              <w:rPr>
                <w:rFonts w:hint="eastAsia" w:ascii="宋体" w:hAnsi="宋体" w:cs="宋体"/>
                <w:kern w:val="0"/>
                <w:sz w:val="24"/>
                <w:lang w:bidi="ar"/>
              </w:rPr>
              <w:t>278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44AD0C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5397721">
            <w:pPr>
              <w:widowControl/>
              <w:jc w:val="center"/>
              <w:textAlignment w:val="center"/>
              <w:rPr>
                <w:rFonts w:hint="eastAsia" w:ascii="宋体" w:hAnsi="宋体" w:cs="宋体"/>
                <w:sz w:val="24"/>
              </w:rPr>
            </w:pPr>
            <w:r>
              <w:rPr>
                <w:rFonts w:hint="eastAsia" w:ascii="宋体" w:hAnsi="宋体" w:cs="宋体"/>
                <w:kern w:val="0"/>
                <w:sz w:val="24"/>
                <w:lang w:bidi="ar"/>
              </w:rPr>
              <w:t>初筛管理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89C1657">
            <w:pPr>
              <w:widowControl/>
              <w:textAlignment w:val="center"/>
              <w:rPr>
                <w:rFonts w:hint="eastAsia" w:ascii="宋体" w:hAnsi="宋体" w:cs="宋体"/>
                <w:sz w:val="24"/>
              </w:rPr>
            </w:pPr>
            <w:r>
              <w:rPr>
                <w:rFonts w:hint="eastAsia" w:ascii="宋体" w:hAnsi="宋体" w:cs="宋体"/>
                <w:kern w:val="0"/>
                <w:sz w:val="24"/>
                <w:lang w:bidi="ar"/>
              </w:rPr>
              <w:t xml:space="preserve">    系统可以对需要做孤独症筛查的儿童进行初筛管理，可以在孤独症筛查列表新增，修改，删除初筛记录。在初筛tab页面，系统可以根据儿童年龄自动匹配筛查题目，初筛异常的儿童，医护人员可以对其预约复筛机构，复筛时间，并打印转诊单。该列表还可以将儿童初筛，复筛，复筛，诊断记录进行汇总，查看儿童历次筛查详情。</w:t>
            </w:r>
          </w:p>
        </w:tc>
      </w:tr>
      <w:tr w14:paraId="5A8D12BC">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07C0CB2">
            <w:pPr>
              <w:widowControl/>
              <w:jc w:val="center"/>
              <w:textAlignment w:val="center"/>
              <w:rPr>
                <w:rFonts w:hint="eastAsia" w:ascii="宋体" w:hAnsi="宋体" w:cs="宋体"/>
                <w:sz w:val="24"/>
              </w:rPr>
            </w:pPr>
            <w:r>
              <w:rPr>
                <w:rFonts w:hint="eastAsia" w:ascii="宋体" w:hAnsi="宋体" w:cs="宋体"/>
                <w:kern w:val="0"/>
                <w:sz w:val="24"/>
                <w:lang w:bidi="ar"/>
              </w:rPr>
              <w:t>279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1FFD7B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F035328">
            <w:pPr>
              <w:widowControl/>
              <w:jc w:val="center"/>
              <w:textAlignment w:val="center"/>
              <w:rPr>
                <w:rFonts w:hint="eastAsia" w:ascii="宋体" w:hAnsi="宋体" w:cs="宋体"/>
                <w:sz w:val="24"/>
              </w:rPr>
            </w:pPr>
            <w:r>
              <w:rPr>
                <w:rFonts w:hint="eastAsia" w:ascii="宋体" w:hAnsi="宋体" w:cs="宋体"/>
                <w:kern w:val="0"/>
                <w:sz w:val="24"/>
                <w:lang w:bidi="ar"/>
              </w:rPr>
              <w:t>复筛管理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D9A110E">
            <w:pPr>
              <w:widowControl/>
              <w:textAlignment w:val="center"/>
              <w:rPr>
                <w:rFonts w:hint="eastAsia" w:ascii="宋体" w:hAnsi="宋体" w:cs="宋体"/>
                <w:sz w:val="24"/>
              </w:rPr>
            </w:pPr>
            <w:r>
              <w:rPr>
                <w:rFonts w:hint="eastAsia" w:ascii="宋体" w:hAnsi="宋体" w:cs="宋体"/>
                <w:kern w:val="0"/>
                <w:sz w:val="24"/>
                <w:lang w:bidi="ar"/>
              </w:rPr>
              <w:t xml:space="preserve">    系统可以对需要做孤独症复筛的儿童进行复筛管理，可以在孤独症复筛管理列表新增，修改，删除复筛记录。在复筛tab页面，可以录入儿童的病史询问，发育量表评估，孤独症筛查量表评估，复筛结果以及转诊建议。复筛异常的儿童，医护人员可以对其预约诊断机构，诊断时间，并打印转诊单和复筛表。还可以打开复筛管理列表查询已复筛和待复筛儿童数据。其中需要复查的儿童，系统可以预约复查时间。</w:t>
            </w:r>
          </w:p>
        </w:tc>
      </w:tr>
      <w:tr w14:paraId="5D82F9C5">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14AF87">
            <w:pPr>
              <w:widowControl/>
              <w:jc w:val="center"/>
              <w:textAlignment w:val="center"/>
              <w:rPr>
                <w:rFonts w:hint="eastAsia" w:ascii="宋体" w:hAnsi="宋体" w:cs="宋体"/>
                <w:sz w:val="24"/>
              </w:rPr>
            </w:pPr>
            <w:r>
              <w:rPr>
                <w:rFonts w:hint="eastAsia" w:ascii="宋体" w:hAnsi="宋体" w:cs="宋体"/>
                <w:kern w:val="0"/>
                <w:sz w:val="24"/>
                <w:lang w:bidi="ar"/>
              </w:rPr>
              <w:t>280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19ECA3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3BFDF9F">
            <w:pPr>
              <w:widowControl/>
              <w:jc w:val="center"/>
              <w:textAlignment w:val="center"/>
              <w:rPr>
                <w:rFonts w:hint="eastAsia" w:ascii="宋体" w:hAnsi="宋体" w:cs="宋体"/>
                <w:sz w:val="24"/>
              </w:rPr>
            </w:pPr>
            <w:r>
              <w:rPr>
                <w:rFonts w:hint="eastAsia" w:ascii="宋体" w:hAnsi="宋体" w:cs="宋体"/>
                <w:kern w:val="0"/>
                <w:sz w:val="24"/>
                <w:lang w:bidi="ar"/>
              </w:rPr>
              <w:t>复查管理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2F2891C">
            <w:pPr>
              <w:widowControl/>
              <w:textAlignment w:val="center"/>
              <w:rPr>
                <w:rFonts w:hint="eastAsia" w:ascii="宋体" w:hAnsi="宋体" w:cs="宋体"/>
                <w:sz w:val="24"/>
              </w:rPr>
            </w:pPr>
            <w:r>
              <w:rPr>
                <w:rFonts w:hint="eastAsia" w:ascii="宋体" w:hAnsi="宋体" w:cs="宋体"/>
                <w:kern w:val="0"/>
                <w:sz w:val="24"/>
                <w:lang w:bidi="ar"/>
              </w:rPr>
              <w:t xml:space="preserve">   可以在复筛管理列表查询待复筛人员名单，并在复查筛查tab页面新增、修改、删除复查结果，包括病史询问，发育量表评估，孤独症筛查量表评估，复筛结果以及转诊建议。复查结果异常的，还可以预约下次复查时间，或者转诊其他诊断机构，打印转诊单。</w:t>
            </w:r>
          </w:p>
        </w:tc>
      </w:tr>
      <w:tr w14:paraId="33EEAD41">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4B4EB7D">
            <w:pPr>
              <w:widowControl/>
              <w:jc w:val="center"/>
              <w:textAlignment w:val="center"/>
              <w:rPr>
                <w:rFonts w:hint="eastAsia" w:ascii="宋体" w:hAnsi="宋体" w:cs="宋体"/>
                <w:sz w:val="24"/>
              </w:rPr>
            </w:pPr>
            <w:r>
              <w:rPr>
                <w:rFonts w:hint="eastAsia" w:ascii="宋体" w:hAnsi="宋体" w:cs="宋体"/>
                <w:kern w:val="0"/>
                <w:sz w:val="24"/>
                <w:lang w:bidi="ar"/>
              </w:rPr>
              <w:t>281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BBAC39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6EF80DB">
            <w:pPr>
              <w:widowControl/>
              <w:jc w:val="center"/>
              <w:textAlignment w:val="center"/>
              <w:rPr>
                <w:rFonts w:hint="eastAsia" w:ascii="宋体" w:hAnsi="宋体" w:cs="宋体"/>
                <w:sz w:val="24"/>
              </w:rPr>
            </w:pPr>
            <w:r>
              <w:rPr>
                <w:rFonts w:hint="eastAsia" w:ascii="宋体" w:hAnsi="宋体" w:cs="宋体"/>
                <w:kern w:val="0"/>
                <w:sz w:val="24"/>
                <w:lang w:bidi="ar"/>
              </w:rPr>
              <w:t>诊断管理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D2F2016">
            <w:pPr>
              <w:widowControl/>
              <w:textAlignment w:val="center"/>
              <w:rPr>
                <w:rFonts w:hint="eastAsia" w:ascii="宋体" w:hAnsi="宋体" w:cs="宋体"/>
                <w:sz w:val="24"/>
              </w:rPr>
            </w:pPr>
            <w:r>
              <w:rPr>
                <w:rFonts w:hint="eastAsia" w:ascii="宋体" w:hAnsi="宋体" w:cs="宋体"/>
                <w:kern w:val="0"/>
                <w:sz w:val="24"/>
                <w:lang w:bidi="ar"/>
              </w:rPr>
              <w:t xml:space="preserve">    医疗人员在专用的诊断结果录入tab页面上，对复筛异常的儿童的最终诊断数据进行新增、修改与删除，确保诊断结论的准确性与可维护性。可以录入诊断结果，包括儿童当前是否治疗中，记录儿童行为观察结果，对儿童进行量表评估，最后给出ICD11诊断结果以及确诊孤独症儿童干预康复建议。并且在诊断管理列表可以查看儿童历次筛查记录。</w:t>
            </w:r>
          </w:p>
        </w:tc>
      </w:tr>
      <w:tr w14:paraId="1371CDE3">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6797878">
            <w:pPr>
              <w:widowControl/>
              <w:jc w:val="center"/>
              <w:textAlignment w:val="center"/>
              <w:rPr>
                <w:rFonts w:hint="eastAsia" w:ascii="宋体" w:hAnsi="宋体" w:cs="宋体"/>
                <w:sz w:val="24"/>
              </w:rPr>
            </w:pPr>
            <w:r>
              <w:rPr>
                <w:rFonts w:hint="eastAsia" w:ascii="宋体" w:hAnsi="宋体" w:cs="宋体"/>
                <w:kern w:val="0"/>
                <w:sz w:val="24"/>
                <w:lang w:bidi="ar"/>
              </w:rPr>
              <w:t>282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D0F75F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52DBE41">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6E89390">
            <w:pPr>
              <w:widowControl/>
              <w:textAlignment w:val="center"/>
              <w:rPr>
                <w:rFonts w:hint="eastAsia" w:ascii="宋体" w:hAnsi="宋体" w:cs="宋体"/>
                <w:sz w:val="24"/>
              </w:rPr>
            </w:pPr>
            <w:r>
              <w:rPr>
                <w:rFonts w:hint="eastAsia" w:ascii="宋体" w:hAnsi="宋体" w:cs="宋体"/>
                <w:kern w:val="0"/>
                <w:sz w:val="24"/>
                <w:lang w:bidi="ar"/>
              </w:rPr>
              <w:t>医疗人员在专用的孤独症筛查与诊断随访诊页面上，对患儿的随访数据进行新增、修改与删除，确保随访工作的条理性和执行力。并且可以打开随访管理列表查看所有随访记录。</w:t>
            </w:r>
          </w:p>
        </w:tc>
      </w:tr>
      <w:tr w14:paraId="4F09942F">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FF43763">
            <w:pPr>
              <w:widowControl/>
              <w:jc w:val="center"/>
              <w:textAlignment w:val="center"/>
              <w:rPr>
                <w:rFonts w:hint="eastAsia" w:ascii="宋体" w:hAnsi="宋体" w:cs="宋体"/>
                <w:sz w:val="24"/>
              </w:rPr>
            </w:pPr>
            <w:r>
              <w:rPr>
                <w:rFonts w:hint="eastAsia" w:ascii="宋体" w:hAnsi="宋体" w:cs="宋体"/>
                <w:kern w:val="0"/>
                <w:sz w:val="24"/>
                <w:lang w:bidi="ar"/>
              </w:rPr>
              <w:t>283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6FD941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92779B1">
            <w:pPr>
              <w:widowControl/>
              <w:jc w:val="center"/>
              <w:textAlignment w:val="center"/>
              <w:rPr>
                <w:rFonts w:hint="eastAsia" w:ascii="宋体" w:hAnsi="宋体" w:cs="宋体"/>
                <w:sz w:val="24"/>
              </w:rPr>
            </w:pPr>
            <w:r>
              <w:rPr>
                <w:rFonts w:hint="eastAsia" w:ascii="宋体" w:hAnsi="宋体" w:cs="宋体"/>
                <w:kern w:val="0"/>
                <w:sz w:val="24"/>
                <w:lang w:bidi="ar"/>
              </w:rPr>
              <w:t>评估管理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A7469BF">
            <w:pPr>
              <w:widowControl/>
              <w:textAlignment w:val="center"/>
              <w:rPr>
                <w:rFonts w:hint="eastAsia" w:ascii="宋体" w:hAnsi="宋体" w:cs="宋体"/>
                <w:sz w:val="24"/>
              </w:rPr>
            </w:pPr>
            <w:r>
              <w:rPr>
                <w:rFonts w:hint="eastAsia" w:ascii="宋体" w:hAnsi="宋体" w:cs="宋体"/>
                <w:kern w:val="0"/>
                <w:sz w:val="24"/>
                <w:lang w:bidi="ar"/>
              </w:rPr>
              <w:t xml:space="preserve">    评估管理列表可以对孤独症等神经心理行为发育筛查工具的灵活配置。管理员可以通过专门的评估设置页面，自主创建和管理各类评测量表。这包括设置量表的名称，定义该量表对应的评测结果选项。针对如孤独症筛查这类复杂的量表，系统支持对其中的具体小结项目名称和选项结果进行设置。这使得系统能够精准地还原线下纸质量表的评估逻辑，确保数字化筛查的科学性和准确性。</w:t>
            </w:r>
          </w:p>
        </w:tc>
      </w:tr>
      <w:tr w14:paraId="7960C2FA">
        <w:tblPrEx>
          <w:tblCellMar>
            <w:top w:w="0" w:type="dxa"/>
            <w:left w:w="108" w:type="dxa"/>
            <w:bottom w:w="0" w:type="dxa"/>
            <w:right w:w="108" w:type="dxa"/>
          </w:tblCellMar>
        </w:tblPrEx>
        <w:trPr>
          <w:trHeight w:val="68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D86BA13">
            <w:pPr>
              <w:widowControl/>
              <w:jc w:val="center"/>
              <w:textAlignment w:val="center"/>
              <w:rPr>
                <w:rFonts w:hint="eastAsia" w:ascii="宋体" w:hAnsi="宋体" w:cs="宋体"/>
                <w:sz w:val="24"/>
              </w:rPr>
            </w:pPr>
            <w:r>
              <w:rPr>
                <w:rFonts w:hint="eastAsia" w:ascii="宋体" w:hAnsi="宋体" w:cs="宋体"/>
                <w:kern w:val="0"/>
                <w:sz w:val="24"/>
                <w:lang w:bidi="ar"/>
              </w:rPr>
              <w:t>284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49D2D1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CD6A790">
            <w:pPr>
              <w:widowControl/>
              <w:jc w:val="center"/>
              <w:textAlignment w:val="center"/>
              <w:rPr>
                <w:rFonts w:hint="eastAsia" w:ascii="宋体" w:hAnsi="宋体" w:cs="宋体"/>
                <w:sz w:val="24"/>
              </w:rPr>
            </w:pPr>
            <w:r>
              <w:rPr>
                <w:rFonts w:hint="eastAsia" w:ascii="宋体" w:hAnsi="宋体" w:cs="宋体"/>
                <w:kern w:val="0"/>
                <w:sz w:val="24"/>
                <w:lang w:bidi="ar"/>
              </w:rPr>
              <w:t>干预与康复管理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1E716C1">
            <w:pPr>
              <w:widowControl/>
              <w:textAlignment w:val="center"/>
              <w:rPr>
                <w:rFonts w:hint="eastAsia" w:ascii="宋体" w:hAnsi="宋体" w:cs="宋体"/>
                <w:sz w:val="24"/>
              </w:rPr>
            </w:pPr>
            <w:r>
              <w:rPr>
                <w:rFonts w:hint="eastAsia" w:ascii="宋体" w:hAnsi="宋体" w:cs="宋体"/>
                <w:kern w:val="0"/>
                <w:sz w:val="24"/>
                <w:lang w:bidi="ar"/>
              </w:rPr>
              <w:t xml:space="preserve">    儿童干预与康复管理为确诊孤独症儿童构建了一个全周期、多维度、深度集成的数字化康复管理平台。该平台以患儿档案为中心，完整覆盖了从信息收集、评估诊断到康复计划制定与执行跟踪的整个业务流程。具体包括确诊孤独症儿童的档案列表管理，可以新增档案。可以进行访谈记录的新增修改删除，并上传相关访谈附件。可以记录历次临床检查、临床观察，并可上传附件作为凭证。可以设置检查套餐，并能与LIS（实验室信息系统）整合，自动获取化验结果，避免了人工重复录入，确保了数据的准确性与完整性。</w:t>
            </w:r>
            <w:r>
              <w:rPr>
                <w:rFonts w:hint="eastAsia" w:ascii="宋体" w:hAnsi="宋体" w:cs="宋体"/>
                <w:kern w:val="0"/>
                <w:sz w:val="24"/>
                <w:lang w:bidi="ar"/>
              </w:rPr>
              <w:br w:type="textWrapping"/>
            </w:r>
            <w:r>
              <w:rPr>
                <w:rFonts w:hint="eastAsia" w:ascii="宋体" w:hAnsi="宋体" w:cs="宋体"/>
                <w:kern w:val="0"/>
                <w:sz w:val="24"/>
                <w:lang w:bidi="ar"/>
              </w:rPr>
              <w:t>医生可以对儿童进行多项标准化评测，记录得分与相当月龄，为康复提供基线数据。</w:t>
            </w:r>
            <w:r>
              <w:rPr>
                <w:rFonts w:hint="eastAsia" w:ascii="宋体" w:hAnsi="宋体" w:cs="宋体"/>
                <w:kern w:val="0"/>
                <w:sz w:val="24"/>
                <w:lang w:bidi="ar"/>
              </w:rPr>
              <w:br w:type="textWrapping"/>
            </w:r>
            <w:r>
              <w:rPr>
                <w:rFonts w:hint="eastAsia" w:ascii="宋体" w:hAnsi="宋体" w:cs="宋体"/>
                <w:kern w:val="0"/>
                <w:sz w:val="24"/>
                <w:lang w:bidi="ar"/>
              </w:rPr>
              <w:t>可以制定个性化的康复方案与详细的康复计划，可明确设定计划执行人、康复目标、训练领域、技术、内容等关键要素。</w:t>
            </w:r>
            <w:r>
              <w:rPr>
                <w:rFonts w:hint="eastAsia" w:ascii="宋体" w:hAnsi="宋体" w:cs="宋体"/>
                <w:kern w:val="0"/>
                <w:sz w:val="24"/>
                <w:lang w:bidi="ar"/>
              </w:rPr>
              <w:br w:type="textWrapping"/>
            </w:r>
            <w:r>
              <w:rPr>
                <w:rFonts w:hint="eastAsia" w:ascii="宋体" w:hAnsi="宋体" w:cs="宋体"/>
                <w:kern w:val="0"/>
                <w:sz w:val="24"/>
                <w:lang w:bidi="ar"/>
              </w:rPr>
              <w:t>可以进行康复训练执行与效果追踪。医生或治疗师作为执行人，可以录入康复训练记录和周活动内容，记录执行情况与进展。</w:t>
            </w:r>
            <w:r>
              <w:rPr>
                <w:rFonts w:hint="eastAsia" w:ascii="宋体" w:hAnsi="宋体" w:cs="宋体"/>
                <w:kern w:val="0"/>
                <w:sz w:val="24"/>
                <w:lang w:bidi="ar"/>
              </w:rPr>
              <w:br w:type="textWrapping"/>
            </w:r>
            <w:r>
              <w:rPr>
                <w:rFonts w:hint="eastAsia" w:ascii="宋体" w:hAnsi="宋体" w:cs="宋体"/>
                <w:kern w:val="0"/>
                <w:sz w:val="24"/>
                <w:lang w:bidi="ar"/>
              </w:rPr>
              <w:t>可以对儿童多个关键领域（如模仿、知觉、精细动作、认知表现、社交沟通等）的康复效果进行量化记录，并支持进行专业分析，记录分析结果。为评估康复成效、动态调整康复策略提供精准的数据依据。</w:t>
            </w:r>
          </w:p>
        </w:tc>
      </w:tr>
      <w:tr w14:paraId="45CB7850">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024DAFF">
            <w:pPr>
              <w:widowControl/>
              <w:jc w:val="center"/>
              <w:textAlignment w:val="center"/>
              <w:rPr>
                <w:rFonts w:hint="eastAsia" w:ascii="宋体" w:hAnsi="宋体" w:cs="宋体"/>
                <w:sz w:val="24"/>
              </w:rPr>
            </w:pPr>
            <w:r>
              <w:rPr>
                <w:rFonts w:hint="eastAsia" w:ascii="宋体" w:hAnsi="宋体" w:cs="宋体"/>
                <w:kern w:val="0"/>
                <w:sz w:val="24"/>
                <w:lang w:bidi="ar"/>
              </w:rPr>
              <w:t>285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0F22AF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667C9A">
            <w:pPr>
              <w:widowControl/>
              <w:jc w:val="center"/>
              <w:textAlignment w:val="center"/>
              <w:rPr>
                <w:rFonts w:hint="eastAsia" w:ascii="宋体" w:hAnsi="宋体" w:cs="宋体"/>
                <w:sz w:val="24"/>
              </w:rPr>
            </w:pPr>
            <w:r>
              <w:rPr>
                <w:rFonts w:hint="eastAsia" w:ascii="宋体" w:hAnsi="宋体" w:cs="宋体"/>
                <w:kern w:val="0"/>
                <w:sz w:val="24"/>
                <w:lang w:bidi="ar"/>
              </w:rPr>
              <w:t>系统曲线图管理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7C6EEFF">
            <w:pPr>
              <w:widowControl/>
              <w:textAlignment w:val="center"/>
              <w:rPr>
                <w:rFonts w:hint="eastAsia" w:ascii="宋体" w:hAnsi="宋体" w:cs="宋体"/>
                <w:sz w:val="24"/>
              </w:rPr>
            </w:pPr>
            <w:r>
              <w:rPr>
                <w:rFonts w:hint="eastAsia" w:ascii="宋体" w:hAnsi="宋体" w:cs="宋体"/>
                <w:kern w:val="0"/>
                <w:sz w:val="24"/>
                <w:lang w:bidi="ar"/>
              </w:rPr>
              <w:t xml:space="preserve">    系统曲线管理模块可以提供多维度、可视化的儿童发育与康复效果分析看板，能够将零散的康复记录、临床检查和评测数据转化为直观的图表，用于追踪进展、评估疗效和辅助临床决策。具体包括根据康复小结绘制综合发育情况图，根据康复小结绘制康复效果趋势图，根据临床检查记录绘制康复效果趋势图，根据评测记录绘制里程碑发育趋势图，根据评测记录绘制里程碑项目发育趋势图。</w:t>
            </w:r>
          </w:p>
        </w:tc>
      </w:tr>
      <w:tr w14:paraId="5EF5A6A2">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D38070">
            <w:pPr>
              <w:widowControl/>
              <w:jc w:val="center"/>
              <w:textAlignment w:val="center"/>
              <w:rPr>
                <w:rFonts w:hint="eastAsia" w:ascii="宋体" w:hAnsi="宋体" w:cs="宋体"/>
                <w:sz w:val="24"/>
              </w:rPr>
            </w:pPr>
            <w:r>
              <w:rPr>
                <w:rFonts w:hint="eastAsia" w:ascii="宋体" w:hAnsi="宋体" w:cs="宋体"/>
                <w:kern w:val="0"/>
                <w:sz w:val="24"/>
                <w:lang w:bidi="ar"/>
              </w:rPr>
              <w:t>286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1F3075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36CF5A9">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16192D90">
            <w:pPr>
              <w:widowControl/>
              <w:textAlignment w:val="center"/>
              <w:rPr>
                <w:rFonts w:hint="eastAsia" w:ascii="宋体" w:hAnsi="宋体" w:cs="宋体"/>
                <w:sz w:val="24"/>
              </w:rPr>
            </w:pPr>
            <w:r>
              <w:rPr>
                <w:rFonts w:hint="eastAsia" w:ascii="宋体" w:hAnsi="宋体" w:cs="宋体"/>
                <w:kern w:val="0"/>
                <w:sz w:val="24"/>
                <w:lang w:bidi="ar"/>
              </w:rPr>
              <w:t xml:space="preserve">   系统提供全面的孤独症筛查与康复管理数据查询与导出功能，支持对儿童初筛登记本，儿童复筛登记本，儿童复查登记本，儿童诊断登记本，儿童随访登记本进行查询。同时针对每类查询结果，均提供导出功能，方便工作人员获取纸质或电子版本的登记信息，高效适配孤独症筛查与康复管理数据管理与使用的日常场景。 </w:t>
            </w:r>
          </w:p>
        </w:tc>
      </w:tr>
      <w:tr w14:paraId="4B4A8AB7">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1066CF8">
            <w:pPr>
              <w:widowControl/>
              <w:jc w:val="center"/>
              <w:textAlignment w:val="center"/>
              <w:rPr>
                <w:rFonts w:hint="eastAsia" w:ascii="宋体" w:hAnsi="宋体" w:cs="宋体"/>
                <w:sz w:val="24"/>
              </w:rPr>
            </w:pPr>
            <w:r>
              <w:rPr>
                <w:rFonts w:hint="eastAsia" w:ascii="宋体" w:hAnsi="宋体" w:cs="宋体"/>
                <w:kern w:val="0"/>
                <w:sz w:val="24"/>
                <w:lang w:bidi="ar"/>
              </w:rPr>
              <w:t>288</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E8F30F3">
            <w:pPr>
              <w:widowControl/>
              <w:jc w:val="center"/>
              <w:textAlignment w:val="center"/>
              <w:rPr>
                <w:rFonts w:hint="eastAsia" w:ascii="宋体" w:hAnsi="宋体" w:cs="宋体"/>
                <w:sz w:val="24"/>
              </w:rPr>
            </w:pPr>
            <w:r>
              <w:rPr>
                <w:rFonts w:hint="eastAsia" w:ascii="宋体" w:hAnsi="宋体" w:cs="宋体"/>
                <w:kern w:val="0"/>
                <w:sz w:val="24"/>
                <w:lang w:bidi="ar"/>
              </w:rPr>
              <w:t>儿童早期发展评估与训练</w:t>
            </w:r>
          </w:p>
        </w:tc>
        <w:tc>
          <w:tcPr>
            <w:tcW w:w="1313" w:type="dxa"/>
            <w:tcBorders>
              <w:top w:val="single" w:color="000000" w:sz="4" w:space="0"/>
              <w:left w:val="single" w:color="000000" w:sz="4" w:space="0"/>
              <w:bottom w:val="single" w:color="000000" w:sz="4" w:space="0"/>
              <w:right w:val="single" w:color="000000" w:sz="4" w:space="0"/>
            </w:tcBorders>
            <w:vAlign w:val="center"/>
          </w:tcPr>
          <w:p w14:paraId="16559F5D">
            <w:pPr>
              <w:widowControl/>
              <w:jc w:val="center"/>
              <w:textAlignment w:val="center"/>
              <w:rPr>
                <w:rFonts w:hint="eastAsia" w:ascii="宋体" w:hAnsi="宋体" w:cs="宋体"/>
                <w:sz w:val="24"/>
              </w:rPr>
            </w:pPr>
            <w:r>
              <w:rPr>
                <w:rFonts w:hint="eastAsia" w:ascii="宋体" w:hAnsi="宋体" w:cs="宋体"/>
                <w:kern w:val="0"/>
                <w:sz w:val="24"/>
                <w:lang w:bidi="ar"/>
              </w:rPr>
              <w:t>儿童档案管理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DCF7864">
            <w:pPr>
              <w:widowControl/>
              <w:textAlignment w:val="center"/>
              <w:rPr>
                <w:rFonts w:hint="eastAsia" w:ascii="宋体" w:hAnsi="宋体" w:cs="宋体"/>
                <w:sz w:val="24"/>
              </w:rPr>
            </w:pPr>
            <w:r>
              <w:rPr>
                <w:rFonts w:hint="eastAsia" w:ascii="宋体" w:hAnsi="宋体" w:cs="宋体"/>
                <w:kern w:val="0"/>
                <w:sz w:val="24"/>
                <w:lang w:bidi="ar"/>
              </w:rPr>
              <w:t xml:space="preserve">    为服务对象提供全面的儿童早期发展评估与训练档案管理功能，可实现与“健苗工程”系统中儿童档案的信息共享，有效避免重复建档。系统还可以一键打开儿童档案tab页面，便于用户查看个案详情。 </w:t>
            </w:r>
          </w:p>
        </w:tc>
      </w:tr>
      <w:tr w14:paraId="46971A2B">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5B86806">
            <w:pPr>
              <w:widowControl/>
              <w:jc w:val="center"/>
              <w:textAlignment w:val="center"/>
              <w:rPr>
                <w:rFonts w:hint="eastAsia" w:ascii="宋体" w:hAnsi="宋体" w:cs="宋体"/>
                <w:sz w:val="24"/>
              </w:rPr>
            </w:pPr>
            <w:r>
              <w:rPr>
                <w:rFonts w:hint="eastAsia" w:ascii="宋体" w:hAnsi="宋体" w:cs="宋体"/>
                <w:kern w:val="0"/>
                <w:sz w:val="24"/>
                <w:lang w:bidi="ar"/>
              </w:rPr>
              <w:t>289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E7B63F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B757B2">
            <w:pPr>
              <w:widowControl/>
              <w:jc w:val="center"/>
              <w:textAlignment w:val="center"/>
              <w:rPr>
                <w:rFonts w:hint="eastAsia" w:ascii="宋体" w:hAnsi="宋体" w:cs="宋体"/>
                <w:sz w:val="24"/>
              </w:rPr>
            </w:pPr>
            <w:r>
              <w:rPr>
                <w:rFonts w:hint="eastAsia" w:ascii="宋体" w:hAnsi="宋体" w:cs="宋体"/>
                <w:kern w:val="0"/>
                <w:sz w:val="24"/>
                <w:lang w:bidi="ar"/>
              </w:rPr>
              <w:t>评测管理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AAC1464">
            <w:pPr>
              <w:widowControl/>
              <w:textAlignment w:val="center"/>
              <w:rPr>
                <w:rFonts w:hint="eastAsia" w:ascii="宋体" w:hAnsi="宋体" w:cs="宋体"/>
                <w:sz w:val="24"/>
              </w:rPr>
            </w:pPr>
            <w:r>
              <w:rPr>
                <w:rFonts w:hint="eastAsia" w:ascii="宋体" w:hAnsi="宋体" w:cs="宋体"/>
                <w:kern w:val="0"/>
                <w:sz w:val="24"/>
                <w:lang w:bidi="ar"/>
              </w:rPr>
              <w:t xml:space="preserve">    系统可以对儿童进行专业评测管理，具体包括儿童0-6岁发育筛查测验(DST)评测，儿童改良版婴幼儿孤独症评价(M-CHAT-R/F)评测，儿童孤独症评价(ABC)评测，儿童孤独症评价(M-CHAT)评测，儿童3岁以下婴幼儿营养喂养评估，儿童养育风险筛查。</w:t>
            </w:r>
          </w:p>
        </w:tc>
      </w:tr>
      <w:tr w14:paraId="62B0C2D0">
        <w:tblPrEx>
          <w:tblCellMar>
            <w:top w:w="0" w:type="dxa"/>
            <w:left w:w="108" w:type="dxa"/>
            <w:bottom w:w="0" w:type="dxa"/>
            <w:right w:w="108" w:type="dxa"/>
          </w:tblCellMar>
        </w:tblPrEx>
        <w:trPr>
          <w:trHeight w:val="74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D3B54B">
            <w:pPr>
              <w:widowControl/>
              <w:jc w:val="center"/>
              <w:textAlignment w:val="center"/>
              <w:rPr>
                <w:rFonts w:hint="eastAsia" w:ascii="宋体" w:hAnsi="宋体" w:cs="宋体"/>
                <w:sz w:val="24"/>
              </w:rPr>
            </w:pPr>
            <w:r>
              <w:rPr>
                <w:rFonts w:hint="eastAsia" w:ascii="宋体" w:hAnsi="宋体" w:cs="宋体"/>
                <w:kern w:val="0"/>
                <w:sz w:val="24"/>
                <w:lang w:bidi="ar"/>
              </w:rPr>
              <w:t>290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DDED7A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9035670">
            <w:pPr>
              <w:widowControl/>
              <w:jc w:val="center"/>
              <w:textAlignment w:val="center"/>
              <w:rPr>
                <w:rFonts w:hint="eastAsia" w:ascii="宋体" w:hAnsi="宋体" w:cs="宋体"/>
                <w:sz w:val="24"/>
              </w:rPr>
            </w:pPr>
            <w:r>
              <w:rPr>
                <w:rFonts w:hint="eastAsia" w:ascii="宋体" w:hAnsi="宋体" w:cs="宋体"/>
                <w:kern w:val="0"/>
                <w:sz w:val="24"/>
                <w:lang w:bidi="ar"/>
              </w:rPr>
              <w:t>儿童0-6岁发育筛查测验(DST)评测报告单打印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7017F8CD">
            <w:pPr>
              <w:widowControl/>
              <w:textAlignment w:val="center"/>
              <w:rPr>
                <w:rFonts w:hint="eastAsia" w:ascii="宋体" w:hAnsi="宋体" w:cs="宋体"/>
                <w:sz w:val="24"/>
              </w:rPr>
            </w:pPr>
            <w:r>
              <w:rPr>
                <w:rStyle w:val="94"/>
                <w:rFonts w:hint="default"/>
                <w:color w:val="auto"/>
                <w:lang w:bidi="ar"/>
              </w:rPr>
              <w:t>系统可以为儿童早期发展评估与训练单位提供统一的报告单打印功能，各机构均可通过专用打印页面生成标准化儿童0-6岁发育筛查测验(DST)评测报告单，报告单将专业的评估结果</w:t>
            </w:r>
            <w:r>
              <w:rPr>
                <w:rStyle w:val="192"/>
                <w:color w:val="auto"/>
                <w:lang w:bidi="ar"/>
              </w:rPr>
              <w:t>​​</w:t>
            </w:r>
            <w:r>
              <w:rPr>
                <w:rStyle w:val="94"/>
                <w:rFonts w:hint="default"/>
                <w:color w:val="auto"/>
                <w:lang w:bidi="ar"/>
              </w:rPr>
              <w:t>可视化、具体化</w:t>
            </w:r>
            <w:r>
              <w:rPr>
                <w:rStyle w:val="192"/>
                <w:color w:val="auto"/>
                <w:lang w:bidi="ar"/>
              </w:rPr>
              <w:t>​​</w:t>
            </w:r>
            <w:r>
              <w:rPr>
                <w:rStyle w:val="94"/>
                <w:rFonts w:hint="default"/>
                <w:color w:val="auto"/>
                <w:lang w:bidi="ar"/>
              </w:rPr>
              <w:t>，可以一目了然地看懂孩子的优势与待发展领域。更重要的是，它提供了</w:t>
            </w:r>
            <w:r>
              <w:rPr>
                <w:rStyle w:val="192"/>
                <w:color w:val="auto"/>
                <w:lang w:bidi="ar"/>
              </w:rPr>
              <w:t>​​</w:t>
            </w:r>
            <w:r>
              <w:rPr>
                <w:rStyle w:val="94"/>
                <w:rFonts w:hint="default"/>
                <w:color w:val="auto"/>
                <w:lang w:bidi="ar"/>
              </w:rPr>
              <w:t>个性化、可操作的家庭训练指导</w:t>
            </w:r>
            <w:r>
              <w:rPr>
                <w:rStyle w:val="192"/>
                <w:color w:val="auto"/>
                <w:lang w:bidi="ar"/>
              </w:rPr>
              <w:t>​​</w:t>
            </w:r>
            <w:r>
              <w:rPr>
                <w:rStyle w:val="94"/>
                <w:rFonts w:hint="default"/>
                <w:color w:val="auto"/>
                <w:lang w:bidi="ar"/>
              </w:rPr>
              <w:t>，让家庭干预有据可依，有效提升了家园共育的效率和效果。</w:t>
            </w:r>
          </w:p>
        </w:tc>
      </w:tr>
      <w:tr w14:paraId="123D8637">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22E8699">
            <w:pPr>
              <w:widowControl/>
              <w:jc w:val="center"/>
              <w:textAlignment w:val="center"/>
              <w:rPr>
                <w:rFonts w:hint="eastAsia" w:ascii="宋体" w:hAnsi="宋体" w:cs="宋体"/>
                <w:sz w:val="24"/>
              </w:rPr>
            </w:pPr>
            <w:r>
              <w:rPr>
                <w:rFonts w:hint="eastAsia" w:ascii="宋体" w:hAnsi="宋体" w:cs="宋体"/>
                <w:kern w:val="0"/>
                <w:sz w:val="24"/>
                <w:lang w:bidi="ar"/>
              </w:rPr>
              <w:t>291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DEE57A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BA6553F">
            <w:pPr>
              <w:widowControl/>
              <w:jc w:val="center"/>
              <w:textAlignment w:val="center"/>
              <w:rPr>
                <w:rFonts w:hint="eastAsia" w:ascii="宋体" w:hAnsi="宋体" w:cs="宋体"/>
                <w:sz w:val="24"/>
              </w:rPr>
            </w:pPr>
            <w:r>
              <w:rPr>
                <w:rFonts w:hint="eastAsia" w:ascii="宋体" w:hAnsi="宋体" w:cs="宋体"/>
                <w:kern w:val="0"/>
                <w:sz w:val="24"/>
                <w:lang w:bidi="ar"/>
              </w:rPr>
              <w:t>儿童改良版婴幼儿孤独症评价(M-CHAT-R/F)报告单打印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37214414">
            <w:pPr>
              <w:widowControl/>
              <w:textAlignment w:val="center"/>
              <w:rPr>
                <w:rFonts w:hint="eastAsia" w:ascii="宋体" w:hAnsi="宋体" w:cs="宋体"/>
                <w:sz w:val="24"/>
              </w:rPr>
            </w:pPr>
            <w:r>
              <w:rPr>
                <w:rStyle w:val="94"/>
                <w:rFonts w:hint="default"/>
                <w:color w:val="auto"/>
                <w:lang w:bidi="ar"/>
              </w:rPr>
              <w:t>系统可以为儿童早期发展评估与训练单位提供统一的报告单打印功能，各机构均可通过专用打印页面生成标准化儿童改良版婴幼儿孤独症评价(M-CHAT-R/F)报告单，报告单将专业的评估结果</w:t>
            </w:r>
            <w:r>
              <w:rPr>
                <w:rStyle w:val="192"/>
                <w:color w:val="auto"/>
                <w:lang w:bidi="ar"/>
              </w:rPr>
              <w:t>​​</w:t>
            </w:r>
            <w:r>
              <w:rPr>
                <w:rStyle w:val="94"/>
                <w:rFonts w:hint="default"/>
                <w:color w:val="auto"/>
                <w:lang w:bidi="ar"/>
              </w:rPr>
              <w:t>可视化、具体化</w:t>
            </w:r>
            <w:r>
              <w:rPr>
                <w:rStyle w:val="192"/>
                <w:color w:val="auto"/>
                <w:lang w:bidi="ar"/>
              </w:rPr>
              <w:t>​​</w:t>
            </w:r>
            <w:r>
              <w:rPr>
                <w:rStyle w:val="94"/>
                <w:rFonts w:hint="default"/>
                <w:color w:val="auto"/>
                <w:lang w:bidi="ar"/>
              </w:rPr>
              <w:t>，可以一目了然地看懂孩子的优势与待发展领域。更重要的是，它提供了</w:t>
            </w:r>
            <w:r>
              <w:rPr>
                <w:rStyle w:val="192"/>
                <w:color w:val="auto"/>
                <w:lang w:bidi="ar"/>
              </w:rPr>
              <w:t>​​</w:t>
            </w:r>
            <w:r>
              <w:rPr>
                <w:rStyle w:val="94"/>
                <w:rFonts w:hint="default"/>
                <w:color w:val="auto"/>
                <w:lang w:bidi="ar"/>
              </w:rPr>
              <w:t>个性化、可操作的家庭训练指导</w:t>
            </w:r>
            <w:r>
              <w:rPr>
                <w:rStyle w:val="192"/>
                <w:color w:val="auto"/>
                <w:lang w:bidi="ar"/>
              </w:rPr>
              <w:t>​​</w:t>
            </w:r>
            <w:r>
              <w:rPr>
                <w:rStyle w:val="94"/>
                <w:rFonts w:hint="default"/>
                <w:color w:val="auto"/>
                <w:lang w:bidi="ar"/>
              </w:rPr>
              <w:t>，让家庭干预有据可依，有效提升了家园共育的效率和效果。</w:t>
            </w:r>
          </w:p>
        </w:tc>
      </w:tr>
      <w:tr w14:paraId="32915F9C">
        <w:tblPrEx>
          <w:tblCellMar>
            <w:top w:w="0" w:type="dxa"/>
            <w:left w:w="108" w:type="dxa"/>
            <w:bottom w:w="0" w:type="dxa"/>
            <w:right w:w="108" w:type="dxa"/>
          </w:tblCellMar>
        </w:tblPrEx>
        <w:trPr>
          <w:trHeight w:val="237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D52A260">
            <w:pPr>
              <w:widowControl/>
              <w:jc w:val="center"/>
              <w:textAlignment w:val="center"/>
              <w:rPr>
                <w:rFonts w:hint="eastAsia" w:ascii="宋体" w:hAnsi="宋体" w:cs="宋体"/>
                <w:sz w:val="24"/>
              </w:rPr>
            </w:pPr>
            <w:r>
              <w:rPr>
                <w:rFonts w:hint="eastAsia" w:ascii="宋体" w:hAnsi="宋体" w:cs="宋体"/>
                <w:kern w:val="0"/>
                <w:sz w:val="24"/>
                <w:lang w:bidi="ar"/>
              </w:rPr>
              <w:t>292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62C382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972427A">
            <w:pPr>
              <w:widowControl/>
              <w:jc w:val="center"/>
              <w:textAlignment w:val="center"/>
              <w:rPr>
                <w:rFonts w:hint="eastAsia" w:ascii="宋体" w:hAnsi="宋体" w:cs="宋体"/>
                <w:sz w:val="24"/>
              </w:rPr>
            </w:pPr>
            <w:r>
              <w:rPr>
                <w:rFonts w:hint="eastAsia" w:ascii="宋体" w:hAnsi="宋体" w:cs="宋体"/>
                <w:kern w:val="0"/>
                <w:sz w:val="24"/>
                <w:lang w:bidi="ar"/>
              </w:rPr>
              <w:t>儿童孤独症评价(ABC)报告单打印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1F6CF8CC">
            <w:pPr>
              <w:widowControl/>
              <w:textAlignment w:val="center"/>
              <w:rPr>
                <w:rFonts w:hint="eastAsia" w:ascii="宋体" w:hAnsi="宋体" w:cs="宋体"/>
                <w:sz w:val="24"/>
              </w:rPr>
            </w:pPr>
            <w:r>
              <w:rPr>
                <w:rStyle w:val="94"/>
                <w:rFonts w:hint="default"/>
                <w:color w:val="auto"/>
                <w:lang w:bidi="ar"/>
              </w:rPr>
              <w:t>系统可以为儿童早期发展评估与训练单位提供统一的报告单打印功能，各机构均可通过专用打印页面生成标准化儿童孤独症评价(ABC)报告单，报告单将专业的评估结果</w:t>
            </w:r>
            <w:r>
              <w:rPr>
                <w:rStyle w:val="192"/>
                <w:color w:val="auto"/>
                <w:lang w:bidi="ar"/>
              </w:rPr>
              <w:t>​​</w:t>
            </w:r>
            <w:r>
              <w:rPr>
                <w:rStyle w:val="94"/>
                <w:rFonts w:hint="default"/>
                <w:color w:val="auto"/>
                <w:lang w:bidi="ar"/>
              </w:rPr>
              <w:t>可视化、具体化</w:t>
            </w:r>
            <w:r>
              <w:rPr>
                <w:rStyle w:val="192"/>
                <w:color w:val="auto"/>
                <w:lang w:bidi="ar"/>
              </w:rPr>
              <w:t>​​</w:t>
            </w:r>
            <w:r>
              <w:rPr>
                <w:rStyle w:val="94"/>
                <w:rFonts w:hint="default"/>
                <w:color w:val="auto"/>
                <w:lang w:bidi="ar"/>
              </w:rPr>
              <w:t>，可以一目了然地看懂孩子的优势与待发展领域。更重要的是，它提供了</w:t>
            </w:r>
            <w:r>
              <w:rPr>
                <w:rStyle w:val="192"/>
                <w:color w:val="auto"/>
                <w:lang w:bidi="ar"/>
              </w:rPr>
              <w:t>​​</w:t>
            </w:r>
            <w:r>
              <w:rPr>
                <w:rStyle w:val="94"/>
                <w:rFonts w:hint="default"/>
                <w:color w:val="auto"/>
                <w:lang w:bidi="ar"/>
              </w:rPr>
              <w:t>个性化、可操作的家庭训练指导</w:t>
            </w:r>
            <w:r>
              <w:rPr>
                <w:rStyle w:val="192"/>
                <w:color w:val="auto"/>
                <w:lang w:bidi="ar"/>
              </w:rPr>
              <w:t>​​</w:t>
            </w:r>
            <w:r>
              <w:rPr>
                <w:rStyle w:val="94"/>
                <w:rFonts w:hint="default"/>
                <w:color w:val="auto"/>
                <w:lang w:bidi="ar"/>
              </w:rPr>
              <w:t>，让家庭干预有据可依，有效提升了家园共育的效率和效果。</w:t>
            </w:r>
          </w:p>
        </w:tc>
      </w:tr>
      <w:tr w14:paraId="4366CF59">
        <w:tblPrEx>
          <w:tblCellMar>
            <w:top w:w="0" w:type="dxa"/>
            <w:left w:w="108" w:type="dxa"/>
            <w:bottom w:w="0" w:type="dxa"/>
            <w:right w:w="108" w:type="dxa"/>
          </w:tblCellMar>
        </w:tblPrEx>
        <w:trPr>
          <w:trHeight w:val="24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E0DB1AD">
            <w:pPr>
              <w:widowControl/>
              <w:jc w:val="center"/>
              <w:textAlignment w:val="center"/>
              <w:rPr>
                <w:rFonts w:hint="eastAsia" w:ascii="宋体" w:hAnsi="宋体" w:cs="宋体"/>
                <w:sz w:val="24"/>
              </w:rPr>
            </w:pPr>
            <w:r>
              <w:rPr>
                <w:rFonts w:hint="eastAsia" w:ascii="宋体" w:hAnsi="宋体" w:cs="宋体"/>
                <w:kern w:val="0"/>
                <w:sz w:val="24"/>
                <w:lang w:bidi="ar"/>
              </w:rPr>
              <w:t>293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65F0B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7CFB501">
            <w:pPr>
              <w:widowControl/>
              <w:jc w:val="center"/>
              <w:textAlignment w:val="center"/>
              <w:rPr>
                <w:rFonts w:hint="eastAsia" w:ascii="宋体" w:hAnsi="宋体" w:cs="宋体"/>
                <w:sz w:val="24"/>
              </w:rPr>
            </w:pPr>
            <w:r>
              <w:rPr>
                <w:rFonts w:hint="eastAsia" w:ascii="宋体" w:hAnsi="宋体" w:cs="宋体"/>
                <w:kern w:val="0"/>
                <w:sz w:val="24"/>
                <w:lang w:bidi="ar"/>
              </w:rPr>
              <w:t>儿童孤独症评价(M-CHAT)报告单打印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265FC720">
            <w:pPr>
              <w:widowControl/>
              <w:textAlignment w:val="center"/>
              <w:rPr>
                <w:rFonts w:hint="eastAsia" w:ascii="宋体" w:hAnsi="宋体" w:cs="宋体"/>
                <w:sz w:val="24"/>
              </w:rPr>
            </w:pPr>
            <w:r>
              <w:rPr>
                <w:rStyle w:val="94"/>
                <w:rFonts w:hint="default"/>
                <w:color w:val="auto"/>
                <w:lang w:bidi="ar"/>
              </w:rPr>
              <w:t>系统可以为儿童早期发展评估与训练单位提供统一的报告单打印功能，各机构均可通过专用打印页面生成标准化儿童孤独症评价(M-CHAT)报告单，报告单将专业的评估结果</w:t>
            </w:r>
            <w:r>
              <w:rPr>
                <w:rStyle w:val="192"/>
                <w:color w:val="auto"/>
                <w:lang w:bidi="ar"/>
              </w:rPr>
              <w:t>​​</w:t>
            </w:r>
            <w:r>
              <w:rPr>
                <w:rStyle w:val="94"/>
                <w:rFonts w:hint="default"/>
                <w:color w:val="auto"/>
                <w:lang w:bidi="ar"/>
              </w:rPr>
              <w:t>可视化、具体化</w:t>
            </w:r>
            <w:r>
              <w:rPr>
                <w:rStyle w:val="192"/>
                <w:color w:val="auto"/>
                <w:lang w:bidi="ar"/>
              </w:rPr>
              <w:t>​​</w:t>
            </w:r>
            <w:r>
              <w:rPr>
                <w:rStyle w:val="94"/>
                <w:rFonts w:hint="default"/>
                <w:color w:val="auto"/>
                <w:lang w:bidi="ar"/>
              </w:rPr>
              <w:t>，可以一目了然地看懂孩子的优势与待发展领域。更重要的是，它提供了</w:t>
            </w:r>
            <w:r>
              <w:rPr>
                <w:rStyle w:val="192"/>
                <w:color w:val="auto"/>
                <w:lang w:bidi="ar"/>
              </w:rPr>
              <w:t>​​</w:t>
            </w:r>
            <w:r>
              <w:rPr>
                <w:rStyle w:val="94"/>
                <w:rFonts w:hint="default"/>
                <w:color w:val="auto"/>
                <w:lang w:bidi="ar"/>
              </w:rPr>
              <w:t>个性化、可操作的家庭训练指导</w:t>
            </w:r>
            <w:r>
              <w:rPr>
                <w:rStyle w:val="192"/>
                <w:color w:val="auto"/>
                <w:lang w:bidi="ar"/>
              </w:rPr>
              <w:t>​​</w:t>
            </w:r>
            <w:r>
              <w:rPr>
                <w:rStyle w:val="94"/>
                <w:rFonts w:hint="default"/>
                <w:color w:val="auto"/>
                <w:lang w:bidi="ar"/>
              </w:rPr>
              <w:t>，让家庭干预有据可依，有效提升了家园共育的效率和效果。</w:t>
            </w:r>
          </w:p>
        </w:tc>
      </w:tr>
      <w:tr w14:paraId="03927288">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A2D5010">
            <w:pPr>
              <w:widowControl/>
              <w:jc w:val="center"/>
              <w:textAlignment w:val="center"/>
              <w:rPr>
                <w:rFonts w:hint="eastAsia" w:ascii="宋体" w:hAnsi="宋体" w:cs="宋体"/>
                <w:sz w:val="24"/>
              </w:rPr>
            </w:pPr>
            <w:r>
              <w:rPr>
                <w:rFonts w:hint="eastAsia" w:ascii="宋体" w:hAnsi="宋体" w:cs="宋体"/>
                <w:kern w:val="0"/>
                <w:sz w:val="24"/>
                <w:lang w:bidi="ar"/>
              </w:rPr>
              <w:t>294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6561A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5F6C4E">
            <w:pPr>
              <w:widowControl/>
              <w:jc w:val="center"/>
              <w:textAlignment w:val="center"/>
              <w:rPr>
                <w:rFonts w:hint="eastAsia" w:ascii="宋体" w:hAnsi="宋体" w:cs="宋体"/>
                <w:sz w:val="24"/>
              </w:rPr>
            </w:pPr>
            <w:r>
              <w:rPr>
                <w:rFonts w:hint="eastAsia" w:ascii="宋体" w:hAnsi="宋体" w:cs="宋体"/>
                <w:kern w:val="0"/>
                <w:sz w:val="24"/>
                <w:lang w:bidi="ar"/>
              </w:rPr>
              <w:t>儿童3岁以下婴幼儿营养喂养评估报告单打印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12CAA7C2">
            <w:pPr>
              <w:widowControl/>
              <w:textAlignment w:val="center"/>
              <w:rPr>
                <w:rFonts w:hint="eastAsia" w:ascii="宋体" w:hAnsi="宋体" w:cs="宋体"/>
                <w:sz w:val="24"/>
              </w:rPr>
            </w:pPr>
            <w:r>
              <w:rPr>
                <w:rStyle w:val="94"/>
                <w:rFonts w:hint="default"/>
                <w:color w:val="auto"/>
                <w:lang w:bidi="ar"/>
              </w:rPr>
              <w:t>系统可以为儿童早期发展评估与训练单位提供统一的报告单打印功能，各机构均可通过专用打印页面生成标准化儿童3岁以下婴幼儿营养喂养评估报告单，报告单将专业的评估结果</w:t>
            </w:r>
            <w:r>
              <w:rPr>
                <w:rStyle w:val="192"/>
                <w:color w:val="auto"/>
                <w:lang w:bidi="ar"/>
              </w:rPr>
              <w:t>​​</w:t>
            </w:r>
            <w:r>
              <w:rPr>
                <w:rStyle w:val="94"/>
                <w:rFonts w:hint="default"/>
                <w:color w:val="auto"/>
                <w:lang w:bidi="ar"/>
              </w:rPr>
              <w:t>可视化、具体化</w:t>
            </w:r>
            <w:r>
              <w:rPr>
                <w:rStyle w:val="192"/>
                <w:color w:val="auto"/>
                <w:lang w:bidi="ar"/>
              </w:rPr>
              <w:t>​​</w:t>
            </w:r>
            <w:r>
              <w:rPr>
                <w:rStyle w:val="94"/>
                <w:rFonts w:hint="default"/>
                <w:color w:val="auto"/>
                <w:lang w:bidi="ar"/>
              </w:rPr>
              <w:t>，可以一目了然地看懂孩子的优势与待发展领域。更重要的是，它提供了</w:t>
            </w:r>
            <w:r>
              <w:rPr>
                <w:rStyle w:val="192"/>
                <w:color w:val="auto"/>
                <w:lang w:bidi="ar"/>
              </w:rPr>
              <w:t>​​</w:t>
            </w:r>
            <w:r>
              <w:rPr>
                <w:rStyle w:val="94"/>
                <w:rFonts w:hint="default"/>
                <w:color w:val="auto"/>
                <w:lang w:bidi="ar"/>
              </w:rPr>
              <w:t>个性化、可操作的家庭训练指导</w:t>
            </w:r>
            <w:r>
              <w:rPr>
                <w:rStyle w:val="192"/>
                <w:color w:val="auto"/>
                <w:lang w:bidi="ar"/>
              </w:rPr>
              <w:t>​​</w:t>
            </w:r>
            <w:r>
              <w:rPr>
                <w:rStyle w:val="94"/>
                <w:rFonts w:hint="default"/>
                <w:color w:val="auto"/>
                <w:lang w:bidi="ar"/>
              </w:rPr>
              <w:t>，让家庭干预有据可依，有效提升了家园共育的效率和效果。</w:t>
            </w:r>
          </w:p>
        </w:tc>
      </w:tr>
      <w:tr w14:paraId="611D33EE">
        <w:tblPrEx>
          <w:tblCellMar>
            <w:top w:w="0" w:type="dxa"/>
            <w:left w:w="108" w:type="dxa"/>
            <w:bottom w:w="0" w:type="dxa"/>
            <w:right w:w="108" w:type="dxa"/>
          </w:tblCellMar>
        </w:tblPrEx>
        <w:trPr>
          <w:trHeight w:val="237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4406F99">
            <w:pPr>
              <w:widowControl/>
              <w:jc w:val="center"/>
              <w:textAlignment w:val="center"/>
              <w:rPr>
                <w:rFonts w:hint="eastAsia" w:ascii="宋体" w:hAnsi="宋体" w:cs="宋体"/>
                <w:sz w:val="24"/>
              </w:rPr>
            </w:pPr>
            <w:r>
              <w:rPr>
                <w:rFonts w:hint="eastAsia" w:ascii="宋体" w:hAnsi="宋体" w:cs="宋体"/>
                <w:kern w:val="0"/>
                <w:sz w:val="24"/>
                <w:lang w:bidi="ar"/>
              </w:rPr>
              <w:t>295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706102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EA6A4A0">
            <w:pPr>
              <w:widowControl/>
              <w:jc w:val="center"/>
              <w:textAlignment w:val="center"/>
              <w:rPr>
                <w:rFonts w:hint="eastAsia" w:ascii="宋体" w:hAnsi="宋体" w:cs="宋体"/>
                <w:sz w:val="24"/>
              </w:rPr>
            </w:pPr>
            <w:r>
              <w:rPr>
                <w:rFonts w:hint="eastAsia" w:ascii="宋体" w:hAnsi="宋体" w:cs="宋体"/>
                <w:kern w:val="0"/>
                <w:sz w:val="24"/>
                <w:lang w:bidi="ar"/>
              </w:rPr>
              <w:t>儿童养育风险筛查报告单打印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7A065CA6">
            <w:pPr>
              <w:widowControl/>
              <w:textAlignment w:val="center"/>
              <w:rPr>
                <w:rFonts w:hint="eastAsia" w:ascii="宋体" w:hAnsi="宋体" w:cs="宋体"/>
                <w:sz w:val="24"/>
              </w:rPr>
            </w:pPr>
            <w:r>
              <w:rPr>
                <w:rStyle w:val="94"/>
                <w:rFonts w:hint="default"/>
                <w:color w:val="auto"/>
                <w:lang w:bidi="ar"/>
              </w:rPr>
              <w:t>系统可以为儿童早期发展评估与训练单位提供统一的报告单打印功能，各机构均可通过专用打印页面生成标准化儿童养育风险筛查报告单，报告单将专业的评估结果</w:t>
            </w:r>
            <w:r>
              <w:rPr>
                <w:rStyle w:val="192"/>
                <w:color w:val="auto"/>
                <w:lang w:bidi="ar"/>
              </w:rPr>
              <w:t>​​</w:t>
            </w:r>
            <w:r>
              <w:rPr>
                <w:rStyle w:val="94"/>
                <w:rFonts w:hint="default"/>
                <w:color w:val="auto"/>
                <w:lang w:bidi="ar"/>
              </w:rPr>
              <w:t>可视化、具体化</w:t>
            </w:r>
            <w:r>
              <w:rPr>
                <w:rStyle w:val="192"/>
                <w:color w:val="auto"/>
                <w:lang w:bidi="ar"/>
              </w:rPr>
              <w:t>​​</w:t>
            </w:r>
            <w:r>
              <w:rPr>
                <w:rStyle w:val="94"/>
                <w:rFonts w:hint="default"/>
                <w:color w:val="auto"/>
                <w:lang w:bidi="ar"/>
              </w:rPr>
              <w:t>，可以一目了然地看懂孩子的优势与待发展领域。更重要的是，它提供了</w:t>
            </w:r>
            <w:r>
              <w:rPr>
                <w:rStyle w:val="192"/>
                <w:color w:val="auto"/>
                <w:lang w:bidi="ar"/>
              </w:rPr>
              <w:t>​​</w:t>
            </w:r>
            <w:r>
              <w:rPr>
                <w:rStyle w:val="94"/>
                <w:rFonts w:hint="default"/>
                <w:color w:val="auto"/>
                <w:lang w:bidi="ar"/>
              </w:rPr>
              <w:t>个性化、可操作的家庭训练指导</w:t>
            </w:r>
            <w:r>
              <w:rPr>
                <w:rStyle w:val="192"/>
                <w:color w:val="auto"/>
                <w:lang w:bidi="ar"/>
              </w:rPr>
              <w:t>​​</w:t>
            </w:r>
            <w:r>
              <w:rPr>
                <w:rStyle w:val="94"/>
                <w:rFonts w:hint="default"/>
                <w:color w:val="auto"/>
                <w:lang w:bidi="ar"/>
              </w:rPr>
              <w:t>，让家庭干预有据可依，有效提升了家园共育的效率和效果。</w:t>
            </w:r>
          </w:p>
        </w:tc>
      </w:tr>
      <w:tr w14:paraId="0FA25F6A">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85E1365">
            <w:pPr>
              <w:widowControl/>
              <w:jc w:val="center"/>
              <w:textAlignment w:val="center"/>
              <w:rPr>
                <w:rFonts w:hint="eastAsia" w:ascii="宋体" w:hAnsi="宋体" w:cs="宋体"/>
                <w:sz w:val="24"/>
              </w:rPr>
            </w:pPr>
            <w:r>
              <w:rPr>
                <w:rFonts w:hint="eastAsia" w:ascii="宋体" w:hAnsi="宋体" w:cs="宋体"/>
                <w:kern w:val="0"/>
                <w:sz w:val="24"/>
                <w:lang w:bidi="ar"/>
              </w:rPr>
              <w:t>296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C1ACCA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B2AF185">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9807201">
            <w:pPr>
              <w:widowControl/>
              <w:textAlignment w:val="center"/>
              <w:rPr>
                <w:rFonts w:hint="eastAsia" w:ascii="宋体" w:hAnsi="宋体" w:cs="宋体"/>
                <w:sz w:val="24"/>
              </w:rPr>
            </w:pPr>
            <w:r>
              <w:rPr>
                <w:rFonts w:hint="eastAsia" w:ascii="宋体" w:hAnsi="宋体" w:cs="宋体"/>
                <w:kern w:val="0"/>
                <w:sz w:val="24"/>
                <w:lang w:bidi="ar"/>
              </w:rPr>
              <w:t xml:space="preserve">    登记本功能模块可满足儿童早期发展评估与训练数据的查询与导出需求，核心支持对儿童0-6岁发育筛查测验(DST)评测登记本，儿童改良版婴幼儿孤独症评价(M-CHAT-R/F)登记本，儿童孤独症评价(ABC)登记本，儿童孤独症评价(M-CHAT)登记本，儿童3岁以下婴幼儿营养喂养评估评登记本，儿童养育风险筛查登记本的查询操作，同时针对每类查询结果，均提供导出功能，方便工作人员获取纸质或电子版本的登记信息，高效适配儿童早期发展评估与训练数据管理与使用的日常场景。</w:t>
            </w:r>
          </w:p>
        </w:tc>
      </w:tr>
      <w:tr w14:paraId="4688D49E">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333312F">
            <w:pPr>
              <w:widowControl/>
              <w:jc w:val="center"/>
              <w:textAlignment w:val="center"/>
              <w:rPr>
                <w:rFonts w:hint="eastAsia" w:ascii="宋体" w:hAnsi="宋体" w:cs="宋体"/>
                <w:sz w:val="24"/>
              </w:rPr>
            </w:pPr>
            <w:r>
              <w:rPr>
                <w:rFonts w:hint="eastAsia" w:ascii="宋体" w:hAnsi="宋体" w:cs="宋体"/>
                <w:kern w:val="0"/>
                <w:sz w:val="24"/>
                <w:lang w:bidi="ar"/>
              </w:rPr>
              <w:t>298</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DF2C372">
            <w:pPr>
              <w:widowControl/>
              <w:jc w:val="center"/>
              <w:textAlignment w:val="center"/>
              <w:rPr>
                <w:rFonts w:hint="eastAsia" w:ascii="宋体" w:hAnsi="宋体" w:cs="宋体"/>
                <w:sz w:val="24"/>
              </w:rPr>
            </w:pPr>
            <w:r>
              <w:rPr>
                <w:rFonts w:hint="eastAsia" w:ascii="宋体" w:hAnsi="宋体" w:cs="宋体"/>
                <w:kern w:val="0"/>
                <w:sz w:val="24"/>
                <w:lang w:bidi="ar"/>
              </w:rPr>
              <w:t>两癌筛查管理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2540D16B">
            <w:pPr>
              <w:widowControl/>
              <w:jc w:val="center"/>
              <w:textAlignment w:val="center"/>
              <w:rPr>
                <w:rFonts w:hint="eastAsia" w:ascii="宋体" w:hAnsi="宋体" w:cs="宋体"/>
                <w:sz w:val="24"/>
              </w:rPr>
            </w:pPr>
            <w:r>
              <w:rPr>
                <w:rFonts w:hint="eastAsia" w:ascii="宋体" w:hAnsi="宋体" w:cs="宋体"/>
                <w:kern w:val="0"/>
                <w:sz w:val="24"/>
                <w:lang w:bidi="ar"/>
              </w:rPr>
              <w:t>基础设置</w:t>
            </w:r>
          </w:p>
        </w:tc>
        <w:tc>
          <w:tcPr>
            <w:tcW w:w="9687" w:type="dxa"/>
            <w:tcBorders>
              <w:top w:val="single" w:color="000000" w:sz="4" w:space="0"/>
              <w:left w:val="single" w:color="000000" w:sz="4" w:space="0"/>
              <w:bottom w:val="single" w:color="000000" w:sz="4" w:space="0"/>
              <w:right w:val="single" w:color="000000" w:sz="4" w:space="0"/>
            </w:tcBorders>
            <w:vAlign w:val="center"/>
          </w:tcPr>
          <w:p w14:paraId="42AECA04">
            <w:pPr>
              <w:widowControl/>
              <w:textAlignment w:val="center"/>
              <w:rPr>
                <w:rFonts w:hint="eastAsia" w:ascii="宋体" w:hAnsi="宋体" w:cs="宋体"/>
                <w:sz w:val="24"/>
              </w:rPr>
            </w:pPr>
            <w:r>
              <w:rPr>
                <w:rFonts w:hint="eastAsia" w:ascii="宋体" w:hAnsi="宋体" w:cs="宋体"/>
                <w:kern w:val="0"/>
                <w:sz w:val="24"/>
                <w:lang w:bidi="ar"/>
              </w:rPr>
              <w:t xml:space="preserve">    两癌筛查基础设置模块可以设定不同地区的两癌筛查起始编码，可以设置两癌筛查服务对象的年龄范围，可以设置两癌筛查周期，通过基础参数配置，系统能够灵活适配不同地区的具体政策与执行标准。</w:t>
            </w:r>
          </w:p>
        </w:tc>
      </w:tr>
      <w:tr w14:paraId="1F110527">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A519116">
            <w:pPr>
              <w:widowControl/>
              <w:jc w:val="center"/>
              <w:textAlignment w:val="center"/>
              <w:rPr>
                <w:rFonts w:hint="eastAsia" w:ascii="宋体" w:hAnsi="宋体" w:cs="宋体"/>
                <w:sz w:val="24"/>
              </w:rPr>
            </w:pPr>
            <w:r>
              <w:rPr>
                <w:rFonts w:hint="eastAsia" w:ascii="宋体" w:hAnsi="宋体" w:cs="宋体"/>
                <w:kern w:val="0"/>
                <w:sz w:val="24"/>
                <w:lang w:bidi="ar"/>
              </w:rPr>
              <w:t>299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637AAB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09E2C3D">
            <w:pPr>
              <w:widowControl/>
              <w:jc w:val="center"/>
              <w:textAlignment w:val="center"/>
              <w:rPr>
                <w:rFonts w:hint="eastAsia" w:ascii="宋体" w:hAnsi="宋体" w:cs="宋体"/>
                <w:sz w:val="24"/>
              </w:rPr>
            </w:pPr>
            <w:r>
              <w:rPr>
                <w:rFonts w:hint="eastAsia" w:ascii="宋体" w:hAnsi="宋体" w:cs="宋体"/>
                <w:kern w:val="0"/>
                <w:sz w:val="24"/>
                <w:lang w:bidi="ar"/>
              </w:rPr>
              <w:t>编号规则设置</w:t>
            </w:r>
          </w:p>
        </w:tc>
        <w:tc>
          <w:tcPr>
            <w:tcW w:w="9687" w:type="dxa"/>
            <w:tcBorders>
              <w:top w:val="single" w:color="000000" w:sz="4" w:space="0"/>
              <w:left w:val="single" w:color="000000" w:sz="4" w:space="0"/>
              <w:bottom w:val="single" w:color="000000" w:sz="4" w:space="0"/>
              <w:right w:val="single" w:color="000000" w:sz="4" w:space="0"/>
            </w:tcBorders>
            <w:vAlign w:val="center"/>
          </w:tcPr>
          <w:p w14:paraId="5F140BAE">
            <w:pPr>
              <w:widowControl/>
              <w:textAlignment w:val="center"/>
              <w:rPr>
                <w:rFonts w:hint="eastAsia" w:ascii="宋体" w:hAnsi="宋体" w:cs="宋体"/>
                <w:sz w:val="24"/>
              </w:rPr>
            </w:pPr>
            <w:r>
              <w:rPr>
                <w:rFonts w:hint="eastAsia" w:ascii="宋体" w:hAnsi="宋体" w:cs="宋体"/>
                <w:kern w:val="0"/>
                <w:sz w:val="24"/>
                <w:lang w:bidi="ar"/>
              </w:rPr>
              <w:t xml:space="preserve">    两癌筛查系统可以提供两种结构化、唯一且可追溯的档案编号自动生成规则，以满足不同层级的管理需求。编号规则一，按照单位编号+筛查日期+自然顺序号规则。编号规则二，服务地区编码+筛查日期+顺序号规则。</w:t>
            </w:r>
          </w:p>
        </w:tc>
      </w:tr>
      <w:tr w14:paraId="090796B3">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AFF7511">
            <w:pPr>
              <w:widowControl/>
              <w:jc w:val="center"/>
              <w:textAlignment w:val="center"/>
              <w:rPr>
                <w:rFonts w:hint="eastAsia" w:ascii="宋体" w:hAnsi="宋体" w:cs="宋体"/>
                <w:sz w:val="24"/>
              </w:rPr>
            </w:pPr>
            <w:r>
              <w:rPr>
                <w:rFonts w:hint="eastAsia" w:ascii="宋体" w:hAnsi="宋体" w:cs="宋体"/>
                <w:kern w:val="0"/>
                <w:sz w:val="24"/>
                <w:lang w:bidi="ar"/>
              </w:rPr>
              <w:t>300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53B0D7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57FF3C8">
            <w:pPr>
              <w:widowControl/>
              <w:jc w:val="center"/>
              <w:textAlignment w:val="center"/>
              <w:rPr>
                <w:rFonts w:hint="eastAsia" w:ascii="宋体" w:hAnsi="宋体" w:cs="宋体"/>
                <w:sz w:val="24"/>
              </w:rPr>
            </w:pPr>
            <w:r>
              <w:rPr>
                <w:rFonts w:hint="eastAsia" w:ascii="宋体" w:hAnsi="宋体" w:cs="宋体"/>
                <w:kern w:val="0"/>
                <w:sz w:val="24"/>
                <w:lang w:bidi="ar"/>
              </w:rPr>
              <w:t>权限管理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8B814ED">
            <w:pPr>
              <w:widowControl/>
              <w:textAlignment w:val="center"/>
              <w:rPr>
                <w:rFonts w:hint="eastAsia" w:ascii="宋体" w:hAnsi="宋体" w:cs="宋体"/>
                <w:sz w:val="24"/>
              </w:rPr>
            </w:pPr>
            <w:r>
              <w:rPr>
                <w:rFonts w:hint="eastAsia" w:ascii="宋体" w:hAnsi="宋体" w:cs="宋体"/>
                <w:kern w:val="0"/>
                <w:sz w:val="24"/>
                <w:lang w:bidi="ar"/>
              </w:rPr>
              <w:t xml:space="preserve">    系统提供集中式的基层单位权限管理功能，可以市县多级分层、权责分明的安全管理体系，确保系统数据的安全性和业务操作的规范性。</w:t>
            </w:r>
          </w:p>
        </w:tc>
      </w:tr>
      <w:tr w14:paraId="6D034464">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2D1943">
            <w:pPr>
              <w:widowControl/>
              <w:jc w:val="center"/>
              <w:textAlignment w:val="center"/>
              <w:rPr>
                <w:rFonts w:hint="eastAsia" w:ascii="宋体" w:hAnsi="宋体" w:cs="宋体"/>
                <w:sz w:val="24"/>
              </w:rPr>
            </w:pPr>
            <w:r>
              <w:rPr>
                <w:rFonts w:hint="eastAsia" w:ascii="宋体" w:hAnsi="宋体" w:cs="宋体"/>
                <w:kern w:val="0"/>
                <w:sz w:val="24"/>
                <w:lang w:bidi="ar"/>
              </w:rPr>
              <w:t>301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42ED6B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3EFE6E0">
            <w:pPr>
              <w:widowControl/>
              <w:jc w:val="center"/>
              <w:textAlignment w:val="center"/>
              <w:rPr>
                <w:rFonts w:hint="eastAsia" w:ascii="宋体" w:hAnsi="宋体" w:cs="宋体"/>
                <w:sz w:val="24"/>
              </w:rPr>
            </w:pPr>
            <w:r>
              <w:rPr>
                <w:rFonts w:hint="eastAsia" w:ascii="宋体" w:hAnsi="宋体" w:cs="宋体"/>
                <w:kern w:val="0"/>
                <w:sz w:val="24"/>
                <w:lang w:bidi="ar"/>
              </w:rPr>
              <w:t>基础档案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6578F95D">
            <w:pPr>
              <w:widowControl/>
              <w:textAlignment w:val="center"/>
              <w:rPr>
                <w:rFonts w:hint="eastAsia" w:ascii="宋体" w:hAnsi="宋体" w:cs="宋体"/>
                <w:sz w:val="24"/>
              </w:rPr>
            </w:pPr>
            <w:r>
              <w:rPr>
                <w:rFonts w:hint="eastAsia" w:ascii="宋体" w:hAnsi="宋体" w:cs="宋体"/>
                <w:kern w:val="0"/>
                <w:sz w:val="24"/>
                <w:lang w:bidi="ar"/>
              </w:rPr>
              <w:t xml:space="preserve">    基础档案模块可以提供多元化、高效率且人性化的服务对象基础档案管理体系，实现了从传统线下建档到线上自助建档的全面覆盖，旨在精准、便捷地构建两癌筛查管理的基石。</w:t>
            </w:r>
            <w:r>
              <w:rPr>
                <w:rFonts w:hint="eastAsia" w:ascii="宋体" w:hAnsi="宋体" w:cs="宋体"/>
                <w:kern w:val="0"/>
                <w:sz w:val="24"/>
                <w:lang w:bidi="ar"/>
              </w:rPr>
              <w:br w:type="textWrapping"/>
            </w:r>
            <w:r>
              <w:rPr>
                <w:rFonts w:hint="eastAsia" w:ascii="宋体" w:hAnsi="宋体" w:cs="宋体"/>
                <w:kern w:val="0"/>
                <w:sz w:val="24"/>
                <w:lang w:bidi="ar"/>
              </w:rPr>
              <w:t>可以在基础档案列表打开专门的档案添加页面，进行基础的建档，修改，删除操作。可以通过姓名证件号码等查询服务对象基础档案</w:t>
            </w:r>
            <w:r>
              <w:rPr>
                <w:rFonts w:hint="eastAsia" w:ascii="宋体" w:hAnsi="宋体" w:cs="宋体"/>
                <w:kern w:val="0"/>
                <w:sz w:val="24"/>
                <w:lang w:bidi="ar"/>
              </w:rPr>
              <w:br w:type="textWrapping"/>
            </w:r>
            <w:r>
              <w:rPr>
                <w:rFonts w:hint="eastAsia" w:ascii="宋体" w:hAnsi="宋体" w:cs="宋体"/>
                <w:kern w:val="0"/>
                <w:sz w:val="24"/>
                <w:lang w:bidi="ar"/>
              </w:rPr>
              <w:t>可以通过二代身份证读卡器自动读取并填充服务对象信息，极大减少了人工录入的错误和时间成本，保证了信息的准确性。</w:t>
            </w:r>
            <w:r>
              <w:rPr>
                <w:rFonts w:hint="eastAsia" w:ascii="宋体" w:hAnsi="宋体" w:cs="宋体"/>
                <w:kern w:val="0"/>
                <w:sz w:val="24"/>
                <w:lang w:bidi="ar"/>
              </w:rPr>
              <w:br w:type="textWrapping"/>
            </w:r>
            <w:r>
              <w:rPr>
                <w:rFonts w:hint="eastAsia" w:ascii="宋体" w:hAnsi="宋体" w:cs="宋体"/>
                <w:kern w:val="0"/>
                <w:sz w:val="24"/>
                <w:lang w:bidi="ar"/>
              </w:rPr>
              <w:t>服务对象可在手机等移动端打开自助建档页面，自行录入基础信息和病史信息。护士在电脑端可一键获取由服务对象提交的建档信息。</w:t>
            </w:r>
          </w:p>
        </w:tc>
      </w:tr>
      <w:tr w14:paraId="2628DF21">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163A7D7">
            <w:pPr>
              <w:widowControl/>
              <w:jc w:val="center"/>
              <w:textAlignment w:val="center"/>
              <w:rPr>
                <w:rFonts w:hint="eastAsia" w:ascii="宋体" w:hAnsi="宋体" w:cs="宋体"/>
                <w:sz w:val="24"/>
              </w:rPr>
            </w:pPr>
            <w:r>
              <w:rPr>
                <w:rFonts w:hint="eastAsia" w:ascii="宋体" w:hAnsi="宋体" w:cs="宋体"/>
                <w:kern w:val="0"/>
                <w:sz w:val="24"/>
                <w:lang w:bidi="ar"/>
              </w:rPr>
              <w:t>302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72AB22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C017436">
            <w:pPr>
              <w:widowControl/>
              <w:jc w:val="center"/>
              <w:textAlignment w:val="center"/>
              <w:rPr>
                <w:rFonts w:hint="eastAsia" w:ascii="宋体" w:hAnsi="宋体" w:cs="宋体"/>
                <w:sz w:val="24"/>
              </w:rPr>
            </w:pPr>
            <w:r>
              <w:rPr>
                <w:rFonts w:hint="eastAsia" w:ascii="宋体" w:hAnsi="宋体" w:cs="宋体"/>
                <w:kern w:val="0"/>
                <w:sz w:val="24"/>
                <w:lang w:bidi="ar"/>
              </w:rPr>
              <w:t>两癌筛查登记</w:t>
            </w:r>
          </w:p>
        </w:tc>
        <w:tc>
          <w:tcPr>
            <w:tcW w:w="9687" w:type="dxa"/>
            <w:tcBorders>
              <w:top w:val="single" w:color="000000" w:sz="4" w:space="0"/>
              <w:left w:val="single" w:color="000000" w:sz="4" w:space="0"/>
              <w:bottom w:val="single" w:color="000000" w:sz="4" w:space="0"/>
              <w:right w:val="single" w:color="000000" w:sz="4" w:space="0"/>
            </w:tcBorders>
            <w:vAlign w:val="center"/>
          </w:tcPr>
          <w:p w14:paraId="7ED4009F">
            <w:pPr>
              <w:widowControl/>
              <w:textAlignment w:val="center"/>
              <w:rPr>
                <w:rFonts w:hint="eastAsia" w:ascii="宋体" w:hAnsi="宋体" w:cs="宋体"/>
                <w:sz w:val="24"/>
              </w:rPr>
            </w:pPr>
            <w:r>
              <w:rPr>
                <w:rFonts w:hint="eastAsia" w:ascii="宋体" w:hAnsi="宋体" w:cs="宋体"/>
                <w:kern w:val="0"/>
                <w:sz w:val="24"/>
                <w:lang w:bidi="ar"/>
              </w:rPr>
              <w:t xml:space="preserve">    两癌筛查登记模块可以提供专门的登记页面，支持对两癌筛查档案进行新增、修改、删除的完整维护操作，确保档案信息准确无误。可以快速生成并打印导诊单，清晰指引服务对象前往不同检查科室，优化现场服务流程，减少混乱与等待。可以规范打印知情同意书，确保医疗程序符合规范，保障医患双方的权益。</w:t>
            </w:r>
            <w:r>
              <w:rPr>
                <w:rFonts w:hint="eastAsia" w:ascii="宋体" w:hAnsi="宋体" w:cs="宋体"/>
                <w:kern w:val="0"/>
                <w:sz w:val="24"/>
                <w:lang w:bidi="ar"/>
              </w:rPr>
              <w:br w:type="textWrapping"/>
            </w:r>
            <w:r>
              <w:rPr>
                <w:rFonts w:hint="eastAsia" w:ascii="宋体" w:hAnsi="宋体" w:cs="宋体"/>
                <w:kern w:val="0"/>
                <w:sz w:val="24"/>
                <w:lang w:bidi="ar"/>
              </w:rPr>
              <w:t>可以打印检验外送条码，为需要外送实验室的样本生成并打印标准条码。</w:t>
            </w:r>
            <w:r>
              <w:rPr>
                <w:rFonts w:hint="eastAsia" w:ascii="宋体" w:hAnsi="宋体" w:cs="宋体"/>
                <w:kern w:val="0"/>
                <w:sz w:val="24"/>
                <w:lang w:bidi="ar"/>
              </w:rPr>
              <w:br w:type="textWrapping"/>
            </w:r>
            <w:r>
              <w:rPr>
                <w:rFonts w:hint="eastAsia" w:ascii="宋体" w:hAnsi="宋体" w:cs="宋体"/>
                <w:kern w:val="0"/>
                <w:sz w:val="24"/>
                <w:lang w:bidi="ar"/>
              </w:rPr>
              <w:t>对筛查中发现异常的服务对象，系统可以打印转诊单，无缝对接上级医疗机构，确保疑似病例得到及时、连续的诊治。</w:t>
            </w:r>
            <w:r>
              <w:rPr>
                <w:rFonts w:hint="eastAsia" w:ascii="宋体" w:hAnsi="宋体" w:cs="宋体"/>
                <w:kern w:val="0"/>
                <w:sz w:val="24"/>
                <w:lang w:bidi="ar"/>
              </w:rPr>
              <w:br w:type="textWrapping"/>
            </w:r>
            <w:r>
              <w:rPr>
                <w:rFonts w:hint="eastAsia" w:ascii="宋体" w:hAnsi="宋体" w:cs="宋体"/>
                <w:kern w:val="0"/>
                <w:sz w:val="24"/>
                <w:lang w:bidi="ar"/>
              </w:rPr>
              <w:t>可以查询服务对象所有历史的两癌筛查记录，便于进行纵向对比、风险评估和个性化健康管理。</w:t>
            </w:r>
          </w:p>
        </w:tc>
      </w:tr>
      <w:tr w14:paraId="193885BC">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904C923">
            <w:pPr>
              <w:widowControl/>
              <w:jc w:val="center"/>
              <w:textAlignment w:val="center"/>
              <w:rPr>
                <w:rFonts w:hint="eastAsia" w:ascii="宋体" w:hAnsi="宋体" w:cs="宋体"/>
                <w:sz w:val="24"/>
              </w:rPr>
            </w:pPr>
            <w:r>
              <w:rPr>
                <w:rFonts w:hint="eastAsia" w:ascii="宋体" w:hAnsi="宋体" w:cs="宋体"/>
                <w:kern w:val="0"/>
                <w:sz w:val="24"/>
                <w:lang w:bidi="ar"/>
              </w:rPr>
              <w:t>303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A4F68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9205A3">
            <w:pPr>
              <w:widowControl/>
              <w:jc w:val="center"/>
              <w:textAlignment w:val="center"/>
              <w:rPr>
                <w:rFonts w:hint="eastAsia" w:ascii="宋体" w:hAnsi="宋体" w:cs="宋体"/>
                <w:sz w:val="24"/>
              </w:rPr>
            </w:pPr>
            <w:r>
              <w:rPr>
                <w:rFonts w:hint="eastAsia" w:ascii="宋体" w:hAnsi="宋体" w:cs="宋体"/>
                <w:kern w:val="0"/>
                <w:sz w:val="24"/>
                <w:lang w:bidi="ar"/>
              </w:rPr>
              <w:t>乳腺癌筛查录入</w:t>
            </w:r>
          </w:p>
        </w:tc>
        <w:tc>
          <w:tcPr>
            <w:tcW w:w="9687" w:type="dxa"/>
            <w:tcBorders>
              <w:top w:val="single" w:color="000000" w:sz="4" w:space="0"/>
              <w:left w:val="single" w:color="000000" w:sz="4" w:space="0"/>
              <w:bottom w:val="single" w:color="000000" w:sz="4" w:space="0"/>
              <w:right w:val="single" w:color="000000" w:sz="4" w:space="0"/>
            </w:tcBorders>
            <w:vAlign w:val="center"/>
          </w:tcPr>
          <w:p w14:paraId="32EF1655">
            <w:pPr>
              <w:widowControl/>
              <w:textAlignment w:val="center"/>
              <w:rPr>
                <w:rFonts w:hint="eastAsia" w:ascii="宋体" w:hAnsi="宋体" w:cs="宋体"/>
                <w:sz w:val="24"/>
              </w:rPr>
            </w:pPr>
            <w:r>
              <w:rPr>
                <w:rFonts w:hint="eastAsia" w:ascii="宋体" w:hAnsi="宋体" w:cs="宋体"/>
                <w:kern w:val="0"/>
                <w:sz w:val="24"/>
                <w:lang w:bidi="ar"/>
              </w:rPr>
              <w:t xml:space="preserve">    记录乳腺癌的筛查全过程信息，支持单页面持续录入工作。录入的信息包括：病史询问、临床检查、乳腺超声检查、乳腺X线检查、组织病理、最后诊断、TNM分期、总检、随访和结案；</w:t>
            </w:r>
          </w:p>
        </w:tc>
      </w:tr>
      <w:tr w14:paraId="01207E10">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86F4262">
            <w:pPr>
              <w:widowControl/>
              <w:jc w:val="center"/>
              <w:textAlignment w:val="center"/>
              <w:rPr>
                <w:rFonts w:hint="eastAsia" w:ascii="宋体" w:hAnsi="宋体" w:cs="宋体"/>
                <w:sz w:val="24"/>
              </w:rPr>
            </w:pPr>
            <w:r>
              <w:rPr>
                <w:rFonts w:hint="eastAsia" w:ascii="宋体" w:hAnsi="宋体" w:cs="宋体"/>
                <w:kern w:val="0"/>
                <w:sz w:val="24"/>
                <w:lang w:bidi="ar"/>
              </w:rPr>
              <w:t>304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F526F3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8813AA4">
            <w:pPr>
              <w:widowControl/>
              <w:jc w:val="center"/>
              <w:textAlignment w:val="center"/>
              <w:rPr>
                <w:rFonts w:hint="eastAsia" w:ascii="宋体" w:hAnsi="宋体" w:cs="宋体"/>
                <w:sz w:val="24"/>
              </w:rPr>
            </w:pPr>
            <w:r>
              <w:rPr>
                <w:rFonts w:hint="eastAsia" w:ascii="宋体" w:hAnsi="宋体" w:cs="宋体"/>
                <w:kern w:val="0"/>
                <w:sz w:val="24"/>
                <w:lang w:bidi="ar"/>
              </w:rPr>
              <w:t>宫颈癌筛查录入</w:t>
            </w:r>
          </w:p>
        </w:tc>
        <w:tc>
          <w:tcPr>
            <w:tcW w:w="9687" w:type="dxa"/>
            <w:tcBorders>
              <w:top w:val="single" w:color="000000" w:sz="4" w:space="0"/>
              <w:left w:val="single" w:color="000000" w:sz="4" w:space="0"/>
              <w:bottom w:val="single" w:color="000000" w:sz="4" w:space="0"/>
              <w:right w:val="single" w:color="000000" w:sz="4" w:space="0"/>
            </w:tcBorders>
            <w:vAlign w:val="center"/>
          </w:tcPr>
          <w:p w14:paraId="00B37F1F">
            <w:pPr>
              <w:widowControl/>
              <w:textAlignment w:val="center"/>
              <w:rPr>
                <w:rFonts w:hint="eastAsia" w:ascii="宋体" w:hAnsi="宋体" w:cs="宋体"/>
                <w:sz w:val="24"/>
              </w:rPr>
            </w:pPr>
            <w:r>
              <w:rPr>
                <w:rFonts w:hint="eastAsia" w:ascii="宋体" w:hAnsi="宋体" w:cs="宋体"/>
                <w:kern w:val="0"/>
                <w:sz w:val="24"/>
                <w:lang w:bidi="ar"/>
              </w:rPr>
              <w:t xml:space="preserve">   记录宫颈癌的筛查全过程信息，支持单页面持续录入工作。录入内容包括：病史、妇科检查、白带常规、HPV、细胞学、阴道镜、组织病理、最后诊断、总检、随访和结案。</w:t>
            </w:r>
          </w:p>
        </w:tc>
      </w:tr>
      <w:tr w14:paraId="5219B8CA">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690EF53">
            <w:pPr>
              <w:widowControl/>
              <w:jc w:val="center"/>
              <w:textAlignment w:val="center"/>
              <w:rPr>
                <w:rFonts w:hint="eastAsia" w:ascii="宋体" w:hAnsi="宋体" w:cs="宋体"/>
                <w:sz w:val="24"/>
              </w:rPr>
            </w:pPr>
            <w:r>
              <w:rPr>
                <w:rFonts w:hint="eastAsia" w:ascii="宋体" w:hAnsi="宋体" w:cs="宋体"/>
                <w:kern w:val="0"/>
                <w:sz w:val="24"/>
                <w:lang w:bidi="ar"/>
              </w:rPr>
              <w:t>305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13A1B6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D3929C2">
            <w:pPr>
              <w:widowControl/>
              <w:jc w:val="center"/>
              <w:textAlignment w:val="center"/>
              <w:rPr>
                <w:rFonts w:hint="eastAsia" w:ascii="宋体" w:hAnsi="宋体" w:cs="宋体"/>
                <w:sz w:val="24"/>
              </w:rPr>
            </w:pPr>
            <w:r>
              <w:rPr>
                <w:rFonts w:hint="eastAsia" w:ascii="宋体" w:hAnsi="宋体" w:cs="宋体"/>
                <w:kern w:val="0"/>
                <w:sz w:val="24"/>
                <w:lang w:bidi="ar"/>
              </w:rPr>
              <w:t>转诊管理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503E94C">
            <w:pPr>
              <w:widowControl/>
              <w:textAlignment w:val="center"/>
              <w:rPr>
                <w:rFonts w:hint="eastAsia" w:ascii="宋体" w:hAnsi="宋体" w:cs="宋体"/>
                <w:sz w:val="24"/>
              </w:rPr>
            </w:pPr>
            <w:r>
              <w:rPr>
                <w:rFonts w:hint="eastAsia" w:ascii="宋体" w:hAnsi="宋体" w:cs="宋体"/>
                <w:kern w:val="0"/>
                <w:sz w:val="24"/>
                <w:lang w:bidi="ar"/>
              </w:rPr>
              <w:t xml:space="preserve">    管理员可以在转诊设置页面，为乳腺X线、乳腺组织病理、TCT细胞学、阴道镜、宫颈组织病理等不同的专业检查项目，独立设置其对应的专业转诊机构。</w:t>
            </w:r>
            <w:r>
              <w:rPr>
                <w:rFonts w:hint="eastAsia" w:ascii="宋体" w:hAnsi="宋体" w:cs="宋体"/>
                <w:kern w:val="0"/>
                <w:sz w:val="24"/>
                <w:lang w:bidi="ar"/>
              </w:rPr>
              <w:br w:type="textWrapping"/>
            </w:r>
            <w:r>
              <w:rPr>
                <w:rFonts w:hint="eastAsia" w:ascii="宋体" w:hAnsi="宋体" w:cs="宋体"/>
                <w:kern w:val="0"/>
                <w:sz w:val="24"/>
                <w:lang w:bidi="ar"/>
              </w:rPr>
              <w:t>针对需要转诊的服务对象，医护人员可根据其异常项目，直接调用预设的对应转诊机构，一键生成并打印专业转诊单。</w:t>
            </w:r>
            <w:r>
              <w:rPr>
                <w:rFonts w:hint="eastAsia" w:ascii="宋体" w:hAnsi="宋体" w:cs="宋体"/>
                <w:kern w:val="0"/>
                <w:sz w:val="24"/>
                <w:lang w:bidi="ar"/>
              </w:rPr>
              <w:br w:type="textWrapping"/>
            </w:r>
            <w:r>
              <w:rPr>
                <w:rFonts w:hint="eastAsia" w:ascii="宋体" w:hAnsi="宋体" w:cs="宋体"/>
                <w:kern w:val="0"/>
                <w:sz w:val="24"/>
                <w:lang w:bidi="ar"/>
              </w:rPr>
              <w:t>接诊单位可以查询到所有转诊至本单位的服务对象列表，并进行接诊操作和录入接诊数据。这完成了从“转出”到“接收”的线上信息闭环，使得转出单位能够及时掌握服务对象的后续诊治情况。</w:t>
            </w:r>
          </w:p>
        </w:tc>
      </w:tr>
      <w:tr w14:paraId="40AFBD7D">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FD2EF5B">
            <w:pPr>
              <w:widowControl/>
              <w:jc w:val="center"/>
              <w:textAlignment w:val="center"/>
              <w:rPr>
                <w:rFonts w:hint="eastAsia" w:ascii="宋体" w:hAnsi="宋体" w:cs="宋体"/>
                <w:sz w:val="24"/>
              </w:rPr>
            </w:pPr>
            <w:r>
              <w:rPr>
                <w:rFonts w:hint="eastAsia" w:ascii="宋体" w:hAnsi="宋体" w:cs="宋体"/>
                <w:kern w:val="0"/>
                <w:sz w:val="24"/>
                <w:lang w:bidi="ar"/>
              </w:rPr>
              <w:t>306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A3544F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8A34F1D">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7C1EB26B">
            <w:pPr>
              <w:widowControl/>
              <w:textAlignment w:val="center"/>
              <w:rPr>
                <w:rFonts w:hint="eastAsia" w:ascii="宋体" w:hAnsi="宋体" w:cs="宋体"/>
                <w:sz w:val="24"/>
              </w:rPr>
            </w:pPr>
            <w:r>
              <w:rPr>
                <w:rFonts w:hint="eastAsia" w:ascii="宋体" w:hAnsi="宋体" w:cs="宋体"/>
                <w:kern w:val="0"/>
                <w:sz w:val="24"/>
                <w:lang w:bidi="ar"/>
              </w:rPr>
              <w:t xml:space="preserve">   报告打印模块可以为“两癌筛查”项目提供了全面、灵活的报表打印与结果反馈能力，满足从个案管理到群体筛查、从临床登记到结果告知的全场景输出需求。</w:t>
            </w:r>
            <w:r>
              <w:rPr>
                <w:rFonts w:hint="eastAsia" w:ascii="宋体" w:hAnsi="宋体" w:cs="宋体"/>
                <w:kern w:val="0"/>
                <w:sz w:val="24"/>
                <w:lang w:bidi="ar"/>
              </w:rPr>
              <w:br w:type="textWrapping"/>
            </w:r>
            <w:r>
              <w:rPr>
                <w:rFonts w:hint="eastAsia" w:ascii="宋体" w:hAnsi="宋体" w:cs="宋体"/>
                <w:kern w:val="0"/>
                <w:sz w:val="24"/>
                <w:lang w:bidi="ar"/>
              </w:rPr>
              <w:t>可以打印标准格式的 《乳腺癌个案登记表》 和 《宫颈癌个案登记表》。可以进行单条报告单打印，批量报告单打印，结果反馈单的打印。</w:t>
            </w:r>
          </w:p>
        </w:tc>
      </w:tr>
      <w:tr w14:paraId="2E38B455">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1053FC0">
            <w:pPr>
              <w:widowControl/>
              <w:jc w:val="center"/>
              <w:textAlignment w:val="center"/>
              <w:rPr>
                <w:rFonts w:hint="eastAsia" w:ascii="宋体" w:hAnsi="宋体" w:cs="宋体"/>
                <w:sz w:val="24"/>
              </w:rPr>
            </w:pPr>
            <w:r>
              <w:rPr>
                <w:rFonts w:hint="eastAsia" w:ascii="宋体" w:hAnsi="宋体" w:cs="宋体"/>
                <w:kern w:val="0"/>
                <w:sz w:val="24"/>
                <w:lang w:bidi="ar"/>
              </w:rPr>
              <w:t>307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16B6C5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0127F2F1">
            <w:pPr>
              <w:widowControl/>
              <w:jc w:val="center"/>
              <w:textAlignment w:val="center"/>
              <w:rPr>
                <w:rFonts w:hint="eastAsia" w:ascii="宋体" w:hAnsi="宋体" w:cs="宋体"/>
                <w:sz w:val="24"/>
              </w:rPr>
            </w:pPr>
            <w:r>
              <w:rPr>
                <w:rFonts w:hint="eastAsia" w:ascii="宋体" w:hAnsi="宋体" w:cs="宋体"/>
                <w:kern w:val="0"/>
                <w:sz w:val="24"/>
                <w:lang w:bidi="ar"/>
              </w:rPr>
              <w:t>进度查询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749FB6E7">
            <w:pPr>
              <w:widowControl/>
              <w:textAlignment w:val="center"/>
              <w:rPr>
                <w:rFonts w:hint="eastAsia" w:ascii="宋体" w:hAnsi="宋体" w:cs="宋体"/>
                <w:sz w:val="24"/>
              </w:rPr>
            </w:pPr>
            <w:r>
              <w:rPr>
                <w:rFonts w:hint="eastAsia" w:ascii="宋体" w:hAnsi="宋体" w:cs="宋体"/>
                <w:kern w:val="0"/>
                <w:sz w:val="24"/>
                <w:lang w:bidi="ar"/>
              </w:rPr>
              <w:t xml:space="preserve">    进度查询列表可以进行灵活的进度查询与数据导出，可以通过进度查询列表，并运用多种条件筛选服务对象信息，快速定位目标人群。系统能够按照个案对筛查的全过程进行跟踪统计，通过不同的颜色（如绿色/红色）来清晰标记已筛查和未筛查的项目。</w:t>
            </w:r>
          </w:p>
        </w:tc>
      </w:tr>
      <w:tr w14:paraId="27F219C8">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06ADBFF">
            <w:pPr>
              <w:widowControl/>
              <w:jc w:val="center"/>
              <w:textAlignment w:val="center"/>
              <w:rPr>
                <w:rFonts w:hint="eastAsia" w:ascii="宋体" w:hAnsi="宋体" w:cs="宋体"/>
                <w:sz w:val="24"/>
              </w:rPr>
            </w:pPr>
            <w:r>
              <w:rPr>
                <w:rFonts w:hint="eastAsia" w:ascii="宋体" w:hAnsi="宋体" w:cs="宋体"/>
                <w:kern w:val="0"/>
                <w:sz w:val="24"/>
                <w:lang w:bidi="ar"/>
              </w:rPr>
              <w:t>308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E86AB8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F6FA82B">
            <w:pPr>
              <w:widowControl/>
              <w:jc w:val="center"/>
              <w:textAlignment w:val="center"/>
              <w:rPr>
                <w:rFonts w:hint="eastAsia" w:ascii="宋体" w:hAnsi="宋体" w:cs="宋体"/>
                <w:sz w:val="24"/>
              </w:rPr>
            </w:pPr>
            <w:r>
              <w:rPr>
                <w:rFonts w:hint="eastAsia" w:ascii="宋体" w:hAnsi="宋体" w:cs="宋体"/>
                <w:kern w:val="0"/>
                <w:sz w:val="24"/>
                <w:lang w:bidi="ar"/>
              </w:rPr>
              <w:t>待总检列表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79936E0E">
            <w:pPr>
              <w:widowControl/>
              <w:textAlignment w:val="center"/>
              <w:rPr>
                <w:rFonts w:hint="eastAsia" w:ascii="宋体" w:hAnsi="宋体" w:cs="宋体"/>
                <w:sz w:val="24"/>
              </w:rPr>
            </w:pPr>
            <w:r>
              <w:rPr>
                <w:rFonts w:hint="eastAsia" w:ascii="宋体" w:hAnsi="宋体" w:cs="宋体"/>
                <w:kern w:val="0"/>
                <w:sz w:val="24"/>
                <w:lang w:bidi="ar"/>
              </w:rPr>
              <w:t xml:space="preserve">   系统可以通过后台逻辑自动生成乳腺癌待总检个案信息列表，可以查询并导出乳腺癌待总检信息。</w:t>
            </w:r>
            <w:r>
              <w:rPr>
                <w:rFonts w:hint="eastAsia" w:ascii="宋体" w:hAnsi="宋体" w:cs="宋体"/>
                <w:kern w:val="0"/>
                <w:sz w:val="24"/>
                <w:lang w:bidi="ar"/>
              </w:rPr>
              <w:br w:type="textWrapping"/>
            </w:r>
            <w:r>
              <w:rPr>
                <w:rFonts w:hint="eastAsia" w:ascii="宋体" w:hAnsi="宋体" w:cs="宋体"/>
                <w:kern w:val="0"/>
                <w:sz w:val="24"/>
                <w:lang w:bidi="ar"/>
              </w:rPr>
              <w:t xml:space="preserve">   系统可以通过后台逻辑自动生成宫颈癌待总检个案信息列表，可以查询并导出宫颈癌待总检信息。</w:t>
            </w:r>
          </w:p>
        </w:tc>
      </w:tr>
      <w:tr w14:paraId="6887E2C8">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DD3C987">
            <w:pPr>
              <w:widowControl/>
              <w:jc w:val="center"/>
              <w:textAlignment w:val="center"/>
              <w:rPr>
                <w:rFonts w:hint="eastAsia" w:ascii="宋体" w:hAnsi="宋体" w:cs="宋体"/>
                <w:sz w:val="24"/>
              </w:rPr>
            </w:pPr>
            <w:r>
              <w:rPr>
                <w:rFonts w:hint="eastAsia" w:ascii="宋体" w:hAnsi="宋体" w:cs="宋体"/>
                <w:kern w:val="0"/>
                <w:sz w:val="24"/>
                <w:lang w:bidi="ar"/>
              </w:rPr>
              <w:t>309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0E6F88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7D99E54">
            <w:pPr>
              <w:widowControl/>
              <w:jc w:val="center"/>
              <w:textAlignment w:val="center"/>
              <w:rPr>
                <w:rFonts w:hint="eastAsia" w:ascii="宋体" w:hAnsi="宋体" w:cs="宋体"/>
                <w:sz w:val="24"/>
              </w:rPr>
            </w:pPr>
            <w:r>
              <w:rPr>
                <w:rFonts w:hint="eastAsia" w:ascii="宋体" w:hAnsi="宋体" w:cs="宋体"/>
                <w:kern w:val="0"/>
                <w:sz w:val="24"/>
                <w:lang w:bidi="ar"/>
              </w:rPr>
              <w:t>待结案列表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429BA7F9">
            <w:pPr>
              <w:widowControl/>
              <w:textAlignment w:val="center"/>
              <w:rPr>
                <w:rFonts w:hint="eastAsia" w:ascii="宋体" w:hAnsi="宋体" w:cs="宋体"/>
                <w:sz w:val="24"/>
              </w:rPr>
            </w:pPr>
            <w:r>
              <w:rPr>
                <w:rFonts w:hint="eastAsia" w:ascii="宋体" w:hAnsi="宋体" w:cs="宋体"/>
                <w:kern w:val="0"/>
                <w:sz w:val="24"/>
                <w:lang w:bidi="ar"/>
              </w:rPr>
              <w:t xml:space="preserve">   系统可以通过后台逻辑自动生成乳腺癌待结案个案信息列表，可以查询并导出乳腺癌待结案信息。</w:t>
            </w:r>
            <w:r>
              <w:rPr>
                <w:rFonts w:hint="eastAsia" w:ascii="宋体" w:hAnsi="宋体" w:cs="宋体"/>
                <w:kern w:val="0"/>
                <w:sz w:val="24"/>
                <w:lang w:bidi="ar"/>
              </w:rPr>
              <w:br w:type="textWrapping"/>
            </w:r>
            <w:r>
              <w:rPr>
                <w:rFonts w:hint="eastAsia" w:ascii="宋体" w:hAnsi="宋体" w:cs="宋体"/>
                <w:kern w:val="0"/>
                <w:sz w:val="24"/>
                <w:lang w:bidi="ar"/>
              </w:rPr>
              <w:t xml:space="preserve">    系统可以通过后台逻辑自动生成宫颈癌待结案个案信息列表，可以查询并导出宫颈癌待结案信息。</w:t>
            </w:r>
          </w:p>
        </w:tc>
      </w:tr>
      <w:tr w14:paraId="114F4787">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013FF01">
            <w:pPr>
              <w:widowControl/>
              <w:jc w:val="center"/>
              <w:textAlignment w:val="center"/>
              <w:rPr>
                <w:rFonts w:hint="eastAsia" w:ascii="宋体" w:hAnsi="宋体" w:cs="宋体"/>
                <w:sz w:val="24"/>
              </w:rPr>
            </w:pPr>
            <w:r>
              <w:rPr>
                <w:rFonts w:hint="eastAsia" w:ascii="宋体" w:hAnsi="宋体" w:cs="宋体"/>
                <w:kern w:val="0"/>
                <w:sz w:val="24"/>
                <w:lang w:bidi="ar"/>
              </w:rPr>
              <w:t>310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A2A95D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C42A95">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6A2742A">
            <w:pPr>
              <w:widowControl/>
              <w:textAlignment w:val="center"/>
              <w:rPr>
                <w:rFonts w:hint="eastAsia" w:ascii="宋体" w:hAnsi="宋体" w:cs="宋体"/>
                <w:sz w:val="24"/>
              </w:rPr>
            </w:pPr>
            <w:r>
              <w:rPr>
                <w:rFonts w:hint="eastAsia" w:ascii="宋体" w:hAnsi="宋体" w:cs="宋体"/>
                <w:kern w:val="0"/>
                <w:sz w:val="24"/>
                <w:lang w:bidi="ar"/>
              </w:rPr>
              <w:t xml:space="preserve">    系统可以灵活设置乳腺癌待随访逻辑，并通过逻辑自动生成乳腺癌待随访个案信息列表，可以查询并导出乳腺癌待随访信息。</w:t>
            </w:r>
            <w:r>
              <w:rPr>
                <w:rFonts w:hint="eastAsia" w:ascii="宋体" w:hAnsi="宋体" w:cs="宋体"/>
                <w:kern w:val="0"/>
                <w:sz w:val="24"/>
                <w:lang w:bidi="ar"/>
              </w:rPr>
              <w:br w:type="textWrapping"/>
            </w:r>
            <w:r>
              <w:rPr>
                <w:rFonts w:hint="eastAsia" w:ascii="宋体" w:hAnsi="宋体" w:cs="宋体"/>
                <w:kern w:val="0"/>
                <w:sz w:val="24"/>
                <w:lang w:bidi="ar"/>
              </w:rPr>
              <w:t>系统可以灵活设置宫颈癌待随访逻辑，并通过逻辑自动生成宫颈癌待随访个案信息列表，可以查询并导出宫颈癌待随访信息。</w:t>
            </w:r>
          </w:p>
        </w:tc>
      </w:tr>
      <w:tr w14:paraId="350E5FFC">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77B879">
            <w:pPr>
              <w:widowControl/>
              <w:jc w:val="center"/>
              <w:textAlignment w:val="center"/>
              <w:rPr>
                <w:rFonts w:hint="eastAsia" w:ascii="宋体" w:hAnsi="宋体" w:cs="宋体"/>
                <w:sz w:val="24"/>
              </w:rPr>
            </w:pPr>
            <w:r>
              <w:rPr>
                <w:rFonts w:hint="eastAsia" w:ascii="宋体" w:hAnsi="宋体" w:cs="宋体"/>
                <w:kern w:val="0"/>
                <w:sz w:val="24"/>
                <w:lang w:bidi="ar"/>
              </w:rPr>
              <w:t>311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0ECB6C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42D9CD5">
            <w:pPr>
              <w:widowControl/>
              <w:jc w:val="center"/>
              <w:textAlignment w:val="center"/>
              <w:rPr>
                <w:rFonts w:hint="eastAsia" w:ascii="宋体" w:hAnsi="宋体" w:cs="宋体"/>
                <w:sz w:val="24"/>
              </w:rPr>
            </w:pPr>
            <w:r>
              <w:rPr>
                <w:rFonts w:hint="eastAsia" w:ascii="宋体" w:hAnsi="宋体" w:cs="宋体"/>
                <w:kern w:val="0"/>
                <w:sz w:val="24"/>
                <w:lang w:bidi="ar"/>
              </w:rPr>
              <w:t>待检查列表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24E66070">
            <w:pPr>
              <w:widowControl/>
              <w:textAlignment w:val="center"/>
              <w:rPr>
                <w:rFonts w:hint="eastAsia" w:ascii="宋体" w:hAnsi="宋体" w:cs="宋体"/>
                <w:sz w:val="24"/>
              </w:rPr>
            </w:pPr>
            <w:r>
              <w:rPr>
                <w:rFonts w:hint="eastAsia" w:ascii="宋体" w:hAnsi="宋体" w:cs="宋体"/>
                <w:kern w:val="0"/>
                <w:sz w:val="24"/>
                <w:lang w:bidi="ar"/>
              </w:rPr>
              <w:t xml:space="preserve">    系统可以通过后台逻辑自动生成待TCT检查个案信息列表，待阴道镜检查个案信息列表，待宫颈组织病理检查个案信息列表，待乳腺X线检查个案信息列表，待乳腺病理检查个案信息列表。可以通过不同条件查询数据，并导出。</w:t>
            </w:r>
          </w:p>
        </w:tc>
      </w:tr>
      <w:tr w14:paraId="4241741E">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852257">
            <w:pPr>
              <w:widowControl/>
              <w:jc w:val="center"/>
              <w:textAlignment w:val="center"/>
              <w:rPr>
                <w:rFonts w:hint="eastAsia" w:ascii="宋体" w:hAnsi="宋体" w:cs="宋体"/>
                <w:sz w:val="24"/>
              </w:rPr>
            </w:pPr>
            <w:r>
              <w:rPr>
                <w:rFonts w:hint="eastAsia" w:ascii="宋体" w:hAnsi="宋体" w:cs="宋体"/>
                <w:kern w:val="0"/>
                <w:sz w:val="24"/>
                <w:lang w:bidi="ar"/>
              </w:rPr>
              <w:t>312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583044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E47D2C3">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146D5ACF">
            <w:pPr>
              <w:widowControl/>
              <w:textAlignment w:val="center"/>
              <w:rPr>
                <w:rFonts w:hint="eastAsia" w:ascii="宋体" w:hAnsi="宋体" w:cs="宋体"/>
                <w:sz w:val="24"/>
              </w:rPr>
            </w:pPr>
            <w:r>
              <w:rPr>
                <w:rFonts w:hint="eastAsia" w:ascii="宋体" w:hAnsi="宋体" w:cs="宋体"/>
                <w:kern w:val="0"/>
                <w:sz w:val="24"/>
                <w:lang w:bidi="ar"/>
              </w:rPr>
              <w:t xml:space="preserve">    系统提供全面的两癌筛查数据查询与导出功能，支持对乳腺癌项目登记表，乳腺超声检查登记表，钼靶登记本，乳腺病理检查一览表，乳腺癌检查异常/可疑病例随访登记册，乳腺癌筛查季度统计表，宫颈癌项目登记表，白带常规登记本，HPV检测登记本，宫颈脱落细胞学结果登记表，TCT检查登记本，阴道镜一览表、阴道镜登记本，宫颈癌组织病理登记本，宫颈癌检查异常/可疑病例随访登记册，宫颈癌筛查季度统计表进行查询。同时针对每类查询结果，均提供导出功能，方便工作人员获取纸质或电子版本的登记信息，高效适配两癌筛查数据管理与使用的日常场景。</w:t>
            </w:r>
          </w:p>
        </w:tc>
      </w:tr>
      <w:tr w14:paraId="4F2DB160">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4107039">
            <w:pPr>
              <w:widowControl/>
              <w:jc w:val="center"/>
              <w:textAlignment w:val="center"/>
              <w:rPr>
                <w:rFonts w:hint="eastAsia" w:ascii="宋体" w:hAnsi="宋体" w:cs="宋体"/>
                <w:sz w:val="24"/>
              </w:rPr>
            </w:pPr>
            <w:r>
              <w:rPr>
                <w:rFonts w:hint="eastAsia" w:ascii="宋体" w:hAnsi="宋体" w:cs="宋体"/>
                <w:kern w:val="0"/>
                <w:sz w:val="24"/>
                <w:lang w:bidi="ar"/>
              </w:rPr>
              <w:t>313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5AE25E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4F1F287">
            <w:pPr>
              <w:widowControl/>
              <w:jc w:val="center"/>
              <w:textAlignment w:val="center"/>
              <w:rPr>
                <w:rFonts w:hint="eastAsia" w:ascii="宋体" w:hAnsi="宋体" w:cs="宋体"/>
                <w:sz w:val="24"/>
              </w:rPr>
            </w:pPr>
            <w:r>
              <w:rPr>
                <w:rFonts w:hint="eastAsia" w:ascii="宋体" w:hAnsi="宋体" w:cs="宋体"/>
                <w:kern w:val="0"/>
                <w:sz w:val="24"/>
                <w:lang w:bidi="ar"/>
              </w:rPr>
              <w:t>白带常规整合</w:t>
            </w:r>
          </w:p>
        </w:tc>
        <w:tc>
          <w:tcPr>
            <w:tcW w:w="9687" w:type="dxa"/>
            <w:tcBorders>
              <w:top w:val="single" w:color="000000" w:sz="4" w:space="0"/>
              <w:left w:val="single" w:color="000000" w:sz="4" w:space="0"/>
              <w:bottom w:val="single" w:color="000000" w:sz="4" w:space="0"/>
              <w:right w:val="single" w:color="000000" w:sz="4" w:space="0"/>
            </w:tcBorders>
            <w:vAlign w:val="center"/>
          </w:tcPr>
          <w:p w14:paraId="30F2016E">
            <w:pPr>
              <w:widowControl/>
              <w:textAlignment w:val="center"/>
              <w:rPr>
                <w:rFonts w:hint="eastAsia" w:ascii="宋体" w:hAnsi="宋体" w:cs="宋体"/>
                <w:sz w:val="24"/>
              </w:rPr>
            </w:pPr>
            <w:r>
              <w:rPr>
                <w:rFonts w:hint="eastAsia" w:ascii="宋体" w:hAnsi="宋体" w:cs="宋体"/>
                <w:kern w:val="0"/>
                <w:sz w:val="24"/>
                <w:lang w:bidi="ar"/>
              </w:rPr>
              <w:t xml:space="preserve">    白带常规整合为“白带常规”检验项目提供了灵活、双向的数据交换接口，实现筛查系统与第三方实验室信息系统之间的无缝衔接。第三方在接收样本时，绑定实验室的条码，实验室操作人员可以手动触发，从筛查系统中下载白带常规的样本信息到本地实验系统。实验室系统也可以通过接口主动从筛查系统中拉取样本信息。实验室人员可以手动将实验结果文件导入到筛查系统中。实验室系统也可以在完成检验并审核结果后，可通过接口自动将结果数据实时推送回筛查系统。</w:t>
            </w:r>
          </w:p>
        </w:tc>
      </w:tr>
      <w:tr w14:paraId="6EBAF170">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FA969B">
            <w:pPr>
              <w:widowControl/>
              <w:jc w:val="center"/>
              <w:textAlignment w:val="center"/>
              <w:rPr>
                <w:rFonts w:hint="eastAsia" w:ascii="宋体" w:hAnsi="宋体" w:cs="宋体"/>
                <w:sz w:val="24"/>
              </w:rPr>
            </w:pPr>
            <w:r>
              <w:rPr>
                <w:rFonts w:hint="eastAsia" w:ascii="宋体" w:hAnsi="宋体" w:cs="宋体"/>
                <w:kern w:val="0"/>
                <w:sz w:val="24"/>
                <w:lang w:bidi="ar"/>
              </w:rPr>
              <w:t>314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6706CE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20EEDC0">
            <w:pPr>
              <w:widowControl/>
              <w:jc w:val="center"/>
              <w:textAlignment w:val="center"/>
              <w:rPr>
                <w:rFonts w:hint="eastAsia" w:ascii="宋体" w:hAnsi="宋体" w:cs="宋体"/>
                <w:sz w:val="24"/>
              </w:rPr>
            </w:pPr>
            <w:r>
              <w:rPr>
                <w:rFonts w:hint="eastAsia" w:ascii="宋体" w:hAnsi="宋体" w:cs="宋体"/>
                <w:kern w:val="0"/>
                <w:sz w:val="24"/>
                <w:lang w:bidi="ar"/>
              </w:rPr>
              <w:t>HPV整合</w:t>
            </w:r>
          </w:p>
        </w:tc>
        <w:tc>
          <w:tcPr>
            <w:tcW w:w="9687" w:type="dxa"/>
            <w:tcBorders>
              <w:top w:val="single" w:color="000000" w:sz="4" w:space="0"/>
              <w:left w:val="single" w:color="000000" w:sz="4" w:space="0"/>
              <w:bottom w:val="single" w:color="000000" w:sz="4" w:space="0"/>
              <w:right w:val="single" w:color="000000" w:sz="4" w:space="0"/>
            </w:tcBorders>
            <w:vAlign w:val="center"/>
          </w:tcPr>
          <w:p w14:paraId="21C3C721">
            <w:pPr>
              <w:widowControl/>
              <w:textAlignment w:val="center"/>
              <w:rPr>
                <w:rFonts w:hint="eastAsia" w:ascii="宋体" w:hAnsi="宋体" w:cs="宋体"/>
                <w:sz w:val="24"/>
              </w:rPr>
            </w:pPr>
            <w:r>
              <w:rPr>
                <w:rFonts w:hint="eastAsia" w:ascii="宋体" w:hAnsi="宋体" w:cs="宋体"/>
                <w:kern w:val="0"/>
                <w:sz w:val="24"/>
                <w:lang w:bidi="ar"/>
              </w:rPr>
              <w:t xml:space="preserve">    HPV规整合为“HPV”检验项目提供了灵活、双向的数据交换接口，实现筛查系统与第三方实验室信息系统之间的无缝衔接。第三方在接收样本时，绑定实验室的条码，实验室操作人员可以手动触发，从筛查系统中下载HPV样本信息到本地实验系统。实验室系统也可以通过接口主动从筛查系统中拉取样本信息。实验室人员可以手动将实验结果文件导入到筛查系统中。实验室系统也可以在完成检验并审核结果后，可通过接口自动将结果数据实时推送回筛查系统。</w:t>
            </w:r>
          </w:p>
        </w:tc>
      </w:tr>
      <w:tr w14:paraId="0163AD3D">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4CD3539">
            <w:pPr>
              <w:widowControl/>
              <w:jc w:val="center"/>
              <w:textAlignment w:val="center"/>
              <w:rPr>
                <w:rFonts w:hint="eastAsia" w:ascii="宋体" w:hAnsi="宋体" w:cs="宋体"/>
                <w:sz w:val="24"/>
              </w:rPr>
            </w:pPr>
            <w:r>
              <w:rPr>
                <w:rFonts w:hint="eastAsia" w:ascii="宋体" w:hAnsi="宋体" w:cs="宋体"/>
                <w:kern w:val="0"/>
                <w:sz w:val="24"/>
                <w:lang w:bidi="ar"/>
              </w:rPr>
              <w:t>315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F7F95F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CA8D86D">
            <w:pPr>
              <w:widowControl/>
              <w:jc w:val="center"/>
              <w:textAlignment w:val="center"/>
              <w:rPr>
                <w:rFonts w:hint="eastAsia" w:ascii="宋体" w:hAnsi="宋体" w:cs="宋体"/>
                <w:sz w:val="24"/>
              </w:rPr>
            </w:pPr>
            <w:r>
              <w:rPr>
                <w:rFonts w:hint="eastAsia" w:ascii="宋体" w:hAnsi="宋体" w:cs="宋体"/>
                <w:kern w:val="0"/>
                <w:sz w:val="24"/>
                <w:lang w:bidi="ar"/>
              </w:rPr>
              <w:t>TCT整合</w:t>
            </w:r>
          </w:p>
        </w:tc>
        <w:tc>
          <w:tcPr>
            <w:tcW w:w="9687" w:type="dxa"/>
            <w:tcBorders>
              <w:top w:val="single" w:color="000000" w:sz="4" w:space="0"/>
              <w:left w:val="single" w:color="000000" w:sz="4" w:space="0"/>
              <w:bottom w:val="single" w:color="000000" w:sz="4" w:space="0"/>
              <w:right w:val="single" w:color="000000" w:sz="4" w:space="0"/>
            </w:tcBorders>
            <w:vAlign w:val="center"/>
          </w:tcPr>
          <w:p w14:paraId="7483DA89">
            <w:pPr>
              <w:widowControl/>
              <w:textAlignment w:val="center"/>
              <w:rPr>
                <w:rFonts w:hint="eastAsia" w:ascii="宋体" w:hAnsi="宋体" w:cs="宋体"/>
                <w:sz w:val="24"/>
              </w:rPr>
            </w:pPr>
            <w:r>
              <w:rPr>
                <w:rFonts w:hint="eastAsia" w:ascii="宋体" w:hAnsi="宋体" w:cs="宋体"/>
                <w:kern w:val="0"/>
                <w:sz w:val="24"/>
                <w:lang w:bidi="ar"/>
              </w:rPr>
              <w:t xml:space="preserve">    TCT规整合为“TCT”检验项目提供了灵活、双向的数据交换接口，实现筛查系统与第三方实验室信息系统之间的无缝衔接。第三方在接收样本时，绑定实验室的条码，实验室操作人员可以手动触发，从筛查系统中下载TCT样本信息到本地实验系统。实验室系统也可以通过接口主动从筛查系统中拉取样本信息。实验室人员可以手动将实验结果文件导入到筛查系统中。实验室系统也可以在完成检验并审核结果后，可通过接口自动将结果数据实时推送回筛查系统。</w:t>
            </w:r>
          </w:p>
        </w:tc>
      </w:tr>
      <w:tr w14:paraId="5E4DAF25">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7F9AD30">
            <w:pPr>
              <w:widowControl/>
              <w:jc w:val="center"/>
              <w:textAlignment w:val="center"/>
              <w:rPr>
                <w:rFonts w:hint="eastAsia" w:ascii="宋体" w:hAnsi="宋体" w:cs="宋体"/>
                <w:sz w:val="24"/>
              </w:rPr>
            </w:pPr>
            <w:r>
              <w:rPr>
                <w:rFonts w:hint="eastAsia" w:ascii="宋体" w:hAnsi="宋体" w:cs="宋体"/>
                <w:kern w:val="0"/>
                <w:sz w:val="24"/>
                <w:lang w:bidi="ar"/>
              </w:rPr>
              <w:t>317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075F4D6">
            <w:pPr>
              <w:widowControl/>
              <w:jc w:val="center"/>
              <w:textAlignment w:val="center"/>
              <w:rPr>
                <w:rFonts w:hint="eastAsia" w:ascii="宋体" w:hAnsi="宋体" w:cs="宋体"/>
                <w:sz w:val="24"/>
              </w:rPr>
            </w:pPr>
            <w:r>
              <w:rPr>
                <w:rFonts w:hint="eastAsia" w:ascii="宋体" w:hAnsi="宋体" w:cs="宋体"/>
                <w:kern w:val="0"/>
                <w:sz w:val="24"/>
                <w:lang w:bidi="ar"/>
              </w:rPr>
              <w:t>更年期健康管理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783E9858">
            <w:pPr>
              <w:widowControl/>
              <w:jc w:val="center"/>
              <w:textAlignment w:val="center"/>
              <w:rPr>
                <w:rFonts w:hint="eastAsia" w:ascii="宋体" w:hAnsi="宋体" w:cs="宋体"/>
                <w:sz w:val="24"/>
              </w:rPr>
            </w:pPr>
            <w:r>
              <w:rPr>
                <w:rFonts w:hint="eastAsia" w:ascii="宋体" w:hAnsi="宋体" w:cs="宋体"/>
                <w:kern w:val="0"/>
                <w:sz w:val="24"/>
                <w:lang w:bidi="ar"/>
              </w:rPr>
              <w:t>个人档案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146769AC">
            <w:pPr>
              <w:widowControl/>
              <w:textAlignment w:val="center"/>
              <w:rPr>
                <w:rFonts w:hint="eastAsia" w:ascii="宋体" w:hAnsi="宋体" w:cs="宋体"/>
                <w:sz w:val="24"/>
              </w:rPr>
            </w:pPr>
            <w:r>
              <w:rPr>
                <w:rFonts w:hint="eastAsia" w:ascii="宋体" w:hAnsi="宋体" w:cs="宋体"/>
                <w:kern w:val="0"/>
                <w:sz w:val="24"/>
                <w:lang w:bidi="ar"/>
              </w:rPr>
              <w:t xml:space="preserve">    系统可以提供专门的档案管理页面，支持对更年期个人档案进行新增、修改、删除和列表查看的完整维护操作。</w:t>
            </w:r>
            <w:r>
              <w:rPr>
                <w:rFonts w:hint="eastAsia" w:ascii="宋体" w:hAnsi="宋体" w:cs="宋体"/>
                <w:kern w:val="0"/>
                <w:sz w:val="24"/>
                <w:lang w:bidi="ar"/>
              </w:rPr>
              <w:br w:type="textWrapping"/>
            </w:r>
            <w:r>
              <w:rPr>
                <w:rFonts w:hint="eastAsia" w:ascii="宋体" w:hAnsi="宋体" w:cs="宋体"/>
                <w:kern w:val="0"/>
                <w:sz w:val="24"/>
                <w:lang w:bidi="ar"/>
              </w:rPr>
              <w:t xml:space="preserve">    可以根据输入的身份证号码，自动识别并填充服务对象的出生日期，并计算出当前年龄。</w:t>
            </w:r>
            <w:r>
              <w:rPr>
                <w:rFonts w:hint="eastAsia" w:ascii="宋体" w:hAnsi="宋体" w:cs="宋体"/>
                <w:kern w:val="0"/>
                <w:sz w:val="24"/>
                <w:lang w:bidi="ar"/>
              </w:rPr>
              <w:br w:type="textWrapping"/>
            </w:r>
            <w:r>
              <w:rPr>
                <w:rFonts w:hint="eastAsia" w:ascii="宋体" w:hAnsi="宋体" w:cs="宋体"/>
                <w:kern w:val="0"/>
                <w:sz w:val="24"/>
                <w:lang w:bidi="ar"/>
              </w:rPr>
              <w:t xml:space="preserve">    对于服务对象在手机端自助建立的档案，需要医生审核。审核通过后，档案才正式纳入系统管理。系统可以明确区分并记录档案来源，标记是电脑端建档还是通过接口从移动端获取。</w:t>
            </w:r>
          </w:p>
        </w:tc>
      </w:tr>
      <w:tr w14:paraId="43713A8A">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544F91A">
            <w:pPr>
              <w:widowControl/>
              <w:jc w:val="center"/>
              <w:textAlignment w:val="center"/>
              <w:rPr>
                <w:rFonts w:hint="eastAsia" w:ascii="宋体" w:hAnsi="宋体" w:cs="宋体"/>
                <w:sz w:val="24"/>
              </w:rPr>
            </w:pPr>
            <w:r>
              <w:rPr>
                <w:rFonts w:hint="eastAsia" w:ascii="宋体" w:hAnsi="宋体" w:cs="宋体"/>
                <w:kern w:val="0"/>
                <w:sz w:val="24"/>
                <w:lang w:bidi="ar"/>
              </w:rPr>
              <w:t>318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215526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073234">
            <w:pPr>
              <w:widowControl/>
              <w:jc w:val="center"/>
              <w:textAlignment w:val="center"/>
              <w:rPr>
                <w:rFonts w:hint="eastAsia" w:ascii="宋体" w:hAnsi="宋体" w:cs="宋体"/>
                <w:sz w:val="24"/>
              </w:rPr>
            </w:pPr>
            <w:r>
              <w:rPr>
                <w:rFonts w:hint="eastAsia" w:ascii="宋体" w:hAnsi="宋体" w:cs="宋体"/>
                <w:kern w:val="0"/>
                <w:sz w:val="24"/>
                <w:lang w:bidi="ar"/>
              </w:rPr>
              <w:t>既往史和婚育史询问</w:t>
            </w:r>
          </w:p>
        </w:tc>
        <w:tc>
          <w:tcPr>
            <w:tcW w:w="9687" w:type="dxa"/>
            <w:tcBorders>
              <w:top w:val="single" w:color="000000" w:sz="4" w:space="0"/>
              <w:left w:val="single" w:color="000000" w:sz="4" w:space="0"/>
              <w:bottom w:val="single" w:color="000000" w:sz="4" w:space="0"/>
              <w:right w:val="single" w:color="000000" w:sz="4" w:space="0"/>
            </w:tcBorders>
            <w:vAlign w:val="center"/>
          </w:tcPr>
          <w:p w14:paraId="5A1DC73C">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医生可以打开专门的询问页面，直接为服务对象录入、修改、删除其既往史和婚育史记录，完成面对面的专业问诊。</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服务对象本人可以通过微信，在移动端自助记录这些历史信息，医生在电脑端可以对微信端提交的信息进行专业审核，信息一旦审核通过，系统将不允许在手机端再次修改。</w:t>
            </w:r>
          </w:p>
        </w:tc>
      </w:tr>
      <w:tr w14:paraId="07C01911">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9DF8FA1">
            <w:pPr>
              <w:widowControl/>
              <w:jc w:val="center"/>
              <w:textAlignment w:val="center"/>
              <w:rPr>
                <w:rFonts w:hint="eastAsia" w:ascii="宋体" w:hAnsi="宋体" w:cs="宋体"/>
                <w:sz w:val="24"/>
              </w:rPr>
            </w:pPr>
            <w:r>
              <w:rPr>
                <w:rFonts w:hint="eastAsia" w:ascii="宋体" w:hAnsi="宋体" w:cs="宋体"/>
                <w:kern w:val="0"/>
                <w:sz w:val="24"/>
                <w:lang w:bidi="ar"/>
              </w:rPr>
              <w:t>319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09608F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6E33177">
            <w:pPr>
              <w:widowControl/>
              <w:jc w:val="center"/>
              <w:textAlignment w:val="center"/>
              <w:rPr>
                <w:rFonts w:hint="eastAsia" w:ascii="宋体" w:hAnsi="宋体" w:cs="宋体"/>
                <w:sz w:val="24"/>
              </w:rPr>
            </w:pPr>
            <w:r>
              <w:rPr>
                <w:rFonts w:hint="eastAsia" w:ascii="宋体" w:hAnsi="宋体" w:cs="宋体"/>
                <w:kern w:val="0"/>
                <w:sz w:val="24"/>
                <w:lang w:bidi="ar"/>
              </w:rPr>
              <w:t>一般体格检查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64ED897B">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医生可以打开专门的一般体格检查页面，直接为服务对象录入、修改、删除其一般体格检查记录，完成面对面的专业问诊。</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服务对象本人可以通过微信，在移动端自助记录体格检查结果，医生在电脑端可以对微信端提交的信息进行专业审核，信息一旦审核通过，系统将不允许在手机端再次修改。</w:t>
            </w:r>
          </w:p>
        </w:tc>
      </w:tr>
      <w:tr w14:paraId="46F58BB1">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F8E4B6F">
            <w:pPr>
              <w:widowControl/>
              <w:jc w:val="center"/>
              <w:textAlignment w:val="center"/>
              <w:rPr>
                <w:rFonts w:hint="eastAsia" w:ascii="宋体" w:hAnsi="宋体" w:cs="宋体"/>
                <w:sz w:val="24"/>
              </w:rPr>
            </w:pPr>
            <w:r>
              <w:rPr>
                <w:rFonts w:hint="eastAsia" w:ascii="宋体" w:hAnsi="宋体" w:cs="宋体"/>
                <w:kern w:val="0"/>
                <w:sz w:val="24"/>
                <w:lang w:bidi="ar"/>
              </w:rPr>
              <w:t>320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0F0CC3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0D86E84">
            <w:pPr>
              <w:widowControl/>
              <w:jc w:val="center"/>
              <w:textAlignment w:val="center"/>
              <w:rPr>
                <w:rFonts w:hint="eastAsia" w:ascii="宋体" w:hAnsi="宋体" w:cs="宋体"/>
                <w:sz w:val="24"/>
              </w:rPr>
            </w:pPr>
            <w:r>
              <w:rPr>
                <w:rFonts w:hint="eastAsia" w:ascii="宋体" w:hAnsi="宋体" w:cs="宋体"/>
                <w:kern w:val="0"/>
                <w:sz w:val="24"/>
                <w:lang w:bidi="ar"/>
              </w:rPr>
              <w:t>绝经状态</w:t>
            </w:r>
          </w:p>
        </w:tc>
        <w:tc>
          <w:tcPr>
            <w:tcW w:w="9687" w:type="dxa"/>
            <w:tcBorders>
              <w:top w:val="single" w:color="000000" w:sz="4" w:space="0"/>
              <w:left w:val="single" w:color="000000" w:sz="4" w:space="0"/>
              <w:bottom w:val="single" w:color="000000" w:sz="4" w:space="0"/>
              <w:right w:val="single" w:color="000000" w:sz="4" w:space="0"/>
            </w:tcBorders>
            <w:vAlign w:val="center"/>
          </w:tcPr>
          <w:p w14:paraId="3A14B1CB">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医生可以打开专门的绝经状态检查页面，直接为服务对象录入、修改、删除其绝经状态记录，完成面对面的专业问诊。</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服务对象本人可以通过微信，在移动端自助记录绝经状态，医生在电脑端可以对微信端提交的信息进行专业审核，信息一旦审核通过，系统将不允许在手机端再次修改。</w:t>
            </w:r>
          </w:p>
        </w:tc>
      </w:tr>
      <w:tr w14:paraId="198EC67B">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4FCE210">
            <w:pPr>
              <w:widowControl/>
              <w:jc w:val="center"/>
              <w:textAlignment w:val="center"/>
              <w:rPr>
                <w:rFonts w:hint="eastAsia" w:ascii="宋体" w:hAnsi="宋体" w:cs="宋体"/>
                <w:sz w:val="24"/>
              </w:rPr>
            </w:pPr>
            <w:r>
              <w:rPr>
                <w:rFonts w:hint="eastAsia" w:ascii="宋体" w:hAnsi="宋体" w:cs="宋体"/>
                <w:kern w:val="0"/>
                <w:sz w:val="24"/>
                <w:lang w:bidi="ar"/>
              </w:rPr>
              <w:t>321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47954B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DB375E0">
            <w:pPr>
              <w:widowControl/>
              <w:jc w:val="center"/>
              <w:textAlignment w:val="center"/>
              <w:rPr>
                <w:rFonts w:hint="eastAsia" w:ascii="宋体" w:hAnsi="宋体" w:cs="宋体"/>
                <w:sz w:val="24"/>
              </w:rPr>
            </w:pPr>
            <w:r>
              <w:rPr>
                <w:rFonts w:hint="eastAsia" w:ascii="宋体" w:hAnsi="宋体" w:cs="宋体"/>
                <w:kern w:val="0"/>
                <w:sz w:val="24"/>
                <w:lang w:bidi="ar"/>
              </w:rPr>
              <w:t>更年期症状</w:t>
            </w:r>
          </w:p>
        </w:tc>
        <w:tc>
          <w:tcPr>
            <w:tcW w:w="9687" w:type="dxa"/>
            <w:tcBorders>
              <w:top w:val="single" w:color="000000" w:sz="4" w:space="0"/>
              <w:left w:val="single" w:color="000000" w:sz="4" w:space="0"/>
              <w:bottom w:val="single" w:color="000000" w:sz="4" w:space="0"/>
              <w:right w:val="single" w:color="000000" w:sz="4" w:space="0"/>
            </w:tcBorders>
            <w:vAlign w:val="center"/>
          </w:tcPr>
          <w:p w14:paraId="28BDEF37">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医生可以打开专门的更年期症状检查页面，直接为服务对象录入、修改、删除其更年期症状记录，完成面对面的专业问诊。</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服务对象本人可以通过微信，在移动端自助记录更年期症状，医生在电脑端可以对微信端提交的信息进行专业审核，信息一旦审核通过，系统将不允许在手机端再次修改。</w:t>
            </w:r>
          </w:p>
        </w:tc>
      </w:tr>
      <w:tr w14:paraId="3E1CCFCC">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5612AB0">
            <w:pPr>
              <w:widowControl/>
              <w:jc w:val="center"/>
              <w:textAlignment w:val="center"/>
              <w:rPr>
                <w:rFonts w:hint="eastAsia" w:ascii="宋体" w:hAnsi="宋体" w:cs="宋体"/>
                <w:sz w:val="24"/>
              </w:rPr>
            </w:pPr>
            <w:r>
              <w:rPr>
                <w:rFonts w:hint="eastAsia" w:ascii="宋体" w:hAnsi="宋体" w:cs="宋体"/>
                <w:kern w:val="0"/>
                <w:sz w:val="24"/>
                <w:lang w:bidi="ar"/>
              </w:rPr>
              <w:t>322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BAF58C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20EDEF5D">
            <w:pPr>
              <w:widowControl/>
              <w:jc w:val="center"/>
              <w:textAlignment w:val="center"/>
              <w:rPr>
                <w:rFonts w:hint="eastAsia" w:ascii="宋体" w:hAnsi="宋体" w:cs="宋体"/>
                <w:sz w:val="24"/>
              </w:rPr>
            </w:pPr>
            <w:r>
              <w:rPr>
                <w:rFonts w:hint="eastAsia" w:ascii="宋体" w:hAnsi="宋体" w:cs="宋体"/>
                <w:kern w:val="0"/>
                <w:sz w:val="24"/>
                <w:lang w:bidi="ar"/>
              </w:rPr>
              <w:t>尿失禁情况</w:t>
            </w:r>
          </w:p>
        </w:tc>
        <w:tc>
          <w:tcPr>
            <w:tcW w:w="9687" w:type="dxa"/>
            <w:tcBorders>
              <w:top w:val="single" w:color="000000" w:sz="4" w:space="0"/>
              <w:left w:val="single" w:color="000000" w:sz="4" w:space="0"/>
              <w:bottom w:val="single" w:color="000000" w:sz="4" w:space="0"/>
              <w:right w:val="single" w:color="000000" w:sz="4" w:space="0"/>
            </w:tcBorders>
            <w:vAlign w:val="center"/>
          </w:tcPr>
          <w:p w14:paraId="63047C2E">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医生可以打开专门的尿失禁情况页面，直接为服务对象录入、修改、删除其尿失禁情况记录，完成面对面的专业问诊。</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服务对象本人可以通过微信，在移动端自助记录尿失禁情况，医生在电脑端可以对微信端提交的信息进行专业审核，信息一旦审核通过，系统将不允许在手机端再次修改。</w:t>
            </w:r>
          </w:p>
        </w:tc>
      </w:tr>
      <w:tr w14:paraId="35D5BAE2">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25C8BD7">
            <w:pPr>
              <w:widowControl/>
              <w:jc w:val="center"/>
              <w:textAlignment w:val="center"/>
              <w:rPr>
                <w:rFonts w:hint="eastAsia" w:ascii="宋体" w:hAnsi="宋体" w:cs="宋体"/>
                <w:sz w:val="24"/>
              </w:rPr>
            </w:pPr>
            <w:r>
              <w:rPr>
                <w:rFonts w:hint="eastAsia" w:ascii="宋体" w:hAnsi="宋体" w:cs="宋体"/>
                <w:kern w:val="0"/>
                <w:sz w:val="24"/>
                <w:lang w:bidi="ar"/>
              </w:rPr>
              <w:t>323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36DA2E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01046A0">
            <w:pPr>
              <w:widowControl/>
              <w:jc w:val="center"/>
              <w:textAlignment w:val="center"/>
              <w:rPr>
                <w:rFonts w:hint="eastAsia" w:ascii="宋体" w:hAnsi="宋体" w:cs="宋体"/>
                <w:sz w:val="24"/>
              </w:rPr>
            </w:pPr>
            <w:r>
              <w:rPr>
                <w:rFonts w:hint="eastAsia" w:ascii="宋体" w:hAnsi="宋体" w:cs="宋体"/>
                <w:kern w:val="0"/>
                <w:sz w:val="24"/>
                <w:lang w:bidi="ar"/>
              </w:rPr>
              <w:t>心理评估</w:t>
            </w:r>
          </w:p>
        </w:tc>
        <w:tc>
          <w:tcPr>
            <w:tcW w:w="9687" w:type="dxa"/>
            <w:tcBorders>
              <w:top w:val="single" w:color="000000" w:sz="4" w:space="0"/>
              <w:left w:val="single" w:color="000000" w:sz="4" w:space="0"/>
              <w:bottom w:val="single" w:color="000000" w:sz="4" w:space="0"/>
              <w:right w:val="single" w:color="000000" w:sz="4" w:space="0"/>
            </w:tcBorders>
            <w:vAlign w:val="center"/>
          </w:tcPr>
          <w:p w14:paraId="0B722A84">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医生可以打开专门的心理评估页面，直接为服务对象录入、修改、删除其心理评估记录，完成面对面的专业问诊。并且系统可以自动计算心理评估的粗分和标准分，自动评级抑郁程度。</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服务对象本人可以通过微信，在移动端自助记录心理评估，医生在电脑端可以对微信端提交的信息进行专业审核，信息一旦审核通过，系统将不允许在手机端再次修改。</w:t>
            </w:r>
          </w:p>
        </w:tc>
      </w:tr>
      <w:tr w14:paraId="13B677F9">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36F48AF">
            <w:pPr>
              <w:widowControl/>
              <w:jc w:val="center"/>
              <w:textAlignment w:val="center"/>
              <w:rPr>
                <w:rFonts w:hint="eastAsia" w:ascii="宋体" w:hAnsi="宋体" w:cs="宋体"/>
                <w:sz w:val="24"/>
              </w:rPr>
            </w:pPr>
            <w:r>
              <w:rPr>
                <w:rFonts w:hint="eastAsia" w:ascii="宋体" w:hAnsi="宋体" w:cs="宋体"/>
                <w:kern w:val="0"/>
                <w:sz w:val="24"/>
                <w:lang w:bidi="ar"/>
              </w:rPr>
              <w:t>324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F444E5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A7F6276">
            <w:pPr>
              <w:widowControl/>
              <w:jc w:val="center"/>
              <w:textAlignment w:val="center"/>
              <w:rPr>
                <w:rFonts w:hint="eastAsia" w:ascii="宋体" w:hAnsi="宋体" w:cs="宋体"/>
                <w:sz w:val="24"/>
              </w:rPr>
            </w:pPr>
            <w:r>
              <w:rPr>
                <w:rFonts w:hint="eastAsia" w:ascii="宋体" w:hAnsi="宋体" w:cs="宋体"/>
                <w:kern w:val="0"/>
                <w:sz w:val="24"/>
                <w:lang w:bidi="ar"/>
              </w:rPr>
              <w:t>药物使用情况</w:t>
            </w:r>
          </w:p>
        </w:tc>
        <w:tc>
          <w:tcPr>
            <w:tcW w:w="9687" w:type="dxa"/>
            <w:tcBorders>
              <w:top w:val="single" w:color="000000" w:sz="4" w:space="0"/>
              <w:left w:val="single" w:color="000000" w:sz="4" w:space="0"/>
              <w:bottom w:val="single" w:color="000000" w:sz="4" w:space="0"/>
              <w:right w:val="single" w:color="000000" w:sz="4" w:space="0"/>
            </w:tcBorders>
            <w:vAlign w:val="center"/>
          </w:tcPr>
          <w:p w14:paraId="43F11B70">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医生可以打开专门的药物使用情况页面，直接为服务对象录入、修改、删除其药物使用情况记录，完成面对面的专业问诊。</w:t>
            </w:r>
            <w:r>
              <w:rPr>
                <w:rFonts w:hint="eastAsia" w:ascii="宋体" w:hAnsi="宋体" w:cs="宋体"/>
                <w:kern w:val="0"/>
                <w:sz w:val="24"/>
                <w:lang w:bidi="ar"/>
              </w:rPr>
              <w:br w:type="textWrapping"/>
            </w:r>
            <w:r>
              <w:rPr>
                <w:rFonts w:hint="eastAsia" w:ascii="宋体" w:hAnsi="宋体" w:cs="宋体"/>
                <w:kern w:val="0"/>
                <w:sz w:val="24"/>
                <w:lang w:bidi="ar"/>
              </w:rPr>
              <w:t>服务对象本人可以通过微信，在移动端自助记录药物使用情况，医生在电脑端可以对微信端提交的信息进行专业审核，信息一旦审核通过，系统将不允许在手机端再次修改。</w:t>
            </w:r>
          </w:p>
        </w:tc>
      </w:tr>
      <w:tr w14:paraId="5BBEACF0">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A254E97">
            <w:pPr>
              <w:widowControl/>
              <w:jc w:val="center"/>
              <w:textAlignment w:val="center"/>
              <w:rPr>
                <w:rFonts w:hint="eastAsia" w:ascii="宋体" w:hAnsi="宋体" w:cs="宋体"/>
                <w:sz w:val="24"/>
              </w:rPr>
            </w:pPr>
            <w:r>
              <w:rPr>
                <w:rFonts w:hint="eastAsia" w:ascii="宋体" w:hAnsi="宋体" w:cs="宋体"/>
                <w:kern w:val="0"/>
                <w:sz w:val="24"/>
                <w:lang w:bidi="ar"/>
              </w:rPr>
              <w:t>325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444ED7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356DCAD">
            <w:pPr>
              <w:widowControl/>
              <w:jc w:val="center"/>
              <w:textAlignment w:val="center"/>
              <w:rPr>
                <w:rFonts w:hint="eastAsia" w:ascii="宋体" w:hAnsi="宋体" w:cs="宋体"/>
                <w:sz w:val="24"/>
              </w:rPr>
            </w:pPr>
            <w:r>
              <w:rPr>
                <w:rFonts w:hint="eastAsia" w:ascii="宋体" w:hAnsi="宋体" w:cs="宋体"/>
                <w:kern w:val="0"/>
                <w:sz w:val="24"/>
                <w:lang w:bidi="ar"/>
              </w:rPr>
              <w:t>妇科检查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765CA8A5">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医生可以打开专门的妇科检查页面，记录服务对象妇科检查结果，器官脱垂情况，可以修改和删除相关妇科检查记录。</w:t>
            </w:r>
          </w:p>
        </w:tc>
      </w:tr>
      <w:tr w14:paraId="34A2E6BD">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CFD5BB7">
            <w:pPr>
              <w:widowControl/>
              <w:jc w:val="center"/>
              <w:textAlignment w:val="center"/>
              <w:rPr>
                <w:rFonts w:hint="eastAsia" w:ascii="宋体" w:hAnsi="宋体" w:cs="宋体"/>
                <w:sz w:val="24"/>
              </w:rPr>
            </w:pPr>
            <w:r>
              <w:rPr>
                <w:rFonts w:hint="eastAsia" w:ascii="宋体" w:hAnsi="宋体" w:cs="宋体"/>
                <w:kern w:val="0"/>
                <w:sz w:val="24"/>
                <w:lang w:bidi="ar"/>
              </w:rPr>
              <w:t>326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EB43DD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43B644F1">
            <w:pPr>
              <w:widowControl/>
              <w:jc w:val="center"/>
              <w:textAlignment w:val="center"/>
              <w:rPr>
                <w:rFonts w:hint="eastAsia" w:ascii="宋体" w:hAnsi="宋体" w:cs="宋体"/>
                <w:sz w:val="24"/>
              </w:rPr>
            </w:pPr>
            <w:r>
              <w:rPr>
                <w:rFonts w:hint="eastAsia" w:ascii="宋体" w:hAnsi="宋体" w:cs="宋体"/>
                <w:kern w:val="0"/>
                <w:sz w:val="24"/>
                <w:lang w:bidi="ar"/>
              </w:rPr>
              <w:t>辅助检查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427F9C7B">
            <w:pPr>
              <w:widowControl/>
              <w:textAlignment w:val="center"/>
              <w:rPr>
                <w:rFonts w:hint="eastAsia" w:ascii="宋体" w:hAnsi="宋体" w:cs="宋体"/>
                <w:sz w:val="24"/>
              </w:rPr>
            </w:pPr>
            <w:r>
              <w:rPr>
                <w:rFonts w:hint="eastAsia" w:ascii="宋体" w:hAnsi="宋体" w:cs="宋体"/>
                <w:kern w:val="0"/>
                <w:sz w:val="24"/>
                <w:lang w:bidi="ar"/>
              </w:rPr>
              <w:t xml:space="preserve">    医生可以打开专门的辅助检查页面，记录服务对象辅助检查结果，可以修改和删除相关妇科检查记录。还可以记录服务对象历次的检查和检验信息，并设置辅助检查套餐。</w:t>
            </w:r>
          </w:p>
        </w:tc>
      </w:tr>
      <w:tr w14:paraId="735EA645">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87AA225">
            <w:pPr>
              <w:widowControl/>
              <w:jc w:val="center"/>
              <w:textAlignment w:val="center"/>
              <w:rPr>
                <w:rFonts w:hint="eastAsia" w:ascii="宋体" w:hAnsi="宋体" w:cs="宋体"/>
                <w:sz w:val="24"/>
              </w:rPr>
            </w:pPr>
            <w:r>
              <w:rPr>
                <w:rFonts w:hint="eastAsia" w:ascii="宋体" w:hAnsi="宋体" w:cs="宋体"/>
                <w:kern w:val="0"/>
                <w:sz w:val="24"/>
                <w:lang w:bidi="ar"/>
              </w:rPr>
              <w:t>327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AB5C3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FFD0CE9">
            <w:pPr>
              <w:widowControl/>
              <w:jc w:val="center"/>
              <w:textAlignment w:val="center"/>
              <w:rPr>
                <w:rFonts w:hint="eastAsia" w:ascii="宋体" w:hAnsi="宋体" w:cs="宋体"/>
                <w:sz w:val="24"/>
              </w:rPr>
            </w:pPr>
            <w:r>
              <w:rPr>
                <w:rFonts w:hint="eastAsia" w:ascii="宋体" w:hAnsi="宋体" w:cs="宋体"/>
                <w:kern w:val="0"/>
                <w:sz w:val="24"/>
                <w:lang w:bidi="ar"/>
              </w:rPr>
              <w:t>治疗方案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49E50E33">
            <w:pPr>
              <w:widowControl/>
              <w:textAlignment w:val="center"/>
              <w:rPr>
                <w:rFonts w:hint="eastAsia" w:ascii="宋体" w:hAnsi="宋体" w:cs="宋体"/>
                <w:sz w:val="24"/>
              </w:rPr>
            </w:pPr>
            <w:r>
              <w:rPr>
                <w:rFonts w:hint="eastAsia" w:ascii="宋体" w:hAnsi="宋体" w:cs="宋体"/>
                <w:kern w:val="0"/>
                <w:sz w:val="24"/>
                <w:lang w:bidi="ar"/>
              </w:rPr>
              <w:t xml:space="preserve">    医生可以在治疗方案页面，记录服务对象的历次治疗方案，便于根据效果随时调整方案，可以灵活设置治疗方案中更年期健康指导意见字典和药物名称字典以及药物用法和用量选项，支持设置单选和多选，支持设置必填项。并且可以修改和删除治疗方案。</w:t>
            </w:r>
          </w:p>
        </w:tc>
      </w:tr>
      <w:tr w14:paraId="71891EDE">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11DACEA">
            <w:pPr>
              <w:widowControl/>
              <w:jc w:val="center"/>
              <w:textAlignment w:val="center"/>
              <w:rPr>
                <w:rFonts w:hint="eastAsia" w:ascii="宋体" w:hAnsi="宋体" w:cs="宋体"/>
                <w:sz w:val="24"/>
              </w:rPr>
            </w:pPr>
            <w:r>
              <w:rPr>
                <w:rFonts w:hint="eastAsia" w:ascii="宋体" w:hAnsi="宋体" w:cs="宋体"/>
                <w:kern w:val="0"/>
                <w:sz w:val="24"/>
                <w:lang w:bidi="ar"/>
              </w:rPr>
              <w:t>328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A7F4C9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40AB51C5">
            <w:pPr>
              <w:widowControl/>
              <w:jc w:val="center"/>
              <w:textAlignment w:val="center"/>
              <w:rPr>
                <w:rFonts w:hint="eastAsia" w:ascii="宋体" w:hAnsi="宋体" w:cs="宋体"/>
                <w:sz w:val="24"/>
              </w:rPr>
            </w:pPr>
            <w:r>
              <w:rPr>
                <w:rFonts w:hint="eastAsia" w:ascii="宋体" w:hAnsi="宋体" w:cs="宋体"/>
                <w:kern w:val="0"/>
                <w:sz w:val="24"/>
                <w:lang w:bidi="ar"/>
              </w:rPr>
              <w:t>管理建议</w:t>
            </w:r>
          </w:p>
        </w:tc>
        <w:tc>
          <w:tcPr>
            <w:tcW w:w="9687" w:type="dxa"/>
            <w:tcBorders>
              <w:top w:val="single" w:color="000000" w:sz="4" w:space="0"/>
              <w:left w:val="single" w:color="000000" w:sz="4" w:space="0"/>
              <w:bottom w:val="single" w:color="000000" w:sz="4" w:space="0"/>
              <w:right w:val="single" w:color="000000" w:sz="4" w:space="0"/>
            </w:tcBorders>
            <w:vAlign w:val="center"/>
          </w:tcPr>
          <w:p w14:paraId="076CBC86">
            <w:pPr>
              <w:widowControl/>
              <w:textAlignment w:val="center"/>
              <w:rPr>
                <w:rFonts w:hint="eastAsia" w:ascii="宋体" w:hAnsi="宋体" w:cs="宋体"/>
                <w:sz w:val="24"/>
              </w:rPr>
            </w:pPr>
            <w:r>
              <w:rPr>
                <w:rFonts w:hint="eastAsia" w:ascii="宋体" w:hAnsi="宋体" w:cs="宋体"/>
                <w:kern w:val="0"/>
                <w:sz w:val="24"/>
                <w:lang w:bidi="ar"/>
              </w:rPr>
              <w:t xml:space="preserve">    医生可以在管理建议页面，新增，修改，删除管理建议。可以灵活设置药物治疗运动建议用药指导饮食调整的字典选项，设置默认选项，设置单选或者多选，设置必填项。服务对象微信端可以查看医生给出的管理建议。</w:t>
            </w:r>
          </w:p>
        </w:tc>
      </w:tr>
      <w:tr w14:paraId="73ACADEF">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7221B6">
            <w:pPr>
              <w:widowControl/>
              <w:jc w:val="center"/>
              <w:textAlignment w:val="center"/>
              <w:rPr>
                <w:rFonts w:hint="eastAsia" w:ascii="宋体" w:hAnsi="宋体" w:cs="宋体"/>
                <w:sz w:val="24"/>
              </w:rPr>
            </w:pPr>
            <w:r>
              <w:rPr>
                <w:rFonts w:hint="eastAsia" w:ascii="宋体" w:hAnsi="宋体" w:cs="宋体"/>
                <w:kern w:val="0"/>
                <w:sz w:val="24"/>
                <w:lang w:bidi="ar"/>
              </w:rPr>
              <w:t>329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9840EB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A358D3F">
            <w:pPr>
              <w:widowControl/>
              <w:jc w:val="center"/>
              <w:textAlignment w:val="center"/>
              <w:rPr>
                <w:rFonts w:hint="eastAsia" w:ascii="宋体" w:hAnsi="宋体" w:cs="宋体"/>
                <w:sz w:val="24"/>
              </w:rPr>
            </w:pPr>
            <w:r>
              <w:rPr>
                <w:rFonts w:hint="eastAsia" w:ascii="宋体" w:hAnsi="宋体" w:cs="宋体"/>
                <w:kern w:val="0"/>
                <w:sz w:val="24"/>
                <w:lang w:bidi="ar"/>
              </w:rPr>
              <w:t>随诊评估</w:t>
            </w:r>
          </w:p>
        </w:tc>
        <w:tc>
          <w:tcPr>
            <w:tcW w:w="9687" w:type="dxa"/>
            <w:tcBorders>
              <w:top w:val="single" w:color="000000" w:sz="4" w:space="0"/>
              <w:left w:val="single" w:color="000000" w:sz="4" w:space="0"/>
              <w:bottom w:val="single" w:color="000000" w:sz="4" w:space="0"/>
              <w:right w:val="single" w:color="000000" w:sz="4" w:space="0"/>
            </w:tcBorders>
            <w:vAlign w:val="center"/>
          </w:tcPr>
          <w:p w14:paraId="73789302">
            <w:pPr>
              <w:widowControl/>
              <w:textAlignment w:val="center"/>
              <w:rPr>
                <w:rFonts w:hint="eastAsia" w:ascii="宋体" w:hAnsi="宋体" w:cs="宋体"/>
                <w:sz w:val="24"/>
              </w:rPr>
            </w:pPr>
            <w:r>
              <w:rPr>
                <w:rFonts w:hint="eastAsia" w:ascii="宋体" w:hAnsi="宋体" w:cs="宋体"/>
                <w:kern w:val="0"/>
                <w:sz w:val="24"/>
                <w:lang w:bidi="ar"/>
              </w:rPr>
              <w:t xml:space="preserve">    医生可以在随诊评估页面记录随诊信息，可以自动获取随诊当天的更年期症状评分。系统可以灵活设置随诊评估和诊疗意见字典选项，设置默认值，设置单选或者多选，设置必填项。并且可以修改和删除评估数据。</w:t>
            </w:r>
          </w:p>
        </w:tc>
      </w:tr>
      <w:tr w14:paraId="6C1D8F65">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2998D8E">
            <w:pPr>
              <w:widowControl/>
              <w:jc w:val="center"/>
              <w:textAlignment w:val="center"/>
              <w:rPr>
                <w:rFonts w:hint="eastAsia" w:ascii="宋体" w:hAnsi="宋体" w:cs="宋体"/>
                <w:sz w:val="24"/>
              </w:rPr>
            </w:pPr>
            <w:r>
              <w:rPr>
                <w:rFonts w:hint="eastAsia" w:ascii="宋体" w:hAnsi="宋体" w:cs="宋体"/>
                <w:kern w:val="0"/>
                <w:sz w:val="24"/>
                <w:lang w:bidi="ar"/>
              </w:rPr>
              <w:t>330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D8517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0B8E8C9">
            <w:pPr>
              <w:widowControl/>
              <w:jc w:val="center"/>
              <w:textAlignment w:val="center"/>
              <w:rPr>
                <w:rFonts w:hint="eastAsia" w:ascii="宋体" w:hAnsi="宋体" w:cs="宋体"/>
                <w:sz w:val="24"/>
              </w:rPr>
            </w:pPr>
            <w:r>
              <w:rPr>
                <w:rFonts w:hint="eastAsia" w:ascii="宋体" w:hAnsi="宋体" w:cs="宋体"/>
                <w:kern w:val="0"/>
                <w:sz w:val="24"/>
                <w:lang w:bidi="ar"/>
              </w:rPr>
              <w:t>按日期汇总检查记录</w:t>
            </w:r>
          </w:p>
        </w:tc>
        <w:tc>
          <w:tcPr>
            <w:tcW w:w="9687" w:type="dxa"/>
            <w:tcBorders>
              <w:top w:val="single" w:color="000000" w:sz="4" w:space="0"/>
              <w:left w:val="single" w:color="000000" w:sz="4" w:space="0"/>
              <w:bottom w:val="single" w:color="000000" w:sz="4" w:space="0"/>
              <w:right w:val="single" w:color="000000" w:sz="4" w:space="0"/>
            </w:tcBorders>
            <w:vAlign w:val="center"/>
          </w:tcPr>
          <w:p w14:paraId="30C76294">
            <w:pPr>
              <w:widowControl/>
              <w:textAlignment w:val="center"/>
              <w:rPr>
                <w:rFonts w:hint="eastAsia" w:ascii="宋体" w:hAnsi="宋体" w:cs="宋体"/>
                <w:sz w:val="24"/>
              </w:rPr>
            </w:pPr>
            <w:r>
              <w:rPr>
                <w:rFonts w:hint="eastAsia" w:ascii="宋体" w:hAnsi="宋体" w:cs="宋体"/>
                <w:kern w:val="0"/>
                <w:sz w:val="24"/>
                <w:lang w:bidi="ar"/>
              </w:rPr>
              <w:t xml:space="preserve">    医生可以按照检查日期查看当天患者的所有就诊记录，方便给出管理建议；当天提交的检查记录使用绿色字体“有”标识，没有提交的检查记录红色“无”标识。可以通过详情查看当天提交的所有检查记录并打印。</w:t>
            </w:r>
          </w:p>
        </w:tc>
      </w:tr>
      <w:tr w14:paraId="340D3384">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5130868">
            <w:pPr>
              <w:widowControl/>
              <w:jc w:val="center"/>
              <w:textAlignment w:val="center"/>
              <w:rPr>
                <w:rFonts w:hint="eastAsia" w:ascii="宋体" w:hAnsi="宋体" w:cs="宋体"/>
                <w:sz w:val="24"/>
              </w:rPr>
            </w:pPr>
            <w:r>
              <w:rPr>
                <w:rFonts w:hint="eastAsia" w:ascii="宋体" w:hAnsi="宋体" w:cs="宋体"/>
                <w:kern w:val="0"/>
                <w:sz w:val="24"/>
                <w:lang w:bidi="ar"/>
              </w:rPr>
              <w:t>331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6365B3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E563A39">
            <w:pPr>
              <w:widowControl/>
              <w:jc w:val="center"/>
              <w:textAlignment w:val="center"/>
              <w:rPr>
                <w:rFonts w:hint="eastAsia" w:ascii="宋体" w:hAnsi="宋体" w:cs="宋体"/>
                <w:sz w:val="24"/>
              </w:rPr>
            </w:pPr>
            <w:r>
              <w:rPr>
                <w:rFonts w:hint="eastAsia" w:ascii="宋体" w:hAnsi="宋体" w:cs="宋体"/>
                <w:kern w:val="0"/>
                <w:sz w:val="24"/>
                <w:lang w:bidi="ar"/>
              </w:rPr>
              <w:t>用户提交列表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7D049676">
            <w:pPr>
              <w:widowControl/>
              <w:textAlignment w:val="center"/>
              <w:rPr>
                <w:rFonts w:hint="eastAsia" w:ascii="宋体" w:hAnsi="宋体" w:cs="宋体"/>
                <w:sz w:val="24"/>
              </w:rPr>
            </w:pPr>
            <w:r>
              <w:rPr>
                <w:rFonts w:hint="eastAsia" w:ascii="宋体" w:hAnsi="宋体" w:cs="宋体"/>
                <w:kern w:val="0"/>
                <w:sz w:val="24"/>
                <w:lang w:bidi="ar"/>
              </w:rPr>
              <w:t xml:space="preserve">    用户手机端录入的数据在系统生成用户提交列表，可以查询用户手机端提交的既往史，体格检查，绝经状态，更年期症状，药物使用情况，尿失禁情况，心理评估数据。可以审核用户手机端提交的既往史，体格检查，绝经状态，更年期症状，药物使用情况，尿失禁情况，心理评估数据。</w:t>
            </w:r>
          </w:p>
        </w:tc>
      </w:tr>
      <w:tr w14:paraId="47E217DD">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97E1229">
            <w:pPr>
              <w:widowControl/>
              <w:jc w:val="center"/>
              <w:textAlignment w:val="center"/>
              <w:rPr>
                <w:rFonts w:hint="eastAsia" w:ascii="宋体" w:hAnsi="宋体" w:cs="宋体"/>
                <w:sz w:val="24"/>
              </w:rPr>
            </w:pPr>
            <w:r>
              <w:rPr>
                <w:rFonts w:hint="eastAsia" w:ascii="宋体" w:hAnsi="宋体" w:cs="宋体"/>
                <w:kern w:val="0"/>
                <w:sz w:val="24"/>
                <w:lang w:bidi="ar"/>
              </w:rPr>
              <w:t>332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48BAC7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D648848">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04CD0269">
            <w:pPr>
              <w:widowControl/>
              <w:textAlignment w:val="center"/>
              <w:rPr>
                <w:rFonts w:hint="eastAsia" w:ascii="宋体" w:hAnsi="宋体" w:cs="宋体"/>
                <w:sz w:val="24"/>
              </w:rPr>
            </w:pPr>
            <w:r>
              <w:rPr>
                <w:rFonts w:hint="eastAsia" w:ascii="宋体" w:hAnsi="宋体" w:cs="宋体"/>
                <w:kern w:val="0"/>
                <w:sz w:val="24"/>
                <w:lang w:bidi="ar"/>
              </w:rPr>
              <w:t xml:space="preserve">    系统提供全面的更年期健康管理数据查询与导出功能，支持对建档登记本，随诊评估登记本，评估登记本，既往史和生活方式登记本，体格检查登记本进行查询。同时针对每类查询结果，均提供导出功能，方便工作人员获取纸质或电子版本的登记信息，高效适配更年期健康管理数据管理与使用的日常场景。</w:t>
            </w:r>
          </w:p>
        </w:tc>
      </w:tr>
      <w:tr w14:paraId="22B35061">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7BA4915">
            <w:pPr>
              <w:widowControl/>
              <w:jc w:val="center"/>
              <w:textAlignment w:val="center"/>
              <w:rPr>
                <w:rFonts w:hint="eastAsia" w:ascii="宋体" w:hAnsi="宋体" w:cs="宋体"/>
                <w:sz w:val="24"/>
              </w:rPr>
            </w:pPr>
            <w:r>
              <w:rPr>
                <w:rFonts w:hint="eastAsia" w:ascii="宋体" w:hAnsi="宋体" w:cs="宋体"/>
                <w:kern w:val="0"/>
                <w:sz w:val="24"/>
                <w:lang w:bidi="ar"/>
              </w:rPr>
              <w:t>333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09295A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8303A7">
            <w:pPr>
              <w:widowControl/>
              <w:jc w:val="center"/>
              <w:textAlignment w:val="center"/>
              <w:rPr>
                <w:rFonts w:hint="eastAsia" w:ascii="宋体" w:hAnsi="宋体" w:cs="宋体"/>
                <w:sz w:val="24"/>
              </w:rPr>
            </w:pPr>
            <w:r>
              <w:rPr>
                <w:rFonts w:hint="eastAsia" w:ascii="宋体" w:hAnsi="宋体" w:cs="宋体"/>
                <w:kern w:val="0"/>
                <w:sz w:val="24"/>
                <w:lang w:bidi="ar"/>
              </w:rPr>
              <w:t>用户端</w:t>
            </w:r>
          </w:p>
        </w:tc>
        <w:tc>
          <w:tcPr>
            <w:tcW w:w="9687" w:type="dxa"/>
            <w:tcBorders>
              <w:top w:val="single" w:color="000000" w:sz="4" w:space="0"/>
              <w:left w:val="single" w:color="000000" w:sz="4" w:space="0"/>
              <w:bottom w:val="single" w:color="000000" w:sz="4" w:space="0"/>
              <w:right w:val="single" w:color="000000" w:sz="4" w:space="0"/>
            </w:tcBorders>
            <w:vAlign w:val="center"/>
          </w:tcPr>
          <w:p w14:paraId="172FE00F">
            <w:pPr>
              <w:widowControl/>
              <w:textAlignment w:val="center"/>
              <w:rPr>
                <w:rFonts w:hint="eastAsia" w:ascii="宋体" w:hAnsi="宋体" w:cs="宋体"/>
                <w:sz w:val="24"/>
              </w:rPr>
            </w:pPr>
            <w:r>
              <w:rPr>
                <w:rFonts w:hint="eastAsia" w:ascii="宋体" w:hAnsi="宋体" w:cs="宋体"/>
                <w:kern w:val="0"/>
                <w:sz w:val="24"/>
                <w:lang w:bidi="ar"/>
              </w:rPr>
              <w:t xml:space="preserve">    服务对象可以在手机端自助建档，通过微信注册后，填写个人基本信息，系统根据证件号码自动识别出生日期。可以选择就诊医院，填写既往史和生活方式，一般体格检查，绝经状况，更年期症状，药物使用情况，尿失禁状况评价，心理评估情况。可以查看医生给出的管理意见。所有手机端提交的数据，经医生审核后，不允许再修改。</w:t>
            </w:r>
          </w:p>
        </w:tc>
      </w:tr>
      <w:tr w14:paraId="535291AC">
        <w:tblPrEx>
          <w:tblCellMar>
            <w:top w:w="0" w:type="dxa"/>
            <w:left w:w="108" w:type="dxa"/>
            <w:bottom w:w="0" w:type="dxa"/>
            <w:right w:w="108" w:type="dxa"/>
          </w:tblCellMar>
        </w:tblPrEx>
        <w:trPr>
          <w:gridAfter w:val="3"/>
          <w:wAfter w:w="12481" w:type="dxa"/>
          <w:trHeight w:val="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41F642A">
            <w:pPr>
              <w:widowControl/>
              <w:jc w:val="center"/>
              <w:textAlignment w:val="center"/>
              <w:rPr>
                <w:rFonts w:hint="eastAsia" w:ascii="宋体" w:hAnsi="宋体" w:cs="宋体"/>
                <w:sz w:val="24"/>
              </w:rPr>
            </w:pPr>
            <w:r>
              <w:rPr>
                <w:rFonts w:hint="eastAsia" w:ascii="宋体" w:hAnsi="宋体" w:cs="宋体"/>
                <w:kern w:val="0"/>
                <w:sz w:val="24"/>
                <w:lang w:bidi="ar"/>
              </w:rPr>
              <w:t>334</w:t>
            </w:r>
          </w:p>
        </w:tc>
      </w:tr>
      <w:tr w14:paraId="7CA82675">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1AB5B56">
            <w:pPr>
              <w:widowControl/>
              <w:jc w:val="center"/>
              <w:textAlignment w:val="center"/>
              <w:rPr>
                <w:rFonts w:hint="eastAsia" w:ascii="宋体" w:hAnsi="宋体" w:cs="宋体"/>
                <w:sz w:val="24"/>
              </w:rPr>
            </w:pPr>
            <w:r>
              <w:rPr>
                <w:rFonts w:hint="eastAsia" w:ascii="宋体" w:hAnsi="宋体" w:cs="宋体"/>
                <w:kern w:val="0"/>
                <w:sz w:val="24"/>
                <w:lang w:bidi="ar"/>
              </w:rPr>
              <w:t>335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5DBC2A4">
            <w:pPr>
              <w:widowControl/>
              <w:jc w:val="center"/>
              <w:textAlignment w:val="center"/>
              <w:rPr>
                <w:rFonts w:hint="eastAsia" w:ascii="宋体" w:hAnsi="宋体" w:cs="宋体"/>
                <w:sz w:val="24"/>
              </w:rPr>
            </w:pPr>
            <w:r>
              <w:rPr>
                <w:rFonts w:hint="eastAsia" w:ascii="宋体" w:hAnsi="宋体" w:cs="宋体"/>
                <w:kern w:val="0"/>
                <w:sz w:val="24"/>
                <w:lang w:bidi="ar"/>
              </w:rPr>
              <w:t>流产后关爱管理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1AC6E399">
            <w:pPr>
              <w:widowControl/>
              <w:jc w:val="center"/>
              <w:textAlignment w:val="center"/>
              <w:rPr>
                <w:rFonts w:hint="eastAsia" w:ascii="宋体" w:hAnsi="宋体" w:cs="宋体"/>
                <w:sz w:val="24"/>
              </w:rPr>
            </w:pPr>
            <w:r>
              <w:rPr>
                <w:rFonts w:hint="eastAsia" w:ascii="宋体" w:hAnsi="宋体" w:cs="宋体"/>
                <w:kern w:val="0"/>
                <w:sz w:val="24"/>
                <w:lang w:bidi="ar"/>
              </w:rPr>
              <w:t>医生端-关爱档案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5B162C23">
            <w:pPr>
              <w:widowControl/>
              <w:textAlignment w:val="center"/>
              <w:rPr>
                <w:rFonts w:hint="eastAsia" w:ascii="宋体" w:hAnsi="宋体" w:cs="宋体"/>
                <w:sz w:val="24"/>
              </w:rPr>
            </w:pPr>
            <w:r>
              <w:rPr>
                <w:rFonts w:hint="eastAsia" w:ascii="宋体" w:hAnsi="宋体" w:cs="宋体"/>
                <w:kern w:val="0"/>
                <w:sz w:val="24"/>
                <w:lang w:bidi="ar"/>
              </w:rPr>
              <w:t xml:space="preserve">    医生可以获取由服务对象通过手机端扫码自助提交的档案信息，对其进行审核并直接完成建档。医生也可以在电脑端打开建档页面，手动添加新的流产后关爱档案，生成关爱档案列表。</w:t>
            </w:r>
            <w:r>
              <w:rPr>
                <w:rFonts w:hint="eastAsia" w:ascii="宋体" w:hAnsi="宋体" w:cs="宋体"/>
                <w:kern w:val="0"/>
                <w:sz w:val="24"/>
                <w:lang w:bidi="ar"/>
              </w:rPr>
              <w:br w:type="textWrapping"/>
            </w:r>
            <w:r>
              <w:rPr>
                <w:rFonts w:hint="eastAsia" w:ascii="宋体" w:hAnsi="宋体" w:cs="宋体"/>
                <w:kern w:val="0"/>
                <w:sz w:val="24"/>
                <w:lang w:bidi="ar"/>
              </w:rPr>
              <w:t>在档案创建环节，系统要根据身份证号自动识别并填充出生日期与年龄，减少人工录入错误，提升数据规范性与工作效率。</w:t>
            </w:r>
            <w:r>
              <w:rPr>
                <w:rFonts w:hint="eastAsia" w:ascii="宋体" w:hAnsi="宋体" w:cs="宋体"/>
                <w:kern w:val="0"/>
                <w:sz w:val="24"/>
                <w:lang w:bidi="ar"/>
              </w:rPr>
              <w:br w:type="textWrapping"/>
            </w:r>
            <w:r>
              <w:rPr>
                <w:rFonts w:hint="eastAsia" w:ascii="宋体" w:hAnsi="宋体" w:cs="宋体"/>
                <w:kern w:val="0"/>
                <w:sz w:val="24"/>
                <w:lang w:bidi="ar"/>
              </w:rPr>
              <w:t>同时医生可以修改与删除已建立的档案，确保数据的准确性与时效性。要求支持区分查看“已建档”与“未建档”人员名单，使得工作进度一目了然，便于进行任务跟进与人群覆盖管理。</w:t>
            </w:r>
          </w:p>
        </w:tc>
      </w:tr>
      <w:tr w14:paraId="55580B4F">
        <w:tblPrEx>
          <w:tblCellMar>
            <w:top w:w="0" w:type="dxa"/>
            <w:left w:w="108" w:type="dxa"/>
            <w:bottom w:w="0" w:type="dxa"/>
            <w:right w:w="108" w:type="dxa"/>
          </w:tblCellMar>
        </w:tblPrEx>
        <w:trPr>
          <w:trHeight w:val="39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9D85E59">
            <w:pPr>
              <w:widowControl/>
              <w:jc w:val="center"/>
              <w:textAlignment w:val="center"/>
              <w:rPr>
                <w:rFonts w:hint="eastAsia" w:ascii="宋体" w:hAnsi="宋体" w:cs="宋体"/>
                <w:sz w:val="24"/>
              </w:rPr>
            </w:pPr>
            <w:r>
              <w:rPr>
                <w:rFonts w:hint="eastAsia" w:ascii="宋体" w:hAnsi="宋体" w:cs="宋体"/>
                <w:kern w:val="0"/>
                <w:sz w:val="24"/>
                <w:lang w:bidi="ar"/>
              </w:rPr>
              <w:t>336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CA8624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2D052B5">
            <w:pPr>
              <w:widowControl/>
              <w:jc w:val="center"/>
              <w:textAlignment w:val="center"/>
              <w:rPr>
                <w:rFonts w:hint="eastAsia" w:ascii="宋体" w:hAnsi="宋体" w:cs="宋体"/>
                <w:sz w:val="24"/>
              </w:rPr>
            </w:pPr>
            <w:r>
              <w:rPr>
                <w:rFonts w:hint="eastAsia" w:ascii="宋体" w:hAnsi="宋体" w:cs="宋体"/>
                <w:kern w:val="0"/>
                <w:sz w:val="24"/>
                <w:lang w:bidi="ar"/>
              </w:rPr>
              <w:t>医生端-首次咨询信息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4D01B3B5">
            <w:pPr>
              <w:widowControl/>
              <w:textAlignment w:val="center"/>
              <w:rPr>
                <w:rFonts w:hint="eastAsia" w:ascii="宋体" w:hAnsi="宋体" w:cs="宋体"/>
                <w:sz w:val="24"/>
              </w:rPr>
            </w:pPr>
            <w:r>
              <w:rPr>
                <w:rFonts w:hint="eastAsia" w:ascii="宋体" w:hAnsi="宋体" w:cs="宋体"/>
                <w:kern w:val="0"/>
                <w:sz w:val="24"/>
                <w:lang w:bidi="ar"/>
              </w:rPr>
              <w:t xml:space="preserve">    首次自信列表可以满足工作人员打开首次咨询信息页面为服务对象添加详细的首次咨询记录。可以灵活设置高危因素、避孕方法、孕育计划、本次妊娠原因、拟流产方式、拟避孕方法等一系列标准化字典选项，将原本复杂的咨询内容转化为可结构化录入和统计分析的数据，极大地提升了信息记录的规范性、完整性与后续的数据应用价值。可以对已录入的咨询信息进行修改与删除，确保了咨询记录的准确性与可维护性。同时，通过区分查询“未录入”与“已录入”首次咨询信息的名单，该模块有效转变为咨询工作的任务管理工具，帮助工作人员清晰掌握工作进度，防止咨询遗漏，确保每一位服务对象都能被及时、规范地纳入管理体系。</w:t>
            </w:r>
          </w:p>
        </w:tc>
      </w:tr>
      <w:tr w14:paraId="70B38157">
        <w:tblPrEx>
          <w:tblCellMar>
            <w:top w:w="0" w:type="dxa"/>
            <w:left w:w="108" w:type="dxa"/>
            <w:bottom w:w="0" w:type="dxa"/>
            <w:right w:w="108" w:type="dxa"/>
          </w:tblCellMar>
        </w:tblPrEx>
        <w:trPr>
          <w:trHeight w:val="3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B6A666">
            <w:pPr>
              <w:widowControl/>
              <w:jc w:val="center"/>
              <w:textAlignment w:val="center"/>
              <w:rPr>
                <w:rFonts w:hint="eastAsia" w:ascii="宋体" w:hAnsi="宋体" w:cs="宋体"/>
                <w:sz w:val="24"/>
              </w:rPr>
            </w:pPr>
            <w:r>
              <w:rPr>
                <w:rFonts w:hint="eastAsia" w:ascii="宋体" w:hAnsi="宋体" w:cs="宋体"/>
                <w:kern w:val="0"/>
                <w:sz w:val="24"/>
                <w:lang w:bidi="ar"/>
              </w:rPr>
              <w:t>337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31A629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644CB91">
            <w:pPr>
              <w:widowControl/>
              <w:jc w:val="center"/>
              <w:textAlignment w:val="center"/>
              <w:rPr>
                <w:rFonts w:hint="eastAsia" w:ascii="宋体" w:hAnsi="宋体" w:cs="宋体"/>
                <w:sz w:val="24"/>
              </w:rPr>
            </w:pPr>
            <w:r>
              <w:rPr>
                <w:rFonts w:hint="eastAsia" w:ascii="宋体" w:hAnsi="宋体" w:cs="宋体"/>
                <w:kern w:val="0"/>
                <w:sz w:val="24"/>
                <w:lang w:bidi="ar"/>
              </w:rPr>
              <w:t>医生端-手术信息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08424090">
            <w:pPr>
              <w:widowControl/>
              <w:textAlignment w:val="center"/>
              <w:rPr>
                <w:rFonts w:hint="eastAsia" w:ascii="宋体" w:hAnsi="宋体" w:cs="宋体"/>
                <w:sz w:val="24"/>
              </w:rPr>
            </w:pPr>
            <w:r>
              <w:rPr>
                <w:rFonts w:hint="eastAsia" w:ascii="宋体" w:hAnsi="宋体" w:cs="宋体"/>
                <w:kern w:val="0"/>
                <w:sz w:val="24"/>
                <w:lang w:bidi="ar"/>
              </w:rPr>
              <w:t xml:space="preserve">    医护人员可以在手术信息页面为服务对象添加结构化的手术记录。可以灵活设置手术分类、术后避孕措施、高危因素等标准化字典选项，将关键医疗信息转化为统一、可分析的数据，不仅规范了临床录入，更為术后随访、并发症监控和效果评估提供了数据基础。可以对已录入的手术信息进行修改与删除，确保医疗记录的准确性与合规性。同时，通过区分查询“未录入”与“已录入”手术信息的名单，帮助管理人员一目了然地监控病历完整性，防止记录遗漏，确保信息管理流程的闭环。</w:t>
            </w:r>
          </w:p>
        </w:tc>
      </w:tr>
      <w:tr w14:paraId="4E3A890F">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175ED2E">
            <w:pPr>
              <w:widowControl/>
              <w:jc w:val="center"/>
              <w:textAlignment w:val="center"/>
              <w:rPr>
                <w:rFonts w:hint="eastAsia" w:ascii="宋体" w:hAnsi="宋体" w:cs="宋体"/>
                <w:sz w:val="24"/>
              </w:rPr>
            </w:pPr>
            <w:r>
              <w:rPr>
                <w:rFonts w:hint="eastAsia" w:ascii="宋体" w:hAnsi="宋体" w:cs="宋体"/>
                <w:kern w:val="0"/>
                <w:sz w:val="24"/>
                <w:lang w:bidi="ar"/>
              </w:rPr>
              <w:t>338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418B9E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39FC11C">
            <w:pPr>
              <w:widowControl/>
              <w:jc w:val="center"/>
              <w:textAlignment w:val="center"/>
              <w:rPr>
                <w:rFonts w:hint="eastAsia" w:ascii="宋体" w:hAnsi="宋体" w:cs="宋体"/>
                <w:sz w:val="24"/>
              </w:rPr>
            </w:pPr>
            <w:r>
              <w:rPr>
                <w:rFonts w:hint="eastAsia" w:ascii="宋体" w:hAnsi="宋体" w:cs="宋体"/>
                <w:kern w:val="0"/>
                <w:sz w:val="24"/>
                <w:lang w:bidi="ar"/>
              </w:rPr>
              <w:t>医生端-首次随访信息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72C016E0">
            <w:pPr>
              <w:widowControl/>
              <w:textAlignment w:val="center"/>
              <w:rPr>
                <w:rFonts w:hint="eastAsia" w:ascii="宋体" w:hAnsi="宋体" w:cs="宋体"/>
                <w:sz w:val="24"/>
              </w:rPr>
            </w:pPr>
            <w:r>
              <w:rPr>
                <w:rFonts w:hint="eastAsia" w:ascii="宋体" w:hAnsi="宋体" w:cs="宋体"/>
                <w:kern w:val="0"/>
                <w:sz w:val="24"/>
                <w:lang w:bidi="ar"/>
              </w:rPr>
              <w:t xml:space="preserve">    医生可以通过首次随访页面，添加结构化的首次随访记录。可以灵活设置随访方式、目前避孕方法、再次意外妊娠风险等标准化字典选项，将关键的随访评估内容转化为统一、可量化分析的数据。针对已录入的随访信息要能够修改与删除，确保随访记录的准确性与时效性。同时，能清晰区分查询“已随访”与“未随访”名单，确保每一位服务对象都能及时获得必要的术后关怀与指导。</w:t>
            </w:r>
          </w:p>
        </w:tc>
      </w:tr>
      <w:tr w14:paraId="5ADAD429">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6A8DDB1">
            <w:pPr>
              <w:widowControl/>
              <w:jc w:val="center"/>
              <w:textAlignment w:val="center"/>
              <w:rPr>
                <w:rFonts w:hint="eastAsia" w:ascii="宋体" w:hAnsi="宋体" w:cs="宋体"/>
                <w:sz w:val="24"/>
              </w:rPr>
            </w:pPr>
            <w:r>
              <w:rPr>
                <w:rFonts w:hint="eastAsia" w:ascii="宋体" w:hAnsi="宋体" w:cs="宋体"/>
                <w:kern w:val="0"/>
                <w:sz w:val="24"/>
                <w:lang w:bidi="ar"/>
              </w:rPr>
              <w:t>339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4D8F9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58A67DA">
            <w:pPr>
              <w:widowControl/>
              <w:jc w:val="center"/>
              <w:textAlignment w:val="center"/>
              <w:rPr>
                <w:rFonts w:hint="eastAsia" w:ascii="宋体" w:hAnsi="宋体" w:cs="宋体"/>
                <w:sz w:val="24"/>
              </w:rPr>
            </w:pPr>
            <w:r>
              <w:rPr>
                <w:rFonts w:hint="eastAsia" w:ascii="宋体" w:hAnsi="宋体" w:cs="宋体"/>
                <w:kern w:val="0"/>
                <w:sz w:val="24"/>
                <w:lang w:bidi="ar"/>
              </w:rPr>
              <w:t>医生端-3个月随访信息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69BEE16C">
            <w:pPr>
              <w:widowControl/>
              <w:textAlignment w:val="center"/>
              <w:rPr>
                <w:rFonts w:hint="eastAsia" w:ascii="宋体" w:hAnsi="宋体" w:cs="宋体"/>
                <w:sz w:val="24"/>
              </w:rPr>
            </w:pPr>
            <w:r>
              <w:rPr>
                <w:rFonts w:hint="eastAsia" w:ascii="宋体" w:hAnsi="宋体" w:cs="宋体"/>
                <w:kern w:val="0"/>
                <w:sz w:val="24"/>
                <w:lang w:bidi="ar"/>
              </w:rPr>
              <w:t xml:space="preserve">    医生可以通过3个月随访页面，添加结构化的3个月随访记录。可以灵活设置随访方式、目前避孕方法、再次意外妊娠风险等标准化字典选项，将关键的随访评估内容转化为统一、可量化分析的数据。针对已录入的随访信息要能够修改与删除，确保随访记录的准确性与时效性。同时，能清晰区分查询“已随访”与“未随访”名单，确保每一位服务对象都能及时获得必要的术后关怀与指导。</w:t>
            </w:r>
          </w:p>
        </w:tc>
      </w:tr>
      <w:tr w14:paraId="425E6B01">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80A0044">
            <w:pPr>
              <w:widowControl/>
              <w:jc w:val="center"/>
              <w:textAlignment w:val="center"/>
              <w:rPr>
                <w:rFonts w:hint="eastAsia" w:ascii="宋体" w:hAnsi="宋体" w:cs="宋体"/>
                <w:sz w:val="24"/>
              </w:rPr>
            </w:pPr>
            <w:r>
              <w:rPr>
                <w:rFonts w:hint="eastAsia" w:ascii="宋体" w:hAnsi="宋体" w:cs="宋体"/>
                <w:kern w:val="0"/>
                <w:sz w:val="24"/>
                <w:lang w:bidi="ar"/>
              </w:rPr>
              <w:t>340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2B8DC3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8E5D818">
            <w:pPr>
              <w:widowControl/>
              <w:jc w:val="center"/>
              <w:textAlignment w:val="center"/>
              <w:rPr>
                <w:rFonts w:hint="eastAsia" w:ascii="宋体" w:hAnsi="宋体" w:cs="宋体"/>
                <w:sz w:val="24"/>
              </w:rPr>
            </w:pPr>
            <w:r>
              <w:rPr>
                <w:rFonts w:hint="eastAsia" w:ascii="宋体" w:hAnsi="宋体" w:cs="宋体"/>
                <w:kern w:val="0"/>
                <w:sz w:val="24"/>
                <w:lang w:bidi="ar"/>
              </w:rPr>
              <w:t>医生端-6个月随访信息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449FD295">
            <w:pPr>
              <w:widowControl/>
              <w:textAlignment w:val="center"/>
              <w:rPr>
                <w:rFonts w:hint="eastAsia" w:ascii="宋体" w:hAnsi="宋体" w:cs="宋体"/>
                <w:sz w:val="24"/>
              </w:rPr>
            </w:pPr>
            <w:r>
              <w:rPr>
                <w:rFonts w:hint="eastAsia" w:ascii="宋体" w:hAnsi="宋体" w:cs="宋体"/>
                <w:kern w:val="0"/>
                <w:sz w:val="24"/>
                <w:lang w:bidi="ar"/>
              </w:rPr>
              <w:t xml:space="preserve">    医生可以通过6个月随访页面，添加结构化的6个月随访记录。可以灵活设置随访方式、目前避孕方法、再次意外妊娠风险等标准化字典选项，将关键的随访评估内容转化为统一、可量化分析的数据。针对已录入的随访信息要能够修改与删除，确保随访记录的准确性与时效性。同时，能清晰区分查询“已随访”与“未随访”名单，确保每一位服务对象都能及时获得必要的术后关怀与指导。</w:t>
            </w:r>
          </w:p>
        </w:tc>
      </w:tr>
      <w:tr w14:paraId="445FEEC9">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B3BED24">
            <w:pPr>
              <w:widowControl/>
              <w:jc w:val="center"/>
              <w:textAlignment w:val="center"/>
              <w:rPr>
                <w:rFonts w:hint="eastAsia" w:ascii="宋体" w:hAnsi="宋体" w:cs="宋体"/>
                <w:sz w:val="24"/>
              </w:rPr>
            </w:pPr>
            <w:r>
              <w:rPr>
                <w:rFonts w:hint="eastAsia" w:ascii="宋体" w:hAnsi="宋体" w:cs="宋体"/>
                <w:kern w:val="0"/>
                <w:sz w:val="24"/>
                <w:lang w:bidi="ar"/>
              </w:rPr>
              <w:t>341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505478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695205E">
            <w:pPr>
              <w:widowControl/>
              <w:jc w:val="center"/>
              <w:textAlignment w:val="center"/>
              <w:rPr>
                <w:rFonts w:hint="eastAsia" w:ascii="宋体" w:hAnsi="宋体" w:cs="宋体"/>
                <w:sz w:val="24"/>
              </w:rPr>
            </w:pPr>
            <w:r>
              <w:rPr>
                <w:rFonts w:hint="eastAsia" w:ascii="宋体" w:hAnsi="宋体" w:cs="宋体"/>
                <w:kern w:val="0"/>
                <w:sz w:val="24"/>
                <w:lang w:bidi="ar"/>
              </w:rPr>
              <w:t>医生端-12个月随访信息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12077D55">
            <w:pPr>
              <w:widowControl/>
              <w:textAlignment w:val="center"/>
              <w:rPr>
                <w:rFonts w:hint="eastAsia" w:ascii="宋体" w:hAnsi="宋体" w:cs="宋体"/>
                <w:sz w:val="24"/>
              </w:rPr>
            </w:pPr>
            <w:r>
              <w:rPr>
                <w:rFonts w:hint="eastAsia" w:ascii="宋体" w:hAnsi="宋体" w:cs="宋体"/>
                <w:kern w:val="0"/>
                <w:sz w:val="24"/>
                <w:lang w:bidi="ar"/>
              </w:rPr>
              <w:t xml:space="preserve">    医生可以通过12个月随访页面，添加结构化的12个月随访记录。可以灵活设置随访方式、目前避孕方法、再次意外妊娠风险等标准化字典选项，将关键的随访评估内容转化为统一、可量化分析的数据。针对已录入的随访信息要能够修改与删除，确保随访记录的准确性与时效性。同时，能清晰区分查询“已随访”与“未随访”名单，确保每一位服务对象都能及时获得必要的术后关怀与指导。</w:t>
            </w:r>
          </w:p>
        </w:tc>
      </w:tr>
      <w:tr w14:paraId="46D5813C">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F5864BF">
            <w:pPr>
              <w:widowControl/>
              <w:jc w:val="center"/>
              <w:textAlignment w:val="center"/>
              <w:rPr>
                <w:rFonts w:hint="eastAsia" w:ascii="宋体" w:hAnsi="宋体" w:cs="宋体"/>
                <w:sz w:val="24"/>
              </w:rPr>
            </w:pPr>
            <w:r>
              <w:rPr>
                <w:rFonts w:hint="eastAsia" w:ascii="宋体" w:hAnsi="宋体" w:cs="宋体"/>
                <w:kern w:val="0"/>
                <w:sz w:val="24"/>
                <w:lang w:bidi="ar"/>
              </w:rPr>
              <w:t>342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1DB10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1E2C5F">
            <w:pPr>
              <w:widowControl/>
              <w:jc w:val="center"/>
              <w:textAlignment w:val="center"/>
              <w:rPr>
                <w:rFonts w:hint="eastAsia" w:ascii="宋体" w:hAnsi="宋体" w:cs="宋体"/>
                <w:sz w:val="24"/>
              </w:rPr>
            </w:pPr>
            <w:r>
              <w:rPr>
                <w:rFonts w:hint="eastAsia" w:ascii="宋体" w:hAnsi="宋体" w:cs="宋体"/>
                <w:kern w:val="0"/>
                <w:sz w:val="24"/>
                <w:lang w:bidi="ar"/>
              </w:rPr>
              <w:t>医生端-24个月随访信息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4B98FAAC">
            <w:pPr>
              <w:widowControl/>
              <w:textAlignment w:val="center"/>
              <w:rPr>
                <w:rFonts w:hint="eastAsia" w:ascii="宋体" w:hAnsi="宋体" w:cs="宋体"/>
                <w:sz w:val="24"/>
              </w:rPr>
            </w:pPr>
            <w:r>
              <w:rPr>
                <w:rFonts w:hint="eastAsia" w:ascii="宋体" w:hAnsi="宋体" w:cs="宋体"/>
                <w:kern w:val="0"/>
                <w:sz w:val="24"/>
                <w:lang w:bidi="ar"/>
              </w:rPr>
              <w:t xml:space="preserve">    医生可以通过24个月随访页面，添加结构化的24个月随访记录。可以灵活设置随访方式、目前避孕方法、再次意外妊娠风险等标准化字典选项，将关键的随访评估内容转化为统一、可量化分析的数据。针对已录入的随访信息要能够修改与删除，确保随访记录的准确性与时效性。同时，能清晰区分查询“已随访”与“未随访”名单，确保每一位服务对象都能及时获得必要的术后关怀与指导。</w:t>
            </w:r>
          </w:p>
        </w:tc>
      </w:tr>
      <w:tr w14:paraId="3FD3C23A">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7CBB218">
            <w:pPr>
              <w:widowControl/>
              <w:jc w:val="center"/>
              <w:textAlignment w:val="center"/>
              <w:rPr>
                <w:rFonts w:hint="eastAsia" w:ascii="宋体" w:hAnsi="宋体" w:cs="宋体"/>
                <w:sz w:val="24"/>
              </w:rPr>
            </w:pPr>
            <w:r>
              <w:rPr>
                <w:rFonts w:hint="eastAsia" w:ascii="宋体" w:hAnsi="宋体" w:cs="宋体"/>
                <w:kern w:val="0"/>
                <w:sz w:val="24"/>
                <w:lang w:bidi="ar"/>
              </w:rPr>
              <w:t>343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C7BE74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2864A793">
            <w:pPr>
              <w:widowControl/>
              <w:jc w:val="center"/>
              <w:textAlignment w:val="center"/>
              <w:rPr>
                <w:rFonts w:hint="eastAsia" w:ascii="宋体" w:hAnsi="宋体" w:cs="宋体"/>
                <w:sz w:val="24"/>
              </w:rPr>
            </w:pPr>
            <w:r>
              <w:rPr>
                <w:rFonts w:hint="eastAsia" w:ascii="宋体" w:hAnsi="宋体" w:cs="宋体"/>
                <w:kern w:val="0"/>
                <w:sz w:val="24"/>
                <w:lang w:bidi="ar"/>
              </w:rPr>
              <w:t>医生端-结案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387D73E4">
            <w:pPr>
              <w:widowControl/>
              <w:textAlignment w:val="center"/>
              <w:rPr>
                <w:rFonts w:hint="eastAsia" w:ascii="宋体" w:hAnsi="宋体" w:cs="宋体"/>
                <w:sz w:val="24"/>
              </w:rPr>
            </w:pPr>
            <w:r>
              <w:rPr>
                <w:rFonts w:hint="eastAsia" w:ascii="宋体" w:hAnsi="宋体" w:cs="宋体"/>
                <w:kern w:val="0"/>
                <w:sz w:val="24"/>
                <w:lang w:bidi="ar"/>
              </w:rPr>
              <w:t xml:space="preserve">    通过独立的结案记录页面，管理人员可以对已结束服务的个案进行集中查看与管理。允许用户为服务对象添加正式的结案记录，并灵活设置结案原因。针对操作失误或者服务对象情况发生变化的，可以取消结案。</w:t>
            </w:r>
          </w:p>
        </w:tc>
      </w:tr>
      <w:tr w14:paraId="34E6281A">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9CF0117">
            <w:pPr>
              <w:widowControl/>
              <w:jc w:val="center"/>
              <w:textAlignment w:val="center"/>
              <w:rPr>
                <w:rFonts w:hint="eastAsia" w:ascii="宋体" w:hAnsi="宋体" w:cs="宋体"/>
                <w:sz w:val="24"/>
              </w:rPr>
            </w:pPr>
            <w:r>
              <w:rPr>
                <w:rFonts w:hint="eastAsia" w:ascii="宋体" w:hAnsi="宋体" w:cs="宋体"/>
                <w:kern w:val="0"/>
                <w:sz w:val="24"/>
                <w:lang w:bidi="ar"/>
              </w:rPr>
              <w:t>344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56996E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ECF5464">
            <w:pPr>
              <w:widowControl/>
              <w:jc w:val="center"/>
              <w:textAlignment w:val="center"/>
              <w:rPr>
                <w:rFonts w:hint="eastAsia" w:ascii="宋体" w:hAnsi="宋体" w:cs="宋体"/>
                <w:sz w:val="24"/>
              </w:rPr>
            </w:pPr>
            <w:r>
              <w:rPr>
                <w:rFonts w:hint="eastAsia" w:ascii="宋体" w:hAnsi="宋体" w:cs="宋体"/>
                <w:kern w:val="0"/>
                <w:sz w:val="24"/>
                <w:lang w:bidi="ar"/>
              </w:rPr>
              <w:t>医生端-登记本和统计分析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02E561D0">
            <w:pPr>
              <w:widowControl/>
              <w:textAlignment w:val="center"/>
              <w:rPr>
                <w:rFonts w:hint="eastAsia" w:ascii="宋体" w:hAnsi="宋体" w:cs="宋体"/>
                <w:sz w:val="24"/>
              </w:rPr>
            </w:pPr>
            <w:r>
              <w:rPr>
                <w:rFonts w:hint="eastAsia" w:ascii="宋体" w:hAnsi="宋体" w:cs="宋体"/>
                <w:kern w:val="0"/>
                <w:sz w:val="24"/>
                <w:lang w:bidi="ar"/>
              </w:rPr>
              <w:t xml:space="preserve">   登记本功能模块可满足流产后关爱相关信息的查询与导出需求，核心支持对关爱个案登记本，首次咨询登记本，手术信息登记本三类关键登记信息的查询操作，同时针对每类查询结果，均提供导出功能，方便工作人员获取纸质或电子版本的登记信息，高效适配流产后关爱数据管理与使用的日常场景。</w:t>
            </w:r>
          </w:p>
        </w:tc>
      </w:tr>
      <w:tr w14:paraId="56E1EE57">
        <w:tblPrEx>
          <w:tblCellMar>
            <w:top w:w="0" w:type="dxa"/>
            <w:left w:w="108" w:type="dxa"/>
            <w:bottom w:w="0" w:type="dxa"/>
            <w:right w:w="108" w:type="dxa"/>
          </w:tblCellMar>
        </w:tblPrEx>
        <w:trPr>
          <w:trHeight w:val="37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C9D487B">
            <w:pPr>
              <w:widowControl/>
              <w:jc w:val="center"/>
              <w:textAlignment w:val="center"/>
              <w:rPr>
                <w:rFonts w:hint="eastAsia" w:ascii="宋体" w:hAnsi="宋体" w:cs="宋体"/>
                <w:sz w:val="24"/>
              </w:rPr>
            </w:pPr>
            <w:r>
              <w:rPr>
                <w:rFonts w:hint="eastAsia" w:ascii="宋体" w:hAnsi="宋体" w:cs="宋体"/>
                <w:kern w:val="0"/>
                <w:sz w:val="24"/>
                <w:lang w:bidi="ar"/>
              </w:rPr>
              <w:t>345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8F2A22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F4280D0">
            <w:pPr>
              <w:widowControl/>
              <w:jc w:val="center"/>
              <w:textAlignment w:val="center"/>
              <w:rPr>
                <w:rFonts w:hint="eastAsia" w:ascii="宋体" w:hAnsi="宋体" w:cs="宋体"/>
                <w:sz w:val="24"/>
              </w:rPr>
            </w:pPr>
            <w:r>
              <w:rPr>
                <w:rFonts w:hint="eastAsia" w:ascii="宋体" w:hAnsi="宋体" w:cs="宋体"/>
                <w:kern w:val="0"/>
                <w:sz w:val="24"/>
                <w:lang w:bidi="ar"/>
              </w:rPr>
              <w:t>手机端</w:t>
            </w:r>
          </w:p>
        </w:tc>
        <w:tc>
          <w:tcPr>
            <w:tcW w:w="9687" w:type="dxa"/>
            <w:tcBorders>
              <w:top w:val="single" w:color="000000" w:sz="4" w:space="0"/>
              <w:left w:val="single" w:color="000000" w:sz="4" w:space="0"/>
              <w:bottom w:val="single" w:color="000000" w:sz="4" w:space="0"/>
              <w:right w:val="single" w:color="000000" w:sz="4" w:space="0"/>
            </w:tcBorders>
            <w:vAlign w:val="center"/>
          </w:tcPr>
          <w:p w14:paraId="45548793">
            <w:pPr>
              <w:widowControl/>
              <w:textAlignment w:val="center"/>
              <w:rPr>
                <w:rFonts w:hint="eastAsia" w:ascii="宋体" w:hAnsi="宋体" w:cs="宋体"/>
                <w:sz w:val="24"/>
              </w:rPr>
            </w:pPr>
            <w:r>
              <w:rPr>
                <w:rFonts w:hint="eastAsia" w:ascii="宋体" w:hAnsi="宋体" w:cs="宋体"/>
                <w:kern w:val="0"/>
                <w:sz w:val="24"/>
                <w:lang w:bidi="ar"/>
              </w:rPr>
              <w:t xml:space="preserve">   服务对象可以通过微信注册，自助填写基本信息，系统利用证件号自动识别出生日期，确保基础数据准确。服务对象可以自助选择就诊医院，完成服务的初始预约与分流。</w:t>
            </w:r>
            <w:r>
              <w:rPr>
                <w:rFonts w:hint="eastAsia" w:ascii="宋体" w:hAnsi="宋体" w:cs="宋体"/>
                <w:kern w:val="0"/>
                <w:sz w:val="24"/>
                <w:lang w:bidi="ar"/>
              </w:rPr>
              <w:br w:type="textWrapping"/>
            </w:r>
            <w:r>
              <w:rPr>
                <w:rFonts w:hint="eastAsia" w:ascii="宋体" w:hAnsi="宋体" w:cs="宋体"/>
                <w:kern w:val="0"/>
                <w:sz w:val="24"/>
                <w:lang w:bidi="ar"/>
              </w:rPr>
              <w:t>服务对象在手机端自助录入首次咨询信息，提交后由医生在电脑端进行审核，实现了咨询流程的前移与标准化。</w:t>
            </w:r>
            <w:r>
              <w:rPr>
                <w:rFonts w:hint="eastAsia" w:ascii="宋体" w:hAnsi="宋体" w:cs="宋体"/>
                <w:kern w:val="0"/>
                <w:sz w:val="24"/>
                <w:lang w:bidi="ar"/>
              </w:rPr>
              <w:br w:type="textWrapping"/>
            </w:r>
            <w:r>
              <w:rPr>
                <w:rFonts w:hint="eastAsia" w:ascii="宋体" w:hAnsi="宋体" w:cs="宋体"/>
                <w:kern w:val="0"/>
                <w:sz w:val="24"/>
                <w:lang w:bidi="ar"/>
              </w:rPr>
              <w:t>手机端能够录入首次、3个月、6个月、12个月、24个月等多个关键时期的随访数据，形成一个完整的长期跟踪计划。</w:t>
            </w:r>
            <w:r>
              <w:rPr>
                <w:rFonts w:hint="eastAsia" w:ascii="宋体" w:hAnsi="宋体" w:cs="宋体"/>
                <w:kern w:val="0"/>
                <w:sz w:val="24"/>
                <w:lang w:bidi="ar"/>
              </w:rPr>
              <w:br w:type="textWrapping"/>
            </w:r>
            <w:r>
              <w:rPr>
                <w:rFonts w:hint="eastAsia" w:ascii="宋体" w:hAnsi="宋体" w:cs="宋体"/>
                <w:kern w:val="0"/>
                <w:sz w:val="24"/>
                <w:lang w:bidi="ar"/>
              </w:rPr>
              <w:t>所有手机端提交的咨询与随访记录，均需由医生在电脑端进行审核。审核通过后，系统自动锁定手机端的原始记录，不允许再修改。</w:t>
            </w:r>
          </w:p>
        </w:tc>
      </w:tr>
      <w:tr w14:paraId="715483C8">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815493">
            <w:pPr>
              <w:widowControl/>
              <w:jc w:val="center"/>
              <w:textAlignment w:val="center"/>
              <w:rPr>
                <w:rFonts w:hint="eastAsia" w:ascii="宋体" w:hAnsi="宋体" w:cs="宋体"/>
                <w:sz w:val="24"/>
              </w:rPr>
            </w:pPr>
            <w:r>
              <w:rPr>
                <w:rFonts w:hint="eastAsia" w:ascii="宋体" w:hAnsi="宋体" w:cs="宋体"/>
                <w:kern w:val="0"/>
                <w:sz w:val="24"/>
                <w:lang w:bidi="ar"/>
              </w:rPr>
              <w:t>347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6096647E">
            <w:pPr>
              <w:widowControl/>
              <w:jc w:val="center"/>
              <w:textAlignment w:val="center"/>
              <w:rPr>
                <w:rFonts w:hint="eastAsia" w:ascii="宋体" w:hAnsi="宋体" w:cs="宋体"/>
                <w:sz w:val="24"/>
              </w:rPr>
            </w:pPr>
            <w:r>
              <w:rPr>
                <w:rFonts w:hint="eastAsia" w:ascii="宋体" w:hAnsi="宋体" w:cs="宋体"/>
                <w:kern w:val="0"/>
                <w:sz w:val="24"/>
                <w:lang w:bidi="ar"/>
              </w:rPr>
              <w:t>村医通</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049A0E7E">
            <w:pPr>
              <w:widowControl/>
              <w:jc w:val="center"/>
              <w:textAlignment w:val="center"/>
              <w:rPr>
                <w:rFonts w:hint="eastAsia" w:ascii="宋体" w:hAnsi="宋体" w:cs="宋体"/>
                <w:sz w:val="24"/>
              </w:rPr>
            </w:pPr>
            <w:r>
              <w:rPr>
                <w:rFonts w:hint="eastAsia" w:ascii="宋体" w:hAnsi="宋体" w:cs="宋体"/>
                <w:kern w:val="0"/>
                <w:sz w:val="24"/>
                <w:lang w:bidi="ar"/>
              </w:rPr>
              <w:t>手机端-系统管理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52AADA6">
            <w:pPr>
              <w:widowControl/>
              <w:textAlignment w:val="center"/>
              <w:rPr>
                <w:rFonts w:hint="eastAsia" w:ascii="宋体" w:hAnsi="宋体" w:cs="宋体"/>
                <w:sz w:val="24"/>
              </w:rPr>
            </w:pPr>
            <w:r>
              <w:rPr>
                <w:rFonts w:hint="eastAsia" w:ascii="宋体" w:hAnsi="宋体" w:cs="宋体"/>
                <w:kern w:val="0"/>
                <w:sz w:val="24"/>
                <w:lang w:bidi="ar"/>
              </w:rPr>
              <w:t xml:space="preserve">    手机端可以与电脑端系统对接账号，通过电脑端系统已注册账号关联进入手机端系统，并且可以与电脑端系统对接，手机端系统数据同步上传至电脑端。</w:t>
            </w:r>
          </w:p>
        </w:tc>
      </w:tr>
      <w:tr w14:paraId="564616B7">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2507EA0">
            <w:pPr>
              <w:widowControl/>
              <w:jc w:val="center"/>
              <w:textAlignment w:val="center"/>
              <w:rPr>
                <w:rFonts w:hint="eastAsia" w:ascii="宋体" w:hAnsi="宋体" w:cs="宋体"/>
                <w:sz w:val="24"/>
              </w:rPr>
            </w:pPr>
            <w:r>
              <w:rPr>
                <w:rFonts w:hint="eastAsia" w:ascii="宋体" w:hAnsi="宋体" w:cs="宋体"/>
                <w:kern w:val="0"/>
                <w:sz w:val="24"/>
                <w:lang w:bidi="ar"/>
              </w:rPr>
              <w:t>348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5169A6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F2EA99F">
            <w:pPr>
              <w:widowControl/>
              <w:jc w:val="center"/>
              <w:textAlignment w:val="center"/>
              <w:rPr>
                <w:rFonts w:hint="eastAsia" w:ascii="宋体" w:hAnsi="宋体" w:cs="宋体"/>
                <w:sz w:val="24"/>
              </w:rPr>
            </w:pPr>
            <w:r>
              <w:rPr>
                <w:rFonts w:hint="eastAsia" w:ascii="宋体" w:hAnsi="宋体" w:cs="宋体"/>
                <w:kern w:val="0"/>
                <w:sz w:val="24"/>
                <w:lang w:bidi="ar"/>
              </w:rPr>
              <w:t>手机端-孕产妇管理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C2E4627">
            <w:pPr>
              <w:widowControl/>
              <w:textAlignment w:val="center"/>
              <w:rPr>
                <w:rFonts w:hint="eastAsia" w:ascii="宋体" w:hAnsi="宋体" w:cs="宋体"/>
                <w:sz w:val="24"/>
              </w:rPr>
            </w:pPr>
            <w:r>
              <w:rPr>
                <w:rFonts w:hint="eastAsia" w:ascii="宋体" w:hAnsi="宋体" w:cs="宋体"/>
                <w:kern w:val="0"/>
                <w:sz w:val="24"/>
                <w:lang w:bidi="ar"/>
              </w:rPr>
              <w:t xml:space="preserve">    系统可以根据辖区内孕产妇信息生成孕产妇管理列表，在列表上通过孕妇姓名或者证件号码精确查找孕妇信息。并且在列表可以查看孕妇当前孕周，高危颜色，联系电话，丈夫信息和现住地址。可以查看管辖区域内所有高危孕产妇，通过点击联系电话直接给孕妇拨打电话。</w:t>
            </w:r>
          </w:p>
        </w:tc>
      </w:tr>
      <w:tr w14:paraId="6D9CA675">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9E24E6F">
            <w:pPr>
              <w:widowControl/>
              <w:jc w:val="center"/>
              <w:textAlignment w:val="center"/>
              <w:rPr>
                <w:rFonts w:hint="eastAsia" w:ascii="宋体" w:hAnsi="宋体" w:cs="宋体"/>
                <w:sz w:val="24"/>
              </w:rPr>
            </w:pPr>
            <w:r>
              <w:rPr>
                <w:rFonts w:hint="eastAsia" w:ascii="宋体" w:hAnsi="宋体" w:cs="宋体"/>
                <w:kern w:val="0"/>
                <w:sz w:val="24"/>
                <w:lang w:bidi="ar"/>
              </w:rPr>
              <w:t>349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9E7DE0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2F3C927F">
            <w:pPr>
              <w:widowControl/>
              <w:jc w:val="center"/>
              <w:textAlignment w:val="center"/>
              <w:rPr>
                <w:rFonts w:hint="eastAsia" w:ascii="宋体" w:hAnsi="宋体" w:cs="宋体"/>
                <w:sz w:val="24"/>
              </w:rPr>
            </w:pPr>
            <w:r>
              <w:rPr>
                <w:rFonts w:hint="eastAsia" w:ascii="宋体" w:hAnsi="宋体" w:cs="宋体"/>
                <w:kern w:val="0"/>
                <w:sz w:val="24"/>
                <w:lang w:bidi="ar"/>
              </w:rPr>
              <w:t>手机端-孕产妇体检提醒</w:t>
            </w:r>
          </w:p>
        </w:tc>
        <w:tc>
          <w:tcPr>
            <w:tcW w:w="9687" w:type="dxa"/>
            <w:tcBorders>
              <w:top w:val="single" w:color="000000" w:sz="4" w:space="0"/>
              <w:left w:val="single" w:color="000000" w:sz="4" w:space="0"/>
              <w:bottom w:val="single" w:color="000000" w:sz="4" w:space="0"/>
              <w:right w:val="single" w:color="000000" w:sz="4" w:space="0"/>
            </w:tcBorders>
            <w:vAlign w:val="center"/>
          </w:tcPr>
          <w:p w14:paraId="41CCEC93">
            <w:pPr>
              <w:widowControl/>
              <w:textAlignment w:val="center"/>
              <w:rPr>
                <w:rFonts w:hint="eastAsia" w:ascii="宋体" w:hAnsi="宋体" w:cs="宋体"/>
                <w:sz w:val="24"/>
              </w:rPr>
            </w:pPr>
            <w:r>
              <w:rPr>
                <w:rFonts w:hint="eastAsia" w:ascii="宋体" w:hAnsi="宋体" w:cs="宋体"/>
                <w:kern w:val="0"/>
                <w:sz w:val="24"/>
                <w:lang w:bidi="ar"/>
              </w:rPr>
              <w:t xml:space="preserve">    手机端孕产妇体检提醒管理可以跟据“健苗工程”系统中产检预约孕妇信息生成孕产妇体检提醒列表，可以通过产妇姓名精确查询孕妇预约信息，也可以通过家庭地址查询某片区孕妇预约信息。或者通过预约时间段查询某段时间孕妇预约信息，孕妇预约日期，孕妇体检状态，孕妇联系电话和现住地址。可以通过点击联系电话直接给孕妇拨打电话。</w:t>
            </w:r>
          </w:p>
        </w:tc>
      </w:tr>
      <w:tr w14:paraId="4565852C">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AAB54A">
            <w:pPr>
              <w:widowControl/>
              <w:jc w:val="center"/>
              <w:textAlignment w:val="center"/>
              <w:rPr>
                <w:rFonts w:hint="eastAsia" w:ascii="宋体" w:hAnsi="宋体" w:cs="宋体"/>
                <w:sz w:val="24"/>
              </w:rPr>
            </w:pPr>
            <w:r>
              <w:rPr>
                <w:rFonts w:hint="eastAsia" w:ascii="宋体" w:hAnsi="宋体" w:cs="宋体"/>
                <w:kern w:val="0"/>
                <w:sz w:val="24"/>
                <w:lang w:bidi="ar"/>
              </w:rPr>
              <w:t>350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8F9A92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CDC269F">
            <w:pPr>
              <w:widowControl/>
              <w:jc w:val="center"/>
              <w:textAlignment w:val="center"/>
              <w:rPr>
                <w:rFonts w:hint="eastAsia" w:ascii="宋体" w:hAnsi="宋体" w:cs="宋体"/>
                <w:sz w:val="24"/>
              </w:rPr>
            </w:pPr>
            <w:r>
              <w:rPr>
                <w:rFonts w:hint="eastAsia" w:ascii="宋体" w:hAnsi="宋体" w:cs="宋体"/>
                <w:kern w:val="0"/>
                <w:sz w:val="24"/>
                <w:lang w:bidi="ar"/>
              </w:rPr>
              <w:t>手机端-产后访视</w:t>
            </w:r>
          </w:p>
        </w:tc>
        <w:tc>
          <w:tcPr>
            <w:tcW w:w="9687" w:type="dxa"/>
            <w:tcBorders>
              <w:top w:val="single" w:color="000000" w:sz="4" w:space="0"/>
              <w:left w:val="single" w:color="000000" w:sz="4" w:space="0"/>
              <w:bottom w:val="single" w:color="000000" w:sz="4" w:space="0"/>
              <w:right w:val="single" w:color="000000" w:sz="4" w:space="0"/>
            </w:tcBorders>
            <w:vAlign w:val="center"/>
          </w:tcPr>
          <w:p w14:paraId="54C28497">
            <w:pPr>
              <w:widowControl/>
              <w:textAlignment w:val="center"/>
              <w:rPr>
                <w:rFonts w:hint="eastAsia" w:ascii="宋体" w:hAnsi="宋体" w:cs="宋体"/>
                <w:sz w:val="24"/>
              </w:rPr>
            </w:pPr>
            <w:r>
              <w:rPr>
                <w:rFonts w:hint="eastAsia" w:ascii="宋体" w:hAnsi="宋体" w:cs="宋体"/>
                <w:kern w:val="0"/>
                <w:sz w:val="24"/>
                <w:lang w:bidi="ar"/>
              </w:rPr>
              <w:t xml:space="preserve">    手机端产后访视管理通过“健苗工程”系统中需要做产后访视的孕产妇生成孕产妇产后访视列表。可以通过产妇姓名或者证件号码精确查询产妇信息，或者通过分娩日期查询某一段时间分娩的产妇。可以在列表查看孕妇产后天数，孕妇分娩方式，孕妇家庭地址，孕妇和丈夫的联系电话，孕妇产后访视次数。可以手机端录入产后访视数据，访视数据中必填项未录入时，系统进行提醒。可以进行设置选项默认值，录入产后访视数据时拍照和定位。</w:t>
            </w:r>
          </w:p>
        </w:tc>
      </w:tr>
      <w:tr w14:paraId="60609B30">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2B2CD89">
            <w:pPr>
              <w:widowControl/>
              <w:jc w:val="center"/>
              <w:textAlignment w:val="center"/>
              <w:rPr>
                <w:rFonts w:hint="eastAsia" w:ascii="宋体" w:hAnsi="宋体" w:cs="宋体"/>
                <w:sz w:val="24"/>
              </w:rPr>
            </w:pPr>
            <w:r>
              <w:rPr>
                <w:rFonts w:hint="eastAsia" w:ascii="宋体" w:hAnsi="宋体" w:cs="宋体"/>
                <w:kern w:val="0"/>
                <w:sz w:val="24"/>
                <w:lang w:bidi="ar"/>
              </w:rPr>
              <w:t>351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083F7D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1C771E8">
            <w:pPr>
              <w:widowControl/>
              <w:jc w:val="center"/>
              <w:textAlignment w:val="center"/>
              <w:rPr>
                <w:rFonts w:hint="eastAsia" w:ascii="宋体" w:hAnsi="宋体" w:cs="宋体"/>
                <w:sz w:val="24"/>
              </w:rPr>
            </w:pPr>
            <w:r>
              <w:rPr>
                <w:rFonts w:hint="eastAsia" w:ascii="宋体" w:hAnsi="宋体" w:cs="宋体"/>
                <w:kern w:val="0"/>
                <w:sz w:val="24"/>
                <w:lang w:bidi="ar"/>
              </w:rPr>
              <w:t>手机端-儿童管理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B69AEB8">
            <w:pPr>
              <w:widowControl/>
              <w:textAlignment w:val="center"/>
              <w:rPr>
                <w:rFonts w:hint="eastAsia" w:ascii="宋体" w:hAnsi="宋体" w:cs="宋体"/>
                <w:sz w:val="24"/>
              </w:rPr>
            </w:pPr>
            <w:r>
              <w:rPr>
                <w:rFonts w:hint="eastAsia" w:ascii="宋体" w:hAnsi="宋体" w:cs="宋体"/>
                <w:kern w:val="0"/>
                <w:sz w:val="24"/>
                <w:lang w:bidi="ar"/>
              </w:rPr>
              <w:t xml:space="preserve">   手机端儿童管理可以根据管辖区域内所有儿童信息生成儿童管理信息列表，通过儿童姓名或者父母姓名精确查找儿童信息，可以查看儿童出生日期，性别，年龄，父母信息，现住地址，通过点击联系电话直接给儿童家长拨打电话。可以查看管辖区域内所有高危儿，查看管辖区域内所有营养性疾病患儿。</w:t>
            </w:r>
          </w:p>
        </w:tc>
      </w:tr>
      <w:tr w14:paraId="36915C44">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52E722D">
            <w:pPr>
              <w:widowControl/>
              <w:jc w:val="center"/>
              <w:textAlignment w:val="center"/>
              <w:rPr>
                <w:rFonts w:hint="eastAsia" w:ascii="宋体" w:hAnsi="宋体" w:cs="宋体"/>
                <w:sz w:val="24"/>
              </w:rPr>
            </w:pPr>
            <w:r>
              <w:rPr>
                <w:rFonts w:hint="eastAsia" w:ascii="宋体" w:hAnsi="宋体" w:cs="宋体"/>
                <w:kern w:val="0"/>
                <w:sz w:val="24"/>
                <w:lang w:bidi="ar"/>
              </w:rPr>
              <w:t>352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1DF1E3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796CCD1">
            <w:pPr>
              <w:widowControl/>
              <w:jc w:val="center"/>
              <w:textAlignment w:val="center"/>
              <w:rPr>
                <w:rFonts w:hint="eastAsia" w:ascii="宋体" w:hAnsi="宋体" w:cs="宋体"/>
                <w:sz w:val="24"/>
              </w:rPr>
            </w:pPr>
            <w:r>
              <w:rPr>
                <w:rFonts w:hint="eastAsia" w:ascii="宋体" w:hAnsi="宋体" w:cs="宋体"/>
                <w:kern w:val="0"/>
                <w:sz w:val="24"/>
                <w:lang w:bidi="ar"/>
              </w:rPr>
              <w:t>手机端-儿童体检提醒</w:t>
            </w:r>
          </w:p>
        </w:tc>
        <w:tc>
          <w:tcPr>
            <w:tcW w:w="9687" w:type="dxa"/>
            <w:tcBorders>
              <w:top w:val="single" w:color="000000" w:sz="4" w:space="0"/>
              <w:left w:val="single" w:color="000000" w:sz="4" w:space="0"/>
              <w:bottom w:val="single" w:color="000000" w:sz="4" w:space="0"/>
              <w:right w:val="single" w:color="000000" w:sz="4" w:space="0"/>
            </w:tcBorders>
            <w:vAlign w:val="center"/>
          </w:tcPr>
          <w:p w14:paraId="2F3C478B">
            <w:pPr>
              <w:widowControl/>
              <w:textAlignment w:val="center"/>
              <w:rPr>
                <w:rFonts w:hint="eastAsia" w:ascii="宋体" w:hAnsi="宋体" w:cs="宋体"/>
                <w:sz w:val="24"/>
              </w:rPr>
            </w:pPr>
            <w:r>
              <w:rPr>
                <w:rFonts w:hint="eastAsia" w:ascii="宋体" w:hAnsi="宋体" w:cs="宋体"/>
                <w:kern w:val="0"/>
                <w:sz w:val="24"/>
                <w:lang w:bidi="ar"/>
              </w:rPr>
              <w:t xml:space="preserve">    手机端儿童体检提醒可以查询在“健苗工程”系统中进行体检预约儿童信息，可以通过儿童姓名精确查询儿童预约信息，也可以通过家庭地址查询某片区儿童预约信息，还可以通过预约时间段查询某段时间儿童预约信息。能够在列表上查看儿童预约日期，儿童体检状态，儿童父母联系电话和现住地址。可以通过点击联系电话直接给儿童父母拨打电话。</w:t>
            </w:r>
          </w:p>
        </w:tc>
      </w:tr>
      <w:tr w14:paraId="4C544612">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18D5C19">
            <w:pPr>
              <w:widowControl/>
              <w:jc w:val="center"/>
              <w:textAlignment w:val="center"/>
              <w:rPr>
                <w:rFonts w:hint="eastAsia" w:ascii="宋体" w:hAnsi="宋体" w:cs="宋体"/>
                <w:sz w:val="24"/>
              </w:rPr>
            </w:pPr>
            <w:r>
              <w:rPr>
                <w:rFonts w:hint="eastAsia" w:ascii="宋体" w:hAnsi="宋体" w:cs="宋体"/>
                <w:kern w:val="0"/>
                <w:sz w:val="24"/>
                <w:lang w:bidi="ar"/>
              </w:rPr>
              <w:t>353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712D1D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8083B9C">
            <w:pPr>
              <w:widowControl/>
              <w:jc w:val="center"/>
              <w:textAlignment w:val="center"/>
              <w:rPr>
                <w:rFonts w:hint="eastAsia" w:ascii="宋体" w:hAnsi="宋体" w:cs="宋体"/>
                <w:sz w:val="24"/>
              </w:rPr>
            </w:pPr>
            <w:r>
              <w:rPr>
                <w:rFonts w:hint="eastAsia" w:ascii="宋体" w:hAnsi="宋体" w:cs="宋体"/>
                <w:kern w:val="0"/>
                <w:sz w:val="24"/>
                <w:lang w:bidi="ar"/>
              </w:rPr>
              <w:t>手机端-新生儿访视</w:t>
            </w:r>
          </w:p>
        </w:tc>
        <w:tc>
          <w:tcPr>
            <w:tcW w:w="9687" w:type="dxa"/>
            <w:tcBorders>
              <w:top w:val="single" w:color="000000" w:sz="4" w:space="0"/>
              <w:left w:val="single" w:color="000000" w:sz="4" w:space="0"/>
              <w:bottom w:val="single" w:color="000000" w:sz="4" w:space="0"/>
              <w:right w:val="single" w:color="000000" w:sz="4" w:space="0"/>
            </w:tcBorders>
            <w:vAlign w:val="center"/>
          </w:tcPr>
          <w:p w14:paraId="0EE3983E">
            <w:pPr>
              <w:widowControl/>
              <w:textAlignment w:val="center"/>
              <w:rPr>
                <w:rFonts w:hint="eastAsia" w:ascii="宋体" w:hAnsi="宋体" w:cs="宋体"/>
                <w:sz w:val="24"/>
              </w:rPr>
            </w:pPr>
            <w:r>
              <w:rPr>
                <w:rFonts w:hint="eastAsia" w:ascii="宋体" w:hAnsi="宋体" w:cs="宋体"/>
                <w:kern w:val="0"/>
                <w:sz w:val="24"/>
                <w:lang w:bidi="ar"/>
              </w:rPr>
              <w:t xml:space="preserve">    可以打开手机端新生儿访视列表查看新生儿出生日期，新生儿分娩方式和新生儿访视次数。手机端要能够录入产后访视数据，视数据中必填项未录入时，系统进行提醒。可以设置选项默认值，录入新生儿访视数据时支持拍照和定位。</w:t>
            </w:r>
          </w:p>
        </w:tc>
      </w:tr>
      <w:tr w14:paraId="7E4F2A89">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81103EE">
            <w:pPr>
              <w:widowControl/>
              <w:jc w:val="center"/>
              <w:textAlignment w:val="center"/>
              <w:rPr>
                <w:rFonts w:hint="eastAsia" w:ascii="宋体" w:hAnsi="宋体" w:cs="宋体"/>
                <w:sz w:val="24"/>
              </w:rPr>
            </w:pPr>
            <w:r>
              <w:rPr>
                <w:rFonts w:hint="eastAsia" w:ascii="宋体" w:hAnsi="宋体" w:cs="宋体"/>
                <w:kern w:val="0"/>
                <w:sz w:val="24"/>
                <w:lang w:bidi="ar"/>
              </w:rPr>
              <w:t>354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FD0AC7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2374ED08">
            <w:pPr>
              <w:widowControl/>
              <w:jc w:val="center"/>
              <w:textAlignment w:val="center"/>
              <w:rPr>
                <w:rFonts w:hint="eastAsia" w:ascii="宋体" w:hAnsi="宋体" w:cs="宋体"/>
                <w:sz w:val="24"/>
              </w:rPr>
            </w:pPr>
            <w:r>
              <w:rPr>
                <w:rFonts w:hint="eastAsia" w:ascii="宋体" w:hAnsi="宋体" w:cs="宋体"/>
                <w:kern w:val="0"/>
                <w:sz w:val="24"/>
                <w:lang w:bidi="ar"/>
              </w:rPr>
              <w:t>手机端-叶酸随访</w:t>
            </w:r>
          </w:p>
        </w:tc>
        <w:tc>
          <w:tcPr>
            <w:tcW w:w="9687" w:type="dxa"/>
            <w:tcBorders>
              <w:top w:val="single" w:color="000000" w:sz="4" w:space="0"/>
              <w:left w:val="single" w:color="000000" w:sz="4" w:space="0"/>
              <w:bottom w:val="single" w:color="000000" w:sz="4" w:space="0"/>
              <w:right w:val="single" w:color="000000" w:sz="4" w:space="0"/>
            </w:tcBorders>
            <w:vAlign w:val="center"/>
          </w:tcPr>
          <w:p w14:paraId="57B60E4B">
            <w:pPr>
              <w:widowControl/>
              <w:textAlignment w:val="center"/>
              <w:rPr>
                <w:rFonts w:hint="eastAsia" w:ascii="宋体" w:hAnsi="宋体" w:cs="宋体"/>
                <w:sz w:val="24"/>
              </w:rPr>
            </w:pPr>
            <w:r>
              <w:rPr>
                <w:rFonts w:hint="eastAsia" w:ascii="宋体" w:hAnsi="宋体" w:cs="宋体"/>
                <w:kern w:val="0"/>
                <w:sz w:val="24"/>
                <w:lang w:bidi="ar"/>
              </w:rPr>
              <w:t xml:space="preserve">    手机端叶酸随访能够查询辖区内所有叶酸发放后待随访孕妇列表，通过姓名或者证件号码精确查询孕妇信息，查看服务对象联系电话，家庭地址，点击联系电话能够直接给服务对象打电话。可以查看服务对象下发叶酸次数和时间，直接录入失访情况，录入叶酸随访情况，包括叶酸依从情况，服药时间，服用天数，没有服用天数，每天服务片数，每片剂量，如果没有服药需要录入不服药原因。</w:t>
            </w:r>
          </w:p>
        </w:tc>
      </w:tr>
      <w:tr w14:paraId="0F23F78E">
        <w:tblPrEx>
          <w:tblCellMar>
            <w:top w:w="0" w:type="dxa"/>
            <w:left w:w="108" w:type="dxa"/>
            <w:bottom w:w="0" w:type="dxa"/>
            <w:right w:w="108" w:type="dxa"/>
          </w:tblCellMar>
        </w:tblPrEx>
        <w:trPr>
          <w:trHeight w:val="57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E1FBB10">
            <w:pPr>
              <w:widowControl/>
              <w:jc w:val="center"/>
              <w:textAlignment w:val="center"/>
              <w:rPr>
                <w:rFonts w:hint="eastAsia" w:ascii="宋体" w:hAnsi="宋体" w:cs="宋体"/>
                <w:sz w:val="24"/>
              </w:rPr>
            </w:pPr>
            <w:r>
              <w:rPr>
                <w:rFonts w:hint="eastAsia" w:ascii="宋体" w:hAnsi="宋体" w:cs="宋体"/>
                <w:kern w:val="0"/>
                <w:sz w:val="24"/>
                <w:lang w:bidi="ar"/>
              </w:rPr>
              <w:t>355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25820D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9F1A622">
            <w:pPr>
              <w:widowControl/>
              <w:jc w:val="center"/>
              <w:textAlignment w:val="center"/>
              <w:rPr>
                <w:rFonts w:hint="eastAsia" w:ascii="宋体" w:hAnsi="宋体" w:cs="宋体"/>
                <w:sz w:val="24"/>
              </w:rPr>
            </w:pPr>
            <w:r>
              <w:rPr>
                <w:rFonts w:hint="eastAsia" w:ascii="宋体" w:hAnsi="宋体" w:cs="宋体"/>
                <w:kern w:val="0"/>
                <w:sz w:val="24"/>
                <w:lang w:bidi="ar"/>
              </w:rPr>
              <w:t>手机端-我的消息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767F5D1C">
            <w:pPr>
              <w:widowControl/>
              <w:textAlignment w:val="center"/>
              <w:rPr>
                <w:rFonts w:hint="eastAsia" w:ascii="宋体" w:hAnsi="宋体" w:cs="宋体"/>
                <w:sz w:val="24"/>
              </w:rPr>
            </w:pPr>
            <w:r>
              <w:rPr>
                <w:rFonts w:hint="eastAsia" w:ascii="宋体" w:hAnsi="宋体" w:cs="宋体"/>
                <w:kern w:val="0"/>
                <w:sz w:val="24"/>
                <w:lang w:bidi="ar"/>
              </w:rPr>
              <w:t xml:space="preserve">    可以接收到来自系统自动发送的各类通知信息</w:t>
            </w:r>
          </w:p>
        </w:tc>
      </w:tr>
      <w:tr w14:paraId="79B3AC6E">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DCCA24">
            <w:pPr>
              <w:widowControl/>
              <w:jc w:val="center"/>
              <w:textAlignment w:val="center"/>
              <w:rPr>
                <w:rFonts w:hint="eastAsia" w:ascii="宋体" w:hAnsi="宋体" w:cs="宋体"/>
                <w:sz w:val="24"/>
              </w:rPr>
            </w:pPr>
            <w:r>
              <w:rPr>
                <w:rFonts w:hint="eastAsia" w:ascii="宋体" w:hAnsi="宋体" w:cs="宋体"/>
                <w:kern w:val="0"/>
                <w:sz w:val="24"/>
                <w:lang w:bidi="ar"/>
              </w:rPr>
              <w:t>356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43B2D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46302A49">
            <w:pPr>
              <w:widowControl/>
              <w:jc w:val="center"/>
              <w:textAlignment w:val="center"/>
              <w:rPr>
                <w:rFonts w:hint="eastAsia" w:ascii="宋体" w:hAnsi="宋体" w:cs="宋体"/>
                <w:sz w:val="24"/>
              </w:rPr>
            </w:pPr>
            <w:r>
              <w:rPr>
                <w:rFonts w:hint="eastAsia" w:ascii="宋体" w:hAnsi="宋体" w:cs="宋体"/>
                <w:kern w:val="0"/>
                <w:sz w:val="24"/>
                <w:lang w:bidi="ar"/>
              </w:rPr>
              <w:t>手机端-消息规则管理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0D2FFFF">
            <w:pPr>
              <w:widowControl/>
              <w:textAlignment w:val="center"/>
              <w:rPr>
                <w:rFonts w:hint="eastAsia" w:ascii="宋体" w:hAnsi="宋体" w:cs="宋体"/>
                <w:sz w:val="24"/>
              </w:rPr>
            </w:pPr>
            <w:r>
              <w:rPr>
                <w:rFonts w:hint="eastAsia" w:ascii="宋体" w:hAnsi="宋体" w:cs="宋体"/>
                <w:kern w:val="0"/>
                <w:sz w:val="24"/>
                <w:lang w:bidi="ar"/>
              </w:rPr>
              <w:t xml:space="preserve">    可以对新生儿访视、孕产妇访视、孕产妇体检、儿童体检的提醒时间进行个性化设置</w:t>
            </w:r>
          </w:p>
        </w:tc>
      </w:tr>
      <w:tr w14:paraId="502C8DA2">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CEAED25">
            <w:pPr>
              <w:widowControl/>
              <w:jc w:val="center"/>
              <w:textAlignment w:val="center"/>
              <w:rPr>
                <w:rFonts w:hint="eastAsia" w:ascii="宋体" w:hAnsi="宋体" w:cs="宋体"/>
                <w:sz w:val="24"/>
              </w:rPr>
            </w:pPr>
            <w:r>
              <w:rPr>
                <w:rFonts w:hint="eastAsia" w:ascii="宋体" w:hAnsi="宋体" w:cs="宋体"/>
                <w:kern w:val="0"/>
                <w:sz w:val="24"/>
                <w:lang w:bidi="ar"/>
              </w:rPr>
              <w:t>357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B98A7F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0A6F9A00">
            <w:pPr>
              <w:widowControl/>
              <w:jc w:val="center"/>
              <w:textAlignment w:val="center"/>
              <w:rPr>
                <w:rFonts w:hint="eastAsia" w:ascii="宋体" w:hAnsi="宋体" w:cs="宋体"/>
                <w:sz w:val="24"/>
              </w:rPr>
            </w:pPr>
            <w:r>
              <w:rPr>
                <w:rFonts w:hint="eastAsia" w:ascii="宋体" w:hAnsi="宋体" w:cs="宋体"/>
                <w:kern w:val="0"/>
                <w:sz w:val="24"/>
                <w:lang w:bidi="ar"/>
              </w:rPr>
              <w:t>电脑端-村医信息管理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673B67B">
            <w:pPr>
              <w:widowControl/>
              <w:textAlignment w:val="center"/>
              <w:rPr>
                <w:rFonts w:hint="eastAsia" w:ascii="宋体" w:hAnsi="宋体" w:cs="宋体"/>
                <w:sz w:val="24"/>
              </w:rPr>
            </w:pPr>
            <w:r>
              <w:rPr>
                <w:rFonts w:hint="eastAsia" w:ascii="宋体" w:hAnsi="宋体" w:cs="宋体"/>
                <w:kern w:val="0"/>
                <w:sz w:val="24"/>
                <w:lang w:bidi="ar"/>
              </w:rPr>
              <w:t xml:space="preserve">    可以在村医信息管理模块给村医注册账号，初始密码，账号进行停用操作。各个乡镇可以维护本地区村医基本信息，包括村医姓名，性别，联系电话，所在单位等，维护村医服务范围。</w:t>
            </w:r>
          </w:p>
        </w:tc>
      </w:tr>
      <w:tr w14:paraId="0DFA8B98">
        <w:tblPrEx>
          <w:tblCellMar>
            <w:top w:w="0" w:type="dxa"/>
            <w:left w:w="108" w:type="dxa"/>
            <w:bottom w:w="0" w:type="dxa"/>
            <w:right w:w="108" w:type="dxa"/>
          </w:tblCellMar>
        </w:tblPrEx>
        <w:trPr>
          <w:trHeight w:val="17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84270EB">
            <w:pPr>
              <w:widowControl/>
              <w:jc w:val="center"/>
              <w:textAlignment w:val="center"/>
              <w:rPr>
                <w:rFonts w:hint="eastAsia" w:ascii="宋体" w:hAnsi="宋体" w:cs="宋体"/>
                <w:sz w:val="24"/>
              </w:rPr>
            </w:pPr>
            <w:r>
              <w:rPr>
                <w:rFonts w:hint="eastAsia" w:ascii="宋体" w:hAnsi="宋体" w:cs="宋体"/>
                <w:kern w:val="0"/>
                <w:sz w:val="24"/>
                <w:lang w:bidi="ar"/>
              </w:rPr>
              <w:t>358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F2C4E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777DFF5">
            <w:pPr>
              <w:widowControl/>
              <w:jc w:val="center"/>
              <w:textAlignment w:val="center"/>
              <w:rPr>
                <w:rFonts w:hint="eastAsia" w:ascii="宋体" w:hAnsi="宋体" w:cs="宋体"/>
                <w:sz w:val="24"/>
              </w:rPr>
            </w:pPr>
            <w:r>
              <w:rPr>
                <w:rFonts w:hint="eastAsia" w:ascii="宋体" w:hAnsi="宋体" w:cs="宋体"/>
                <w:kern w:val="0"/>
                <w:sz w:val="24"/>
                <w:lang w:bidi="ar"/>
              </w:rPr>
              <w:t>电脑端-接口服务</w:t>
            </w:r>
          </w:p>
        </w:tc>
        <w:tc>
          <w:tcPr>
            <w:tcW w:w="9687" w:type="dxa"/>
            <w:tcBorders>
              <w:top w:val="single" w:color="000000" w:sz="4" w:space="0"/>
              <w:left w:val="single" w:color="000000" w:sz="4" w:space="0"/>
              <w:bottom w:val="single" w:color="000000" w:sz="4" w:space="0"/>
              <w:right w:val="single" w:color="000000" w:sz="4" w:space="0"/>
            </w:tcBorders>
            <w:vAlign w:val="center"/>
          </w:tcPr>
          <w:p w14:paraId="1CD762EB">
            <w:pPr>
              <w:widowControl/>
              <w:textAlignment w:val="center"/>
              <w:rPr>
                <w:rFonts w:hint="eastAsia" w:ascii="宋体" w:hAnsi="宋体" w:cs="宋体"/>
                <w:sz w:val="24"/>
              </w:rPr>
            </w:pPr>
            <w:r>
              <w:rPr>
                <w:rFonts w:hint="eastAsia" w:ascii="宋体" w:hAnsi="宋体" w:cs="宋体"/>
                <w:kern w:val="0"/>
                <w:sz w:val="24"/>
                <w:lang w:bidi="ar"/>
              </w:rPr>
              <w:t xml:space="preserve">    可以通过接口调用“健苗工程”系统儿童档案信息，调用“健苗工程”系统儿童预约信息，调用“健苗工程”系统高危因素。</w:t>
            </w:r>
          </w:p>
        </w:tc>
      </w:tr>
      <w:tr w14:paraId="2049D37B">
        <w:tblPrEx>
          <w:tblCellMar>
            <w:top w:w="0" w:type="dxa"/>
            <w:left w:w="108" w:type="dxa"/>
            <w:bottom w:w="0" w:type="dxa"/>
            <w:right w:w="108" w:type="dxa"/>
          </w:tblCellMar>
        </w:tblPrEx>
        <w:trPr>
          <w:trHeight w:val="31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FC9FEDD">
            <w:pPr>
              <w:widowControl/>
              <w:jc w:val="center"/>
              <w:textAlignment w:val="center"/>
              <w:rPr>
                <w:rFonts w:hint="eastAsia" w:ascii="宋体" w:hAnsi="宋体" w:cs="宋体"/>
                <w:sz w:val="24"/>
              </w:rPr>
            </w:pPr>
            <w:r>
              <w:rPr>
                <w:rFonts w:hint="eastAsia" w:ascii="宋体" w:hAnsi="宋体" w:cs="宋体"/>
                <w:kern w:val="0"/>
                <w:sz w:val="24"/>
                <w:lang w:bidi="ar"/>
              </w:rPr>
              <w:t>360</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63434A69">
            <w:pPr>
              <w:widowControl/>
              <w:jc w:val="center"/>
              <w:textAlignment w:val="center"/>
              <w:rPr>
                <w:rFonts w:hint="eastAsia" w:ascii="宋体" w:hAnsi="宋体" w:cs="宋体"/>
                <w:sz w:val="24"/>
              </w:rPr>
            </w:pPr>
            <w:r>
              <w:rPr>
                <w:rFonts w:hint="eastAsia" w:ascii="宋体" w:hAnsi="宋体" w:cs="宋体"/>
                <w:kern w:val="0"/>
                <w:sz w:val="24"/>
                <w:lang w:bidi="ar"/>
              </w:rPr>
              <w:t>基层保健快速录入系统</w:t>
            </w:r>
          </w:p>
        </w:tc>
        <w:tc>
          <w:tcPr>
            <w:tcW w:w="1313" w:type="dxa"/>
            <w:tcBorders>
              <w:top w:val="single" w:color="000000" w:sz="4" w:space="0"/>
              <w:left w:val="single" w:color="000000" w:sz="4" w:space="0"/>
              <w:bottom w:val="single" w:color="000000" w:sz="4" w:space="0"/>
              <w:right w:val="single" w:color="000000" w:sz="4" w:space="0"/>
            </w:tcBorders>
            <w:vAlign w:val="center"/>
          </w:tcPr>
          <w:p w14:paraId="278A8E17">
            <w:pPr>
              <w:widowControl/>
              <w:jc w:val="center"/>
              <w:textAlignment w:val="center"/>
              <w:rPr>
                <w:rFonts w:hint="eastAsia" w:ascii="宋体" w:hAnsi="宋体" w:cs="宋体"/>
                <w:sz w:val="24"/>
              </w:rPr>
            </w:pPr>
            <w:r>
              <w:rPr>
                <w:rFonts w:hint="eastAsia" w:ascii="宋体" w:hAnsi="宋体" w:cs="宋体"/>
                <w:kern w:val="0"/>
                <w:sz w:val="24"/>
                <w:lang w:bidi="ar"/>
              </w:rPr>
              <w:t>孕产妇保健快速录入系统</w:t>
            </w:r>
          </w:p>
        </w:tc>
        <w:tc>
          <w:tcPr>
            <w:tcW w:w="9687" w:type="dxa"/>
            <w:tcBorders>
              <w:top w:val="single" w:color="000000" w:sz="4" w:space="0"/>
              <w:left w:val="single" w:color="000000" w:sz="4" w:space="0"/>
              <w:bottom w:val="single" w:color="000000" w:sz="4" w:space="0"/>
              <w:right w:val="single" w:color="000000" w:sz="4" w:space="0"/>
            </w:tcBorders>
            <w:vAlign w:val="center"/>
          </w:tcPr>
          <w:p w14:paraId="0979CA12">
            <w:pPr>
              <w:widowControl/>
              <w:textAlignment w:val="center"/>
              <w:rPr>
                <w:rFonts w:hint="eastAsia" w:ascii="宋体" w:hAnsi="宋体" w:cs="宋体"/>
                <w:sz w:val="24"/>
              </w:rPr>
            </w:pPr>
            <w:r>
              <w:rPr>
                <w:rStyle w:val="94"/>
                <w:rFonts w:hint="default"/>
                <w:color w:val="auto"/>
                <w:lang w:bidi="ar"/>
              </w:rPr>
              <w:t>系统为基层孕产妇保健工作提供了一个集快速数据录入与工作台账可视化于一体的高效平台。</w:t>
            </w:r>
            <w:r>
              <w:rPr>
                <w:rStyle w:val="94"/>
                <w:rFonts w:hint="default"/>
                <w:color w:val="auto"/>
                <w:lang w:bidi="ar"/>
              </w:rPr>
              <w:br w:type="textWrapping"/>
            </w:r>
            <w:r>
              <w:rPr>
                <w:rStyle w:val="94"/>
                <w:rFonts w:hint="default"/>
                <w:color w:val="auto"/>
                <w:lang w:bidi="ar"/>
              </w:rPr>
              <w:t>用户登录系统后，主界面能直观地看到“基层孕产妇保健业务工作”核心部分。</w:t>
            </w:r>
            <w:r>
              <w:rPr>
                <w:rStyle w:val="94"/>
                <w:rFonts w:hint="default"/>
                <w:color w:val="auto"/>
                <w:lang w:bidi="ar"/>
              </w:rPr>
              <w:br w:type="textWrapping"/>
            </w:r>
            <w:r>
              <w:rPr>
                <w:rStyle w:val="94"/>
                <w:rFonts w:hint="default"/>
                <w:color w:val="auto"/>
                <w:lang w:bidi="ar"/>
              </w:rPr>
              <w:t>在</w:t>
            </w:r>
            <w:r>
              <w:rPr>
                <w:rStyle w:val="192"/>
                <w:color w:val="auto"/>
                <w:lang w:bidi="ar"/>
              </w:rPr>
              <w:t>​​</w:t>
            </w:r>
            <w:r>
              <w:rPr>
                <w:rStyle w:val="94"/>
                <w:rFonts w:hint="default"/>
                <w:color w:val="auto"/>
                <w:lang w:bidi="ar"/>
              </w:rPr>
              <w:t>基层孕产妇保健业务工作</w:t>
            </w:r>
            <w:r>
              <w:rPr>
                <w:rStyle w:val="192"/>
                <w:color w:val="auto"/>
                <w:lang w:bidi="ar"/>
              </w:rPr>
              <w:t>​​</w:t>
            </w:r>
            <w:r>
              <w:rPr>
                <w:rStyle w:val="94"/>
                <w:rFonts w:hint="default"/>
                <w:color w:val="auto"/>
                <w:lang w:bidi="ar"/>
              </w:rPr>
              <w:t>模块中，系统设计了孕产妇管理独立页面，专注于数据的快速录入与维护。所有关键业务环节，如孕产妇的建档、建册、初诊、复诊、产后访视等，均采用“一键打开”表单的方式，极大简化了信息录入流程，每个环节均配套支持信息的快速修改与删除操作，确保数据管理的灵活性与准确性。</w:t>
            </w:r>
          </w:p>
        </w:tc>
      </w:tr>
      <w:tr w14:paraId="2C630D65">
        <w:tblPrEx>
          <w:tblCellMar>
            <w:top w:w="0" w:type="dxa"/>
            <w:left w:w="108" w:type="dxa"/>
            <w:bottom w:w="0" w:type="dxa"/>
            <w:right w:w="108" w:type="dxa"/>
          </w:tblCellMar>
        </w:tblPrEx>
        <w:trPr>
          <w:trHeight w:val="31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B42DF56">
            <w:pPr>
              <w:widowControl/>
              <w:jc w:val="center"/>
              <w:textAlignment w:val="center"/>
              <w:rPr>
                <w:rFonts w:hint="eastAsia" w:ascii="宋体" w:hAnsi="宋体" w:cs="宋体"/>
                <w:sz w:val="24"/>
              </w:rPr>
            </w:pPr>
            <w:r>
              <w:rPr>
                <w:rFonts w:hint="eastAsia" w:ascii="宋体" w:hAnsi="宋体" w:cs="宋体"/>
                <w:kern w:val="0"/>
                <w:sz w:val="24"/>
                <w:lang w:bidi="ar"/>
              </w:rPr>
              <w:t>361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F7ED54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FC932B4">
            <w:pPr>
              <w:widowControl/>
              <w:jc w:val="center"/>
              <w:textAlignment w:val="center"/>
              <w:rPr>
                <w:rFonts w:hint="eastAsia" w:ascii="宋体" w:hAnsi="宋体" w:cs="宋体"/>
                <w:sz w:val="24"/>
              </w:rPr>
            </w:pPr>
            <w:r>
              <w:rPr>
                <w:rFonts w:hint="eastAsia" w:ascii="宋体" w:hAnsi="宋体" w:cs="宋体"/>
                <w:kern w:val="0"/>
                <w:sz w:val="24"/>
                <w:lang w:bidi="ar"/>
              </w:rPr>
              <w:t>儿童保健快速录入系统</w:t>
            </w:r>
          </w:p>
        </w:tc>
        <w:tc>
          <w:tcPr>
            <w:tcW w:w="9687" w:type="dxa"/>
            <w:tcBorders>
              <w:top w:val="single" w:color="000000" w:sz="4" w:space="0"/>
              <w:left w:val="single" w:color="000000" w:sz="4" w:space="0"/>
              <w:bottom w:val="single" w:color="000000" w:sz="4" w:space="0"/>
              <w:right w:val="single" w:color="000000" w:sz="4" w:space="0"/>
            </w:tcBorders>
            <w:vAlign w:val="center"/>
          </w:tcPr>
          <w:p w14:paraId="04AAED6C">
            <w:pPr>
              <w:widowControl/>
              <w:textAlignment w:val="center"/>
              <w:rPr>
                <w:rFonts w:hint="eastAsia" w:ascii="宋体" w:hAnsi="宋体" w:cs="宋体"/>
                <w:sz w:val="24"/>
              </w:rPr>
            </w:pPr>
            <w:r>
              <w:rPr>
                <w:rStyle w:val="94"/>
                <w:rFonts w:hint="default"/>
                <w:color w:val="auto"/>
                <w:lang w:bidi="ar"/>
              </w:rPr>
              <w:t>系统为基层儿童保健工作提供了一个集快速数据录入与工作台账可视化于一体的高效平台。</w:t>
            </w:r>
            <w:r>
              <w:rPr>
                <w:rStyle w:val="94"/>
                <w:rFonts w:hint="default"/>
                <w:color w:val="auto"/>
                <w:lang w:bidi="ar"/>
              </w:rPr>
              <w:br w:type="textWrapping"/>
            </w:r>
            <w:r>
              <w:rPr>
                <w:rStyle w:val="94"/>
                <w:rFonts w:hint="default"/>
                <w:color w:val="auto"/>
                <w:lang w:bidi="ar"/>
              </w:rPr>
              <w:t>用户登录系统后，主界面能直观地看到“基层儿童保健业务工作”核心部分。</w:t>
            </w:r>
            <w:r>
              <w:rPr>
                <w:rStyle w:val="94"/>
                <w:rFonts w:hint="default"/>
                <w:color w:val="auto"/>
                <w:lang w:bidi="ar"/>
              </w:rPr>
              <w:br w:type="textWrapping"/>
            </w:r>
            <w:r>
              <w:rPr>
                <w:rStyle w:val="94"/>
                <w:rFonts w:hint="default"/>
                <w:color w:val="auto"/>
                <w:lang w:bidi="ar"/>
              </w:rPr>
              <w:t>在</w:t>
            </w:r>
            <w:r>
              <w:rPr>
                <w:rStyle w:val="192"/>
                <w:color w:val="auto"/>
                <w:lang w:bidi="ar"/>
              </w:rPr>
              <w:t>​​</w:t>
            </w:r>
            <w:r>
              <w:rPr>
                <w:rStyle w:val="94"/>
                <w:rFonts w:hint="default"/>
                <w:color w:val="auto"/>
                <w:lang w:bidi="ar"/>
              </w:rPr>
              <w:t>基层儿童保健业务工作</w:t>
            </w:r>
            <w:r>
              <w:rPr>
                <w:rStyle w:val="192"/>
                <w:color w:val="auto"/>
                <w:lang w:bidi="ar"/>
              </w:rPr>
              <w:t>​​</w:t>
            </w:r>
            <w:r>
              <w:rPr>
                <w:rStyle w:val="94"/>
                <w:rFonts w:hint="default"/>
                <w:color w:val="auto"/>
                <w:lang w:bidi="ar"/>
              </w:rPr>
              <w:t>模块中，系统设计了儿童管理独立页面，专注于数据的快速录入与维护。所有关键业务环节，如儿童的建档、新生儿访视、0~1岁、1~2岁、3~6岁体检等，均采用“一键打开”表单的方式，极大简化了信息录入流程，每个环节均配套支持信息的快速修改与删除操作，确保数据管理的灵活性与准确性。</w:t>
            </w:r>
          </w:p>
        </w:tc>
      </w:tr>
      <w:tr w14:paraId="1E18BC4F">
        <w:tblPrEx>
          <w:tblCellMar>
            <w:top w:w="0" w:type="dxa"/>
            <w:left w:w="108" w:type="dxa"/>
            <w:bottom w:w="0" w:type="dxa"/>
            <w:right w:w="108" w:type="dxa"/>
          </w:tblCellMar>
        </w:tblPrEx>
        <w:trPr>
          <w:trHeight w:val="59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F05A844">
            <w:pPr>
              <w:widowControl/>
              <w:jc w:val="center"/>
              <w:textAlignment w:val="center"/>
              <w:rPr>
                <w:rFonts w:hint="eastAsia" w:ascii="宋体" w:hAnsi="宋体" w:cs="宋体"/>
                <w:sz w:val="24"/>
              </w:rPr>
            </w:pPr>
            <w:r>
              <w:rPr>
                <w:rFonts w:hint="eastAsia" w:ascii="宋体" w:hAnsi="宋体" w:cs="宋体"/>
                <w:kern w:val="0"/>
                <w:sz w:val="24"/>
                <w:lang w:bidi="ar"/>
              </w:rPr>
              <w:t>362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7152AF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21E4616">
            <w:pPr>
              <w:widowControl/>
              <w:jc w:val="center"/>
              <w:textAlignment w:val="center"/>
              <w:rPr>
                <w:rFonts w:hint="eastAsia" w:ascii="宋体" w:hAnsi="宋体" w:cs="宋体"/>
                <w:sz w:val="24"/>
              </w:rPr>
            </w:pPr>
            <w:r>
              <w:rPr>
                <w:rFonts w:hint="eastAsia" w:ascii="宋体" w:hAnsi="宋体" w:cs="宋体"/>
                <w:kern w:val="0"/>
                <w:sz w:val="24"/>
                <w:lang w:bidi="ar"/>
              </w:rPr>
              <w:t>孕产妇保健工作台账</w:t>
            </w:r>
          </w:p>
        </w:tc>
        <w:tc>
          <w:tcPr>
            <w:tcW w:w="9687" w:type="dxa"/>
            <w:tcBorders>
              <w:top w:val="single" w:color="000000" w:sz="4" w:space="0"/>
              <w:left w:val="single" w:color="000000" w:sz="4" w:space="0"/>
              <w:bottom w:val="single" w:color="000000" w:sz="4" w:space="0"/>
              <w:right w:val="single" w:color="000000" w:sz="4" w:space="0"/>
            </w:tcBorders>
            <w:vAlign w:val="center"/>
          </w:tcPr>
          <w:p w14:paraId="2E73733D">
            <w:pPr>
              <w:widowControl/>
              <w:textAlignment w:val="center"/>
              <w:rPr>
                <w:rFonts w:hint="eastAsia" w:ascii="宋体" w:hAnsi="宋体" w:cs="宋体"/>
                <w:sz w:val="24"/>
              </w:rPr>
            </w:pPr>
            <w:r>
              <w:rPr>
                <w:rStyle w:val="94"/>
                <w:rFonts w:hint="default"/>
                <w:color w:val="auto"/>
                <w:lang w:bidi="ar"/>
              </w:rPr>
              <w:t>在</w:t>
            </w:r>
            <w:r>
              <w:rPr>
                <w:rStyle w:val="192"/>
                <w:color w:val="auto"/>
                <w:lang w:bidi="ar"/>
              </w:rPr>
              <w:t>​​</w:t>
            </w:r>
            <w:r>
              <w:rPr>
                <w:rStyle w:val="94"/>
                <w:rFonts w:hint="default"/>
                <w:color w:val="auto"/>
                <w:lang w:bidi="ar"/>
              </w:rPr>
              <w:t>孕产妇保健工作台账</w:t>
            </w:r>
            <w:r>
              <w:rPr>
                <w:rStyle w:val="192"/>
                <w:color w:val="auto"/>
                <w:lang w:bidi="ar"/>
              </w:rPr>
              <w:t>​​</w:t>
            </w:r>
            <w:r>
              <w:rPr>
                <w:rStyle w:val="94"/>
                <w:rFonts w:hint="default"/>
                <w:color w:val="auto"/>
                <w:lang w:bidi="ar"/>
              </w:rPr>
              <w:t>模块中，系统将录入孕产妇保健数据自动汇总转化为统计图表。该模块动态展示各项业务工作量，包括今日、本周、本月、本年等多个时间维度的数据统计，如各类建档、访视、体检的完成数量。同时，它还提供关键的辖区管理视图，如“辖区在管孕产妇”总数及“辖区在管高危孕产妇”数量，为基层孕产妇保健工作人员提供实时的数据支持和工作概览。</w:t>
            </w:r>
            <w:r>
              <w:rPr>
                <w:rStyle w:val="94"/>
                <w:rFonts w:hint="default"/>
                <w:color w:val="auto"/>
                <w:lang w:bidi="ar"/>
              </w:rPr>
              <w:br w:type="textWrapping"/>
            </w:r>
            <w:r>
              <w:rPr>
                <w:rStyle w:val="94"/>
                <w:rFonts w:hint="default"/>
                <w:color w:val="auto"/>
                <w:lang w:bidi="ar"/>
              </w:rPr>
              <w:t>通过业务操作与数据展示的紧密结合，可以全面提升基层孕产妇保健工作的效率与管理水平。</w:t>
            </w:r>
          </w:p>
        </w:tc>
      </w:tr>
      <w:tr w14:paraId="02A004DD">
        <w:tblPrEx>
          <w:tblCellMar>
            <w:top w:w="0" w:type="dxa"/>
            <w:left w:w="108" w:type="dxa"/>
            <w:bottom w:w="0" w:type="dxa"/>
            <w:right w:w="108" w:type="dxa"/>
          </w:tblCellMar>
        </w:tblPrEx>
        <w:trPr>
          <w:trHeight w:val="59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5FCF1AD">
            <w:pPr>
              <w:widowControl/>
              <w:jc w:val="center"/>
              <w:textAlignment w:val="center"/>
              <w:rPr>
                <w:rFonts w:hint="eastAsia" w:ascii="宋体" w:hAnsi="宋体" w:cs="宋体"/>
                <w:sz w:val="24"/>
              </w:rPr>
            </w:pPr>
            <w:r>
              <w:rPr>
                <w:rFonts w:hint="eastAsia" w:ascii="宋体" w:hAnsi="宋体" w:cs="宋体"/>
                <w:kern w:val="0"/>
                <w:sz w:val="24"/>
                <w:lang w:bidi="ar"/>
              </w:rPr>
              <w:t>363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D03E8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6FCBD15">
            <w:pPr>
              <w:widowControl/>
              <w:jc w:val="center"/>
              <w:textAlignment w:val="center"/>
              <w:rPr>
                <w:rFonts w:hint="eastAsia" w:ascii="宋体" w:hAnsi="宋体" w:cs="宋体"/>
                <w:sz w:val="24"/>
              </w:rPr>
            </w:pPr>
            <w:r>
              <w:rPr>
                <w:rFonts w:hint="eastAsia" w:ascii="宋体" w:hAnsi="宋体" w:cs="宋体"/>
                <w:kern w:val="0"/>
                <w:sz w:val="24"/>
                <w:lang w:bidi="ar"/>
              </w:rPr>
              <w:t>儿童保健数据工作台账</w:t>
            </w:r>
          </w:p>
        </w:tc>
        <w:tc>
          <w:tcPr>
            <w:tcW w:w="9687" w:type="dxa"/>
            <w:tcBorders>
              <w:top w:val="single" w:color="000000" w:sz="4" w:space="0"/>
              <w:left w:val="single" w:color="000000" w:sz="4" w:space="0"/>
              <w:bottom w:val="single" w:color="000000" w:sz="4" w:space="0"/>
              <w:right w:val="single" w:color="000000" w:sz="4" w:space="0"/>
            </w:tcBorders>
            <w:vAlign w:val="center"/>
          </w:tcPr>
          <w:p w14:paraId="48EE8CE5">
            <w:pPr>
              <w:widowControl/>
              <w:textAlignment w:val="center"/>
              <w:rPr>
                <w:rFonts w:hint="eastAsia" w:ascii="宋体" w:hAnsi="宋体" w:cs="宋体"/>
                <w:sz w:val="24"/>
              </w:rPr>
            </w:pPr>
            <w:r>
              <w:rPr>
                <w:rStyle w:val="94"/>
                <w:rFonts w:hint="default"/>
                <w:color w:val="auto"/>
                <w:lang w:bidi="ar"/>
              </w:rPr>
              <w:t>在</w:t>
            </w:r>
            <w:r>
              <w:rPr>
                <w:rStyle w:val="192"/>
                <w:color w:val="auto"/>
                <w:lang w:bidi="ar"/>
              </w:rPr>
              <w:t>​​</w:t>
            </w:r>
            <w:r>
              <w:rPr>
                <w:rStyle w:val="94"/>
                <w:rFonts w:hint="default"/>
                <w:color w:val="auto"/>
                <w:lang w:bidi="ar"/>
              </w:rPr>
              <w:t>儿童保健工作台账</w:t>
            </w:r>
            <w:r>
              <w:rPr>
                <w:rStyle w:val="192"/>
                <w:color w:val="auto"/>
                <w:lang w:bidi="ar"/>
              </w:rPr>
              <w:t>​​</w:t>
            </w:r>
            <w:r>
              <w:rPr>
                <w:rStyle w:val="94"/>
                <w:rFonts w:hint="default"/>
                <w:color w:val="auto"/>
                <w:lang w:bidi="ar"/>
              </w:rPr>
              <w:t>模块中，系统将录入儿童保健数据自动汇总转化为统计图表。该模块动态展示各项业务工作量，包括今日、本周、本月、本年等多个时间维度的数据统计，如各类建档、体检的完成数量。同时，它还提供关键的辖区管理视图，如“辖区在管儿童”总数及“辖区在管高危儿”数量，为基层儿童保健工作人员提供实时的数据支持和工作概览。</w:t>
            </w:r>
            <w:r>
              <w:rPr>
                <w:rStyle w:val="94"/>
                <w:rFonts w:hint="default"/>
                <w:color w:val="auto"/>
                <w:lang w:bidi="ar"/>
              </w:rPr>
              <w:br w:type="textWrapping"/>
            </w:r>
            <w:r>
              <w:rPr>
                <w:rStyle w:val="94"/>
                <w:rFonts w:hint="default"/>
                <w:color w:val="auto"/>
                <w:lang w:bidi="ar"/>
              </w:rPr>
              <w:t>通过业务操作与数据展示的紧密结合，可以全面提升基层儿童保健工作的效率与管理水平。</w:t>
            </w:r>
          </w:p>
        </w:tc>
      </w:tr>
      <w:tr w14:paraId="2AFD7F4D">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FE73354">
            <w:pPr>
              <w:widowControl/>
              <w:jc w:val="center"/>
              <w:textAlignment w:val="center"/>
              <w:rPr>
                <w:rFonts w:hint="eastAsia" w:ascii="宋体" w:hAnsi="宋体" w:cs="宋体"/>
                <w:sz w:val="24"/>
              </w:rPr>
            </w:pPr>
            <w:r>
              <w:rPr>
                <w:rFonts w:hint="eastAsia" w:ascii="宋体" w:hAnsi="宋体" w:cs="宋体"/>
                <w:kern w:val="0"/>
                <w:sz w:val="24"/>
                <w:lang w:bidi="ar"/>
              </w:rPr>
              <w:t>365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3A8FB53">
            <w:pPr>
              <w:widowControl/>
              <w:jc w:val="center"/>
              <w:textAlignment w:val="center"/>
              <w:rPr>
                <w:rFonts w:hint="eastAsia" w:ascii="宋体" w:hAnsi="宋体" w:cs="宋体"/>
                <w:sz w:val="24"/>
              </w:rPr>
            </w:pPr>
            <w:r>
              <w:rPr>
                <w:rFonts w:hint="eastAsia" w:ascii="宋体" w:hAnsi="宋体" w:cs="宋体"/>
                <w:kern w:val="0"/>
                <w:sz w:val="24"/>
                <w:lang w:bidi="ar"/>
              </w:rPr>
              <w:t>个性化宣教管理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34BE9FE1">
            <w:pPr>
              <w:widowControl/>
              <w:jc w:val="center"/>
              <w:textAlignment w:val="center"/>
              <w:rPr>
                <w:rFonts w:hint="eastAsia" w:ascii="宋体" w:hAnsi="宋体" w:cs="宋体"/>
                <w:sz w:val="24"/>
              </w:rPr>
            </w:pPr>
            <w:r>
              <w:rPr>
                <w:rFonts w:hint="eastAsia" w:ascii="宋体" w:hAnsi="宋体" w:cs="宋体"/>
                <w:kern w:val="0"/>
                <w:sz w:val="24"/>
                <w:lang w:bidi="ar"/>
              </w:rPr>
              <w:t>个性化宣教任务场景管理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00856FA">
            <w:pPr>
              <w:widowControl/>
              <w:textAlignment w:val="center"/>
              <w:rPr>
                <w:rFonts w:hint="eastAsia" w:ascii="宋体" w:hAnsi="宋体" w:cs="宋体"/>
                <w:sz w:val="24"/>
              </w:rPr>
            </w:pPr>
            <w:r>
              <w:rPr>
                <w:rFonts w:hint="eastAsia" w:ascii="宋体" w:hAnsi="宋体" w:cs="宋体"/>
                <w:kern w:val="0"/>
                <w:sz w:val="24"/>
                <w:lang w:bidi="ar"/>
              </w:rPr>
              <w:t xml:space="preserve">   可以在个性化宣教任务场景设置页面，新增任务场景记录，并生成任务场景管理列表，能够在列表修改和删除任务场景记录。能够对服务对象按照妇女、孕妇、儿童进行分类管理，能够按照业务条线对宣传内容进行分类管理。</w:t>
            </w:r>
          </w:p>
        </w:tc>
      </w:tr>
      <w:tr w14:paraId="44D78FA4">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A097594">
            <w:pPr>
              <w:widowControl/>
              <w:jc w:val="center"/>
              <w:textAlignment w:val="center"/>
              <w:rPr>
                <w:rFonts w:hint="eastAsia" w:ascii="宋体" w:hAnsi="宋体" w:cs="宋体"/>
                <w:sz w:val="24"/>
              </w:rPr>
            </w:pPr>
            <w:r>
              <w:rPr>
                <w:rFonts w:hint="eastAsia" w:ascii="宋体" w:hAnsi="宋体" w:cs="宋体"/>
                <w:kern w:val="0"/>
                <w:sz w:val="24"/>
                <w:lang w:bidi="ar"/>
              </w:rPr>
              <w:t>366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7F088F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1C3D356">
            <w:pPr>
              <w:widowControl/>
              <w:jc w:val="center"/>
              <w:textAlignment w:val="center"/>
              <w:rPr>
                <w:rFonts w:hint="eastAsia" w:ascii="宋体" w:hAnsi="宋体" w:cs="宋体"/>
                <w:sz w:val="24"/>
              </w:rPr>
            </w:pPr>
            <w:r>
              <w:rPr>
                <w:rFonts w:hint="eastAsia" w:ascii="宋体" w:hAnsi="宋体" w:cs="宋体"/>
                <w:kern w:val="0"/>
                <w:sz w:val="24"/>
                <w:lang w:bidi="ar"/>
              </w:rPr>
              <w:t>业务场景接口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708F4F06">
            <w:pPr>
              <w:widowControl/>
              <w:textAlignment w:val="center"/>
              <w:rPr>
                <w:rFonts w:hint="eastAsia" w:ascii="宋体" w:hAnsi="宋体" w:cs="宋体"/>
                <w:sz w:val="24"/>
              </w:rPr>
            </w:pPr>
            <w:r>
              <w:rPr>
                <w:rFonts w:hint="eastAsia" w:ascii="宋体" w:hAnsi="宋体" w:cs="宋体"/>
                <w:kern w:val="0"/>
                <w:sz w:val="24"/>
                <w:lang w:bidi="ar"/>
              </w:rPr>
              <w:t xml:space="preserve">    能够与“健苗工程”系统进行无缝对接，支持自动获取相关信息，能够获取服务对象在“健苗工程”系统中档案详情。</w:t>
            </w:r>
          </w:p>
        </w:tc>
      </w:tr>
      <w:tr w14:paraId="52E7CA43">
        <w:tblPrEx>
          <w:tblCellMar>
            <w:top w:w="0" w:type="dxa"/>
            <w:left w:w="108" w:type="dxa"/>
            <w:bottom w:w="0" w:type="dxa"/>
            <w:right w:w="108" w:type="dxa"/>
          </w:tblCellMar>
        </w:tblPrEx>
        <w:trPr>
          <w:trHeight w:val="31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CAE672A">
            <w:pPr>
              <w:widowControl/>
              <w:jc w:val="center"/>
              <w:textAlignment w:val="center"/>
              <w:rPr>
                <w:rFonts w:hint="eastAsia" w:ascii="宋体" w:hAnsi="宋体" w:cs="宋体"/>
                <w:sz w:val="24"/>
              </w:rPr>
            </w:pPr>
            <w:r>
              <w:rPr>
                <w:rFonts w:hint="eastAsia" w:ascii="宋体" w:hAnsi="宋体" w:cs="宋体"/>
                <w:kern w:val="0"/>
                <w:sz w:val="24"/>
                <w:lang w:bidi="ar"/>
              </w:rPr>
              <w:t>367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9B86EE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3837A0B">
            <w:pPr>
              <w:widowControl/>
              <w:jc w:val="center"/>
              <w:textAlignment w:val="center"/>
              <w:rPr>
                <w:rFonts w:hint="eastAsia" w:ascii="宋体" w:hAnsi="宋体" w:cs="宋体"/>
                <w:sz w:val="24"/>
              </w:rPr>
            </w:pPr>
            <w:r>
              <w:rPr>
                <w:rFonts w:hint="eastAsia" w:ascii="宋体" w:hAnsi="宋体" w:cs="宋体"/>
                <w:kern w:val="0"/>
                <w:sz w:val="24"/>
                <w:lang w:bidi="ar"/>
              </w:rPr>
              <w:t>消息模板管理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5EDE7F0">
            <w:pPr>
              <w:widowControl/>
              <w:textAlignment w:val="center"/>
              <w:rPr>
                <w:rFonts w:hint="eastAsia" w:ascii="宋体" w:hAnsi="宋体" w:cs="宋体"/>
                <w:sz w:val="24"/>
              </w:rPr>
            </w:pPr>
            <w:r>
              <w:rPr>
                <w:rFonts w:hint="eastAsia" w:ascii="宋体" w:hAnsi="宋体" w:cs="宋体"/>
                <w:kern w:val="0"/>
                <w:sz w:val="24"/>
                <w:lang w:bidi="ar"/>
              </w:rPr>
              <w:t xml:space="preserve">    可以在消息管理页面新增、修改、删除消息模板，生成消息模板管理列表。可以设置模板名称，设置宣教渠道，宣教内容。</w:t>
            </w:r>
          </w:p>
        </w:tc>
      </w:tr>
      <w:tr w14:paraId="1BA1D3B6">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14751A5">
            <w:pPr>
              <w:widowControl/>
              <w:jc w:val="center"/>
              <w:textAlignment w:val="center"/>
              <w:rPr>
                <w:rFonts w:hint="eastAsia" w:ascii="宋体" w:hAnsi="宋体" w:cs="宋体"/>
                <w:sz w:val="24"/>
              </w:rPr>
            </w:pPr>
            <w:r>
              <w:rPr>
                <w:rFonts w:hint="eastAsia" w:ascii="宋体" w:hAnsi="宋体" w:cs="宋体"/>
                <w:kern w:val="0"/>
                <w:sz w:val="24"/>
                <w:lang w:bidi="ar"/>
              </w:rPr>
              <w:t>368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813F09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001E643">
            <w:pPr>
              <w:widowControl/>
              <w:jc w:val="center"/>
              <w:textAlignment w:val="center"/>
              <w:rPr>
                <w:rFonts w:hint="eastAsia" w:ascii="宋体" w:hAnsi="宋体" w:cs="宋体"/>
                <w:sz w:val="24"/>
              </w:rPr>
            </w:pPr>
            <w:r>
              <w:rPr>
                <w:rFonts w:hint="eastAsia" w:ascii="宋体" w:hAnsi="宋体" w:cs="宋体"/>
                <w:kern w:val="0"/>
                <w:sz w:val="24"/>
                <w:lang w:bidi="ar"/>
              </w:rPr>
              <w:t>任务管理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3EB7986">
            <w:pPr>
              <w:widowControl/>
              <w:textAlignment w:val="center"/>
              <w:rPr>
                <w:rFonts w:hint="eastAsia" w:ascii="宋体" w:hAnsi="宋体" w:cs="宋体"/>
                <w:sz w:val="24"/>
              </w:rPr>
            </w:pPr>
            <w:r>
              <w:rPr>
                <w:rFonts w:hint="eastAsia" w:ascii="宋体" w:hAnsi="宋体" w:cs="宋体"/>
                <w:kern w:val="0"/>
                <w:sz w:val="24"/>
                <w:lang w:bidi="ar"/>
              </w:rPr>
              <w:t xml:space="preserve">    管理员可以打开任务管理页面，新增自动任务，生成任务管理列表，并修改和删除任务。可以将业务场景和消息模板通过任务关联，生成定时任务，控制任务的开启状态。可以设置生成任务列表时间，开始执行任务时间和结束执行任务时间。</w:t>
            </w:r>
          </w:p>
        </w:tc>
      </w:tr>
      <w:tr w14:paraId="126E34E1">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A43B247">
            <w:pPr>
              <w:widowControl/>
              <w:jc w:val="center"/>
              <w:textAlignment w:val="center"/>
              <w:rPr>
                <w:rFonts w:hint="eastAsia" w:ascii="宋体" w:hAnsi="宋体" w:cs="宋体"/>
                <w:sz w:val="24"/>
              </w:rPr>
            </w:pPr>
            <w:r>
              <w:rPr>
                <w:rFonts w:hint="eastAsia" w:ascii="宋体" w:hAnsi="宋体" w:cs="宋体"/>
                <w:kern w:val="0"/>
                <w:sz w:val="24"/>
                <w:lang w:bidi="ar"/>
              </w:rPr>
              <w:t>369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21B1A6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4CF7A6A">
            <w:pPr>
              <w:widowControl/>
              <w:jc w:val="center"/>
              <w:textAlignment w:val="center"/>
              <w:rPr>
                <w:rFonts w:hint="eastAsia" w:ascii="宋体" w:hAnsi="宋体" w:cs="宋体"/>
                <w:sz w:val="24"/>
              </w:rPr>
            </w:pPr>
            <w:r>
              <w:rPr>
                <w:rFonts w:hint="eastAsia" w:ascii="宋体" w:hAnsi="宋体" w:cs="宋体"/>
                <w:kern w:val="0"/>
                <w:sz w:val="24"/>
                <w:lang w:bidi="ar"/>
              </w:rPr>
              <w:t>任务列表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06980E6E">
            <w:pPr>
              <w:widowControl/>
              <w:textAlignment w:val="center"/>
              <w:rPr>
                <w:rFonts w:hint="eastAsia" w:ascii="宋体" w:hAnsi="宋体" w:cs="宋体"/>
                <w:sz w:val="24"/>
              </w:rPr>
            </w:pPr>
            <w:r>
              <w:rPr>
                <w:rFonts w:hint="eastAsia" w:ascii="宋体" w:hAnsi="宋体" w:cs="宋体"/>
                <w:kern w:val="0"/>
                <w:sz w:val="24"/>
                <w:lang w:bidi="ar"/>
              </w:rPr>
              <w:t xml:space="preserve">    系统可以根据任务管理自动生成任务列表，包括宣教对象姓名，手机号码，自动任务名称，消息类型，消息内容，任务状态，计划执行时间，实际完成时间。系统可以根据任务状态查询执行成功和执行失败的数据。也可以手动执行任务。</w:t>
            </w:r>
          </w:p>
        </w:tc>
      </w:tr>
      <w:tr w14:paraId="0A48BB86">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8EF67F1">
            <w:pPr>
              <w:widowControl/>
              <w:jc w:val="center"/>
              <w:textAlignment w:val="center"/>
              <w:rPr>
                <w:rFonts w:hint="eastAsia" w:ascii="宋体" w:hAnsi="宋体" w:cs="宋体"/>
                <w:sz w:val="24"/>
              </w:rPr>
            </w:pPr>
            <w:r>
              <w:rPr>
                <w:rFonts w:hint="eastAsia" w:ascii="宋体" w:hAnsi="宋体" w:cs="宋体"/>
                <w:kern w:val="0"/>
                <w:sz w:val="24"/>
                <w:lang w:bidi="ar"/>
              </w:rPr>
              <w:t>370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37357F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B02D9F9">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7712297">
            <w:pPr>
              <w:widowControl/>
              <w:textAlignment w:val="center"/>
              <w:rPr>
                <w:rFonts w:hint="eastAsia" w:ascii="宋体" w:hAnsi="宋体" w:cs="宋体"/>
                <w:sz w:val="24"/>
              </w:rPr>
            </w:pPr>
            <w:r>
              <w:rPr>
                <w:rFonts w:hint="eastAsia" w:ascii="宋体" w:hAnsi="宋体" w:cs="宋体"/>
                <w:kern w:val="0"/>
                <w:sz w:val="24"/>
                <w:lang w:bidi="ar"/>
              </w:rPr>
              <w:t xml:space="preserve">    系统提供全面的个性化宣教数据查询与导出功能，支持对孕期健康教育宣传登记本，政策宣传登记本，孕产妇体检后满意度调查登记本，儿童体检后满意度调查登记本，儿童健康教育宣传登记本进行查询。同时针对每类查询结果，均提供导出功能，方便工作人员获取纸质或电子版本的登记信息，高效适配个性化宣教数据管理与使用的日常场景。</w:t>
            </w:r>
          </w:p>
        </w:tc>
      </w:tr>
      <w:tr w14:paraId="1BBFC53B">
        <w:tblPrEx>
          <w:tblCellMar>
            <w:top w:w="0" w:type="dxa"/>
            <w:left w:w="108" w:type="dxa"/>
            <w:bottom w:w="0" w:type="dxa"/>
            <w:right w:w="108" w:type="dxa"/>
          </w:tblCellMar>
        </w:tblPrEx>
        <w:trPr>
          <w:trHeight w:val="34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34EADCB">
            <w:pPr>
              <w:widowControl/>
              <w:jc w:val="center"/>
              <w:textAlignment w:val="center"/>
              <w:rPr>
                <w:rFonts w:hint="eastAsia" w:ascii="宋体" w:hAnsi="宋体" w:cs="宋体"/>
                <w:sz w:val="24"/>
              </w:rPr>
            </w:pPr>
            <w:r>
              <w:rPr>
                <w:rFonts w:hint="eastAsia" w:ascii="宋体" w:hAnsi="宋体" w:cs="宋体"/>
                <w:kern w:val="0"/>
                <w:sz w:val="24"/>
                <w:lang w:bidi="ar"/>
              </w:rPr>
              <w:t>372</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1C6DFB5F">
            <w:pPr>
              <w:widowControl/>
              <w:jc w:val="center"/>
              <w:textAlignment w:val="center"/>
              <w:rPr>
                <w:rFonts w:hint="eastAsia" w:ascii="宋体" w:hAnsi="宋体" w:cs="宋体"/>
                <w:sz w:val="24"/>
              </w:rPr>
            </w:pPr>
            <w:r>
              <w:rPr>
                <w:rFonts w:hint="eastAsia" w:ascii="宋体" w:hAnsi="宋体" w:cs="宋体"/>
                <w:kern w:val="0"/>
                <w:sz w:val="24"/>
                <w:lang w:bidi="ar"/>
              </w:rPr>
              <w:t>个性化提醒管理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42512EF3">
            <w:pPr>
              <w:widowControl/>
              <w:jc w:val="center"/>
              <w:textAlignment w:val="center"/>
              <w:rPr>
                <w:rFonts w:hint="eastAsia" w:ascii="宋体" w:hAnsi="宋体" w:cs="宋体"/>
                <w:sz w:val="24"/>
              </w:rPr>
            </w:pPr>
            <w:r>
              <w:rPr>
                <w:rFonts w:hint="eastAsia" w:ascii="宋体" w:hAnsi="宋体" w:cs="宋体"/>
                <w:kern w:val="0"/>
                <w:sz w:val="24"/>
                <w:lang w:bidi="ar"/>
              </w:rPr>
              <w:t>个性化提醒任务场景管理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F82E609">
            <w:pPr>
              <w:widowControl/>
              <w:textAlignment w:val="center"/>
              <w:rPr>
                <w:rFonts w:hint="eastAsia" w:ascii="宋体" w:hAnsi="宋体" w:cs="宋体"/>
                <w:sz w:val="24"/>
              </w:rPr>
            </w:pPr>
            <w:r>
              <w:rPr>
                <w:rFonts w:hint="eastAsia" w:ascii="宋体" w:hAnsi="宋体" w:cs="宋体"/>
                <w:kern w:val="0"/>
                <w:sz w:val="24"/>
                <w:lang w:bidi="ar"/>
              </w:rPr>
              <w:t xml:space="preserve">    可以在个性化提醒任务场景设置页面，新增任务场景记录，并生成任务场景管理列表，能够在列表修改和删除任务场景记录。能够对服务对象按照妇女、孕妇、儿童进行分类管理，能够按照业务条线对个性化提醒内容进行分类管理。</w:t>
            </w:r>
          </w:p>
        </w:tc>
      </w:tr>
      <w:tr w14:paraId="4AB2C2C9">
        <w:tblPrEx>
          <w:tblCellMar>
            <w:top w:w="0" w:type="dxa"/>
            <w:left w:w="108" w:type="dxa"/>
            <w:bottom w:w="0" w:type="dxa"/>
            <w:right w:w="108" w:type="dxa"/>
          </w:tblCellMar>
        </w:tblPrEx>
        <w:trPr>
          <w:trHeight w:val="31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FE39BC">
            <w:pPr>
              <w:widowControl/>
              <w:jc w:val="center"/>
              <w:textAlignment w:val="center"/>
              <w:rPr>
                <w:rFonts w:hint="eastAsia" w:ascii="宋体" w:hAnsi="宋体" w:cs="宋体"/>
                <w:sz w:val="24"/>
              </w:rPr>
            </w:pPr>
            <w:r>
              <w:rPr>
                <w:rFonts w:hint="eastAsia" w:ascii="宋体" w:hAnsi="宋体" w:cs="宋体"/>
                <w:kern w:val="0"/>
                <w:sz w:val="24"/>
                <w:lang w:bidi="ar"/>
              </w:rPr>
              <w:t>373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1F997D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F431C4C">
            <w:pPr>
              <w:widowControl/>
              <w:jc w:val="center"/>
              <w:textAlignment w:val="center"/>
              <w:rPr>
                <w:rFonts w:hint="eastAsia" w:ascii="宋体" w:hAnsi="宋体" w:cs="宋体"/>
                <w:sz w:val="24"/>
              </w:rPr>
            </w:pPr>
            <w:r>
              <w:rPr>
                <w:rFonts w:hint="eastAsia" w:ascii="宋体" w:hAnsi="宋体" w:cs="宋体"/>
                <w:kern w:val="0"/>
                <w:sz w:val="24"/>
                <w:lang w:bidi="ar"/>
              </w:rPr>
              <w:t>业务场景接口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2CA17FDB">
            <w:pPr>
              <w:widowControl/>
              <w:textAlignment w:val="center"/>
              <w:rPr>
                <w:rFonts w:hint="eastAsia" w:ascii="宋体" w:hAnsi="宋体" w:cs="宋体"/>
                <w:sz w:val="24"/>
              </w:rPr>
            </w:pPr>
            <w:r>
              <w:rPr>
                <w:rFonts w:hint="eastAsia" w:ascii="宋体" w:hAnsi="宋体" w:cs="宋体"/>
                <w:kern w:val="0"/>
                <w:sz w:val="24"/>
                <w:lang w:bidi="ar"/>
              </w:rPr>
              <w:t xml:space="preserve">    能够与“健苗工程”系统进行无缝对接，支持自动获取相关信息，能够获取服务对象在“健苗工程”系统中档案详情。</w:t>
            </w:r>
          </w:p>
        </w:tc>
      </w:tr>
      <w:tr w14:paraId="2DE16EF0">
        <w:tblPrEx>
          <w:tblCellMar>
            <w:top w:w="0" w:type="dxa"/>
            <w:left w:w="108" w:type="dxa"/>
            <w:bottom w:w="0" w:type="dxa"/>
            <w:right w:w="108" w:type="dxa"/>
          </w:tblCellMar>
        </w:tblPrEx>
        <w:trPr>
          <w:trHeight w:val="32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6E764C6">
            <w:pPr>
              <w:widowControl/>
              <w:jc w:val="center"/>
              <w:textAlignment w:val="center"/>
              <w:rPr>
                <w:rFonts w:hint="eastAsia" w:ascii="宋体" w:hAnsi="宋体" w:cs="宋体"/>
                <w:sz w:val="24"/>
              </w:rPr>
            </w:pPr>
            <w:r>
              <w:rPr>
                <w:rFonts w:hint="eastAsia" w:ascii="宋体" w:hAnsi="宋体" w:cs="宋体"/>
                <w:kern w:val="0"/>
                <w:sz w:val="24"/>
                <w:lang w:bidi="ar"/>
              </w:rPr>
              <w:t>374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611CBE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3C86429">
            <w:pPr>
              <w:widowControl/>
              <w:jc w:val="center"/>
              <w:textAlignment w:val="center"/>
              <w:rPr>
                <w:rFonts w:hint="eastAsia" w:ascii="宋体" w:hAnsi="宋体" w:cs="宋体"/>
                <w:sz w:val="24"/>
              </w:rPr>
            </w:pPr>
            <w:r>
              <w:rPr>
                <w:rFonts w:hint="eastAsia" w:ascii="宋体" w:hAnsi="宋体" w:cs="宋体"/>
                <w:kern w:val="0"/>
                <w:sz w:val="24"/>
                <w:lang w:bidi="ar"/>
              </w:rPr>
              <w:t>消息模板管理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19B773C8">
            <w:pPr>
              <w:widowControl/>
              <w:textAlignment w:val="center"/>
              <w:rPr>
                <w:rFonts w:hint="eastAsia" w:ascii="宋体" w:hAnsi="宋体" w:cs="宋体"/>
                <w:sz w:val="24"/>
              </w:rPr>
            </w:pPr>
            <w:r>
              <w:rPr>
                <w:rFonts w:hint="eastAsia" w:ascii="宋体" w:hAnsi="宋体" w:cs="宋体"/>
                <w:kern w:val="0"/>
                <w:sz w:val="24"/>
                <w:lang w:bidi="ar"/>
              </w:rPr>
              <w:t xml:space="preserve">   可以在消息管理页面新增、修改、删除消息模板，生成消息模板管理列表。可以设置模板名称，设置提醒渠道，提醒内容。</w:t>
            </w:r>
          </w:p>
        </w:tc>
      </w:tr>
      <w:tr w14:paraId="745DE0B8">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C69B844">
            <w:pPr>
              <w:widowControl/>
              <w:jc w:val="center"/>
              <w:textAlignment w:val="center"/>
              <w:rPr>
                <w:rFonts w:hint="eastAsia" w:ascii="宋体" w:hAnsi="宋体" w:cs="宋体"/>
                <w:sz w:val="24"/>
              </w:rPr>
            </w:pPr>
            <w:r>
              <w:rPr>
                <w:rFonts w:hint="eastAsia" w:ascii="宋体" w:hAnsi="宋体" w:cs="宋体"/>
                <w:kern w:val="0"/>
                <w:sz w:val="24"/>
                <w:lang w:bidi="ar"/>
              </w:rPr>
              <w:t>375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CEE2B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1DB7FE9">
            <w:pPr>
              <w:widowControl/>
              <w:jc w:val="center"/>
              <w:textAlignment w:val="center"/>
              <w:rPr>
                <w:rFonts w:hint="eastAsia" w:ascii="宋体" w:hAnsi="宋体" w:cs="宋体"/>
                <w:sz w:val="24"/>
              </w:rPr>
            </w:pPr>
            <w:r>
              <w:rPr>
                <w:rFonts w:hint="eastAsia" w:ascii="宋体" w:hAnsi="宋体" w:cs="宋体"/>
                <w:kern w:val="0"/>
                <w:sz w:val="24"/>
                <w:lang w:bidi="ar"/>
              </w:rPr>
              <w:t>任务管理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CC6DECA">
            <w:pPr>
              <w:widowControl/>
              <w:textAlignment w:val="center"/>
              <w:rPr>
                <w:rFonts w:hint="eastAsia" w:ascii="宋体" w:hAnsi="宋体" w:cs="宋体"/>
                <w:sz w:val="24"/>
              </w:rPr>
            </w:pPr>
            <w:r>
              <w:rPr>
                <w:rFonts w:hint="eastAsia" w:ascii="宋体" w:hAnsi="宋体" w:cs="宋体"/>
                <w:kern w:val="0"/>
                <w:sz w:val="24"/>
                <w:lang w:bidi="ar"/>
              </w:rPr>
              <w:t xml:space="preserve">    管理员可以打开任务管理页面，新增自动任务，生成任务管理列表，并修改和删除任务。可以将业务场景和消息模板通过任务关联，生成定时任务，控制任务的开启状态。可以设置生成任务列表时间，开始执行任务时间和结束执行任务时间。</w:t>
            </w:r>
          </w:p>
        </w:tc>
      </w:tr>
      <w:tr w14:paraId="55E75061">
        <w:tblPrEx>
          <w:tblCellMar>
            <w:top w:w="0" w:type="dxa"/>
            <w:left w:w="108" w:type="dxa"/>
            <w:bottom w:w="0" w:type="dxa"/>
            <w:right w:w="108" w:type="dxa"/>
          </w:tblCellMar>
        </w:tblPrEx>
        <w:trPr>
          <w:trHeight w:val="37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082DE11">
            <w:pPr>
              <w:widowControl/>
              <w:jc w:val="center"/>
              <w:textAlignment w:val="center"/>
              <w:rPr>
                <w:rFonts w:hint="eastAsia" w:ascii="宋体" w:hAnsi="宋体" w:cs="宋体"/>
                <w:sz w:val="24"/>
              </w:rPr>
            </w:pPr>
            <w:r>
              <w:rPr>
                <w:rFonts w:hint="eastAsia" w:ascii="宋体" w:hAnsi="宋体" w:cs="宋体"/>
                <w:kern w:val="0"/>
                <w:sz w:val="24"/>
                <w:lang w:bidi="ar"/>
              </w:rPr>
              <w:t>376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78E095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F084BC8">
            <w:pPr>
              <w:widowControl/>
              <w:jc w:val="center"/>
              <w:textAlignment w:val="center"/>
              <w:rPr>
                <w:rFonts w:hint="eastAsia" w:ascii="宋体" w:hAnsi="宋体" w:cs="宋体"/>
                <w:sz w:val="24"/>
              </w:rPr>
            </w:pPr>
            <w:r>
              <w:rPr>
                <w:rFonts w:hint="eastAsia" w:ascii="宋体" w:hAnsi="宋体" w:cs="宋体"/>
                <w:kern w:val="0"/>
                <w:sz w:val="24"/>
                <w:lang w:bidi="ar"/>
              </w:rPr>
              <w:t>任务列表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6C500BF3">
            <w:pPr>
              <w:widowControl/>
              <w:textAlignment w:val="center"/>
              <w:rPr>
                <w:rFonts w:hint="eastAsia" w:ascii="宋体" w:hAnsi="宋体" w:cs="宋体"/>
                <w:sz w:val="24"/>
              </w:rPr>
            </w:pPr>
            <w:r>
              <w:rPr>
                <w:rFonts w:hint="eastAsia" w:ascii="宋体" w:hAnsi="宋体" w:cs="宋体"/>
                <w:kern w:val="0"/>
                <w:sz w:val="24"/>
                <w:lang w:bidi="ar"/>
              </w:rPr>
              <w:t xml:space="preserve">    系统可以根据任务管理自动生成任务列表，包括提醒对象姓名，手机号码，自动任务名称，消息类型，消息内容，任务状态，计划执行时间，实际完成时间。系统可以根据任务状态查询执行成功和执行失败的数据。也可以手动执行任务。</w:t>
            </w:r>
          </w:p>
        </w:tc>
      </w:tr>
      <w:tr w14:paraId="04DA4218">
        <w:tblPrEx>
          <w:tblCellMar>
            <w:top w:w="0" w:type="dxa"/>
            <w:left w:w="108" w:type="dxa"/>
            <w:bottom w:w="0" w:type="dxa"/>
            <w:right w:w="108" w:type="dxa"/>
          </w:tblCellMar>
        </w:tblPrEx>
        <w:trPr>
          <w:trHeight w:val="34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60370AE">
            <w:pPr>
              <w:widowControl/>
              <w:jc w:val="center"/>
              <w:textAlignment w:val="center"/>
              <w:rPr>
                <w:rFonts w:hint="eastAsia" w:ascii="宋体" w:hAnsi="宋体" w:cs="宋体"/>
                <w:sz w:val="24"/>
              </w:rPr>
            </w:pPr>
            <w:r>
              <w:rPr>
                <w:rFonts w:hint="eastAsia" w:ascii="宋体" w:hAnsi="宋体" w:cs="宋体"/>
                <w:kern w:val="0"/>
                <w:sz w:val="24"/>
                <w:lang w:bidi="ar"/>
              </w:rPr>
              <w:t>377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069C1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19E6F14">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26181494">
            <w:pPr>
              <w:widowControl/>
              <w:textAlignment w:val="center"/>
              <w:rPr>
                <w:rFonts w:hint="eastAsia" w:ascii="宋体" w:hAnsi="宋体" w:cs="宋体"/>
                <w:sz w:val="24"/>
              </w:rPr>
            </w:pPr>
            <w:r>
              <w:rPr>
                <w:rFonts w:hint="eastAsia" w:ascii="宋体" w:hAnsi="宋体" w:cs="宋体"/>
                <w:kern w:val="0"/>
                <w:sz w:val="24"/>
                <w:lang w:bidi="ar"/>
              </w:rPr>
              <w:t xml:space="preserve">    系统提供全面的个性化提醒数据查询与导出功能，支持对高危孕产妇产检随访提醒登记本，产后访视随访登记本，高危儿健康管理随访登记本，新生儿随访提醒登记本，出生证办理提醒登记本，新生儿疾病筛查提醒登记本，儿童定期体检提醒登记本，儿童发育筛查提醒登记本，新生儿听力筛查提醒登记本，乙肝母婴阻断检测提醒登记本，入园健康体检提醒登记本，孕产妇产筛提醒登记本进行查询。同时针对每类查询结果，均提供导出功能，方便工作人员获取纸质或电子版本的登记信息，高效适配个性提醒教数据管理与使用的日常场景。</w:t>
            </w:r>
          </w:p>
        </w:tc>
      </w:tr>
      <w:tr w14:paraId="7E989661">
        <w:tblPrEx>
          <w:tblCellMar>
            <w:top w:w="0" w:type="dxa"/>
            <w:left w:w="108" w:type="dxa"/>
            <w:bottom w:w="0" w:type="dxa"/>
            <w:right w:w="108" w:type="dxa"/>
          </w:tblCellMar>
        </w:tblPrEx>
        <w:trPr>
          <w:trHeight w:val="55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263B68">
            <w:pPr>
              <w:widowControl/>
              <w:jc w:val="center"/>
              <w:textAlignment w:val="center"/>
              <w:rPr>
                <w:rFonts w:hint="eastAsia" w:ascii="宋体" w:hAnsi="宋体" w:cs="宋体"/>
                <w:sz w:val="24"/>
              </w:rPr>
            </w:pPr>
            <w:r>
              <w:rPr>
                <w:rFonts w:hint="eastAsia" w:ascii="宋体" w:hAnsi="宋体" w:cs="宋体"/>
                <w:kern w:val="0"/>
                <w:sz w:val="24"/>
                <w:lang w:bidi="ar"/>
              </w:rPr>
              <w:t>379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09C1D076">
            <w:pPr>
              <w:widowControl/>
              <w:jc w:val="center"/>
              <w:textAlignment w:val="center"/>
              <w:rPr>
                <w:rFonts w:hint="eastAsia" w:ascii="宋体" w:hAnsi="宋体" w:cs="宋体"/>
                <w:sz w:val="24"/>
              </w:rPr>
            </w:pPr>
            <w:r>
              <w:rPr>
                <w:rFonts w:hint="eastAsia" w:ascii="宋体" w:hAnsi="宋体" w:cs="宋体"/>
                <w:kern w:val="0"/>
                <w:sz w:val="24"/>
                <w:lang w:bidi="ar"/>
              </w:rPr>
              <w:t>母婴学堂管理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6B6703E0">
            <w:pPr>
              <w:widowControl/>
              <w:jc w:val="center"/>
              <w:textAlignment w:val="center"/>
              <w:rPr>
                <w:rFonts w:hint="eastAsia" w:ascii="宋体" w:hAnsi="宋体" w:cs="宋体"/>
                <w:sz w:val="24"/>
              </w:rPr>
            </w:pPr>
            <w:r>
              <w:rPr>
                <w:rFonts w:hint="eastAsia" w:ascii="宋体" w:hAnsi="宋体" w:cs="宋体"/>
                <w:kern w:val="0"/>
                <w:sz w:val="24"/>
                <w:lang w:bidi="ar"/>
              </w:rPr>
              <w:t>孕妇课程管理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A0C8D60">
            <w:pPr>
              <w:widowControl/>
              <w:textAlignment w:val="center"/>
              <w:rPr>
                <w:rFonts w:hint="eastAsia" w:ascii="宋体" w:hAnsi="宋体" w:cs="宋体"/>
                <w:sz w:val="24"/>
              </w:rPr>
            </w:pPr>
            <w:r>
              <w:rPr>
                <w:rFonts w:hint="eastAsia" w:ascii="宋体" w:hAnsi="宋体" w:cs="宋体"/>
                <w:kern w:val="0"/>
                <w:sz w:val="24"/>
                <w:lang w:bidi="ar"/>
              </w:rPr>
              <w:t>医生可以打开孕妇课程设置页面，设置课程分类，课程名称，开课时间，主讲老师等信息，生成孕妇课程管理列表。在列表上，医生可以修改课程信息，查看课程评价。可以将课程信息生成二维码，下载并打印二维码。医生可以导出所有课程信息。孕妇可以在手机端查看课程详情和已累计的课程积分。孕妇可以用手机进行签到或者扫码签到，课程结束后，孕妇可以对课程或者主讲老师进行评价。</w:t>
            </w:r>
          </w:p>
        </w:tc>
      </w:tr>
      <w:tr w14:paraId="5517F289">
        <w:tblPrEx>
          <w:tblCellMar>
            <w:top w:w="0" w:type="dxa"/>
            <w:left w:w="108" w:type="dxa"/>
            <w:bottom w:w="0" w:type="dxa"/>
            <w:right w:w="108" w:type="dxa"/>
          </w:tblCellMar>
        </w:tblPrEx>
        <w:trPr>
          <w:trHeight w:val="81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ECE06C4">
            <w:pPr>
              <w:widowControl/>
              <w:jc w:val="center"/>
              <w:textAlignment w:val="center"/>
              <w:rPr>
                <w:rFonts w:hint="eastAsia" w:ascii="宋体" w:hAnsi="宋体" w:cs="宋体"/>
                <w:sz w:val="24"/>
              </w:rPr>
            </w:pPr>
            <w:r>
              <w:rPr>
                <w:rFonts w:hint="eastAsia" w:ascii="宋体" w:hAnsi="宋体" w:cs="宋体"/>
                <w:kern w:val="0"/>
                <w:sz w:val="24"/>
                <w:lang w:bidi="ar"/>
              </w:rPr>
              <w:t>380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0E66D0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F1D853">
            <w:pPr>
              <w:widowControl/>
              <w:jc w:val="center"/>
              <w:textAlignment w:val="center"/>
              <w:rPr>
                <w:rFonts w:hint="eastAsia" w:ascii="宋体" w:hAnsi="宋体" w:cs="宋体"/>
                <w:sz w:val="24"/>
              </w:rPr>
            </w:pPr>
            <w:r>
              <w:rPr>
                <w:rFonts w:hint="eastAsia" w:ascii="宋体" w:hAnsi="宋体" w:cs="宋体"/>
                <w:kern w:val="0"/>
                <w:sz w:val="24"/>
                <w:lang w:bidi="ar"/>
              </w:rPr>
              <w:t>儿童课程管理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304AAC4">
            <w:pPr>
              <w:widowControl/>
              <w:textAlignment w:val="center"/>
              <w:rPr>
                <w:rFonts w:hint="eastAsia" w:ascii="宋体" w:hAnsi="宋体" w:cs="宋体"/>
                <w:sz w:val="24"/>
              </w:rPr>
            </w:pPr>
            <w:r>
              <w:rPr>
                <w:rFonts w:hint="eastAsia" w:ascii="宋体" w:hAnsi="宋体" w:cs="宋体"/>
                <w:kern w:val="0"/>
                <w:sz w:val="24"/>
                <w:lang w:bidi="ar"/>
              </w:rPr>
              <w:t>医生可以新增照护点信息，包括照护点名称，联系人信息。系统自动生成照护点列表，展示照护点的场馆特色。还可以发布照护点最新消息，设置课程，添加上课时间和结束时间，对课程进行简单描述，以及发布课程海报。可以修改和删除还未开始的课程。可以查看已报名的人员列表。可以代替家长对上课儿童进行签到，取消报名。可以对每个儿童上课情况进行评价。结束课程后，照护点人员可以对课程进行总结和自我评价。</w:t>
            </w:r>
            <w:r>
              <w:rPr>
                <w:rFonts w:hint="eastAsia" w:ascii="宋体" w:hAnsi="宋体" w:cs="宋体"/>
                <w:kern w:val="0"/>
                <w:sz w:val="24"/>
                <w:lang w:bidi="ar"/>
              </w:rPr>
              <w:br w:type="textWrapping"/>
            </w:r>
            <w:r>
              <w:rPr>
                <w:rFonts w:hint="eastAsia" w:ascii="宋体" w:hAnsi="宋体" w:cs="宋体"/>
                <w:kern w:val="0"/>
                <w:sz w:val="24"/>
                <w:lang w:bidi="ar"/>
              </w:rPr>
              <w:t>家长可以绑定儿童信息，关注照护点，查看照护点详情，包括照护点地址，联系人，场馆特色，最新消息。家长可以微信接收已关注照护点发布的最新消息。家长可以查看课程详情，并报名参加活动，对课程进行签到和取消报名。课程结束后，家长可以对课程进行评价。</w:t>
            </w:r>
          </w:p>
        </w:tc>
      </w:tr>
      <w:tr w14:paraId="55B7D05A">
        <w:tblPrEx>
          <w:tblCellMar>
            <w:top w:w="0" w:type="dxa"/>
            <w:left w:w="108" w:type="dxa"/>
            <w:bottom w:w="0" w:type="dxa"/>
            <w:right w:w="108" w:type="dxa"/>
          </w:tblCellMar>
        </w:tblPrEx>
        <w:trPr>
          <w:trHeight w:val="63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2C06559">
            <w:pPr>
              <w:widowControl/>
              <w:jc w:val="center"/>
              <w:textAlignment w:val="center"/>
              <w:rPr>
                <w:rFonts w:hint="eastAsia" w:ascii="宋体" w:hAnsi="宋体" w:cs="宋体"/>
                <w:sz w:val="24"/>
              </w:rPr>
            </w:pPr>
            <w:r>
              <w:rPr>
                <w:rFonts w:hint="eastAsia" w:ascii="宋体" w:hAnsi="宋体" w:cs="宋体"/>
                <w:kern w:val="0"/>
                <w:sz w:val="24"/>
                <w:lang w:bidi="ar"/>
              </w:rPr>
              <w:t>381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9FCD4F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3829BBC">
            <w:pPr>
              <w:widowControl/>
              <w:jc w:val="center"/>
              <w:textAlignment w:val="center"/>
              <w:rPr>
                <w:rFonts w:hint="eastAsia" w:ascii="宋体" w:hAnsi="宋体" w:cs="宋体"/>
                <w:sz w:val="24"/>
              </w:rPr>
            </w:pPr>
            <w:r>
              <w:rPr>
                <w:rFonts w:hint="eastAsia" w:ascii="宋体" w:hAnsi="宋体" w:cs="宋体"/>
                <w:kern w:val="0"/>
                <w:sz w:val="24"/>
                <w:lang w:bidi="ar"/>
              </w:rPr>
              <w:t>家访管理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49D6851">
            <w:pPr>
              <w:widowControl/>
              <w:textAlignment w:val="center"/>
              <w:rPr>
                <w:rFonts w:hint="eastAsia" w:ascii="宋体" w:hAnsi="宋体" w:cs="宋体"/>
                <w:sz w:val="24"/>
              </w:rPr>
            </w:pPr>
            <w:r>
              <w:rPr>
                <w:rFonts w:hint="eastAsia" w:ascii="宋体" w:hAnsi="宋体" w:cs="宋体"/>
                <w:kern w:val="0"/>
                <w:sz w:val="24"/>
                <w:lang w:bidi="ar"/>
              </w:rPr>
              <w:t>可以给家访人员注册手机端账号，生成用户列表。管理员可以审核家访人员身份信息和家访管理范围。医生对儿童进行养育风险筛查，并查询连续两次养育风险筛查阳性患儿。医生可以对需要家访人员进行预约家访时间，系统自动生成待家访列，可以在列表待家访儿童信息，录入家访结果，包括养育风险筛查，亲子活动指导等。医生可以查看家长对家访的评价。儿保医生还可以通知提醒家访人员进行家访。管理者通过列表或者地图查看管理范围内所有照护点详情。系统自动生成养育活动的统计，养育风险筛查统计和家访数据统计。</w:t>
            </w:r>
          </w:p>
        </w:tc>
      </w:tr>
      <w:tr w14:paraId="67530A7A">
        <w:tblPrEx>
          <w:tblCellMar>
            <w:top w:w="0" w:type="dxa"/>
            <w:left w:w="108" w:type="dxa"/>
            <w:bottom w:w="0" w:type="dxa"/>
            <w:right w:w="108" w:type="dxa"/>
          </w:tblCellMar>
        </w:tblPrEx>
        <w:trPr>
          <w:trHeight w:val="43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7C10050">
            <w:pPr>
              <w:widowControl/>
              <w:jc w:val="center"/>
              <w:textAlignment w:val="center"/>
              <w:rPr>
                <w:rFonts w:hint="eastAsia" w:ascii="宋体" w:hAnsi="宋体" w:cs="宋体"/>
                <w:sz w:val="24"/>
              </w:rPr>
            </w:pPr>
            <w:r>
              <w:rPr>
                <w:rFonts w:hint="eastAsia" w:ascii="宋体" w:hAnsi="宋体" w:cs="宋体"/>
                <w:kern w:val="0"/>
                <w:sz w:val="24"/>
                <w:lang w:bidi="ar"/>
              </w:rPr>
              <w:t>383</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1235BAF5">
            <w:pPr>
              <w:widowControl/>
              <w:jc w:val="center"/>
              <w:textAlignment w:val="center"/>
              <w:rPr>
                <w:rFonts w:hint="eastAsia" w:ascii="宋体" w:hAnsi="宋体" w:cs="宋体"/>
                <w:sz w:val="24"/>
              </w:rPr>
            </w:pPr>
            <w:r>
              <w:rPr>
                <w:rFonts w:hint="eastAsia" w:ascii="宋体" w:hAnsi="宋体" w:cs="宋体"/>
                <w:kern w:val="0"/>
                <w:sz w:val="24"/>
                <w:lang w:bidi="ar"/>
              </w:rPr>
              <w:t>自助服务管理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3251FDD4">
            <w:pPr>
              <w:widowControl/>
              <w:jc w:val="center"/>
              <w:textAlignment w:val="center"/>
              <w:rPr>
                <w:rFonts w:hint="eastAsia" w:ascii="宋体" w:hAnsi="宋体" w:cs="宋体"/>
                <w:sz w:val="24"/>
              </w:rPr>
            </w:pPr>
            <w:r>
              <w:rPr>
                <w:rFonts w:hint="eastAsia" w:ascii="宋体" w:hAnsi="宋体" w:cs="宋体"/>
                <w:kern w:val="0"/>
                <w:sz w:val="24"/>
                <w:lang w:bidi="ar"/>
              </w:rPr>
              <w:t>建立孕产妇档案信息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0E838A08">
            <w:pPr>
              <w:widowControl/>
              <w:textAlignment w:val="center"/>
              <w:rPr>
                <w:rFonts w:hint="eastAsia" w:ascii="宋体" w:hAnsi="宋体" w:cs="宋体"/>
                <w:sz w:val="24"/>
              </w:rPr>
            </w:pPr>
            <w:r>
              <w:rPr>
                <w:rFonts w:hint="eastAsia" w:ascii="宋体" w:hAnsi="宋体" w:cs="宋体"/>
                <w:kern w:val="0"/>
                <w:sz w:val="24"/>
                <w:lang w:bidi="ar"/>
              </w:rPr>
              <w:t xml:space="preserve">    系统实现为孕产妇提供自助建立电子健康档案的服务功能。用户首次使用需进入“我的-个人信息”页面，完成姓名、身份证号及电话等必要信息的录入并提交，方可进行自助筛查登记。</w:t>
            </w:r>
            <w:r>
              <w:rPr>
                <w:rFonts w:hint="eastAsia" w:ascii="宋体" w:hAnsi="宋体" w:cs="宋体"/>
                <w:kern w:val="0"/>
                <w:sz w:val="24"/>
                <w:lang w:bidi="ar"/>
              </w:rPr>
              <w:br w:type="textWrapping"/>
            </w:r>
            <w:r>
              <w:rPr>
                <w:rFonts w:hint="eastAsia" w:ascii="宋体" w:hAnsi="宋体" w:cs="宋体"/>
                <w:kern w:val="0"/>
                <w:sz w:val="24"/>
                <w:lang w:bidi="ar"/>
              </w:rPr>
              <w:t>系统支持对已建立的个案档案信息进行修改或删除。同时，用户可查看当前档案的结案状态，并支持手动操作结案，结案后可建立新的孕产妇档案，实现个人健康档案的自助管理。</w:t>
            </w:r>
          </w:p>
        </w:tc>
      </w:tr>
      <w:tr w14:paraId="6D774ADF">
        <w:tblPrEx>
          <w:tblCellMar>
            <w:top w:w="0" w:type="dxa"/>
            <w:left w:w="108" w:type="dxa"/>
            <w:bottom w:w="0" w:type="dxa"/>
            <w:right w:w="108" w:type="dxa"/>
          </w:tblCellMar>
        </w:tblPrEx>
        <w:trPr>
          <w:trHeight w:val="37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7C5E5A6">
            <w:pPr>
              <w:widowControl/>
              <w:jc w:val="center"/>
              <w:textAlignment w:val="center"/>
              <w:rPr>
                <w:rFonts w:hint="eastAsia" w:ascii="宋体" w:hAnsi="宋体" w:cs="宋体"/>
                <w:sz w:val="24"/>
              </w:rPr>
            </w:pPr>
            <w:r>
              <w:rPr>
                <w:rFonts w:hint="eastAsia" w:ascii="宋体" w:hAnsi="宋体" w:cs="宋体"/>
                <w:kern w:val="0"/>
                <w:sz w:val="24"/>
                <w:lang w:bidi="ar"/>
              </w:rPr>
              <w:t>384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E0810C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677BB45">
            <w:pPr>
              <w:widowControl/>
              <w:jc w:val="center"/>
              <w:textAlignment w:val="center"/>
              <w:rPr>
                <w:rFonts w:hint="eastAsia" w:ascii="宋体" w:hAnsi="宋体" w:cs="宋体"/>
                <w:sz w:val="24"/>
              </w:rPr>
            </w:pPr>
            <w:r>
              <w:rPr>
                <w:rFonts w:hint="eastAsia" w:ascii="宋体" w:hAnsi="宋体" w:cs="宋体"/>
                <w:kern w:val="0"/>
                <w:sz w:val="24"/>
                <w:lang w:bidi="ar"/>
              </w:rPr>
              <w:t>建立新生儿档案信息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0A5802FD">
            <w:pPr>
              <w:widowControl/>
              <w:textAlignment w:val="center"/>
              <w:rPr>
                <w:rFonts w:hint="eastAsia" w:ascii="宋体" w:hAnsi="宋体" w:cs="宋体"/>
                <w:sz w:val="24"/>
              </w:rPr>
            </w:pPr>
            <w:r>
              <w:rPr>
                <w:rFonts w:hint="eastAsia" w:ascii="宋体" w:hAnsi="宋体" w:cs="宋体"/>
                <w:kern w:val="0"/>
                <w:sz w:val="24"/>
                <w:lang w:bidi="ar"/>
              </w:rPr>
              <w:t xml:space="preserve">    系统实现便捷的新生儿档案自助建立服务功能。系统允许用户基于其已有的孕产妇档案，为新生儿创建独立的档案，并支持为一个孕产妇建立多个新生儿档案。同时，系统提供灵活的档案管理功能，允许对已建立的档案信息进行修改或删除操作，确保新生儿健康信息能够及时更新与维护。</w:t>
            </w:r>
          </w:p>
        </w:tc>
      </w:tr>
      <w:tr w14:paraId="29E53A7C">
        <w:tblPrEx>
          <w:tblCellMar>
            <w:top w:w="0" w:type="dxa"/>
            <w:left w:w="108" w:type="dxa"/>
            <w:bottom w:w="0" w:type="dxa"/>
            <w:right w:w="108" w:type="dxa"/>
          </w:tblCellMar>
        </w:tblPrEx>
        <w:trPr>
          <w:trHeight w:val="35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480383D">
            <w:pPr>
              <w:widowControl/>
              <w:jc w:val="center"/>
              <w:textAlignment w:val="center"/>
              <w:rPr>
                <w:rFonts w:hint="eastAsia" w:ascii="宋体" w:hAnsi="宋体" w:cs="宋体"/>
                <w:sz w:val="24"/>
              </w:rPr>
            </w:pPr>
            <w:r>
              <w:rPr>
                <w:rFonts w:hint="eastAsia" w:ascii="宋体" w:hAnsi="宋体" w:cs="宋体"/>
                <w:kern w:val="0"/>
                <w:sz w:val="24"/>
                <w:lang w:bidi="ar"/>
              </w:rPr>
              <w:t>385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5FA2CF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99AD68B">
            <w:pPr>
              <w:widowControl/>
              <w:jc w:val="center"/>
              <w:textAlignment w:val="center"/>
              <w:rPr>
                <w:rFonts w:hint="eastAsia" w:ascii="宋体" w:hAnsi="宋体" w:cs="宋体"/>
                <w:sz w:val="24"/>
              </w:rPr>
            </w:pPr>
            <w:r>
              <w:rPr>
                <w:rFonts w:hint="eastAsia" w:ascii="宋体" w:hAnsi="宋体" w:cs="宋体"/>
                <w:kern w:val="0"/>
                <w:sz w:val="24"/>
                <w:lang w:bidi="ar"/>
              </w:rPr>
              <w:t>筛查项目管理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42566CB">
            <w:pPr>
              <w:widowControl/>
              <w:textAlignment w:val="center"/>
              <w:rPr>
                <w:rFonts w:hint="eastAsia" w:ascii="宋体" w:hAnsi="宋体" w:cs="宋体"/>
                <w:sz w:val="24"/>
              </w:rPr>
            </w:pPr>
            <w:r>
              <w:rPr>
                <w:rFonts w:hint="eastAsia" w:ascii="宋体" w:hAnsi="宋体" w:cs="宋体"/>
                <w:kern w:val="0"/>
                <w:sz w:val="24"/>
                <w:lang w:bidi="ar"/>
              </w:rPr>
              <w:t xml:space="preserve">    系统实现对孕产妇及新生儿筛查项目的集中配置管理。通过此功能，可以分别设定孕产妇与新生儿所需的筛查项目清单，并为每个筛查项目设定相应的费用标准。</w:t>
            </w:r>
          </w:p>
        </w:tc>
      </w:tr>
      <w:tr w14:paraId="382EF137">
        <w:tblPrEx>
          <w:tblCellMar>
            <w:top w:w="0" w:type="dxa"/>
            <w:left w:w="108" w:type="dxa"/>
            <w:bottom w:w="0" w:type="dxa"/>
            <w:right w:w="108" w:type="dxa"/>
          </w:tblCellMar>
        </w:tblPrEx>
        <w:trPr>
          <w:trHeight w:val="49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A017E7D">
            <w:pPr>
              <w:widowControl/>
              <w:jc w:val="center"/>
              <w:textAlignment w:val="center"/>
              <w:rPr>
                <w:rFonts w:hint="eastAsia" w:ascii="宋体" w:hAnsi="宋体" w:cs="宋体"/>
                <w:sz w:val="24"/>
              </w:rPr>
            </w:pPr>
            <w:r>
              <w:rPr>
                <w:rFonts w:hint="eastAsia" w:ascii="宋体" w:hAnsi="宋体" w:cs="宋体"/>
                <w:kern w:val="0"/>
                <w:sz w:val="24"/>
                <w:lang w:bidi="ar"/>
              </w:rPr>
              <w:t>386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65E5A47">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CBA199A">
            <w:pPr>
              <w:widowControl/>
              <w:jc w:val="center"/>
              <w:textAlignment w:val="center"/>
              <w:rPr>
                <w:rFonts w:hint="eastAsia" w:ascii="宋体" w:hAnsi="宋体" w:cs="宋体"/>
                <w:sz w:val="24"/>
              </w:rPr>
            </w:pPr>
            <w:r>
              <w:rPr>
                <w:rFonts w:hint="eastAsia" w:ascii="宋体" w:hAnsi="宋体" w:cs="宋体"/>
                <w:kern w:val="0"/>
                <w:sz w:val="24"/>
                <w:lang w:bidi="ar"/>
              </w:rPr>
              <w:t>孕产妇筛查申请</w:t>
            </w:r>
          </w:p>
        </w:tc>
        <w:tc>
          <w:tcPr>
            <w:tcW w:w="9687" w:type="dxa"/>
            <w:tcBorders>
              <w:top w:val="single" w:color="000000" w:sz="4" w:space="0"/>
              <w:left w:val="single" w:color="000000" w:sz="4" w:space="0"/>
              <w:bottom w:val="single" w:color="000000" w:sz="4" w:space="0"/>
              <w:right w:val="single" w:color="000000" w:sz="4" w:space="0"/>
            </w:tcBorders>
            <w:vAlign w:val="center"/>
          </w:tcPr>
          <w:p w14:paraId="3A75118C">
            <w:pPr>
              <w:widowControl/>
              <w:textAlignment w:val="center"/>
              <w:rPr>
                <w:rFonts w:hint="eastAsia" w:ascii="宋体" w:hAnsi="宋体" w:cs="宋体"/>
                <w:sz w:val="24"/>
              </w:rPr>
            </w:pPr>
            <w:r>
              <w:rPr>
                <w:rFonts w:hint="eastAsia" w:ascii="宋体" w:hAnsi="宋体" w:cs="宋体"/>
                <w:kern w:val="0"/>
                <w:sz w:val="24"/>
                <w:lang w:bidi="ar"/>
              </w:rPr>
              <w:t xml:space="preserve">    系统为孕产妇提供在线筛查申请服务。孕产妇可在筛查申请页面，根据孕期情况选择适宜的筛查项目并填写申请单。系统支持灵活的申请流程，允许孕产妇在提交申请后取消当前申请，并可再次重新提交新的筛查申请。</w:t>
            </w:r>
          </w:p>
        </w:tc>
      </w:tr>
      <w:tr w14:paraId="372EE632">
        <w:tblPrEx>
          <w:tblCellMar>
            <w:top w:w="0" w:type="dxa"/>
            <w:left w:w="108" w:type="dxa"/>
            <w:bottom w:w="0" w:type="dxa"/>
            <w:right w:w="108" w:type="dxa"/>
          </w:tblCellMar>
        </w:tblPrEx>
        <w:trPr>
          <w:trHeight w:val="522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BE89E26">
            <w:pPr>
              <w:widowControl/>
              <w:jc w:val="center"/>
              <w:textAlignment w:val="center"/>
              <w:rPr>
                <w:rFonts w:hint="eastAsia" w:ascii="宋体" w:hAnsi="宋体" w:cs="宋体"/>
                <w:sz w:val="24"/>
              </w:rPr>
            </w:pPr>
            <w:r>
              <w:rPr>
                <w:rFonts w:hint="eastAsia" w:ascii="宋体" w:hAnsi="宋体" w:cs="宋体"/>
                <w:kern w:val="0"/>
                <w:sz w:val="24"/>
                <w:lang w:bidi="ar"/>
              </w:rPr>
              <w:t>387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608097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D602F91">
            <w:pPr>
              <w:widowControl/>
              <w:jc w:val="center"/>
              <w:textAlignment w:val="center"/>
              <w:rPr>
                <w:rFonts w:hint="eastAsia" w:ascii="宋体" w:hAnsi="宋体" w:cs="宋体"/>
                <w:sz w:val="24"/>
              </w:rPr>
            </w:pPr>
            <w:r>
              <w:rPr>
                <w:rFonts w:hint="eastAsia" w:ascii="宋体" w:hAnsi="宋体" w:cs="宋体"/>
                <w:kern w:val="0"/>
                <w:sz w:val="24"/>
                <w:lang w:bidi="ar"/>
              </w:rPr>
              <w:t>儿童筛查申请</w:t>
            </w:r>
          </w:p>
        </w:tc>
        <w:tc>
          <w:tcPr>
            <w:tcW w:w="9687" w:type="dxa"/>
            <w:tcBorders>
              <w:top w:val="single" w:color="000000" w:sz="4" w:space="0"/>
              <w:left w:val="single" w:color="000000" w:sz="4" w:space="0"/>
              <w:bottom w:val="single" w:color="000000" w:sz="4" w:space="0"/>
              <w:right w:val="single" w:color="000000" w:sz="4" w:space="0"/>
            </w:tcBorders>
            <w:vAlign w:val="center"/>
          </w:tcPr>
          <w:p w14:paraId="0E0D8188">
            <w:pPr>
              <w:widowControl/>
              <w:textAlignment w:val="center"/>
              <w:rPr>
                <w:rFonts w:hint="eastAsia" w:ascii="宋体" w:hAnsi="宋体" w:cs="宋体"/>
                <w:sz w:val="24"/>
              </w:rPr>
            </w:pPr>
            <w:r>
              <w:rPr>
                <w:rFonts w:hint="eastAsia" w:ascii="宋体" w:hAnsi="宋体" w:cs="宋体"/>
                <w:kern w:val="0"/>
                <w:sz w:val="24"/>
                <w:lang w:bidi="ar"/>
              </w:rPr>
              <w:t xml:space="preserve">    系统为儿童提供在线筛查申请服务。进入儿童筛查申请页面，根据需求选择适宜的筛查项目并填写申请单。系统支持灵活的申请管理，允许在提交申请后取消当前申请，并可随时再次提交新的筛查申请。</w:t>
            </w:r>
          </w:p>
        </w:tc>
      </w:tr>
      <w:tr w14:paraId="18BF2155">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D41D0F3">
            <w:pPr>
              <w:widowControl/>
              <w:jc w:val="center"/>
              <w:textAlignment w:val="center"/>
              <w:rPr>
                <w:rFonts w:hint="eastAsia" w:ascii="宋体" w:hAnsi="宋体" w:cs="宋体"/>
                <w:sz w:val="24"/>
              </w:rPr>
            </w:pPr>
            <w:r>
              <w:rPr>
                <w:rFonts w:hint="eastAsia" w:ascii="宋体" w:hAnsi="宋体" w:cs="宋体"/>
                <w:kern w:val="0"/>
                <w:sz w:val="24"/>
                <w:lang w:bidi="ar"/>
              </w:rPr>
              <w:t>388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0F9CA6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9D5A563">
            <w:pPr>
              <w:widowControl/>
              <w:jc w:val="center"/>
              <w:textAlignment w:val="center"/>
              <w:rPr>
                <w:rFonts w:hint="eastAsia" w:ascii="宋体" w:hAnsi="宋体" w:cs="宋体"/>
                <w:sz w:val="24"/>
              </w:rPr>
            </w:pPr>
            <w:r>
              <w:rPr>
                <w:rFonts w:hint="eastAsia" w:ascii="宋体" w:hAnsi="宋体" w:cs="宋体"/>
                <w:kern w:val="0"/>
                <w:sz w:val="24"/>
                <w:lang w:bidi="ar"/>
              </w:rPr>
              <w:t>付费管理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43678A4">
            <w:pPr>
              <w:widowControl/>
              <w:textAlignment w:val="center"/>
              <w:rPr>
                <w:rFonts w:hint="eastAsia" w:ascii="宋体" w:hAnsi="宋体" w:cs="宋体"/>
                <w:sz w:val="24"/>
              </w:rPr>
            </w:pPr>
            <w:r>
              <w:rPr>
                <w:rFonts w:hint="eastAsia" w:ascii="宋体" w:hAnsi="宋体" w:cs="宋体"/>
                <w:kern w:val="0"/>
                <w:sz w:val="24"/>
                <w:lang w:bidi="ar"/>
              </w:rPr>
              <w:t xml:space="preserve">   系统实现为筛查服务项目的费用管理功能。系统会根据服务对象选择的筛查项目自动核算费用，并支持通过微信支付完成缴费。用户可在填写筛查申请时直接完成支付，若申请时未立即缴费，也可在后续通过订单页面进行补缴，实现灵活操作。</w:t>
            </w:r>
          </w:p>
        </w:tc>
      </w:tr>
      <w:tr w14:paraId="2BAAE5EC">
        <w:tblPrEx>
          <w:tblCellMar>
            <w:top w:w="0" w:type="dxa"/>
            <w:left w:w="108" w:type="dxa"/>
            <w:bottom w:w="0" w:type="dxa"/>
            <w:right w:w="108" w:type="dxa"/>
          </w:tblCellMar>
        </w:tblPrEx>
        <w:trPr>
          <w:trHeight w:val="26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76E6B54">
            <w:pPr>
              <w:widowControl/>
              <w:jc w:val="center"/>
              <w:textAlignment w:val="center"/>
              <w:rPr>
                <w:rFonts w:hint="eastAsia" w:ascii="宋体" w:hAnsi="宋体" w:cs="宋体"/>
                <w:sz w:val="24"/>
              </w:rPr>
            </w:pPr>
            <w:r>
              <w:rPr>
                <w:rFonts w:hint="eastAsia" w:ascii="宋体" w:hAnsi="宋体" w:cs="宋体"/>
                <w:kern w:val="0"/>
                <w:sz w:val="24"/>
                <w:lang w:bidi="ar"/>
              </w:rPr>
              <w:t>389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218713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EBC6D59">
            <w:pPr>
              <w:widowControl/>
              <w:jc w:val="center"/>
              <w:textAlignment w:val="center"/>
              <w:rPr>
                <w:rFonts w:hint="eastAsia" w:ascii="宋体" w:hAnsi="宋体" w:cs="宋体"/>
                <w:sz w:val="24"/>
              </w:rPr>
            </w:pPr>
            <w:r>
              <w:rPr>
                <w:rFonts w:hint="eastAsia" w:ascii="宋体" w:hAnsi="宋体" w:cs="宋体"/>
                <w:kern w:val="0"/>
                <w:sz w:val="24"/>
                <w:lang w:bidi="ar"/>
              </w:rPr>
              <w:t>发票管理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DBBE0C5">
            <w:pPr>
              <w:widowControl/>
              <w:textAlignment w:val="center"/>
              <w:rPr>
                <w:rFonts w:hint="eastAsia" w:ascii="宋体" w:hAnsi="宋体" w:cs="宋体"/>
                <w:sz w:val="24"/>
              </w:rPr>
            </w:pPr>
            <w:r>
              <w:rPr>
                <w:rFonts w:hint="eastAsia" w:ascii="宋体" w:hAnsi="宋体" w:cs="宋体"/>
                <w:kern w:val="0"/>
                <w:sz w:val="24"/>
                <w:lang w:bidi="ar"/>
              </w:rPr>
              <w:t xml:space="preserve">    系统实现为用户提供便捷的电子发票服务功能。用户在完成筛查项目支付后，可根据需要在线提交开票申请，填写用于接收电子发票的电子邮箱地址或手机号码，系统将根据申请信息自动完成电子发票的发放。</w:t>
            </w:r>
          </w:p>
        </w:tc>
      </w:tr>
      <w:tr w14:paraId="13A59570">
        <w:tblPrEx>
          <w:tblCellMar>
            <w:top w:w="0" w:type="dxa"/>
            <w:left w:w="108" w:type="dxa"/>
            <w:bottom w:w="0" w:type="dxa"/>
            <w:right w:w="108" w:type="dxa"/>
          </w:tblCellMar>
        </w:tblPrEx>
        <w:trPr>
          <w:trHeight w:val="35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643480E">
            <w:pPr>
              <w:widowControl/>
              <w:jc w:val="center"/>
              <w:textAlignment w:val="center"/>
              <w:rPr>
                <w:rFonts w:hint="eastAsia" w:ascii="宋体" w:hAnsi="宋体" w:cs="宋体"/>
                <w:sz w:val="24"/>
              </w:rPr>
            </w:pPr>
            <w:r>
              <w:rPr>
                <w:rFonts w:hint="eastAsia" w:ascii="宋体" w:hAnsi="宋体" w:cs="宋体"/>
                <w:kern w:val="0"/>
                <w:sz w:val="24"/>
                <w:lang w:bidi="ar"/>
              </w:rPr>
              <w:t>390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E30193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643AABE">
            <w:pPr>
              <w:widowControl/>
              <w:jc w:val="center"/>
              <w:textAlignment w:val="center"/>
              <w:rPr>
                <w:rFonts w:hint="eastAsia" w:ascii="宋体" w:hAnsi="宋体" w:cs="宋体"/>
                <w:sz w:val="24"/>
              </w:rPr>
            </w:pPr>
            <w:r>
              <w:rPr>
                <w:rFonts w:hint="eastAsia" w:ascii="宋体" w:hAnsi="宋体" w:cs="宋体"/>
                <w:kern w:val="0"/>
                <w:sz w:val="24"/>
                <w:lang w:bidi="ar"/>
              </w:rPr>
              <w:t>自助结果查询</w:t>
            </w:r>
          </w:p>
        </w:tc>
        <w:tc>
          <w:tcPr>
            <w:tcW w:w="9687" w:type="dxa"/>
            <w:tcBorders>
              <w:top w:val="single" w:color="000000" w:sz="4" w:space="0"/>
              <w:left w:val="single" w:color="000000" w:sz="4" w:space="0"/>
              <w:bottom w:val="single" w:color="000000" w:sz="4" w:space="0"/>
              <w:right w:val="single" w:color="000000" w:sz="4" w:space="0"/>
            </w:tcBorders>
            <w:vAlign w:val="center"/>
          </w:tcPr>
          <w:p w14:paraId="2CFA268C">
            <w:pPr>
              <w:widowControl/>
              <w:textAlignment w:val="center"/>
              <w:rPr>
                <w:rFonts w:hint="eastAsia" w:ascii="宋体" w:hAnsi="宋体" w:cs="宋体"/>
                <w:sz w:val="24"/>
              </w:rPr>
            </w:pPr>
            <w:r>
              <w:rPr>
                <w:rFonts w:hint="eastAsia" w:ascii="宋体" w:hAnsi="宋体" w:cs="宋体"/>
                <w:kern w:val="0"/>
                <w:sz w:val="24"/>
                <w:lang w:bidi="ar"/>
              </w:rPr>
              <w:t xml:space="preserve">    系统实现为服务对象提供筛查结果的自助查询服务功能。用户完成筛查后，可随时通过该功能自助查询筛查结果报告。</w:t>
            </w:r>
          </w:p>
        </w:tc>
      </w:tr>
      <w:tr w14:paraId="2B24C648">
        <w:tblPrEx>
          <w:tblCellMar>
            <w:top w:w="0" w:type="dxa"/>
            <w:left w:w="108" w:type="dxa"/>
            <w:bottom w:w="0" w:type="dxa"/>
            <w:right w:w="108" w:type="dxa"/>
          </w:tblCellMar>
        </w:tblPrEx>
        <w:trPr>
          <w:trHeight w:val="61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262B597">
            <w:pPr>
              <w:widowControl/>
              <w:jc w:val="center"/>
              <w:textAlignment w:val="center"/>
              <w:rPr>
                <w:rFonts w:hint="eastAsia" w:ascii="宋体" w:hAnsi="宋体" w:cs="宋体"/>
                <w:sz w:val="24"/>
              </w:rPr>
            </w:pPr>
            <w:r>
              <w:rPr>
                <w:rFonts w:hint="eastAsia" w:ascii="宋体" w:hAnsi="宋体" w:cs="宋体"/>
                <w:kern w:val="0"/>
                <w:sz w:val="24"/>
                <w:lang w:bidi="ar"/>
              </w:rPr>
              <w:t>392</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2FDD3BC5">
            <w:pPr>
              <w:widowControl/>
              <w:jc w:val="center"/>
              <w:textAlignment w:val="center"/>
              <w:rPr>
                <w:rFonts w:hint="eastAsia" w:ascii="宋体" w:hAnsi="宋体" w:cs="宋体"/>
                <w:sz w:val="24"/>
              </w:rPr>
            </w:pPr>
            <w:r>
              <w:rPr>
                <w:rFonts w:hint="eastAsia" w:ascii="宋体" w:hAnsi="宋体" w:cs="宋体"/>
                <w:kern w:val="0"/>
                <w:sz w:val="24"/>
                <w:lang w:bidi="ar"/>
              </w:rPr>
              <w:t>孕产妇身份核验</w:t>
            </w:r>
          </w:p>
        </w:tc>
        <w:tc>
          <w:tcPr>
            <w:tcW w:w="1313" w:type="dxa"/>
            <w:tcBorders>
              <w:top w:val="single" w:color="000000" w:sz="4" w:space="0"/>
              <w:left w:val="single" w:color="000000" w:sz="4" w:space="0"/>
              <w:bottom w:val="single" w:color="000000" w:sz="4" w:space="0"/>
              <w:right w:val="single" w:color="000000" w:sz="4" w:space="0"/>
            </w:tcBorders>
            <w:vAlign w:val="center"/>
          </w:tcPr>
          <w:p w14:paraId="554ACD35">
            <w:pPr>
              <w:widowControl/>
              <w:jc w:val="center"/>
              <w:textAlignment w:val="center"/>
              <w:rPr>
                <w:rFonts w:hint="eastAsia" w:ascii="宋体" w:hAnsi="宋体" w:cs="宋体"/>
                <w:sz w:val="24"/>
              </w:rPr>
            </w:pPr>
            <w:r>
              <w:rPr>
                <w:rFonts w:hint="eastAsia" w:ascii="宋体" w:hAnsi="宋体" w:cs="宋体"/>
                <w:kern w:val="0"/>
                <w:sz w:val="24"/>
                <w:lang w:bidi="ar"/>
              </w:rPr>
              <w:t>孕产妇身份核验</w:t>
            </w:r>
          </w:p>
        </w:tc>
        <w:tc>
          <w:tcPr>
            <w:tcW w:w="9687" w:type="dxa"/>
            <w:tcBorders>
              <w:top w:val="single" w:color="000000" w:sz="4" w:space="0"/>
              <w:left w:val="single" w:color="000000" w:sz="4" w:space="0"/>
              <w:bottom w:val="single" w:color="000000" w:sz="4" w:space="0"/>
              <w:right w:val="single" w:color="000000" w:sz="4" w:space="0"/>
            </w:tcBorders>
            <w:vAlign w:val="center"/>
          </w:tcPr>
          <w:p w14:paraId="31AF3F86">
            <w:pPr>
              <w:widowControl/>
              <w:textAlignment w:val="center"/>
              <w:rPr>
                <w:rFonts w:hint="eastAsia" w:ascii="宋体" w:hAnsi="宋体" w:cs="宋体"/>
                <w:sz w:val="24"/>
              </w:rPr>
            </w:pPr>
            <w:r>
              <w:rPr>
                <w:rStyle w:val="94"/>
                <w:rFonts w:hint="default"/>
                <w:color w:val="auto"/>
                <w:lang w:bidi="ar"/>
              </w:rPr>
              <w:t>孕产妇身份核验模块，通过自动化流程与权限管理，确保孕产妇身份信息的真实性与准确性。该模块实现的功能点概述如下：</w:t>
            </w:r>
            <w:r>
              <w:rPr>
                <w:rStyle w:val="94"/>
                <w:rFonts w:hint="default"/>
                <w:color w:val="auto"/>
                <w:lang w:bidi="ar"/>
              </w:rPr>
              <w:br w:type="textWrapping"/>
            </w:r>
            <w:r>
              <w:rPr>
                <w:rStyle w:val="94"/>
                <w:rFonts w:hint="default"/>
                <w:color w:val="auto"/>
                <w:lang w:bidi="ar"/>
              </w:rPr>
              <w:t>模块核心提供</w:t>
            </w:r>
            <w:r>
              <w:rPr>
                <w:rStyle w:val="192"/>
                <w:color w:val="auto"/>
                <w:lang w:bidi="ar"/>
              </w:rPr>
              <w:t>​​</w:t>
            </w:r>
            <w:r>
              <w:rPr>
                <w:rStyle w:val="94"/>
                <w:rFonts w:hint="default"/>
                <w:color w:val="auto"/>
                <w:lang w:bidi="ar"/>
              </w:rPr>
              <w:t>身份核验</w:t>
            </w:r>
            <w:r>
              <w:rPr>
                <w:rStyle w:val="192"/>
                <w:color w:val="auto"/>
                <w:lang w:bidi="ar"/>
              </w:rPr>
              <w:t>​​</w:t>
            </w:r>
            <w:r>
              <w:rPr>
                <w:rStyle w:val="94"/>
                <w:rFonts w:hint="default"/>
                <w:color w:val="auto"/>
                <w:lang w:bidi="ar"/>
              </w:rPr>
              <w:t>功能，并在核验后通过</w:t>
            </w:r>
            <w:r>
              <w:rPr>
                <w:rStyle w:val="192"/>
                <w:color w:val="auto"/>
                <w:lang w:bidi="ar"/>
              </w:rPr>
              <w:t>​​</w:t>
            </w:r>
            <w:r>
              <w:rPr>
                <w:rStyle w:val="94"/>
                <w:rFonts w:hint="default"/>
                <w:color w:val="auto"/>
                <w:lang w:bidi="ar"/>
              </w:rPr>
              <w:t>数据推送接口</w:t>
            </w:r>
            <w:r>
              <w:rPr>
                <w:rStyle w:val="192"/>
                <w:color w:val="auto"/>
                <w:lang w:bidi="ar"/>
              </w:rPr>
              <w:t>​​</w:t>
            </w:r>
            <w:r>
              <w:rPr>
                <w:rStyle w:val="94"/>
                <w:rFonts w:hint="default"/>
                <w:color w:val="auto"/>
                <w:lang w:bidi="ar"/>
              </w:rPr>
              <w:t>将结果自动同步至业务系统。其应用逻辑针对不同业务场景：在</w:t>
            </w:r>
            <w:r>
              <w:rPr>
                <w:rStyle w:val="192"/>
                <w:color w:val="auto"/>
                <w:lang w:bidi="ar"/>
              </w:rPr>
              <w:t>​​</w:t>
            </w:r>
            <w:r>
              <w:rPr>
                <w:rStyle w:val="94"/>
                <w:rFonts w:hint="default"/>
                <w:color w:val="auto"/>
                <w:lang w:bidi="ar"/>
              </w:rPr>
              <w:t>首次添加分娩记录</w:t>
            </w:r>
            <w:r>
              <w:rPr>
                <w:rStyle w:val="192"/>
                <w:color w:val="auto"/>
                <w:lang w:bidi="ar"/>
              </w:rPr>
              <w:t>​​</w:t>
            </w:r>
            <w:r>
              <w:rPr>
                <w:rStyle w:val="94"/>
                <w:rFonts w:hint="default"/>
                <w:color w:val="auto"/>
                <w:lang w:bidi="ar"/>
              </w:rPr>
              <w:t>时，页面将自动触发对当前时间前72小时内的核验结果进行匹配；对于</w:t>
            </w:r>
            <w:r>
              <w:rPr>
                <w:rStyle w:val="192"/>
                <w:color w:val="auto"/>
                <w:lang w:bidi="ar"/>
              </w:rPr>
              <w:t>​​</w:t>
            </w:r>
            <w:r>
              <w:rPr>
                <w:rStyle w:val="94"/>
                <w:rFonts w:hint="default"/>
                <w:color w:val="auto"/>
                <w:lang w:bidi="ar"/>
              </w:rPr>
              <w:t>已保存的记录</w:t>
            </w:r>
            <w:r>
              <w:rPr>
                <w:rStyle w:val="192"/>
                <w:color w:val="auto"/>
                <w:lang w:bidi="ar"/>
              </w:rPr>
              <w:t>​​</w:t>
            </w:r>
            <w:r>
              <w:rPr>
                <w:rStyle w:val="94"/>
                <w:rFonts w:hint="default"/>
                <w:color w:val="auto"/>
                <w:lang w:bidi="ar"/>
              </w:rPr>
              <w:t>，若状态为“未核验”，系统将在页面打开时进行提示，并在用户点击修改时强制触发72小时内的核验流程，若状态已为“通过”或“未通过”则不再重复核验。</w:t>
            </w:r>
            <w:r>
              <w:rPr>
                <w:rStyle w:val="94"/>
                <w:rFonts w:hint="default"/>
                <w:color w:val="auto"/>
                <w:lang w:bidi="ar"/>
              </w:rPr>
              <w:br w:type="textWrapping"/>
            </w:r>
            <w:r>
              <w:rPr>
                <w:rStyle w:val="94"/>
                <w:rFonts w:hint="default"/>
                <w:color w:val="auto"/>
                <w:lang w:bidi="ar"/>
              </w:rPr>
              <w:t>系统同时提供</w:t>
            </w:r>
            <w:r>
              <w:rPr>
                <w:rStyle w:val="192"/>
                <w:color w:val="auto"/>
                <w:lang w:bidi="ar"/>
              </w:rPr>
              <w:t>​​</w:t>
            </w:r>
            <w:r>
              <w:rPr>
                <w:rStyle w:val="94"/>
                <w:rFonts w:hint="default"/>
                <w:color w:val="auto"/>
                <w:lang w:bidi="ar"/>
              </w:rPr>
              <w:t>管理功能</w:t>
            </w:r>
            <w:r>
              <w:rPr>
                <w:rStyle w:val="192"/>
                <w:color w:val="auto"/>
                <w:lang w:bidi="ar"/>
              </w:rPr>
              <w:t>​​</w:t>
            </w:r>
            <w:r>
              <w:rPr>
                <w:rStyle w:val="94"/>
                <w:rFonts w:hint="default"/>
                <w:color w:val="auto"/>
                <w:lang w:bidi="ar"/>
              </w:rPr>
              <w:t>，包括对用户操作核验的</w:t>
            </w:r>
            <w:r>
              <w:rPr>
                <w:rStyle w:val="192"/>
                <w:color w:val="auto"/>
                <w:lang w:bidi="ar"/>
              </w:rPr>
              <w:t>​​</w:t>
            </w:r>
            <w:r>
              <w:rPr>
                <w:rStyle w:val="94"/>
                <w:rFonts w:hint="default"/>
                <w:color w:val="auto"/>
                <w:lang w:bidi="ar"/>
              </w:rPr>
              <w:t>权限进行授权或取消</w:t>
            </w:r>
            <w:r>
              <w:rPr>
                <w:rStyle w:val="192"/>
                <w:color w:val="auto"/>
                <w:lang w:bidi="ar"/>
              </w:rPr>
              <w:t>​​</w:t>
            </w:r>
            <w:r>
              <w:rPr>
                <w:rStyle w:val="94"/>
                <w:rFonts w:hint="default"/>
                <w:color w:val="auto"/>
                <w:lang w:bidi="ar"/>
              </w:rPr>
              <w:t>，并提供</w:t>
            </w:r>
            <w:r>
              <w:rPr>
                <w:rStyle w:val="192"/>
                <w:color w:val="auto"/>
                <w:lang w:bidi="ar"/>
              </w:rPr>
              <w:t>​​</w:t>
            </w:r>
            <w:r>
              <w:rPr>
                <w:rStyle w:val="94"/>
                <w:rFonts w:hint="default"/>
                <w:color w:val="auto"/>
                <w:lang w:bidi="ar"/>
              </w:rPr>
              <w:t>核验结果列表</w:t>
            </w:r>
            <w:r>
              <w:rPr>
                <w:rStyle w:val="192"/>
                <w:color w:val="auto"/>
                <w:lang w:bidi="ar"/>
              </w:rPr>
              <w:t>​​</w:t>
            </w:r>
            <w:r>
              <w:rPr>
                <w:rStyle w:val="94"/>
                <w:rFonts w:hint="default"/>
                <w:color w:val="auto"/>
                <w:lang w:bidi="ar"/>
              </w:rPr>
              <w:t>以供查询全部核验记录，并支持对核验失败的记录进行结果更正，从而形成完整的核验管理闭环。</w:t>
            </w:r>
          </w:p>
        </w:tc>
      </w:tr>
      <w:tr w14:paraId="19CA653F">
        <w:tblPrEx>
          <w:tblCellMar>
            <w:top w:w="0" w:type="dxa"/>
            <w:left w:w="108" w:type="dxa"/>
            <w:bottom w:w="0" w:type="dxa"/>
            <w:right w:w="108" w:type="dxa"/>
          </w:tblCellMar>
        </w:tblPrEx>
        <w:trPr>
          <w:trHeight w:val="34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CD78063">
            <w:pPr>
              <w:widowControl/>
              <w:jc w:val="center"/>
              <w:textAlignment w:val="center"/>
              <w:rPr>
                <w:rFonts w:hint="eastAsia" w:ascii="宋体" w:hAnsi="宋体" w:cs="宋体"/>
                <w:sz w:val="24"/>
              </w:rPr>
            </w:pPr>
            <w:r>
              <w:rPr>
                <w:rFonts w:hint="eastAsia" w:ascii="宋体" w:hAnsi="宋体" w:cs="宋体"/>
                <w:kern w:val="0"/>
                <w:sz w:val="24"/>
                <w:lang w:bidi="ar"/>
              </w:rPr>
              <w:t>393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26533B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F7D3CC8">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291ADEF">
            <w:pPr>
              <w:widowControl/>
              <w:textAlignment w:val="center"/>
              <w:rPr>
                <w:rFonts w:hint="eastAsia" w:ascii="宋体" w:hAnsi="宋体" w:cs="宋体"/>
                <w:sz w:val="24"/>
              </w:rPr>
            </w:pPr>
            <w:r>
              <w:rPr>
                <w:rStyle w:val="94"/>
                <w:rFonts w:hint="default"/>
                <w:color w:val="auto"/>
                <w:lang w:bidi="ar"/>
              </w:rPr>
              <w:t>孕产妇身份核验登记本模块，可以为管理工作提供清晰可查的核验数据台账。该模块功能聚焦于对身份核验记录的查询与导出，具体分为两个层面：</w:t>
            </w:r>
            <w:r>
              <w:rPr>
                <w:rStyle w:val="94"/>
                <w:rFonts w:hint="default"/>
                <w:color w:val="auto"/>
                <w:lang w:bidi="ar"/>
              </w:rPr>
              <w:br w:type="textWrapping"/>
            </w:r>
            <w:r>
              <w:rPr>
                <w:rStyle w:val="192"/>
                <w:color w:val="auto"/>
                <w:lang w:bidi="ar"/>
              </w:rPr>
              <w:t>​​</w:t>
            </w:r>
            <w:r>
              <w:rPr>
                <w:rStyle w:val="94"/>
                <w:rFonts w:hint="default"/>
                <w:color w:val="auto"/>
                <w:lang w:bidi="ar"/>
              </w:rPr>
              <w:t>全量核验记录管理</w:t>
            </w:r>
            <w:r>
              <w:rPr>
                <w:rStyle w:val="192"/>
                <w:color w:val="auto"/>
                <w:lang w:bidi="ar"/>
              </w:rPr>
              <w:t>​​</w:t>
            </w:r>
            <w:r>
              <w:rPr>
                <w:rStyle w:val="94"/>
                <w:rFonts w:hint="default"/>
                <w:color w:val="auto"/>
                <w:lang w:bidi="ar"/>
              </w:rPr>
              <w:t>：提供“孕产妇身份核验记录登记本”，支持查询所有核验操作的历史记录，并可导出完整数据，用于整体工作核查与存档。</w:t>
            </w:r>
            <w:r>
              <w:rPr>
                <w:rStyle w:val="94"/>
                <w:rFonts w:hint="default"/>
                <w:color w:val="auto"/>
                <w:lang w:bidi="ar"/>
              </w:rPr>
              <w:br w:type="textWrapping"/>
            </w:r>
            <w:r>
              <w:rPr>
                <w:rStyle w:val="192"/>
                <w:color w:val="auto"/>
                <w:lang w:bidi="ar"/>
              </w:rPr>
              <w:t>​​</w:t>
            </w:r>
            <w:r>
              <w:rPr>
                <w:rStyle w:val="94"/>
                <w:rFonts w:hint="default"/>
                <w:color w:val="auto"/>
                <w:lang w:bidi="ar"/>
              </w:rPr>
              <w:t>异常结果重点跟踪</w:t>
            </w:r>
            <w:r>
              <w:rPr>
                <w:rStyle w:val="192"/>
                <w:color w:val="auto"/>
                <w:lang w:bidi="ar"/>
              </w:rPr>
              <w:t>​​</w:t>
            </w:r>
            <w:r>
              <w:rPr>
                <w:rStyle w:val="94"/>
                <w:rFonts w:hint="default"/>
                <w:color w:val="auto"/>
                <w:lang w:bidi="ar"/>
              </w:rPr>
              <w:t>：提供“孕产妇身份核验失败登记本”，专门用于查询和导出未通过核验的记录，便于对核验异常情况进行重点跟踪、分析和处理。</w:t>
            </w:r>
          </w:p>
        </w:tc>
      </w:tr>
      <w:tr w14:paraId="4BE6955F">
        <w:tblPrEx>
          <w:tblCellMar>
            <w:top w:w="0" w:type="dxa"/>
            <w:left w:w="108" w:type="dxa"/>
            <w:bottom w:w="0" w:type="dxa"/>
            <w:right w:w="108" w:type="dxa"/>
          </w:tblCellMar>
        </w:tblPrEx>
        <w:trPr>
          <w:trHeight w:val="35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49AD6F1">
            <w:pPr>
              <w:widowControl/>
              <w:jc w:val="center"/>
              <w:textAlignment w:val="center"/>
              <w:rPr>
                <w:rFonts w:hint="eastAsia" w:ascii="宋体" w:hAnsi="宋体" w:cs="宋体"/>
                <w:sz w:val="24"/>
              </w:rPr>
            </w:pPr>
            <w:r>
              <w:rPr>
                <w:rFonts w:hint="eastAsia" w:ascii="宋体" w:hAnsi="宋体" w:cs="宋体"/>
                <w:kern w:val="0"/>
                <w:sz w:val="24"/>
                <w:lang w:bidi="ar"/>
              </w:rPr>
              <w:t>394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347FB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50156B99">
            <w:pPr>
              <w:widowControl/>
              <w:jc w:val="center"/>
              <w:textAlignment w:val="center"/>
              <w:rPr>
                <w:rFonts w:hint="eastAsia" w:ascii="宋体" w:hAnsi="宋体" w:cs="宋体"/>
                <w:sz w:val="24"/>
              </w:rPr>
            </w:pPr>
            <w:r>
              <w:rPr>
                <w:rFonts w:hint="eastAsia" w:ascii="宋体" w:hAnsi="宋体" w:cs="宋体"/>
                <w:kern w:val="0"/>
                <w:sz w:val="24"/>
                <w:lang w:bidi="ar"/>
              </w:rPr>
              <w:t>日志</w:t>
            </w:r>
          </w:p>
        </w:tc>
        <w:tc>
          <w:tcPr>
            <w:tcW w:w="9687" w:type="dxa"/>
            <w:tcBorders>
              <w:top w:val="single" w:color="000000" w:sz="4" w:space="0"/>
              <w:left w:val="single" w:color="000000" w:sz="4" w:space="0"/>
              <w:bottom w:val="single" w:color="000000" w:sz="4" w:space="0"/>
              <w:right w:val="single" w:color="000000" w:sz="4" w:space="0"/>
            </w:tcBorders>
            <w:vAlign w:val="center"/>
          </w:tcPr>
          <w:p w14:paraId="60CDA2AC">
            <w:pPr>
              <w:widowControl/>
              <w:textAlignment w:val="center"/>
              <w:rPr>
                <w:rFonts w:hint="eastAsia" w:ascii="宋体" w:hAnsi="宋体" w:cs="宋体"/>
                <w:sz w:val="24"/>
              </w:rPr>
            </w:pPr>
            <w:r>
              <w:rPr>
                <w:rStyle w:val="94"/>
                <w:rFonts w:hint="default"/>
                <w:color w:val="auto"/>
                <w:lang w:bidi="ar"/>
              </w:rPr>
              <w:t>产妇身份核验日志模块，是监控并记录身份核验过程中的关键数据交互情况，以确保流程的可追溯性。具体功能如下：</w:t>
            </w:r>
            <w:r>
              <w:rPr>
                <w:rStyle w:val="94"/>
                <w:rFonts w:hint="default"/>
                <w:color w:val="auto"/>
                <w:lang w:bidi="ar"/>
              </w:rPr>
              <w:br w:type="textWrapping"/>
            </w:r>
            <w:r>
              <w:rPr>
                <w:rStyle w:val="94"/>
                <w:rFonts w:hint="default"/>
                <w:color w:val="auto"/>
                <w:lang w:bidi="ar"/>
              </w:rPr>
              <w:t>专门记录</w:t>
            </w:r>
            <w:r>
              <w:rPr>
                <w:rStyle w:val="192"/>
                <w:color w:val="auto"/>
                <w:lang w:bidi="ar"/>
              </w:rPr>
              <w:t>​​</w:t>
            </w:r>
            <w:r>
              <w:rPr>
                <w:rStyle w:val="94"/>
                <w:rFonts w:hint="default"/>
                <w:color w:val="auto"/>
                <w:lang w:bidi="ar"/>
              </w:rPr>
              <w:t>孕产妇身份核验数据推送接口的交互日志</w:t>
            </w:r>
            <w:r>
              <w:rPr>
                <w:rStyle w:val="192"/>
                <w:color w:val="auto"/>
                <w:lang w:bidi="ar"/>
              </w:rPr>
              <w:t>​​</w:t>
            </w:r>
            <w:r>
              <w:rPr>
                <w:rStyle w:val="94"/>
                <w:rFonts w:hint="default"/>
                <w:color w:val="auto"/>
                <w:lang w:bidi="ar"/>
              </w:rPr>
              <w:t>，详细追踪核验设备与业务系统之间的数据接收状态与内容。同时，支持将日志记录导出，便于进行问题排查、系统审计与存档。</w:t>
            </w:r>
          </w:p>
        </w:tc>
      </w:tr>
      <w:tr w14:paraId="333160F1">
        <w:tblPrEx>
          <w:tblCellMar>
            <w:top w:w="0" w:type="dxa"/>
            <w:left w:w="108" w:type="dxa"/>
            <w:bottom w:w="0" w:type="dxa"/>
            <w:right w:w="108" w:type="dxa"/>
          </w:tblCellMar>
        </w:tblPrEx>
        <w:trPr>
          <w:trHeight w:val="28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7FD4523">
            <w:pPr>
              <w:widowControl/>
              <w:jc w:val="center"/>
              <w:textAlignment w:val="center"/>
              <w:rPr>
                <w:rFonts w:hint="eastAsia" w:ascii="宋体" w:hAnsi="宋体" w:cs="宋体"/>
                <w:sz w:val="24"/>
              </w:rPr>
            </w:pPr>
            <w:r>
              <w:rPr>
                <w:rFonts w:hint="eastAsia" w:ascii="宋体" w:hAnsi="宋体" w:cs="宋体"/>
                <w:kern w:val="0"/>
                <w:sz w:val="24"/>
                <w:lang w:bidi="ar"/>
              </w:rPr>
              <w:t>396</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A523191">
            <w:pPr>
              <w:widowControl/>
              <w:jc w:val="center"/>
              <w:textAlignment w:val="center"/>
              <w:rPr>
                <w:rFonts w:hint="eastAsia" w:ascii="宋体" w:hAnsi="宋体" w:cs="宋体"/>
                <w:sz w:val="24"/>
              </w:rPr>
            </w:pPr>
            <w:r>
              <w:rPr>
                <w:rFonts w:hint="eastAsia" w:ascii="宋体" w:hAnsi="宋体" w:cs="宋体"/>
                <w:kern w:val="0"/>
                <w:sz w:val="24"/>
                <w:lang w:bidi="ar"/>
              </w:rPr>
              <w:t>盆底检查系统</w:t>
            </w:r>
          </w:p>
        </w:tc>
        <w:tc>
          <w:tcPr>
            <w:tcW w:w="1313" w:type="dxa"/>
            <w:tcBorders>
              <w:top w:val="single" w:color="000000" w:sz="4" w:space="0"/>
              <w:left w:val="single" w:color="000000" w:sz="4" w:space="0"/>
              <w:bottom w:val="single" w:color="000000" w:sz="4" w:space="0"/>
              <w:right w:val="single" w:color="000000" w:sz="4" w:space="0"/>
            </w:tcBorders>
            <w:vAlign w:val="center"/>
          </w:tcPr>
          <w:p w14:paraId="3E44906C">
            <w:pPr>
              <w:widowControl/>
              <w:jc w:val="center"/>
              <w:textAlignment w:val="center"/>
              <w:rPr>
                <w:rFonts w:hint="eastAsia" w:ascii="宋体" w:hAnsi="宋体" w:cs="宋体"/>
                <w:sz w:val="24"/>
              </w:rPr>
            </w:pPr>
            <w:r>
              <w:rPr>
                <w:rFonts w:hint="eastAsia" w:ascii="宋体" w:hAnsi="宋体" w:cs="宋体"/>
                <w:kern w:val="0"/>
                <w:sz w:val="24"/>
                <w:lang w:bidi="ar"/>
              </w:rPr>
              <w:t>建档</w:t>
            </w:r>
          </w:p>
        </w:tc>
        <w:tc>
          <w:tcPr>
            <w:tcW w:w="9687" w:type="dxa"/>
            <w:tcBorders>
              <w:top w:val="single" w:color="000000" w:sz="4" w:space="0"/>
              <w:left w:val="single" w:color="000000" w:sz="4" w:space="0"/>
              <w:bottom w:val="single" w:color="000000" w:sz="4" w:space="0"/>
              <w:right w:val="single" w:color="000000" w:sz="4" w:space="0"/>
            </w:tcBorders>
            <w:vAlign w:val="center"/>
          </w:tcPr>
          <w:p w14:paraId="676545BD">
            <w:pPr>
              <w:widowControl/>
              <w:textAlignment w:val="center"/>
              <w:rPr>
                <w:rFonts w:hint="eastAsia" w:ascii="宋体" w:hAnsi="宋体" w:cs="宋体"/>
                <w:sz w:val="24"/>
              </w:rPr>
            </w:pPr>
            <w:r>
              <w:rPr>
                <w:rFonts w:hint="eastAsia" w:ascii="宋体" w:hAnsi="宋体" w:cs="宋体"/>
                <w:kern w:val="0"/>
                <w:sz w:val="24"/>
                <w:lang w:bidi="ar"/>
              </w:rPr>
              <w:t>盆底检查系统建档功能，核心是实现对妇女盆底健康档案的管理。</w:t>
            </w:r>
            <w:r>
              <w:rPr>
                <w:rFonts w:hint="eastAsia" w:ascii="宋体" w:hAnsi="宋体" w:cs="宋体"/>
                <w:kern w:val="0"/>
                <w:sz w:val="24"/>
                <w:lang w:bidi="ar"/>
              </w:rPr>
              <w:br w:type="textWrapping"/>
            </w:r>
            <w:r>
              <w:rPr>
                <w:rFonts w:hint="eastAsia" w:ascii="宋体" w:hAnsi="宋体" w:cs="宋体"/>
                <w:kern w:val="0"/>
                <w:sz w:val="24"/>
                <w:lang w:bidi="ar"/>
              </w:rPr>
              <w:t>系统提供了完整的妇女档案管理功能，支持从零新建档案，或查询获取妇幼系统中已有的基础档案信息，并在此基础上建立盆底筛查档。</w:t>
            </w:r>
            <w:r>
              <w:rPr>
                <w:rFonts w:hint="eastAsia" w:ascii="宋体" w:hAnsi="宋体" w:cs="宋体"/>
                <w:kern w:val="0"/>
                <w:sz w:val="24"/>
                <w:lang w:bidi="ar"/>
              </w:rPr>
              <w:br w:type="textWrapping"/>
            </w:r>
            <w:r>
              <w:rPr>
                <w:rFonts w:hint="eastAsia" w:ascii="宋体" w:hAnsi="宋体" w:cs="宋体"/>
                <w:kern w:val="0"/>
                <w:sz w:val="24"/>
                <w:lang w:bidi="ar"/>
              </w:rPr>
              <w:t>本模块进一步专注于盆底筛查档案的专项管理。可为已建档的妇女创建对应的盆底筛查档案，并在此后对筛查档案的信息进行维护，包括修改更新与删除，从而确保每次盆底检查记录都能被准确、独立地记录与管理。</w:t>
            </w:r>
          </w:p>
        </w:tc>
      </w:tr>
      <w:tr w14:paraId="7D0D833F">
        <w:tblPrEx>
          <w:tblCellMar>
            <w:top w:w="0" w:type="dxa"/>
            <w:left w:w="108" w:type="dxa"/>
            <w:bottom w:w="0" w:type="dxa"/>
            <w:right w:w="108" w:type="dxa"/>
          </w:tblCellMar>
        </w:tblPrEx>
        <w:trPr>
          <w:trHeight w:val="50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860CC01">
            <w:pPr>
              <w:widowControl/>
              <w:jc w:val="center"/>
              <w:textAlignment w:val="center"/>
              <w:rPr>
                <w:rFonts w:hint="eastAsia" w:ascii="宋体" w:hAnsi="宋体" w:cs="宋体"/>
                <w:sz w:val="24"/>
              </w:rPr>
            </w:pPr>
            <w:r>
              <w:rPr>
                <w:rFonts w:hint="eastAsia" w:ascii="宋体" w:hAnsi="宋体" w:cs="宋体"/>
                <w:kern w:val="0"/>
                <w:sz w:val="24"/>
                <w:lang w:bidi="ar"/>
              </w:rPr>
              <w:t>397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47EFCA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6AF9F03">
            <w:pPr>
              <w:widowControl/>
              <w:jc w:val="center"/>
              <w:textAlignment w:val="center"/>
              <w:rPr>
                <w:rFonts w:hint="eastAsia" w:ascii="宋体" w:hAnsi="宋体" w:cs="宋体"/>
                <w:sz w:val="24"/>
              </w:rPr>
            </w:pPr>
            <w:r>
              <w:rPr>
                <w:rFonts w:hint="eastAsia" w:ascii="宋体" w:hAnsi="宋体" w:cs="宋体"/>
                <w:kern w:val="0"/>
                <w:sz w:val="24"/>
                <w:lang w:bidi="ar"/>
              </w:rPr>
              <w:t>检查管理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A73F1BB">
            <w:pPr>
              <w:widowControl/>
              <w:textAlignment w:val="center"/>
              <w:rPr>
                <w:rFonts w:hint="eastAsia" w:ascii="宋体" w:hAnsi="宋体" w:cs="宋体"/>
                <w:sz w:val="24"/>
              </w:rPr>
            </w:pPr>
            <w:r>
              <w:rPr>
                <w:rStyle w:val="94"/>
                <w:rFonts w:hint="default"/>
                <w:color w:val="auto"/>
                <w:lang w:bidi="ar"/>
              </w:rPr>
              <w:t>盆底检查管理功能，实现对盆底检查的全流程进行电子化记录与管理。该模块围绕核心检查项目，提供了从信息录入到结果生成的完整数据操作功能，具体概述如下：</w:t>
            </w:r>
            <w:r>
              <w:rPr>
                <w:rStyle w:val="94"/>
                <w:rFonts w:hint="default"/>
                <w:color w:val="auto"/>
                <w:lang w:bidi="ar"/>
              </w:rPr>
              <w:br w:type="textWrapping"/>
            </w:r>
            <w:r>
              <w:rPr>
                <w:rStyle w:val="94"/>
                <w:rFonts w:hint="default"/>
                <w:color w:val="auto"/>
                <w:lang w:bidi="ar"/>
              </w:rPr>
              <w:t>模块覆盖了盆底检查的关键环节，包括</w:t>
            </w:r>
            <w:r>
              <w:rPr>
                <w:rStyle w:val="192"/>
                <w:color w:val="auto"/>
                <w:lang w:bidi="ar"/>
              </w:rPr>
              <w:t>​​</w:t>
            </w:r>
            <w:r>
              <w:rPr>
                <w:rStyle w:val="94"/>
                <w:rFonts w:hint="default"/>
                <w:color w:val="auto"/>
                <w:lang w:bidi="ar"/>
              </w:rPr>
              <w:t>病史询问</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压力性尿失禁评估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膀胱不稳定性尿失禁评估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常规妇科检查</w:t>
            </w:r>
            <w:r>
              <w:rPr>
                <w:rStyle w:val="192"/>
                <w:color w:val="auto"/>
                <w:lang w:bidi="ar"/>
              </w:rPr>
              <w:t>​​</w:t>
            </w:r>
            <w:r>
              <w:rPr>
                <w:rStyle w:val="94"/>
                <w:rFonts w:hint="default"/>
                <w:color w:val="auto"/>
                <w:lang w:bidi="ar"/>
              </w:rPr>
              <w:t>以及专业的</w:t>
            </w:r>
            <w:r>
              <w:rPr>
                <w:rStyle w:val="192"/>
                <w:color w:val="auto"/>
                <w:lang w:bidi="ar"/>
              </w:rPr>
              <w:t>​​</w:t>
            </w:r>
            <w:r>
              <w:rPr>
                <w:rStyle w:val="94"/>
                <w:rFonts w:hint="default"/>
                <w:color w:val="auto"/>
                <w:lang w:bidi="ar"/>
              </w:rPr>
              <w:t>POP-Q测量</w:t>
            </w:r>
            <w:r>
              <w:rPr>
                <w:rStyle w:val="192"/>
                <w:color w:val="auto"/>
                <w:lang w:bidi="ar"/>
              </w:rPr>
              <w:t>​​</w:t>
            </w:r>
            <w:r>
              <w:rPr>
                <w:rStyle w:val="94"/>
                <w:rFonts w:hint="default"/>
                <w:color w:val="auto"/>
                <w:lang w:bidi="ar"/>
              </w:rPr>
              <w:t>。针对每一项检查内容，系统均提供了独立的数据页面，并支持执行完整的添加、修改、删除操作，确保每项检查数据都能被独立、准确地记录与维护。</w:t>
            </w:r>
            <w:r>
              <w:rPr>
                <w:rStyle w:val="94"/>
                <w:rFonts w:hint="default"/>
                <w:color w:val="auto"/>
                <w:lang w:bidi="ar"/>
              </w:rPr>
              <w:br w:type="textWrapping"/>
            </w:r>
            <w:r>
              <w:rPr>
                <w:rStyle w:val="94"/>
                <w:rFonts w:hint="default"/>
                <w:color w:val="auto"/>
                <w:lang w:bidi="ar"/>
              </w:rPr>
              <w:t>在完成各项专项检查后，模块最终汇集至</w:t>
            </w:r>
            <w:r>
              <w:rPr>
                <w:rStyle w:val="192"/>
                <w:color w:val="auto"/>
                <w:lang w:bidi="ar"/>
              </w:rPr>
              <w:t>​​</w:t>
            </w:r>
            <w:r>
              <w:rPr>
                <w:rStyle w:val="94"/>
                <w:rFonts w:hint="default"/>
                <w:color w:val="auto"/>
                <w:lang w:bidi="ar"/>
              </w:rPr>
              <w:t>检查结果</w:t>
            </w:r>
            <w:r>
              <w:rPr>
                <w:rStyle w:val="192"/>
                <w:color w:val="auto"/>
                <w:lang w:bidi="ar"/>
              </w:rPr>
              <w:t>​​</w:t>
            </w:r>
            <w:r>
              <w:rPr>
                <w:rStyle w:val="94"/>
                <w:rFonts w:hint="default"/>
                <w:color w:val="auto"/>
                <w:lang w:bidi="ar"/>
              </w:rPr>
              <w:t>的综合处理。系统提供统一的检查结果页面，支持医生根据前述检查数据添加初步或最终诊断结果，并允许对结果进行必要的修改或删除，从而形成一份完整的、可追溯的盆底检查电子记录。</w:t>
            </w:r>
          </w:p>
        </w:tc>
      </w:tr>
      <w:tr w14:paraId="11AE18A6">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A7112CF">
            <w:pPr>
              <w:widowControl/>
              <w:jc w:val="center"/>
              <w:textAlignment w:val="center"/>
              <w:rPr>
                <w:rFonts w:hint="eastAsia" w:ascii="宋体" w:hAnsi="宋体" w:cs="宋体"/>
                <w:sz w:val="24"/>
              </w:rPr>
            </w:pPr>
            <w:r>
              <w:rPr>
                <w:rFonts w:hint="eastAsia" w:ascii="宋体" w:hAnsi="宋体" w:cs="宋体"/>
                <w:kern w:val="0"/>
                <w:sz w:val="24"/>
                <w:lang w:bidi="ar"/>
              </w:rPr>
              <w:t>398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EEB39A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110C80B">
            <w:pPr>
              <w:widowControl/>
              <w:jc w:val="center"/>
              <w:textAlignment w:val="center"/>
              <w:rPr>
                <w:rFonts w:hint="eastAsia" w:ascii="宋体" w:hAnsi="宋体" w:cs="宋体"/>
                <w:sz w:val="24"/>
              </w:rPr>
            </w:pPr>
            <w:r>
              <w:rPr>
                <w:rFonts w:hint="eastAsia" w:ascii="宋体" w:hAnsi="宋体" w:cs="宋体"/>
                <w:kern w:val="0"/>
                <w:sz w:val="24"/>
                <w:lang w:bidi="ar"/>
              </w:rPr>
              <w:t>报告打印</w:t>
            </w:r>
          </w:p>
        </w:tc>
        <w:tc>
          <w:tcPr>
            <w:tcW w:w="9687" w:type="dxa"/>
            <w:tcBorders>
              <w:top w:val="single" w:color="000000" w:sz="4" w:space="0"/>
              <w:left w:val="single" w:color="000000" w:sz="4" w:space="0"/>
              <w:bottom w:val="single" w:color="000000" w:sz="4" w:space="0"/>
              <w:right w:val="single" w:color="000000" w:sz="4" w:space="0"/>
            </w:tcBorders>
            <w:vAlign w:val="center"/>
          </w:tcPr>
          <w:p w14:paraId="4BD6FCD3">
            <w:pPr>
              <w:widowControl/>
              <w:textAlignment w:val="center"/>
              <w:rPr>
                <w:rFonts w:hint="eastAsia" w:ascii="宋体" w:hAnsi="宋体" w:cs="宋体"/>
                <w:sz w:val="24"/>
              </w:rPr>
            </w:pPr>
            <w:r>
              <w:rPr>
                <w:rFonts w:hint="eastAsia" w:ascii="宋体" w:hAnsi="宋体" w:cs="宋体"/>
                <w:kern w:val="0"/>
                <w:sz w:val="24"/>
                <w:lang w:bidi="ar"/>
              </w:rPr>
              <w:t>盆底检查报告打印功能，实现盆底检查档案的快速查询与标准化报告输出而设计。</w:t>
            </w:r>
            <w:r>
              <w:rPr>
                <w:rFonts w:hint="eastAsia" w:ascii="宋体" w:hAnsi="宋体" w:cs="宋体"/>
                <w:kern w:val="0"/>
                <w:sz w:val="24"/>
                <w:lang w:bidi="ar"/>
              </w:rPr>
              <w:br w:type="textWrapping"/>
            </w:r>
            <w:r>
              <w:rPr>
                <w:rFonts w:hint="eastAsia" w:ascii="宋体" w:hAnsi="宋体" w:cs="宋体"/>
                <w:kern w:val="0"/>
                <w:sz w:val="24"/>
                <w:lang w:bidi="ar"/>
              </w:rPr>
              <w:t>该模块核心功能是提供一个集中的报告页面，用户可通过查询条件精准定位目标档案，并支持将包含个人基本信息、各项检查记录及综合结果的完整档案数据进行一键打印，最终生成格式规范的纸质报告，以满足临床归档或给服务对象发布报告需求。</w:t>
            </w:r>
          </w:p>
        </w:tc>
      </w:tr>
      <w:tr w14:paraId="25DAF37D">
        <w:tblPrEx>
          <w:tblCellMar>
            <w:top w:w="0" w:type="dxa"/>
            <w:left w:w="108" w:type="dxa"/>
            <w:bottom w:w="0" w:type="dxa"/>
            <w:right w:w="108" w:type="dxa"/>
          </w:tblCellMar>
        </w:tblPrEx>
        <w:trPr>
          <w:trHeight w:val="38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EF464A8">
            <w:pPr>
              <w:widowControl/>
              <w:jc w:val="center"/>
              <w:textAlignment w:val="center"/>
              <w:rPr>
                <w:rFonts w:hint="eastAsia" w:ascii="宋体" w:hAnsi="宋体" w:cs="宋体"/>
                <w:sz w:val="24"/>
              </w:rPr>
            </w:pPr>
            <w:r>
              <w:rPr>
                <w:rFonts w:hint="eastAsia" w:ascii="宋体" w:hAnsi="宋体" w:cs="宋体"/>
                <w:kern w:val="0"/>
                <w:sz w:val="24"/>
                <w:lang w:bidi="ar"/>
              </w:rPr>
              <w:t>399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0C65E6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520089B">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28F6F9D4">
            <w:pPr>
              <w:widowControl/>
              <w:textAlignment w:val="center"/>
              <w:rPr>
                <w:rFonts w:hint="eastAsia" w:ascii="宋体" w:hAnsi="宋体" w:cs="宋体"/>
                <w:sz w:val="24"/>
              </w:rPr>
            </w:pPr>
            <w:r>
              <w:rPr>
                <w:rStyle w:val="94"/>
                <w:rFonts w:hint="default"/>
                <w:color w:val="auto"/>
                <w:lang w:bidi="ar"/>
              </w:rPr>
              <w:t>盆底检查系统统计分析功能，为管理工作提供数据查询与汇总分析支持，其核心功能分为两个层面：</w:t>
            </w:r>
            <w:r>
              <w:rPr>
                <w:rStyle w:val="94"/>
                <w:rFonts w:hint="default"/>
                <w:color w:val="auto"/>
                <w:lang w:bidi="ar"/>
              </w:rPr>
              <w:br w:type="textWrapping"/>
            </w:r>
            <w:r>
              <w:rPr>
                <w:rStyle w:val="192"/>
                <w:color w:val="auto"/>
                <w:lang w:bidi="ar"/>
              </w:rPr>
              <w:t>​​</w:t>
            </w:r>
            <w:r>
              <w:rPr>
                <w:rStyle w:val="94"/>
                <w:rFonts w:hint="default"/>
                <w:color w:val="auto"/>
                <w:lang w:bidi="ar"/>
              </w:rPr>
              <w:t>登记本查询与导出</w:t>
            </w:r>
            <w:r>
              <w:rPr>
                <w:rStyle w:val="192"/>
                <w:color w:val="auto"/>
                <w:lang w:bidi="ar"/>
              </w:rPr>
              <w:t>​​</w:t>
            </w:r>
            <w:r>
              <w:rPr>
                <w:rStyle w:val="94"/>
                <w:rFonts w:hint="default"/>
                <w:color w:val="auto"/>
                <w:lang w:bidi="ar"/>
              </w:rPr>
              <w:t>：提供了关键业务数据的登记本查询与导出功能。可分别对</w:t>
            </w:r>
            <w:r>
              <w:rPr>
                <w:rStyle w:val="192"/>
                <w:color w:val="auto"/>
                <w:lang w:bidi="ar"/>
              </w:rPr>
              <w:t>​​</w:t>
            </w:r>
            <w:r>
              <w:rPr>
                <w:rStyle w:val="94"/>
                <w:rFonts w:hint="default"/>
                <w:color w:val="auto"/>
                <w:lang w:bidi="ar"/>
              </w:rPr>
              <w:t>筛查记录</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妇科检查</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POP-Q测量</w:t>
            </w:r>
            <w:r>
              <w:rPr>
                <w:rStyle w:val="192"/>
                <w:color w:val="auto"/>
                <w:lang w:bidi="ar"/>
              </w:rPr>
              <w:t>​​</w:t>
            </w:r>
            <w:r>
              <w:rPr>
                <w:rStyle w:val="94"/>
                <w:rFonts w:hint="default"/>
                <w:color w:val="auto"/>
                <w:lang w:bidi="ar"/>
              </w:rPr>
              <w:t>及</w:t>
            </w:r>
            <w:r>
              <w:rPr>
                <w:rStyle w:val="192"/>
                <w:color w:val="auto"/>
                <w:lang w:bidi="ar"/>
              </w:rPr>
              <w:t>​​</w:t>
            </w:r>
            <w:r>
              <w:rPr>
                <w:rStyle w:val="94"/>
                <w:rFonts w:hint="default"/>
                <w:color w:val="auto"/>
                <w:lang w:bidi="ar"/>
              </w:rPr>
              <w:t>最终检查结果</w:t>
            </w:r>
            <w:r>
              <w:rPr>
                <w:rStyle w:val="192"/>
                <w:color w:val="auto"/>
                <w:lang w:bidi="ar"/>
              </w:rPr>
              <w:t>​​</w:t>
            </w:r>
            <w:r>
              <w:rPr>
                <w:rStyle w:val="94"/>
                <w:rFonts w:hint="default"/>
                <w:color w:val="auto"/>
                <w:lang w:bidi="ar"/>
              </w:rPr>
              <w:t>生成独立的登记本，并能将查询结果导出为外部文件，便于存档。</w:t>
            </w:r>
            <w:r>
              <w:rPr>
                <w:rStyle w:val="94"/>
                <w:rFonts w:hint="default"/>
                <w:color w:val="auto"/>
                <w:lang w:bidi="ar"/>
              </w:rPr>
              <w:br w:type="textWrapping"/>
            </w:r>
            <w:r>
              <w:rPr>
                <w:rStyle w:val="94"/>
                <w:rFonts w:hint="default"/>
                <w:color w:val="auto"/>
                <w:lang w:bidi="ar"/>
              </w:rPr>
              <w:t>统计分析查询与导出</w:t>
            </w:r>
            <w:r>
              <w:rPr>
                <w:rStyle w:val="192"/>
                <w:color w:val="auto"/>
                <w:lang w:bidi="ar"/>
              </w:rPr>
              <w:t>​​</w:t>
            </w:r>
            <w:r>
              <w:rPr>
                <w:rStyle w:val="94"/>
                <w:rFonts w:hint="default"/>
                <w:color w:val="auto"/>
                <w:lang w:bidi="ar"/>
              </w:rPr>
              <w:t>：模块特别提供了</w:t>
            </w:r>
            <w:r>
              <w:rPr>
                <w:rStyle w:val="192"/>
                <w:color w:val="auto"/>
                <w:lang w:bidi="ar"/>
              </w:rPr>
              <w:t>​​</w:t>
            </w:r>
            <w:r>
              <w:rPr>
                <w:rStyle w:val="94"/>
                <w:rFonts w:hint="default"/>
                <w:color w:val="auto"/>
                <w:lang w:bidi="ar"/>
              </w:rPr>
              <w:t>筛查数据的统计分析</w:t>
            </w:r>
            <w:r>
              <w:rPr>
                <w:rStyle w:val="192"/>
                <w:color w:val="auto"/>
                <w:lang w:bidi="ar"/>
              </w:rPr>
              <w:t>​​</w:t>
            </w:r>
            <w:r>
              <w:rPr>
                <w:rStyle w:val="94"/>
                <w:rFonts w:hint="default"/>
                <w:color w:val="auto"/>
                <w:lang w:bidi="ar"/>
              </w:rPr>
              <w:t>功能。用户可通过自定义查询条件，获取筛查工作的汇总分析数据，并能将统计结果导出，从而为业务评估和决策提供直接的数据支撑。</w:t>
            </w:r>
          </w:p>
        </w:tc>
      </w:tr>
      <w:tr w14:paraId="390B432B">
        <w:tblPrEx>
          <w:tblCellMar>
            <w:top w:w="0" w:type="dxa"/>
            <w:left w:w="108" w:type="dxa"/>
            <w:bottom w:w="0" w:type="dxa"/>
            <w:right w:w="108" w:type="dxa"/>
          </w:tblCellMar>
        </w:tblPrEx>
        <w:trPr>
          <w:trHeight w:val="29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BBBC219">
            <w:pPr>
              <w:widowControl/>
              <w:jc w:val="center"/>
              <w:textAlignment w:val="center"/>
              <w:rPr>
                <w:rFonts w:hint="eastAsia" w:ascii="宋体" w:hAnsi="宋体" w:cs="宋体"/>
                <w:sz w:val="24"/>
              </w:rPr>
            </w:pPr>
            <w:r>
              <w:rPr>
                <w:rFonts w:hint="eastAsia" w:ascii="宋体" w:hAnsi="宋体" w:cs="宋体"/>
                <w:kern w:val="0"/>
                <w:sz w:val="24"/>
                <w:lang w:bidi="ar"/>
              </w:rPr>
              <w:t>400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12220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BB15F48">
            <w:pPr>
              <w:widowControl/>
              <w:jc w:val="center"/>
              <w:textAlignment w:val="center"/>
              <w:rPr>
                <w:rFonts w:hint="eastAsia" w:ascii="宋体" w:hAnsi="宋体" w:cs="宋体"/>
                <w:sz w:val="24"/>
              </w:rPr>
            </w:pPr>
            <w:r>
              <w:rPr>
                <w:rFonts w:hint="eastAsia" w:ascii="宋体" w:hAnsi="宋体" w:cs="宋体"/>
                <w:kern w:val="0"/>
                <w:sz w:val="24"/>
                <w:lang w:bidi="ar"/>
              </w:rPr>
              <w:t>系统接口</w:t>
            </w:r>
          </w:p>
        </w:tc>
        <w:tc>
          <w:tcPr>
            <w:tcW w:w="9687" w:type="dxa"/>
            <w:tcBorders>
              <w:top w:val="single" w:color="000000" w:sz="4" w:space="0"/>
              <w:left w:val="single" w:color="000000" w:sz="4" w:space="0"/>
              <w:bottom w:val="single" w:color="000000" w:sz="4" w:space="0"/>
              <w:right w:val="single" w:color="000000" w:sz="4" w:space="0"/>
            </w:tcBorders>
            <w:vAlign w:val="center"/>
          </w:tcPr>
          <w:p w14:paraId="6EA13215">
            <w:pPr>
              <w:widowControl/>
              <w:textAlignment w:val="center"/>
              <w:rPr>
                <w:rFonts w:hint="eastAsia" w:ascii="宋体" w:hAnsi="宋体" w:cs="宋体"/>
                <w:sz w:val="24"/>
              </w:rPr>
            </w:pPr>
            <w:r>
              <w:rPr>
                <w:rStyle w:val="94"/>
                <w:rFonts w:hint="default"/>
                <w:color w:val="auto"/>
                <w:lang w:bidi="ar"/>
              </w:rPr>
              <w:t>系统接口功能，实现与“健苗网”系统的数据联通。该模块通过以下两个关键接口，实现数据共享与业务协同：</w:t>
            </w:r>
            <w:r>
              <w:rPr>
                <w:rStyle w:val="94"/>
                <w:rFonts w:hint="default"/>
                <w:color w:val="auto"/>
                <w:lang w:bidi="ar"/>
              </w:rPr>
              <w:br w:type="textWrapping"/>
            </w:r>
            <w:r>
              <w:rPr>
                <w:rStyle w:val="192"/>
                <w:color w:val="auto"/>
                <w:lang w:bidi="ar"/>
              </w:rPr>
              <w:t>​​</w:t>
            </w:r>
            <w:r>
              <w:rPr>
                <w:rStyle w:val="94"/>
                <w:rFonts w:hint="default"/>
                <w:color w:val="auto"/>
                <w:lang w:bidi="ar"/>
              </w:rPr>
              <w:t>产后42天检查数据接口</w:t>
            </w:r>
            <w:r>
              <w:rPr>
                <w:rStyle w:val="192"/>
                <w:color w:val="auto"/>
                <w:lang w:bidi="ar"/>
              </w:rPr>
              <w:t>​​</w:t>
            </w:r>
            <w:r>
              <w:rPr>
                <w:rStyle w:val="94"/>
                <w:rFonts w:hint="default"/>
                <w:color w:val="auto"/>
                <w:lang w:bidi="ar"/>
              </w:rPr>
              <w:t>：用于接收或调取产妇产后42天健康检查的相关档案信息，为盆底检查提供数据。</w:t>
            </w:r>
            <w:r>
              <w:rPr>
                <w:rStyle w:val="94"/>
                <w:rFonts w:hint="default"/>
                <w:color w:val="auto"/>
                <w:lang w:bidi="ar"/>
              </w:rPr>
              <w:br w:type="textWrapping"/>
            </w:r>
            <w:r>
              <w:rPr>
                <w:rStyle w:val="192"/>
                <w:color w:val="auto"/>
                <w:lang w:bidi="ar"/>
              </w:rPr>
              <w:t>​​</w:t>
            </w:r>
            <w:r>
              <w:rPr>
                <w:rStyle w:val="94"/>
                <w:rFonts w:hint="default"/>
                <w:color w:val="auto"/>
                <w:lang w:bidi="ar"/>
              </w:rPr>
              <w:t>两癌筛查档案接口</w:t>
            </w:r>
            <w:r>
              <w:rPr>
                <w:rStyle w:val="192"/>
                <w:color w:val="auto"/>
                <w:lang w:bidi="ar"/>
              </w:rPr>
              <w:t>​​</w:t>
            </w:r>
            <w:r>
              <w:rPr>
                <w:rStyle w:val="94"/>
                <w:rFonts w:hint="default"/>
                <w:color w:val="auto"/>
                <w:lang w:bidi="ar"/>
              </w:rPr>
              <w:t>：用于获取妇女宫颈癌、乳腺癌筛查的档案记录，从而实现妇女全生命周期健康信息的互联互通，为综合健康评估提供支持。</w:t>
            </w:r>
          </w:p>
        </w:tc>
      </w:tr>
      <w:tr w14:paraId="1722B3EB">
        <w:tblPrEx>
          <w:tblCellMar>
            <w:top w:w="0" w:type="dxa"/>
            <w:left w:w="108" w:type="dxa"/>
            <w:bottom w:w="0" w:type="dxa"/>
            <w:right w:w="108" w:type="dxa"/>
          </w:tblCellMar>
        </w:tblPrEx>
        <w:trPr>
          <w:trHeight w:val="81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1CA610">
            <w:pPr>
              <w:widowControl/>
              <w:jc w:val="center"/>
              <w:textAlignment w:val="center"/>
              <w:rPr>
                <w:rFonts w:hint="eastAsia" w:ascii="宋体" w:hAnsi="宋体" w:cs="宋体"/>
                <w:sz w:val="24"/>
              </w:rPr>
            </w:pPr>
            <w:r>
              <w:rPr>
                <w:rFonts w:hint="eastAsia" w:ascii="宋体" w:hAnsi="宋体" w:cs="宋体"/>
                <w:kern w:val="0"/>
                <w:sz w:val="24"/>
                <w:lang w:bidi="ar"/>
              </w:rPr>
              <w:t>402</w:t>
            </w:r>
          </w:p>
        </w:tc>
        <w:tc>
          <w:tcPr>
            <w:tcW w:w="1481" w:type="dxa"/>
            <w:tcBorders>
              <w:top w:val="single" w:color="000000" w:sz="4" w:space="0"/>
              <w:left w:val="single" w:color="000000" w:sz="4" w:space="0"/>
              <w:bottom w:val="single" w:color="000000" w:sz="4" w:space="0"/>
              <w:right w:val="single" w:color="000000" w:sz="4" w:space="0"/>
            </w:tcBorders>
            <w:vAlign w:val="center"/>
          </w:tcPr>
          <w:p w14:paraId="661B5454">
            <w:pPr>
              <w:widowControl/>
              <w:jc w:val="center"/>
              <w:textAlignment w:val="center"/>
              <w:rPr>
                <w:rFonts w:hint="eastAsia" w:ascii="宋体" w:hAnsi="宋体" w:cs="宋体"/>
                <w:sz w:val="24"/>
              </w:rPr>
            </w:pPr>
            <w:r>
              <w:rPr>
                <w:rFonts w:hint="eastAsia" w:ascii="宋体" w:hAnsi="宋体" w:cs="宋体"/>
                <w:kern w:val="0"/>
                <w:sz w:val="24"/>
                <w:lang w:bidi="ar"/>
              </w:rPr>
              <w:t>新筛随访</w:t>
            </w:r>
          </w:p>
        </w:tc>
        <w:tc>
          <w:tcPr>
            <w:tcW w:w="1313" w:type="dxa"/>
            <w:tcBorders>
              <w:top w:val="single" w:color="000000" w:sz="4" w:space="0"/>
              <w:left w:val="single" w:color="000000" w:sz="4" w:space="0"/>
              <w:bottom w:val="single" w:color="000000" w:sz="4" w:space="0"/>
              <w:right w:val="single" w:color="000000" w:sz="4" w:space="0"/>
            </w:tcBorders>
            <w:vAlign w:val="center"/>
          </w:tcPr>
          <w:p w14:paraId="417F1447">
            <w:pPr>
              <w:widowControl/>
              <w:jc w:val="center"/>
              <w:textAlignment w:val="center"/>
              <w:rPr>
                <w:rFonts w:hint="eastAsia" w:ascii="宋体" w:hAnsi="宋体" w:cs="宋体"/>
                <w:sz w:val="24"/>
              </w:rPr>
            </w:pPr>
            <w:r>
              <w:rPr>
                <w:rFonts w:hint="eastAsia" w:ascii="宋体" w:hAnsi="宋体" w:cs="宋体"/>
                <w:kern w:val="0"/>
                <w:sz w:val="24"/>
                <w:lang w:bidi="ar"/>
              </w:rPr>
              <w:t>新筛随访</w:t>
            </w:r>
          </w:p>
        </w:tc>
        <w:tc>
          <w:tcPr>
            <w:tcW w:w="9687" w:type="dxa"/>
            <w:tcBorders>
              <w:top w:val="single" w:color="000000" w:sz="4" w:space="0"/>
              <w:left w:val="single" w:color="000000" w:sz="4" w:space="0"/>
              <w:bottom w:val="single" w:color="000000" w:sz="4" w:space="0"/>
              <w:right w:val="single" w:color="000000" w:sz="4" w:space="0"/>
            </w:tcBorders>
            <w:vAlign w:val="center"/>
          </w:tcPr>
          <w:p w14:paraId="4339B006">
            <w:pPr>
              <w:widowControl/>
              <w:textAlignment w:val="center"/>
              <w:rPr>
                <w:rFonts w:hint="eastAsia" w:ascii="宋体" w:hAnsi="宋体" w:cs="宋体"/>
                <w:sz w:val="24"/>
              </w:rPr>
            </w:pPr>
            <w:r>
              <w:rPr>
                <w:rStyle w:val="94"/>
                <w:rFonts w:hint="default"/>
                <w:color w:val="auto"/>
                <w:lang w:bidi="ar"/>
              </w:rPr>
              <w:t>新生儿疾病筛查随访功能，是通过短信方式实现筛查的自动化随访管理。其核心功能围绕短信的配置、发送与记录展开，具体如下：</w:t>
            </w:r>
            <w:r>
              <w:rPr>
                <w:rStyle w:val="94"/>
                <w:rFonts w:hint="default"/>
                <w:color w:val="auto"/>
                <w:lang w:bidi="ar"/>
              </w:rPr>
              <w:br w:type="textWrapping"/>
            </w:r>
            <w:r>
              <w:rPr>
                <w:rStyle w:val="94"/>
                <w:rFonts w:hint="default"/>
                <w:color w:val="auto"/>
                <w:lang w:bidi="ar"/>
              </w:rPr>
              <w:t>模块支持对随访短信进行</w:t>
            </w:r>
            <w:r>
              <w:rPr>
                <w:rStyle w:val="192"/>
                <w:color w:val="auto"/>
                <w:lang w:bidi="ar"/>
              </w:rPr>
              <w:t>​​</w:t>
            </w:r>
            <w:r>
              <w:rPr>
                <w:rStyle w:val="94"/>
                <w:rFonts w:hint="default"/>
                <w:color w:val="auto"/>
                <w:lang w:bidi="ar"/>
              </w:rPr>
              <w:t>灵活配置</w:t>
            </w:r>
            <w:r>
              <w:rPr>
                <w:rStyle w:val="192"/>
                <w:color w:val="auto"/>
                <w:lang w:bidi="ar"/>
              </w:rPr>
              <w:t>​​</w:t>
            </w:r>
            <w:r>
              <w:rPr>
                <w:rStyle w:val="94"/>
                <w:rFonts w:hint="default"/>
                <w:color w:val="auto"/>
                <w:lang w:bidi="ar"/>
              </w:rPr>
              <w:t>，包括自定义短信模板、设定短信发送时间，并可根据筛查结果等条件精准筛选符合条件的服务对象。同时，系统允许对已设定的短信发送任务进行灵活的调整与变更。</w:t>
            </w:r>
            <w:r>
              <w:rPr>
                <w:rStyle w:val="94"/>
                <w:rFonts w:hint="default"/>
                <w:color w:val="auto"/>
                <w:lang w:bidi="ar"/>
              </w:rPr>
              <w:br w:type="textWrapping"/>
            </w:r>
            <w:r>
              <w:rPr>
                <w:rStyle w:val="94"/>
                <w:rFonts w:hint="default"/>
                <w:color w:val="auto"/>
                <w:lang w:bidi="ar"/>
              </w:rPr>
              <w:t>模块提供</w:t>
            </w:r>
            <w:r>
              <w:rPr>
                <w:rStyle w:val="192"/>
                <w:color w:val="auto"/>
                <w:lang w:bidi="ar"/>
              </w:rPr>
              <w:t>​​</w:t>
            </w:r>
            <w:r>
              <w:rPr>
                <w:rStyle w:val="94"/>
                <w:rFonts w:hint="default"/>
                <w:color w:val="auto"/>
                <w:lang w:bidi="ar"/>
              </w:rPr>
              <w:t>短信发送记录页面</w:t>
            </w:r>
            <w:r>
              <w:rPr>
                <w:rStyle w:val="192"/>
                <w:color w:val="auto"/>
                <w:lang w:bidi="ar"/>
              </w:rPr>
              <w:t>​​</w:t>
            </w:r>
            <w:r>
              <w:rPr>
                <w:rStyle w:val="94"/>
                <w:rFonts w:hint="default"/>
                <w:color w:val="auto"/>
                <w:lang w:bidi="ar"/>
              </w:rPr>
              <w:t>，用于追踪每一条短信的发送状态，并支持对发送记录进行统计查询，从而实现对随访覆盖率和执行情况的有效监控。</w:t>
            </w:r>
          </w:p>
        </w:tc>
      </w:tr>
      <w:tr w14:paraId="5EE82CC4">
        <w:tblPrEx>
          <w:tblCellMar>
            <w:top w:w="0" w:type="dxa"/>
            <w:left w:w="108" w:type="dxa"/>
            <w:bottom w:w="0" w:type="dxa"/>
            <w:right w:w="108" w:type="dxa"/>
          </w:tblCellMar>
        </w:tblPrEx>
        <w:trPr>
          <w:trHeight w:val="46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5CFAC4">
            <w:pPr>
              <w:widowControl/>
              <w:jc w:val="center"/>
              <w:textAlignment w:val="center"/>
              <w:rPr>
                <w:rFonts w:hint="eastAsia" w:ascii="宋体" w:hAnsi="宋体" w:cs="宋体"/>
                <w:sz w:val="24"/>
              </w:rPr>
            </w:pPr>
            <w:r>
              <w:rPr>
                <w:rFonts w:hint="eastAsia" w:ascii="宋体" w:hAnsi="宋体" w:cs="宋体"/>
                <w:kern w:val="0"/>
                <w:sz w:val="24"/>
                <w:lang w:bidi="ar"/>
              </w:rPr>
              <w:t>404</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6F0CF41D">
            <w:pPr>
              <w:widowControl/>
              <w:jc w:val="center"/>
              <w:textAlignment w:val="center"/>
              <w:rPr>
                <w:rFonts w:hint="eastAsia" w:ascii="宋体" w:hAnsi="宋体" w:cs="宋体"/>
                <w:sz w:val="24"/>
              </w:rPr>
            </w:pPr>
            <w:r>
              <w:rPr>
                <w:rFonts w:hint="eastAsia" w:ascii="宋体" w:hAnsi="宋体" w:cs="宋体"/>
                <w:kern w:val="0"/>
                <w:sz w:val="24"/>
                <w:lang w:bidi="ar"/>
              </w:rPr>
              <w:t>VTE筛查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5EFDDE3D">
            <w:pPr>
              <w:widowControl/>
              <w:jc w:val="center"/>
              <w:textAlignment w:val="center"/>
              <w:rPr>
                <w:rFonts w:hint="eastAsia" w:ascii="宋体" w:hAnsi="宋体" w:cs="宋体"/>
                <w:sz w:val="24"/>
              </w:rPr>
            </w:pPr>
            <w:r>
              <w:rPr>
                <w:rFonts w:hint="eastAsia" w:ascii="宋体" w:hAnsi="宋体" w:cs="宋体"/>
                <w:kern w:val="0"/>
                <w:sz w:val="24"/>
                <w:lang w:bidi="ar"/>
              </w:rPr>
              <w:t>建档</w:t>
            </w:r>
          </w:p>
        </w:tc>
        <w:tc>
          <w:tcPr>
            <w:tcW w:w="9687" w:type="dxa"/>
            <w:tcBorders>
              <w:top w:val="single" w:color="000000" w:sz="4" w:space="0"/>
              <w:left w:val="single" w:color="000000" w:sz="4" w:space="0"/>
              <w:bottom w:val="single" w:color="000000" w:sz="4" w:space="0"/>
              <w:right w:val="single" w:color="000000" w:sz="4" w:space="0"/>
            </w:tcBorders>
            <w:vAlign w:val="center"/>
          </w:tcPr>
          <w:p w14:paraId="4C43C4F8">
            <w:pPr>
              <w:widowControl/>
              <w:textAlignment w:val="center"/>
              <w:rPr>
                <w:rFonts w:hint="eastAsia" w:ascii="宋体" w:hAnsi="宋体" w:cs="宋体"/>
                <w:sz w:val="24"/>
              </w:rPr>
            </w:pPr>
            <w:r>
              <w:rPr>
                <w:rStyle w:val="94"/>
                <w:rFonts w:hint="default"/>
                <w:color w:val="auto"/>
                <w:lang w:bidi="ar"/>
              </w:rPr>
              <w:t>孕产妇VTE筛查建档模块，可以为孕产妇静脉血栓栓塞症风险评估提供标准化的电子档案管理。该模块核心功能如下：</w:t>
            </w:r>
            <w:r>
              <w:rPr>
                <w:rStyle w:val="94"/>
                <w:rFonts w:hint="default"/>
                <w:color w:val="auto"/>
                <w:lang w:bidi="ar"/>
              </w:rPr>
              <w:br w:type="textWrapping"/>
            </w:r>
            <w:r>
              <w:rPr>
                <w:rStyle w:val="94"/>
                <w:rFonts w:hint="default"/>
                <w:color w:val="auto"/>
                <w:lang w:bidi="ar"/>
              </w:rPr>
              <w:t>提供</w:t>
            </w:r>
            <w:r>
              <w:rPr>
                <w:rStyle w:val="192"/>
                <w:color w:val="auto"/>
                <w:lang w:bidi="ar"/>
              </w:rPr>
              <w:t>​​</w:t>
            </w:r>
            <w:r>
              <w:rPr>
                <w:rStyle w:val="94"/>
                <w:rFonts w:hint="default"/>
                <w:color w:val="auto"/>
                <w:lang w:bidi="ar"/>
              </w:rPr>
              <w:t>筛查孕妇信息页面</w:t>
            </w:r>
            <w:r>
              <w:rPr>
                <w:rStyle w:val="192"/>
                <w:color w:val="auto"/>
                <w:lang w:bidi="ar"/>
              </w:rPr>
              <w:t>​​</w:t>
            </w:r>
            <w:r>
              <w:rPr>
                <w:rStyle w:val="94"/>
                <w:rFonts w:hint="default"/>
                <w:color w:val="auto"/>
                <w:lang w:bidi="ar"/>
              </w:rPr>
              <w:t>，用于登记和展示孕妇的基本信息。基于此，可为孕妇</w:t>
            </w:r>
            <w:r>
              <w:rPr>
                <w:rStyle w:val="192"/>
                <w:color w:val="auto"/>
                <w:lang w:bidi="ar"/>
              </w:rPr>
              <w:t>​​</w:t>
            </w:r>
            <w:r>
              <w:rPr>
                <w:rStyle w:val="94"/>
                <w:rFonts w:hint="default"/>
                <w:color w:val="auto"/>
                <w:lang w:bidi="ar"/>
              </w:rPr>
              <w:t>建立本次专属的VTE筛查档案</w:t>
            </w:r>
            <w:r>
              <w:rPr>
                <w:rStyle w:val="192"/>
                <w:color w:val="auto"/>
                <w:lang w:bidi="ar"/>
              </w:rPr>
              <w:t>​​</w:t>
            </w:r>
            <w:r>
              <w:rPr>
                <w:rStyle w:val="94"/>
                <w:rFonts w:hint="default"/>
                <w:color w:val="auto"/>
                <w:lang w:bidi="ar"/>
              </w:rPr>
              <w:t>，完整记录筛查评估的初始数据。档案建立后，支持将筛查档案的关键信息</w:t>
            </w:r>
            <w:r>
              <w:rPr>
                <w:rStyle w:val="192"/>
                <w:color w:val="auto"/>
                <w:lang w:bidi="ar"/>
              </w:rPr>
              <w:t>​​</w:t>
            </w:r>
            <w:r>
              <w:rPr>
                <w:rStyle w:val="94"/>
                <w:rFonts w:hint="default"/>
                <w:color w:val="auto"/>
                <w:lang w:bidi="ar"/>
              </w:rPr>
              <w:t>进行打印</w:t>
            </w:r>
            <w:r>
              <w:rPr>
                <w:rStyle w:val="192"/>
                <w:color w:val="auto"/>
                <w:lang w:bidi="ar"/>
              </w:rPr>
              <w:t>​​</w:t>
            </w:r>
            <w:r>
              <w:rPr>
                <w:rStyle w:val="94"/>
                <w:rFonts w:hint="default"/>
                <w:color w:val="auto"/>
                <w:lang w:bidi="ar"/>
              </w:rPr>
              <w:t>。</w:t>
            </w:r>
            <w:r>
              <w:rPr>
                <w:rStyle w:val="94"/>
                <w:rFonts w:hint="default"/>
                <w:color w:val="auto"/>
                <w:lang w:bidi="ar"/>
              </w:rPr>
              <w:br w:type="textWrapping"/>
            </w:r>
            <w:r>
              <w:rPr>
                <w:rStyle w:val="94"/>
                <w:rFonts w:hint="default"/>
                <w:color w:val="auto"/>
                <w:lang w:bidi="ar"/>
              </w:rPr>
              <w:t>本模块实现了对每一次VTE筛查工作从信息登记、电子建档到报告打印的全过程规范化管理。</w:t>
            </w:r>
          </w:p>
        </w:tc>
      </w:tr>
      <w:tr w14:paraId="53586749">
        <w:tblPrEx>
          <w:tblCellMar>
            <w:top w:w="0" w:type="dxa"/>
            <w:left w:w="108" w:type="dxa"/>
            <w:bottom w:w="0" w:type="dxa"/>
            <w:right w:w="108" w:type="dxa"/>
          </w:tblCellMar>
        </w:tblPrEx>
        <w:trPr>
          <w:trHeight w:val="35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C0A50C5">
            <w:pPr>
              <w:widowControl/>
              <w:jc w:val="center"/>
              <w:textAlignment w:val="center"/>
              <w:rPr>
                <w:rFonts w:hint="eastAsia" w:ascii="宋体" w:hAnsi="宋体" w:cs="宋体"/>
                <w:sz w:val="24"/>
              </w:rPr>
            </w:pPr>
            <w:r>
              <w:rPr>
                <w:rFonts w:hint="eastAsia" w:ascii="宋体" w:hAnsi="宋体" w:cs="宋体"/>
                <w:kern w:val="0"/>
                <w:sz w:val="24"/>
                <w:lang w:bidi="ar"/>
              </w:rPr>
              <w:t>405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2C948D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EFB5D0D">
            <w:pPr>
              <w:widowControl/>
              <w:jc w:val="center"/>
              <w:textAlignment w:val="center"/>
              <w:rPr>
                <w:rFonts w:hint="eastAsia" w:ascii="宋体" w:hAnsi="宋体" w:cs="宋体"/>
                <w:sz w:val="24"/>
              </w:rPr>
            </w:pPr>
            <w:r>
              <w:rPr>
                <w:rFonts w:hint="eastAsia" w:ascii="宋体" w:hAnsi="宋体" w:cs="宋体"/>
                <w:kern w:val="0"/>
                <w:sz w:val="24"/>
                <w:lang w:bidi="ar"/>
              </w:rPr>
              <w:t>筛查申请单</w:t>
            </w:r>
          </w:p>
        </w:tc>
        <w:tc>
          <w:tcPr>
            <w:tcW w:w="9687" w:type="dxa"/>
            <w:tcBorders>
              <w:top w:val="single" w:color="000000" w:sz="4" w:space="0"/>
              <w:left w:val="single" w:color="000000" w:sz="4" w:space="0"/>
              <w:bottom w:val="single" w:color="000000" w:sz="4" w:space="0"/>
              <w:right w:val="single" w:color="000000" w:sz="4" w:space="0"/>
            </w:tcBorders>
            <w:vAlign w:val="center"/>
          </w:tcPr>
          <w:p w14:paraId="0C2DC7D8">
            <w:pPr>
              <w:widowControl/>
              <w:textAlignment w:val="center"/>
              <w:rPr>
                <w:rFonts w:hint="eastAsia" w:ascii="宋体" w:hAnsi="宋体" w:cs="宋体"/>
                <w:sz w:val="24"/>
              </w:rPr>
            </w:pPr>
            <w:r>
              <w:rPr>
                <w:rStyle w:val="94"/>
                <w:rFonts w:hint="default"/>
                <w:color w:val="auto"/>
                <w:lang w:bidi="ar"/>
              </w:rPr>
              <w:t>孕产妇VTE筛查申请单模块，实现对VTE筛查申请单的全面电子化操作。该模块提供统一的</w:t>
            </w:r>
            <w:r>
              <w:rPr>
                <w:rStyle w:val="192"/>
                <w:color w:val="auto"/>
                <w:lang w:bidi="ar"/>
              </w:rPr>
              <w:t>​​</w:t>
            </w:r>
            <w:r>
              <w:rPr>
                <w:rStyle w:val="94"/>
                <w:rFonts w:hint="default"/>
                <w:color w:val="auto"/>
                <w:lang w:bidi="ar"/>
              </w:rPr>
              <w:t>筛查申请单页面</w:t>
            </w:r>
            <w:r>
              <w:rPr>
                <w:rStyle w:val="192"/>
                <w:color w:val="auto"/>
                <w:lang w:bidi="ar"/>
              </w:rPr>
              <w:t>​​</w:t>
            </w:r>
            <w:r>
              <w:rPr>
                <w:rStyle w:val="94"/>
                <w:rFonts w:hint="default"/>
                <w:color w:val="auto"/>
                <w:lang w:bidi="ar"/>
              </w:rPr>
              <w:t>，支持医护人员在此页面</w:t>
            </w:r>
            <w:r>
              <w:rPr>
                <w:rStyle w:val="192"/>
                <w:color w:val="auto"/>
                <w:lang w:bidi="ar"/>
              </w:rPr>
              <w:t>​​</w:t>
            </w:r>
            <w:r>
              <w:rPr>
                <w:rStyle w:val="94"/>
                <w:rFonts w:hint="default"/>
                <w:color w:val="auto"/>
                <w:lang w:bidi="ar"/>
              </w:rPr>
              <w:t>录入</w:t>
            </w:r>
            <w:r>
              <w:rPr>
                <w:rStyle w:val="192"/>
                <w:color w:val="auto"/>
                <w:lang w:bidi="ar"/>
              </w:rPr>
              <w:t>​​</w:t>
            </w:r>
            <w:r>
              <w:rPr>
                <w:rStyle w:val="94"/>
                <w:rFonts w:hint="default"/>
                <w:color w:val="auto"/>
                <w:lang w:bidi="ar"/>
              </w:rPr>
              <w:t>新的筛查申请，并允许对已提交的申请单信息进行</w:t>
            </w:r>
            <w:r>
              <w:rPr>
                <w:rStyle w:val="192"/>
                <w:color w:val="auto"/>
                <w:lang w:bidi="ar"/>
              </w:rPr>
              <w:t>​​</w:t>
            </w:r>
            <w:r>
              <w:rPr>
                <w:rStyle w:val="94"/>
                <w:rFonts w:hint="default"/>
                <w:color w:val="auto"/>
                <w:lang w:bidi="ar"/>
              </w:rPr>
              <w:t>修改</w:t>
            </w:r>
            <w:r>
              <w:rPr>
                <w:rStyle w:val="192"/>
                <w:color w:val="auto"/>
                <w:lang w:bidi="ar"/>
              </w:rPr>
              <w:t>​​</w:t>
            </w:r>
            <w:r>
              <w:rPr>
                <w:rStyle w:val="94"/>
                <w:rFonts w:hint="default"/>
                <w:color w:val="auto"/>
                <w:lang w:bidi="ar"/>
              </w:rPr>
              <w:t>或</w:t>
            </w:r>
            <w:r>
              <w:rPr>
                <w:rStyle w:val="192"/>
                <w:color w:val="auto"/>
                <w:lang w:bidi="ar"/>
              </w:rPr>
              <w:t>​​</w:t>
            </w:r>
            <w:r>
              <w:rPr>
                <w:rStyle w:val="94"/>
                <w:rFonts w:hint="default"/>
                <w:color w:val="auto"/>
                <w:lang w:bidi="ar"/>
              </w:rPr>
              <w:t>删除</w:t>
            </w:r>
            <w:r>
              <w:rPr>
                <w:rStyle w:val="192"/>
                <w:color w:val="auto"/>
                <w:lang w:bidi="ar"/>
              </w:rPr>
              <w:t>​​</w:t>
            </w:r>
            <w:r>
              <w:rPr>
                <w:rStyle w:val="94"/>
                <w:rFonts w:hint="default"/>
                <w:color w:val="auto"/>
                <w:lang w:bidi="ar"/>
              </w:rPr>
              <w:t>，从而确保申请单数据的准确性和灵活性。</w:t>
            </w:r>
          </w:p>
        </w:tc>
      </w:tr>
      <w:tr w14:paraId="11C10652">
        <w:tblPrEx>
          <w:tblCellMar>
            <w:top w:w="0" w:type="dxa"/>
            <w:left w:w="108" w:type="dxa"/>
            <w:bottom w:w="0" w:type="dxa"/>
            <w:right w:w="108" w:type="dxa"/>
          </w:tblCellMar>
        </w:tblPrEx>
        <w:trPr>
          <w:trHeight w:val="32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17F2FBE">
            <w:pPr>
              <w:widowControl/>
              <w:jc w:val="center"/>
              <w:textAlignment w:val="center"/>
              <w:rPr>
                <w:rFonts w:hint="eastAsia" w:ascii="宋体" w:hAnsi="宋体" w:cs="宋体"/>
                <w:sz w:val="24"/>
              </w:rPr>
            </w:pPr>
            <w:r>
              <w:rPr>
                <w:rFonts w:hint="eastAsia" w:ascii="宋体" w:hAnsi="宋体" w:cs="宋体"/>
                <w:kern w:val="0"/>
                <w:sz w:val="24"/>
                <w:lang w:bidi="ar"/>
              </w:rPr>
              <w:t>406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75745C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A1D584F">
            <w:pPr>
              <w:widowControl/>
              <w:jc w:val="center"/>
              <w:textAlignment w:val="center"/>
              <w:rPr>
                <w:rFonts w:hint="eastAsia" w:ascii="宋体" w:hAnsi="宋体" w:cs="宋体"/>
                <w:sz w:val="24"/>
              </w:rPr>
            </w:pPr>
            <w:r>
              <w:rPr>
                <w:rFonts w:hint="eastAsia" w:ascii="宋体" w:hAnsi="宋体" w:cs="宋体"/>
                <w:kern w:val="0"/>
                <w:sz w:val="24"/>
                <w:lang w:bidi="ar"/>
              </w:rPr>
              <w:t>筛查结果</w:t>
            </w:r>
          </w:p>
        </w:tc>
        <w:tc>
          <w:tcPr>
            <w:tcW w:w="9687" w:type="dxa"/>
            <w:tcBorders>
              <w:top w:val="single" w:color="000000" w:sz="4" w:space="0"/>
              <w:left w:val="single" w:color="000000" w:sz="4" w:space="0"/>
              <w:bottom w:val="single" w:color="000000" w:sz="4" w:space="0"/>
              <w:right w:val="single" w:color="000000" w:sz="4" w:space="0"/>
            </w:tcBorders>
            <w:vAlign w:val="center"/>
          </w:tcPr>
          <w:p w14:paraId="12D1B2B2">
            <w:pPr>
              <w:widowControl/>
              <w:textAlignment w:val="center"/>
              <w:rPr>
                <w:rFonts w:hint="eastAsia" w:ascii="宋体" w:hAnsi="宋体" w:cs="宋体"/>
                <w:sz w:val="24"/>
              </w:rPr>
            </w:pPr>
            <w:r>
              <w:rPr>
                <w:rStyle w:val="94"/>
                <w:rFonts w:hint="default"/>
                <w:color w:val="auto"/>
                <w:lang w:bidi="ar"/>
              </w:rPr>
              <w:t>孕产妇VTE筛查结果模块，可以对VTE风险评估结果进行高效的查询与管理。该模块功能聚焦于筛查结果的快速定位与分析，具体如下：</w:t>
            </w:r>
            <w:r>
              <w:rPr>
                <w:rStyle w:val="94"/>
                <w:rFonts w:hint="default"/>
                <w:color w:val="auto"/>
                <w:lang w:bidi="ar"/>
              </w:rPr>
              <w:br w:type="textWrapping"/>
            </w:r>
            <w:r>
              <w:rPr>
                <w:rStyle w:val="94"/>
                <w:rFonts w:hint="default"/>
                <w:color w:val="auto"/>
                <w:lang w:bidi="ar"/>
              </w:rPr>
              <w:t>提供</w:t>
            </w:r>
            <w:r>
              <w:rPr>
                <w:rStyle w:val="192"/>
                <w:color w:val="auto"/>
                <w:lang w:bidi="ar"/>
              </w:rPr>
              <w:t>​​</w:t>
            </w:r>
            <w:r>
              <w:rPr>
                <w:rStyle w:val="94"/>
                <w:rFonts w:hint="default"/>
                <w:color w:val="auto"/>
                <w:lang w:bidi="ar"/>
              </w:rPr>
              <w:t>筛查结果页面</w:t>
            </w:r>
            <w:r>
              <w:rPr>
                <w:rStyle w:val="192"/>
                <w:color w:val="auto"/>
                <w:lang w:bidi="ar"/>
              </w:rPr>
              <w:t>​​</w:t>
            </w:r>
            <w:r>
              <w:rPr>
                <w:rStyle w:val="94"/>
                <w:rFonts w:hint="default"/>
                <w:color w:val="auto"/>
                <w:lang w:bidi="ar"/>
              </w:rPr>
              <w:t>作为统一视图，支持用户</w:t>
            </w:r>
            <w:r>
              <w:rPr>
                <w:rStyle w:val="192"/>
                <w:color w:val="auto"/>
                <w:lang w:bidi="ar"/>
              </w:rPr>
              <w:t>​​</w:t>
            </w:r>
            <w:r>
              <w:rPr>
                <w:rStyle w:val="94"/>
                <w:rFonts w:hint="default"/>
                <w:color w:val="auto"/>
                <w:lang w:bidi="ar"/>
              </w:rPr>
              <w:t>根据特定条件</w:t>
            </w:r>
            <w:r>
              <w:rPr>
                <w:rStyle w:val="192"/>
                <w:color w:val="auto"/>
                <w:lang w:bidi="ar"/>
              </w:rPr>
              <w:t>​​</w:t>
            </w:r>
            <w:r>
              <w:rPr>
                <w:rStyle w:val="94"/>
                <w:rFonts w:hint="default"/>
                <w:color w:val="auto"/>
                <w:lang w:bidi="ar"/>
              </w:rPr>
              <w:t>（如孕妇姓名、身份证号、筛查时间等）进行精准查询。同时，为便于对高风险人群进行重点跟踪，模块特别提供了</w:t>
            </w:r>
            <w:r>
              <w:rPr>
                <w:rStyle w:val="192"/>
                <w:color w:val="auto"/>
                <w:lang w:bidi="ar"/>
              </w:rPr>
              <w:t>​​</w:t>
            </w:r>
            <w:r>
              <w:rPr>
                <w:rStyle w:val="94"/>
                <w:rFonts w:hint="default"/>
                <w:color w:val="auto"/>
                <w:lang w:bidi="ar"/>
              </w:rPr>
              <w:t>批量查询异常结果人群</w:t>
            </w:r>
            <w:r>
              <w:rPr>
                <w:rStyle w:val="192"/>
                <w:color w:val="auto"/>
                <w:lang w:bidi="ar"/>
              </w:rPr>
              <w:t>​​</w:t>
            </w:r>
            <w:r>
              <w:rPr>
                <w:rStyle w:val="94"/>
                <w:rFonts w:hint="default"/>
                <w:color w:val="auto"/>
                <w:lang w:bidi="ar"/>
              </w:rPr>
              <w:t>的功能，可快速筛选出所有评估异常的个案列表，为临床干预和管理决策提供支持。</w:t>
            </w:r>
          </w:p>
        </w:tc>
      </w:tr>
      <w:tr w14:paraId="2C9D741B">
        <w:tblPrEx>
          <w:tblCellMar>
            <w:top w:w="0" w:type="dxa"/>
            <w:left w:w="108" w:type="dxa"/>
            <w:bottom w:w="0" w:type="dxa"/>
            <w:right w:w="108" w:type="dxa"/>
          </w:tblCellMar>
        </w:tblPrEx>
        <w:trPr>
          <w:trHeight w:val="26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51C3F59">
            <w:pPr>
              <w:widowControl/>
              <w:jc w:val="center"/>
              <w:textAlignment w:val="center"/>
              <w:rPr>
                <w:rFonts w:hint="eastAsia" w:ascii="宋体" w:hAnsi="宋体" w:cs="宋体"/>
                <w:sz w:val="24"/>
              </w:rPr>
            </w:pPr>
            <w:r>
              <w:rPr>
                <w:rFonts w:hint="eastAsia" w:ascii="宋体" w:hAnsi="宋体" w:cs="宋体"/>
                <w:kern w:val="0"/>
                <w:sz w:val="24"/>
                <w:lang w:bidi="ar"/>
              </w:rPr>
              <w:t>407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7B6FEB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25693F6">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2E772A45">
            <w:pPr>
              <w:widowControl/>
              <w:textAlignment w:val="center"/>
              <w:rPr>
                <w:rFonts w:hint="eastAsia" w:ascii="宋体" w:hAnsi="宋体" w:cs="宋体"/>
                <w:sz w:val="24"/>
              </w:rPr>
            </w:pPr>
            <w:r>
              <w:rPr>
                <w:rStyle w:val="94"/>
                <w:rFonts w:hint="default"/>
                <w:color w:val="auto"/>
                <w:lang w:bidi="ar"/>
              </w:rPr>
              <w:t>孕产妇VTE筛查统计分析模块，可以为管理工作提供数据查询与统计分析支持，其功能分为两个层面：</w:t>
            </w:r>
            <w:r>
              <w:rPr>
                <w:rStyle w:val="94"/>
                <w:rFonts w:hint="default"/>
                <w:color w:val="auto"/>
                <w:lang w:bidi="ar"/>
              </w:rPr>
              <w:br w:type="textWrapping"/>
            </w:r>
            <w:r>
              <w:rPr>
                <w:rStyle w:val="192"/>
                <w:color w:val="auto"/>
                <w:lang w:bidi="ar"/>
              </w:rPr>
              <w:t>​​</w:t>
            </w:r>
            <w:r>
              <w:rPr>
                <w:rStyle w:val="94"/>
                <w:rFonts w:hint="default"/>
                <w:color w:val="auto"/>
                <w:lang w:bidi="ar"/>
              </w:rPr>
              <w:t>登记本管理</w:t>
            </w:r>
            <w:r>
              <w:rPr>
                <w:rStyle w:val="192"/>
                <w:color w:val="auto"/>
                <w:lang w:bidi="ar"/>
              </w:rPr>
              <w:t>​​</w:t>
            </w:r>
            <w:r>
              <w:rPr>
                <w:rStyle w:val="94"/>
                <w:rFonts w:hint="default"/>
                <w:color w:val="auto"/>
                <w:lang w:bidi="ar"/>
              </w:rPr>
              <w:t>：提供“筛查人员信息登记本”，支持对全体筛查人员的基本信息进行查询，并可将完整名单导出。</w:t>
            </w:r>
            <w:r>
              <w:rPr>
                <w:rStyle w:val="94"/>
                <w:rFonts w:hint="default"/>
                <w:color w:val="auto"/>
                <w:lang w:bidi="ar"/>
              </w:rPr>
              <w:br w:type="textWrapping"/>
            </w:r>
            <w:r>
              <w:rPr>
                <w:rStyle w:val="192"/>
                <w:color w:val="auto"/>
                <w:lang w:bidi="ar"/>
              </w:rPr>
              <w:t>​​</w:t>
            </w:r>
            <w:r>
              <w:rPr>
                <w:rStyle w:val="94"/>
                <w:rFonts w:hint="default"/>
                <w:color w:val="auto"/>
                <w:lang w:bidi="ar"/>
              </w:rPr>
              <w:t>筛查结果分析</w:t>
            </w:r>
            <w:r>
              <w:rPr>
                <w:rStyle w:val="192"/>
                <w:color w:val="auto"/>
                <w:lang w:bidi="ar"/>
              </w:rPr>
              <w:t>​​</w:t>
            </w:r>
            <w:r>
              <w:rPr>
                <w:rStyle w:val="94"/>
                <w:rFonts w:hint="default"/>
                <w:color w:val="auto"/>
                <w:lang w:bidi="ar"/>
              </w:rPr>
              <w:t>：能够对筛查结果数据进行多维度统计汇总，生成分析报表，以评估整体筛查情况及风险分布。</w:t>
            </w:r>
          </w:p>
        </w:tc>
      </w:tr>
      <w:tr w14:paraId="5395E44A">
        <w:tblPrEx>
          <w:tblCellMar>
            <w:top w:w="0" w:type="dxa"/>
            <w:left w:w="108" w:type="dxa"/>
            <w:bottom w:w="0" w:type="dxa"/>
            <w:right w:w="108" w:type="dxa"/>
          </w:tblCellMar>
        </w:tblPrEx>
        <w:trPr>
          <w:trHeight w:val="30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F7BFDE3">
            <w:pPr>
              <w:widowControl/>
              <w:jc w:val="center"/>
              <w:textAlignment w:val="center"/>
              <w:rPr>
                <w:rFonts w:hint="eastAsia" w:ascii="宋体" w:hAnsi="宋体" w:cs="宋体"/>
                <w:sz w:val="24"/>
              </w:rPr>
            </w:pPr>
            <w:r>
              <w:rPr>
                <w:rFonts w:hint="eastAsia" w:ascii="宋体" w:hAnsi="宋体" w:cs="宋体"/>
                <w:kern w:val="0"/>
                <w:sz w:val="24"/>
                <w:lang w:bidi="ar"/>
              </w:rPr>
              <w:t>409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2C7AB48">
            <w:pPr>
              <w:widowControl/>
              <w:jc w:val="center"/>
              <w:textAlignment w:val="center"/>
              <w:rPr>
                <w:rFonts w:hint="eastAsia" w:ascii="宋体" w:hAnsi="宋体" w:cs="宋体"/>
                <w:sz w:val="24"/>
              </w:rPr>
            </w:pPr>
            <w:r>
              <w:rPr>
                <w:rFonts w:hint="eastAsia" w:ascii="宋体" w:hAnsi="宋体" w:cs="宋体"/>
                <w:kern w:val="0"/>
                <w:sz w:val="24"/>
                <w:lang w:bidi="ar"/>
              </w:rPr>
              <w:t>青春期关爱</w:t>
            </w:r>
          </w:p>
        </w:tc>
        <w:tc>
          <w:tcPr>
            <w:tcW w:w="1313" w:type="dxa"/>
            <w:tcBorders>
              <w:top w:val="single" w:color="000000" w:sz="4" w:space="0"/>
              <w:left w:val="single" w:color="000000" w:sz="4" w:space="0"/>
              <w:bottom w:val="single" w:color="000000" w:sz="4" w:space="0"/>
              <w:right w:val="single" w:color="000000" w:sz="4" w:space="0"/>
            </w:tcBorders>
            <w:vAlign w:val="center"/>
          </w:tcPr>
          <w:p w14:paraId="0102BD61">
            <w:pPr>
              <w:widowControl/>
              <w:jc w:val="center"/>
              <w:textAlignment w:val="center"/>
              <w:rPr>
                <w:rFonts w:hint="eastAsia" w:ascii="宋体" w:hAnsi="宋体" w:cs="宋体"/>
                <w:sz w:val="24"/>
              </w:rPr>
            </w:pPr>
            <w:r>
              <w:rPr>
                <w:rFonts w:hint="eastAsia" w:ascii="宋体" w:hAnsi="宋体" w:cs="宋体"/>
                <w:kern w:val="0"/>
                <w:sz w:val="24"/>
                <w:lang w:bidi="ar"/>
              </w:rPr>
              <w:t>建档</w:t>
            </w:r>
          </w:p>
        </w:tc>
        <w:tc>
          <w:tcPr>
            <w:tcW w:w="9687" w:type="dxa"/>
            <w:tcBorders>
              <w:top w:val="single" w:color="000000" w:sz="4" w:space="0"/>
              <w:left w:val="single" w:color="000000" w:sz="4" w:space="0"/>
              <w:bottom w:val="single" w:color="000000" w:sz="4" w:space="0"/>
              <w:right w:val="single" w:color="000000" w:sz="4" w:space="0"/>
            </w:tcBorders>
            <w:vAlign w:val="center"/>
          </w:tcPr>
          <w:p w14:paraId="6127EC02">
            <w:pPr>
              <w:widowControl/>
              <w:textAlignment w:val="center"/>
              <w:rPr>
                <w:rFonts w:hint="eastAsia" w:ascii="宋体" w:hAnsi="宋体" w:cs="宋体"/>
                <w:sz w:val="24"/>
              </w:rPr>
            </w:pPr>
            <w:r>
              <w:rPr>
                <w:rStyle w:val="94"/>
                <w:rFonts w:hint="default"/>
                <w:color w:val="auto"/>
                <w:lang w:bidi="ar"/>
              </w:rPr>
              <w:t>青春期关爱建档管理模块，实现为青春期女孩建立一份全面的个性化健康档案，为其提供精准的关爱服务奠定数据基础。该模块核心功能如下：</w:t>
            </w:r>
            <w:r>
              <w:rPr>
                <w:rStyle w:val="94"/>
                <w:rFonts w:hint="default"/>
                <w:color w:val="auto"/>
                <w:lang w:bidi="ar"/>
              </w:rPr>
              <w:br w:type="textWrapping"/>
            </w:r>
            <w:r>
              <w:rPr>
                <w:rStyle w:val="94"/>
                <w:rFonts w:hint="default"/>
                <w:color w:val="auto"/>
                <w:lang w:bidi="ar"/>
              </w:rPr>
              <w:t>提供</w:t>
            </w:r>
            <w:r>
              <w:rPr>
                <w:rStyle w:val="192"/>
                <w:color w:val="auto"/>
                <w:lang w:bidi="ar"/>
              </w:rPr>
              <w:t>​​</w:t>
            </w:r>
            <w:r>
              <w:rPr>
                <w:rStyle w:val="94"/>
                <w:rFonts w:hint="default"/>
                <w:color w:val="auto"/>
                <w:lang w:bidi="ar"/>
              </w:rPr>
              <w:t>青春期女孩档案页面</w:t>
            </w:r>
            <w:r>
              <w:rPr>
                <w:rStyle w:val="192"/>
                <w:color w:val="auto"/>
                <w:lang w:bidi="ar"/>
              </w:rPr>
              <w:t>​​</w:t>
            </w:r>
            <w:r>
              <w:rPr>
                <w:rStyle w:val="94"/>
                <w:rFonts w:hint="default"/>
                <w:color w:val="auto"/>
                <w:lang w:bidi="ar"/>
              </w:rPr>
              <w:t>，用于</w:t>
            </w:r>
            <w:r>
              <w:rPr>
                <w:rStyle w:val="192"/>
                <w:color w:val="auto"/>
                <w:lang w:bidi="ar"/>
              </w:rPr>
              <w:t>​​</w:t>
            </w:r>
            <w:r>
              <w:rPr>
                <w:rStyle w:val="94"/>
                <w:rFonts w:hint="default"/>
                <w:color w:val="auto"/>
                <w:lang w:bidi="ar"/>
              </w:rPr>
              <w:t>建立并展示专属档案</w:t>
            </w:r>
            <w:r>
              <w:rPr>
                <w:rStyle w:val="192"/>
                <w:color w:val="auto"/>
                <w:lang w:bidi="ar"/>
              </w:rPr>
              <w:t>​​</w:t>
            </w:r>
            <w:r>
              <w:rPr>
                <w:rStyle w:val="94"/>
                <w:rFonts w:hint="default"/>
                <w:color w:val="auto"/>
                <w:lang w:bidi="ar"/>
              </w:rPr>
              <w:t>。档案内容涵盖多个维度：包括女孩的</w:t>
            </w:r>
            <w:r>
              <w:rPr>
                <w:rStyle w:val="192"/>
                <w:color w:val="auto"/>
                <w:lang w:bidi="ar"/>
              </w:rPr>
              <w:t>​​</w:t>
            </w:r>
            <w:r>
              <w:rPr>
                <w:rStyle w:val="94"/>
                <w:rFonts w:hint="default"/>
                <w:color w:val="auto"/>
                <w:lang w:bidi="ar"/>
              </w:rPr>
              <w:t>个人基本信息</w:t>
            </w:r>
            <w:r>
              <w:rPr>
                <w:rStyle w:val="192"/>
                <w:color w:val="auto"/>
                <w:lang w:bidi="ar"/>
              </w:rPr>
              <w:t>​​</w:t>
            </w:r>
            <w:r>
              <w:rPr>
                <w:rStyle w:val="94"/>
                <w:rFonts w:hint="default"/>
                <w:color w:val="auto"/>
                <w:lang w:bidi="ar"/>
              </w:rPr>
              <w:t>（姓名、身份证号、联系方式等）、详细的</w:t>
            </w:r>
            <w:r>
              <w:rPr>
                <w:rStyle w:val="192"/>
                <w:color w:val="auto"/>
                <w:lang w:bidi="ar"/>
              </w:rPr>
              <w:t>​​</w:t>
            </w:r>
            <w:r>
              <w:rPr>
                <w:rStyle w:val="94"/>
                <w:rFonts w:hint="default"/>
                <w:color w:val="auto"/>
                <w:lang w:bidi="ar"/>
              </w:rPr>
              <w:t>家庭信息</w:t>
            </w:r>
            <w:r>
              <w:rPr>
                <w:rStyle w:val="192"/>
                <w:color w:val="auto"/>
                <w:lang w:bidi="ar"/>
              </w:rPr>
              <w:t>​​</w:t>
            </w:r>
            <w:r>
              <w:rPr>
                <w:rStyle w:val="94"/>
                <w:rFonts w:hint="default"/>
                <w:color w:val="auto"/>
                <w:lang w:bidi="ar"/>
              </w:rPr>
              <w:t>（特别是家庭遗传史，以及反映心理社会环境的</w:t>
            </w:r>
            <w:r>
              <w:rPr>
                <w:rStyle w:val="192"/>
                <w:color w:val="auto"/>
                <w:lang w:bidi="ar"/>
              </w:rPr>
              <w:t>​​</w:t>
            </w:r>
            <w:r>
              <w:rPr>
                <w:rStyle w:val="94"/>
                <w:rFonts w:hint="default"/>
                <w:color w:val="auto"/>
                <w:lang w:bidi="ar"/>
              </w:rPr>
              <w:t>家庭氛围</w:t>
            </w:r>
            <w:r>
              <w:rPr>
                <w:rStyle w:val="192"/>
                <w:color w:val="auto"/>
                <w:lang w:bidi="ar"/>
              </w:rPr>
              <w:t>​​</w:t>
            </w:r>
            <w:r>
              <w:rPr>
                <w:rStyle w:val="94"/>
                <w:rFonts w:hint="default"/>
                <w:color w:val="auto"/>
                <w:lang w:bidi="ar"/>
              </w:rPr>
              <w:t>，如亲子关系与沟通方式），以及相关的</w:t>
            </w:r>
            <w:r>
              <w:rPr>
                <w:rStyle w:val="192"/>
                <w:color w:val="auto"/>
                <w:lang w:bidi="ar"/>
              </w:rPr>
              <w:t>​​</w:t>
            </w:r>
            <w:r>
              <w:rPr>
                <w:rStyle w:val="94"/>
                <w:rFonts w:hint="default"/>
                <w:color w:val="auto"/>
                <w:lang w:bidi="ar"/>
              </w:rPr>
              <w:t>学校信息</w:t>
            </w:r>
            <w:r>
              <w:rPr>
                <w:rStyle w:val="192"/>
                <w:color w:val="auto"/>
                <w:lang w:bidi="ar"/>
              </w:rPr>
              <w:t>​​</w:t>
            </w:r>
            <w:r>
              <w:rPr>
                <w:rStyle w:val="94"/>
                <w:rFonts w:hint="default"/>
                <w:color w:val="auto"/>
                <w:lang w:bidi="ar"/>
              </w:rPr>
              <w:t>（学校名称、年级及学习成绩）。</w:t>
            </w:r>
          </w:p>
        </w:tc>
      </w:tr>
      <w:tr w14:paraId="185FEB8D">
        <w:tblPrEx>
          <w:tblCellMar>
            <w:top w:w="0" w:type="dxa"/>
            <w:left w:w="108" w:type="dxa"/>
            <w:bottom w:w="0" w:type="dxa"/>
            <w:right w:w="108" w:type="dxa"/>
          </w:tblCellMar>
        </w:tblPrEx>
        <w:trPr>
          <w:trHeight w:val="48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863CED7">
            <w:pPr>
              <w:widowControl/>
              <w:jc w:val="center"/>
              <w:textAlignment w:val="center"/>
              <w:rPr>
                <w:rFonts w:hint="eastAsia" w:ascii="宋体" w:hAnsi="宋体" w:cs="宋体"/>
                <w:sz w:val="24"/>
              </w:rPr>
            </w:pPr>
            <w:r>
              <w:rPr>
                <w:rFonts w:hint="eastAsia" w:ascii="宋体" w:hAnsi="宋体" w:cs="宋体"/>
                <w:kern w:val="0"/>
                <w:sz w:val="24"/>
                <w:lang w:bidi="ar"/>
              </w:rPr>
              <w:t>410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802CD6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E8F6E5E">
            <w:pPr>
              <w:widowControl/>
              <w:jc w:val="center"/>
              <w:textAlignment w:val="center"/>
              <w:rPr>
                <w:rFonts w:hint="eastAsia" w:ascii="宋体" w:hAnsi="宋体" w:cs="宋体"/>
                <w:sz w:val="24"/>
              </w:rPr>
            </w:pPr>
            <w:r>
              <w:rPr>
                <w:rFonts w:hint="eastAsia" w:ascii="宋体" w:hAnsi="宋体" w:cs="宋体"/>
                <w:kern w:val="0"/>
                <w:sz w:val="24"/>
                <w:lang w:bidi="ar"/>
              </w:rPr>
              <w:t>健康评估</w:t>
            </w:r>
          </w:p>
        </w:tc>
        <w:tc>
          <w:tcPr>
            <w:tcW w:w="9687" w:type="dxa"/>
            <w:tcBorders>
              <w:top w:val="single" w:color="000000" w:sz="4" w:space="0"/>
              <w:left w:val="single" w:color="000000" w:sz="4" w:space="0"/>
              <w:bottom w:val="single" w:color="000000" w:sz="4" w:space="0"/>
              <w:right w:val="single" w:color="000000" w:sz="4" w:space="0"/>
            </w:tcBorders>
            <w:vAlign w:val="center"/>
          </w:tcPr>
          <w:p w14:paraId="6F89E696">
            <w:pPr>
              <w:widowControl/>
              <w:textAlignment w:val="center"/>
              <w:rPr>
                <w:rFonts w:hint="eastAsia" w:ascii="宋体" w:hAnsi="宋体" w:cs="宋体"/>
                <w:sz w:val="24"/>
              </w:rPr>
            </w:pPr>
            <w:r>
              <w:rPr>
                <w:rStyle w:val="94"/>
                <w:rFonts w:hint="default"/>
                <w:color w:val="auto"/>
                <w:lang w:bidi="ar"/>
              </w:rPr>
              <w:t>健康评估模块，可以实现对青春期女孩的身心健康状况进行全面、系统的标准化评估与记录。该模块以</w:t>
            </w:r>
            <w:r>
              <w:rPr>
                <w:rStyle w:val="192"/>
                <w:color w:val="auto"/>
                <w:lang w:bidi="ar"/>
              </w:rPr>
              <w:t>​​</w:t>
            </w:r>
            <w:r>
              <w:rPr>
                <w:rStyle w:val="94"/>
                <w:rFonts w:hint="default"/>
                <w:color w:val="auto"/>
                <w:lang w:bidi="ar"/>
              </w:rPr>
              <w:t>健康评估页面</w:t>
            </w:r>
            <w:r>
              <w:rPr>
                <w:rStyle w:val="192"/>
                <w:color w:val="auto"/>
                <w:lang w:bidi="ar"/>
              </w:rPr>
              <w:t>​​</w:t>
            </w:r>
            <w:r>
              <w:rPr>
                <w:rStyle w:val="94"/>
                <w:rFonts w:hint="default"/>
                <w:color w:val="auto"/>
                <w:lang w:bidi="ar"/>
              </w:rPr>
              <w:t>为核心操作界面，其评估内容涵盖以下维度：</w:t>
            </w:r>
            <w:r>
              <w:rPr>
                <w:rStyle w:val="94"/>
                <w:rFonts w:hint="default"/>
                <w:color w:val="auto"/>
                <w:lang w:bidi="ar"/>
              </w:rPr>
              <w:br w:type="textWrapping"/>
            </w:r>
            <w:r>
              <w:rPr>
                <w:rStyle w:val="192"/>
                <w:color w:val="auto"/>
                <w:lang w:bidi="ar"/>
              </w:rPr>
              <w:t>​​</w:t>
            </w:r>
            <w:r>
              <w:rPr>
                <w:rStyle w:val="94"/>
                <w:rFonts w:hint="default"/>
                <w:color w:val="auto"/>
                <w:lang w:bidi="ar"/>
              </w:rPr>
              <w:t>生理发育评估</w:t>
            </w:r>
            <w:r>
              <w:rPr>
                <w:rStyle w:val="192"/>
                <w:color w:val="auto"/>
                <w:lang w:bidi="ar"/>
              </w:rPr>
              <w:t>​​</w:t>
            </w:r>
            <w:r>
              <w:rPr>
                <w:rStyle w:val="94"/>
                <w:rFonts w:hint="default"/>
                <w:color w:val="auto"/>
                <w:lang w:bidi="ar"/>
              </w:rPr>
              <w:t>：系统记录关键的生理指标，包括</w:t>
            </w:r>
            <w:r>
              <w:rPr>
                <w:rStyle w:val="192"/>
                <w:color w:val="auto"/>
                <w:lang w:bidi="ar"/>
              </w:rPr>
              <w:t>​​</w:t>
            </w:r>
            <w:r>
              <w:rPr>
                <w:rStyle w:val="94"/>
                <w:rFonts w:hint="default"/>
                <w:color w:val="auto"/>
                <w:lang w:bidi="ar"/>
              </w:rPr>
              <w:t>生长发育情况</w:t>
            </w:r>
            <w:r>
              <w:rPr>
                <w:rStyle w:val="192"/>
                <w:color w:val="auto"/>
                <w:lang w:bidi="ar"/>
              </w:rPr>
              <w:t>​​</w:t>
            </w:r>
            <w:r>
              <w:rPr>
                <w:rStyle w:val="94"/>
                <w:rFonts w:hint="default"/>
                <w:color w:val="auto"/>
                <w:lang w:bidi="ar"/>
              </w:rPr>
              <w:t>（身高、体重、BMI）、</w:t>
            </w:r>
            <w:r>
              <w:rPr>
                <w:rStyle w:val="192"/>
                <w:color w:val="auto"/>
                <w:lang w:bidi="ar"/>
              </w:rPr>
              <w:t>​​</w:t>
            </w:r>
            <w:r>
              <w:rPr>
                <w:rStyle w:val="94"/>
                <w:rFonts w:hint="default"/>
                <w:color w:val="auto"/>
                <w:lang w:bidi="ar"/>
              </w:rPr>
              <w:t>性发育情况</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骨龄</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系统检查</w:t>
            </w:r>
            <w:r>
              <w:rPr>
                <w:rStyle w:val="192"/>
                <w:color w:val="auto"/>
                <w:lang w:bidi="ar"/>
              </w:rPr>
              <w:t>​​</w:t>
            </w:r>
            <w:r>
              <w:rPr>
                <w:rStyle w:val="94"/>
                <w:rFonts w:hint="default"/>
                <w:color w:val="auto"/>
                <w:lang w:bidi="ar"/>
              </w:rPr>
              <w:t>（血压、心率、心肺听诊）结果、</w:t>
            </w:r>
            <w:r>
              <w:rPr>
                <w:rStyle w:val="192"/>
                <w:color w:val="auto"/>
                <w:lang w:bidi="ar"/>
              </w:rPr>
              <w:t>​​</w:t>
            </w:r>
            <w:r>
              <w:rPr>
                <w:rStyle w:val="94"/>
                <w:rFonts w:hint="default"/>
                <w:color w:val="auto"/>
                <w:lang w:bidi="ar"/>
              </w:rPr>
              <w:t>五官检查</w:t>
            </w:r>
            <w:r>
              <w:rPr>
                <w:rStyle w:val="192"/>
                <w:color w:val="auto"/>
                <w:lang w:bidi="ar"/>
              </w:rPr>
              <w:t>​​</w:t>
            </w:r>
            <w:r>
              <w:rPr>
                <w:rStyle w:val="94"/>
                <w:rFonts w:hint="default"/>
                <w:color w:val="auto"/>
                <w:lang w:bidi="ar"/>
              </w:rPr>
              <w:t>（视力、听力）数据以及</w:t>
            </w:r>
            <w:r>
              <w:rPr>
                <w:rStyle w:val="192"/>
                <w:color w:val="auto"/>
                <w:lang w:bidi="ar"/>
              </w:rPr>
              <w:t>​​</w:t>
            </w:r>
            <w:r>
              <w:rPr>
                <w:rStyle w:val="94"/>
                <w:rFonts w:hint="default"/>
                <w:color w:val="auto"/>
                <w:lang w:bidi="ar"/>
              </w:rPr>
              <w:t>月经史</w:t>
            </w:r>
            <w:r>
              <w:rPr>
                <w:rStyle w:val="192"/>
                <w:color w:val="auto"/>
                <w:lang w:bidi="ar"/>
              </w:rPr>
              <w:t>​​</w:t>
            </w:r>
            <w:r>
              <w:rPr>
                <w:rStyle w:val="94"/>
                <w:rFonts w:hint="default"/>
                <w:color w:val="auto"/>
                <w:lang w:bidi="ar"/>
              </w:rPr>
              <w:t>。</w:t>
            </w:r>
            <w:r>
              <w:rPr>
                <w:rStyle w:val="94"/>
                <w:rFonts w:hint="default"/>
                <w:color w:val="auto"/>
                <w:lang w:bidi="ar"/>
              </w:rPr>
              <w:br w:type="textWrapping"/>
            </w:r>
            <w:r>
              <w:rPr>
                <w:rStyle w:val="192"/>
                <w:color w:val="auto"/>
                <w:lang w:bidi="ar"/>
              </w:rPr>
              <w:t>​​</w:t>
            </w:r>
            <w:r>
              <w:rPr>
                <w:rStyle w:val="94"/>
                <w:rFonts w:hint="default"/>
                <w:color w:val="auto"/>
                <w:lang w:bidi="ar"/>
              </w:rPr>
              <w:t>心理健康与社会适应评估</w:t>
            </w:r>
            <w:r>
              <w:rPr>
                <w:rStyle w:val="192"/>
                <w:color w:val="auto"/>
                <w:lang w:bidi="ar"/>
              </w:rPr>
              <w:t>​​</w:t>
            </w:r>
            <w:r>
              <w:rPr>
                <w:rStyle w:val="94"/>
                <w:rFonts w:hint="default"/>
                <w:color w:val="auto"/>
                <w:lang w:bidi="ar"/>
              </w:rPr>
              <w:t>：模块重点关注心理层面，通过记录</w:t>
            </w:r>
            <w:r>
              <w:rPr>
                <w:rStyle w:val="192"/>
                <w:color w:val="auto"/>
                <w:lang w:bidi="ar"/>
              </w:rPr>
              <w:t>​​</w:t>
            </w:r>
            <w:r>
              <w:rPr>
                <w:rStyle w:val="94"/>
                <w:rFonts w:hint="default"/>
                <w:color w:val="auto"/>
                <w:lang w:bidi="ar"/>
              </w:rPr>
              <w:t>心理评估</w:t>
            </w:r>
            <w:r>
              <w:rPr>
                <w:rStyle w:val="192"/>
                <w:color w:val="auto"/>
                <w:lang w:bidi="ar"/>
              </w:rPr>
              <w:t>​​</w:t>
            </w:r>
            <w:r>
              <w:rPr>
                <w:rStyle w:val="94"/>
                <w:rFonts w:hint="default"/>
                <w:color w:val="auto"/>
                <w:lang w:bidi="ar"/>
              </w:rPr>
              <w:t>结果、</w:t>
            </w:r>
            <w:r>
              <w:rPr>
                <w:rStyle w:val="192"/>
                <w:color w:val="auto"/>
                <w:lang w:bidi="ar"/>
              </w:rPr>
              <w:t>​​</w:t>
            </w:r>
            <w:r>
              <w:rPr>
                <w:rStyle w:val="94"/>
                <w:rFonts w:hint="default"/>
                <w:color w:val="auto"/>
                <w:lang w:bidi="ar"/>
              </w:rPr>
              <w:t>情绪状态</w:t>
            </w:r>
            <w:r>
              <w:rPr>
                <w:rStyle w:val="192"/>
                <w:color w:val="auto"/>
                <w:lang w:bidi="ar"/>
              </w:rPr>
              <w:t>​​</w:t>
            </w:r>
            <w:r>
              <w:rPr>
                <w:rStyle w:val="94"/>
                <w:rFonts w:hint="default"/>
                <w:color w:val="auto"/>
                <w:lang w:bidi="ar"/>
              </w:rPr>
              <w:t>以及</w:t>
            </w:r>
            <w:r>
              <w:rPr>
                <w:rStyle w:val="192"/>
                <w:color w:val="auto"/>
                <w:lang w:bidi="ar"/>
              </w:rPr>
              <w:t>​​</w:t>
            </w:r>
            <w:r>
              <w:rPr>
                <w:rStyle w:val="94"/>
                <w:rFonts w:hint="default"/>
                <w:color w:val="auto"/>
                <w:lang w:bidi="ar"/>
              </w:rPr>
              <w:t>人际关系</w:t>
            </w:r>
            <w:r>
              <w:rPr>
                <w:rStyle w:val="192"/>
                <w:color w:val="auto"/>
                <w:lang w:bidi="ar"/>
              </w:rPr>
              <w:t>​​</w:t>
            </w:r>
            <w:r>
              <w:rPr>
                <w:rStyle w:val="94"/>
                <w:rFonts w:hint="default"/>
                <w:color w:val="auto"/>
                <w:lang w:bidi="ar"/>
              </w:rPr>
              <w:t>状况，综合评估其心理社会健康水平。</w:t>
            </w:r>
            <w:r>
              <w:rPr>
                <w:rStyle w:val="94"/>
                <w:rFonts w:hint="default"/>
                <w:color w:val="auto"/>
                <w:lang w:bidi="ar"/>
              </w:rPr>
              <w:br w:type="textWrapping"/>
            </w:r>
            <w:r>
              <w:rPr>
                <w:rStyle w:val="94"/>
                <w:rFonts w:hint="default"/>
                <w:color w:val="auto"/>
                <w:lang w:bidi="ar"/>
              </w:rPr>
              <w:t>通过整合上述生理与心理数据，系统会生成全面的健康评估档案，为后续的健康指导与个性化干预提供科学依据。</w:t>
            </w:r>
          </w:p>
        </w:tc>
      </w:tr>
      <w:tr w14:paraId="1980BDEE">
        <w:tblPrEx>
          <w:tblCellMar>
            <w:top w:w="0" w:type="dxa"/>
            <w:left w:w="108" w:type="dxa"/>
            <w:bottom w:w="0" w:type="dxa"/>
            <w:right w:w="108" w:type="dxa"/>
          </w:tblCellMar>
        </w:tblPrEx>
        <w:trPr>
          <w:trHeight w:val="11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2DC38CB">
            <w:pPr>
              <w:widowControl/>
              <w:jc w:val="center"/>
              <w:textAlignment w:val="center"/>
              <w:rPr>
                <w:rFonts w:hint="eastAsia" w:ascii="宋体" w:hAnsi="宋体" w:cs="宋体"/>
                <w:sz w:val="24"/>
              </w:rPr>
            </w:pPr>
            <w:r>
              <w:rPr>
                <w:rFonts w:hint="eastAsia" w:ascii="宋体" w:hAnsi="宋体" w:cs="宋体"/>
                <w:kern w:val="0"/>
                <w:sz w:val="24"/>
                <w:lang w:bidi="ar"/>
              </w:rPr>
              <w:t>411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57BA2E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3256BFC">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3DAC63E3">
            <w:pPr>
              <w:widowControl/>
              <w:textAlignment w:val="center"/>
              <w:rPr>
                <w:rFonts w:hint="eastAsia" w:ascii="宋体" w:hAnsi="宋体" w:cs="宋体"/>
                <w:sz w:val="24"/>
              </w:rPr>
            </w:pPr>
            <w:r>
              <w:rPr>
                <w:rFonts w:hint="eastAsia" w:ascii="宋体" w:hAnsi="宋体" w:cs="宋体"/>
                <w:kern w:val="0"/>
                <w:sz w:val="24"/>
                <w:lang w:bidi="ar"/>
              </w:rPr>
              <w:t>青春期关爱登记本模块，为青春期关爱工作的管理和评估提供数据支持，提供“青春期关爱人员登记本”，支持对青春期关爱人员和关爱记录进行查询和导出。</w:t>
            </w:r>
          </w:p>
        </w:tc>
      </w:tr>
      <w:tr w14:paraId="10EF954D">
        <w:tblPrEx>
          <w:tblCellMar>
            <w:top w:w="0" w:type="dxa"/>
            <w:left w:w="108" w:type="dxa"/>
            <w:bottom w:w="0" w:type="dxa"/>
            <w:right w:w="108" w:type="dxa"/>
          </w:tblCellMar>
        </w:tblPrEx>
        <w:trPr>
          <w:trHeight w:val="14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B030B5B">
            <w:pPr>
              <w:widowControl/>
              <w:jc w:val="center"/>
              <w:textAlignment w:val="center"/>
              <w:rPr>
                <w:rFonts w:hint="eastAsia" w:ascii="宋体" w:hAnsi="宋体" w:cs="宋体"/>
                <w:sz w:val="24"/>
              </w:rPr>
            </w:pPr>
            <w:r>
              <w:rPr>
                <w:rFonts w:hint="eastAsia" w:ascii="宋体" w:hAnsi="宋体" w:cs="宋体"/>
                <w:kern w:val="0"/>
                <w:sz w:val="24"/>
                <w:lang w:bidi="ar"/>
              </w:rPr>
              <w:t>412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D78F3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E9E96EF">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55113A1F">
            <w:pPr>
              <w:widowControl/>
              <w:textAlignment w:val="center"/>
              <w:rPr>
                <w:rFonts w:hint="eastAsia" w:ascii="宋体" w:hAnsi="宋体" w:cs="宋体"/>
                <w:sz w:val="24"/>
              </w:rPr>
            </w:pPr>
            <w:r>
              <w:rPr>
                <w:rFonts w:hint="eastAsia" w:ascii="宋体" w:hAnsi="宋体" w:cs="宋体"/>
                <w:kern w:val="0"/>
                <w:sz w:val="24"/>
                <w:lang w:bidi="ar"/>
              </w:rPr>
              <w:t>青春期关爱统计分析模块，提供“青春期关爱情况统计分析”功能，能够对关爱工作的整体情况、女孩的身心健康指标等进行多维度统计汇总，生成分析报告，以评估工作成效并为决策提供数据支撑。</w:t>
            </w:r>
          </w:p>
        </w:tc>
      </w:tr>
      <w:tr w14:paraId="09BF04D7">
        <w:tblPrEx>
          <w:tblCellMar>
            <w:top w:w="0" w:type="dxa"/>
            <w:left w:w="108" w:type="dxa"/>
            <w:bottom w:w="0" w:type="dxa"/>
            <w:right w:w="108" w:type="dxa"/>
          </w:tblCellMar>
        </w:tblPrEx>
        <w:trPr>
          <w:trHeight w:val="37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23F5CE0">
            <w:pPr>
              <w:widowControl/>
              <w:jc w:val="center"/>
              <w:textAlignment w:val="center"/>
              <w:rPr>
                <w:rFonts w:hint="eastAsia" w:ascii="宋体" w:hAnsi="宋体" w:cs="宋体"/>
                <w:sz w:val="24"/>
              </w:rPr>
            </w:pPr>
            <w:r>
              <w:rPr>
                <w:rFonts w:hint="eastAsia" w:ascii="宋体" w:hAnsi="宋体" w:cs="宋体"/>
                <w:kern w:val="0"/>
                <w:sz w:val="24"/>
                <w:lang w:bidi="ar"/>
              </w:rPr>
              <w:t>414</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63DAD62A">
            <w:pPr>
              <w:widowControl/>
              <w:jc w:val="center"/>
              <w:textAlignment w:val="center"/>
              <w:rPr>
                <w:rFonts w:hint="eastAsia" w:ascii="宋体" w:hAnsi="宋体" w:cs="宋体"/>
                <w:sz w:val="24"/>
              </w:rPr>
            </w:pPr>
            <w:r>
              <w:rPr>
                <w:rFonts w:hint="eastAsia" w:ascii="宋体" w:hAnsi="宋体" w:cs="宋体"/>
                <w:kern w:val="0"/>
                <w:sz w:val="24"/>
                <w:lang w:bidi="ar"/>
              </w:rPr>
              <w:t>儿童口腔筛查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5D56EC76">
            <w:pPr>
              <w:widowControl/>
              <w:jc w:val="center"/>
              <w:textAlignment w:val="center"/>
              <w:rPr>
                <w:rFonts w:hint="eastAsia" w:ascii="宋体" w:hAnsi="宋体" w:cs="宋体"/>
                <w:sz w:val="24"/>
              </w:rPr>
            </w:pPr>
            <w:r>
              <w:rPr>
                <w:rFonts w:hint="eastAsia" w:ascii="宋体" w:hAnsi="宋体" w:cs="宋体"/>
                <w:kern w:val="0"/>
                <w:sz w:val="24"/>
                <w:lang w:bidi="ar"/>
              </w:rPr>
              <w:t>建立档案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6ABA5796">
            <w:pPr>
              <w:widowControl/>
              <w:textAlignment w:val="center"/>
              <w:rPr>
                <w:rFonts w:hint="eastAsia" w:ascii="宋体" w:hAnsi="宋体" w:cs="宋体"/>
                <w:sz w:val="24"/>
              </w:rPr>
            </w:pPr>
            <w:r>
              <w:rPr>
                <w:rStyle w:val="94"/>
                <w:rFonts w:hint="default"/>
                <w:color w:val="auto"/>
                <w:lang w:bidi="ar"/>
              </w:rPr>
              <w:t>儿童口腔筛查档案模块，实现为儿童口腔健康筛查工作提供标准化的电子档案管理。该模块核心功能如下：</w:t>
            </w:r>
            <w:r>
              <w:rPr>
                <w:rStyle w:val="94"/>
                <w:rFonts w:hint="default"/>
                <w:color w:val="auto"/>
                <w:lang w:bidi="ar"/>
              </w:rPr>
              <w:br w:type="textWrapping"/>
            </w:r>
            <w:r>
              <w:rPr>
                <w:rStyle w:val="94"/>
                <w:rFonts w:hint="default"/>
                <w:color w:val="auto"/>
                <w:lang w:bidi="ar"/>
              </w:rPr>
              <w:t>提供</w:t>
            </w:r>
            <w:r>
              <w:rPr>
                <w:rStyle w:val="192"/>
                <w:color w:val="auto"/>
                <w:lang w:bidi="ar"/>
              </w:rPr>
              <w:t>​​</w:t>
            </w:r>
            <w:r>
              <w:rPr>
                <w:rStyle w:val="94"/>
                <w:rFonts w:hint="default"/>
                <w:color w:val="auto"/>
                <w:lang w:bidi="ar"/>
              </w:rPr>
              <w:t>儿童口腔筛查档案页面</w:t>
            </w:r>
            <w:r>
              <w:rPr>
                <w:rStyle w:val="192"/>
                <w:color w:val="auto"/>
                <w:lang w:bidi="ar"/>
              </w:rPr>
              <w:t>​​</w:t>
            </w:r>
            <w:r>
              <w:rPr>
                <w:rStyle w:val="94"/>
                <w:rFonts w:hint="default"/>
                <w:color w:val="auto"/>
                <w:lang w:bidi="ar"/>
              </w:rPr>
              <w:t>，用于</w:t>
            </w:r>
            <w:r>
              <w:rPr>
                <w:rStyle w:val="192"/>
                <w:color w:val="auto"/>
                <w:lang w:bidi="ar"/>
              </w:rPr>
              <w:t>​​</w:t>
            </w:r>
            <w:r>
              <w:rPr>
                <w:rStyle w:val="94"/>
                <w:rFonts w:hint="default"/>
                <w:color w:val="auto"/>
                <w:lang w:bidi="ar"/>
              </w:rPr>
              <w:t>登记筛查儿童的基本信息</w:t>
            </w:r>
            <w:r>
              <w:rPr>
                <w:rStyle w:val="192"/>
                <w:color w:val="auto"/>
                <w:lang w:bidi="ar"/>
              </w:rPr>
              <w:t>​​</w:t>
            </w:r>
            <w:r>
              <w:rPr>
                <w:rStyle w:val="94"/>
                <w:rFonts w:hint="default"/>
                <w:color w:val="auto"/>
                <w:lang w:bidi="ar"/>
              </w:rPr>
              <w:t>，并以此为基础</w:t>
            </w:r>
            <w:r>
              <w:rPr>
                <w:rStyle w:val="192"/>
                <w:color w:val="auto"/>
                <w:lang w:bidi="ar"/>
              </w:rPr>
              <w:t>​​</w:t>
            </w:r>
            <w:r>
              <w:rPr>
                <w:rStyle w:val="94"/>
                <w:rFonts w:hint="default"/>
                <w:color w:val="auto"/>
                <w:lang w:bidi="ar"/>
              </w:rPr>
              <w:t>建立本次专属的口腔筛查档案</w:t>
            </w:r>
            <w:r>
              <w:rPr>
                <w:rStyle w:val="192"/>
                <w:color w:val="auto"/>
                <w:lang w:bidi="ar"/>
              </w:rPr>
              <w:t>​​</w:t>
            </w:r>
            <w:r>
              <w:rPr>
                <w:rStyle w:val="94"/>
                <w:rFonts w:hint="default"/>
                <w:color w:val="auto"/>
                <w:lang w:bidi="ar"/>
              </w:rPr>
              <w:t>。档案建立后，支持将筛查档案的关键信息</w:t>
            </w:r>
            <w:r>
              <w:rPr>
                <w:rStyle w:val="192"/>
                <w:color w:val="auto"/>
                <w:lang w:bidi="ar"/>
              </w:rPr>
              <w:t>​​</w:t>
            </w:r>
            <w:r>
              <w:rPr>
                <w:rStyle w:val="94"/>
                <w:rFonts w:hint="default"/>
                <w:color w:val="auto"/>
                <w:lang w:bidi="ar"/>
              </w:rPr>
              <w:t>进行打印</w:t>
            </w:r>
            <w:r>
              <w:rPr>
                <w:rStyle w:val="192"/>
                <w:color w:val="auto"/>
                <w:lang w:bidi="ar"/>
              </w:rPr>
              <w:t>​​</w:t>
            </w:r>
            <w:r>
              <w:rPr>
                <w:rStyle w:val="94"/>
                <w:rFonts w:hint="default"/>
                <w:color w:val="auto"/>
                <w:lang w:bidi="ar"/>
              </w:rPr>
              <w:t>。</w:t>
            </w:r>
            <w:r>
              <w:rPr>
                <w:rStyle w:val="94"/>
                <w:rFonts w:hint="default"/>
                <w:color w:val="auto"/>
                <w:lang w:bidi="ar"/>
              </w:rPr>
              <w:br w:type="textWrapping"/>
            </w:r>
            <w:r>
              <w:rPr>
                <w:rStyle w:val="94"/>
                <w:rFonts w:hint="default"/>
                <w:color w:val="auto"/>
                <w:lang w:bidi="ar"/>
              </w:rPr>
              <w:t>本模块实现了对每一次口腔筛查工作从信息登记、电子建档到结果输出的全过程规范化管理。</w:t>
            </w:r>
          </w:p>
        </w:tc>
      </w:tr>
      <w:tr w14:paraId="0874DC05">
        <w:tblPrEx>
          <w:tblCellMar>
            <w:top w:w="0" w:type="dxa"/>
            <w:left w:w="108" w:type="dxa"/>
            <w:bottom w:w="0" w:type="dxa"/>
            <w:right w:w="108" w:type="dxa"/>
          </w:tblCellMar>
        </w:tblPrEx>
        <w:trPr>
          <w:trHeight w:val="61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295C70">
            <w:pPr>
              <w:widowControl/>
              <w:jc w:val="center"/>
              <w:textAlignment w:val="center"/>
              <w:rPr>
                <w:rFonts w:hint="eastAsia" w:ascii="宋体" w:hAnsi="宋体" w:cs="宋体"/>
                <w:sz w:val="24"/>
              </w:rPr>
            </w:pPr>
            <w:r>
              <w:rPr>
                <w:rFonts w:hint="eastAsia" w:ascii="宋体" w:hAnsi="宋体" w:cs="宋体"/>
                <w:kern w:val="0"/>
                <w:sz w:val="24"/>
                <w:lang w:bidi="ar"/>
              </w:rPr>
              <w:t>415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CBEE3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37F3A75">
            <w:pPr>
              <w:widowControl/>
              <w:jc w:val="center"/>
              <w:textAlignment w:val="center"/>
              <w:rPr>
                <w:rFonts w:hint="eastAsia" w:ascii="宋体" w:hAnsi="宋体" w:cs="宋体"/>
                <w:sz w:val="24"/>
              </w:rPr>
            </w:pPr>
            <w:r>
              <w:rPr>
                <w:rFonts w:hint="eastAsia" w:ascii="宋体" w:hAnsi="宋体" w:cs="宋体"/>
                <w:kern w:val="0"/>
                <w:sz w:val="24"/>
                <w:lang w:bidi="ar"/>
              </w:rPr>
              <w:t>口腔筛查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62F26761">
            <w:pPr>
              <w:widowControl/>
              <w:textAlignment w:val="center"/>
              <w:rPr>
                <w:rFonts w:hint="eastAsia" w:ascii="宋体" w:hAnsi="宋体" w:cs="宋体"/>
                <w:sz w:val="24"/>
              </w:rPr>
            </w:pPr>
            <w:r>
              <w:rPr>
                <w:rStyle w:val="94"/>
                <w:rFonts w:hint="default"/>
                <w:color w:val="auto"/>
                <w:lang w:bidi="ar"/>
              </w:rPr>
              <w:t>儿童口腔筛查模块，实现对儿童口腔健康状况进行全面、细致的标准化检查与记录。该模块以</w:t>
            </w:r>
            <w:r>
              <w:rPr>
                <w:rStyle w:val="192"/>
                <w:color w:val="auto"/>
                <w:lang w:bidi="ar"/>
              </w:rPr>
              <w:t>​​</w:t>
            </w:r>
            <w:r>
              <w:rPr>
                <w:rStyle w:val="94"/>
                <w:rFonts w:hint="default"/>
                <w:color w:val="auto"/>
                <w:lang w:bidi="ar"/>
              </w:rPr>
              <w:t>儿童口腔筛查信息页面</w:t>
            </w:r>
            <w:r>
              <w:rPr>
                <w:rStyle w:val="192"/>
                <w:color w:val="auto"/>
                <w:lang w:bidi="ar"/>
              </w:rPr>
              <w:t>​​</w:t>
            </w:r>
            <w:r>
              <w:rPr>
                <w:rStyle w:val="94"/>
                <w:rFonts w:hint="default"/>
                <w:color w:val="auto"/>
                <w:lang w:bidi="ar"/>
              </w:rPr>
              <w:t>为核心操作界面，其检查内容系统覆盖以下多个维度：</w:t>
            </w:r>
            <w:r>
              <w:rPr>
                <w:rStyle w:val="94"/>
                <w:rFonts w:hint="default"/>
                <w:color w:val="auto"/>
                <w:lang w:bidi="ar"/>
              </w:rPr>
              <w:br w:type="textWrapping"/>
            </w:r>
            <w:r>
              <w:rPr>
                <w:rStyle w:val="192"/>
                <w:color w:val="auto"/>
                <w:lang w:bidi="ar"/>
              </w:rPr>
              <w:t>​​</w:t>
            </w:r>
            <w:r>
              <w:rPr>
                <w:rStyle w:val="94"/>
                <w:rFonts w:hint="default"/>
                <w:color w:val="auto"/>
                <w:lang w:bidi="ar"/>
              </w:rPr>
              <w:t>基础牙列与龋病评估</w:t>
            </w:r>
            <w:r>
              <w:rPr>
                <w:rStyle w:val="192"/>
                <w:color w:val="auto"/>
                <w:lang w:bidi="ar"/>
              </w:rPr>
              <w:t>​​</w:t>
            </w:r>
            <w:r>
              <w:rPr>
                <w:rStyle w:val="94"/>
                <w:rFonts w:hint="default"/>
                <w:color w:val="auto"/>
                <w:lang w:bidi="ar"/>
              </w:rPr>
              <w:t>：记录</w:t>
            </w:r>
            <w:r>
              <w:rPr>
                <w:rStyle w:val="192"/>
                <w:color w:val="auto"/>
                <w:lang w:bidi="ar"/>
              </w:rPr>
              <w:t>​​</w:t>
            </w:r>
            <w:r>
              <w:rPr>
                <w:rStyle w:val="94"/>
                <w:rFonts w:hint="default"/>
                <w:color w:val="auto"/>
                <w:lang w:bidi="ar"/>
              </w:rPr>
              <w:t>检查日期</w:t>
            </w:r>
            <w:r>
              <w:rPr>
                <w:rStyle w:val="192"/>
                <w:color w:val="auto"/>
                <w:lang w:bidi="ar"/>
              </w:rPr>
              <w:t>​​</w:t>
            </w:r>
            <w:r>
              <w:rPr>
                <w:rStyle w:val="94"/>
                <w:rFonts w:hint="default"/>
                <w:color w:val="auto"/>
                <w:lang w:bidi="ar"/>
              </w:rPr>
              <w:t>，并详细统计</w:t>
            </w:r>
            <w:r>
              <w:rPr>
                <w:rStyle w:val="192"/>
                <w:color w:val="auto"/>
                <w:lang w:bidi="ar"/>
              </w:rPr>
              <w:t>​​</w:t>
            </w:r>
            <w:r>
              <w:rPr>
                <w:rStyle w:val="94"/>
                <w:rFonts w:hint="default"/>
                <w:color w:val="auto"/>
                <w:lang w:bidi="ar"/>
              </w:rPr>
              <w:t>乳牙、恒牙数量</w:t>
            </w:r>
            <w:r>
              <w:rPr>
                <w:rStyle w:val="192"/>
                <w:color w:val="auto"/>
                <w:lang w:bidi="ar"/>
              </w:rPr>
              <w:t>​​</w:t>
            </w:r>
            <w:r>
              <w:rPr>
                <w:rStyle w:val="94"/>
                <w:rFonts w:hint="default"/>
                <w:color w:val="auto"/>
                <w:lang w:bidi="ar"/>
              </w:rPr>
              <w:t>，以及</w:t>
            </w:r>
            <w:r>
              <w:rPr>
                <w:rStyle w:val="192"/>
                <w:color w:val="auto"/>
                <w:lang w:bidi="ar"/>
              </w:rPr>
              <w:t>​​</w:t>
            </w:r>
            <w:r>
              <w:rPr>
                <w:rStyle w:val="94"/>
                <w:rFonts w:hint="default"/>
                <w:color w:val="auto"/>
                <w:lang w:bidi="ar"/>
              </w:rPr>
              <w:t>龋齿数、填充物数和需治疗数</w:t>
            </w:r>
            <w:r>
              <w:rPr>
                <w:rStyle w:val="192"/>
                <w:color w:val="auto"/>
                <w:lang w:bidi="ar"/>
              </w:rPr>
              <w:t>​​</w:t>
            </w:r>
            <w:r>
              <w:rPr>
                <w:rStyle w:val="94"/>
                <w:rFonts w:hint="default"/>
                <w:color w:val="auto"/>
                <w:lang w:bidi="ar"/>
              </w:rPr>
              <w:t>等关键龋病指标。</w:t>
            </w:r>
            <w:r>
              <w:rPr>
                <w:rStyle w:val="94"/>
                <w:rFonts w:hint="default"/>
                <w:color w:val="auto"/>
                <w:lang w:bidi="ar"/>
              </w:rPr>
              <w:br w:type="textWrapping"/>
            </w:r>
            <w:r>
              <w:rPr>
                <w:rStyle w:val="192"/>
                <w:color w:val="auto"/>
                <w:lang w:bidi="ar"/>
              </w:rPr>
              <w:t>​​</w:t>
            </w:r>
            <w:r>
              <w:rPr>
                <w:rStyle w:val="94"/>
                <w:rFonts w:hint="default"/>
                <w:color w:val="auto"/>
                <w:lang w:bidi="ar"/>
              </w:rPr>
              <w:t>牙齿健康状况检查</w:t>
            </w:r>
            <w:r>
              <w:rPr>
                <w:rStyle w:val="192"/>
                <w:color w:val="auto"/>
                <w:lang w:bidi="ar"/>
              </w:rPr>
              <w:t>​​</w:t>
            </w:r>
            <w:r>
              <w:rPr>
                <w:rStyle w:val="94"/>
                <w:rFonts w:hint="default"/>
                <w:color w:val="auto"/>
                <w:lang w:bidi="ar"/>
              </w:rPr>
              <w:t>：针对牙齿本身，评估</w:t>
            </w:r>
            <w:r>
              <w:rPr>
                <w:rStyle w:val="192"/>
                <w:color w:val="auto"/>
                <w:lang w:bidi="ar"/>
              </w:rPr>
              <w:t>​​</w:t>
            </w:r>
            <w:r>
              <w:rPr>
                <w:rStyle w:val="94"/>
                <w:rFonts w:hint="default"/>
                <w:color w:val="auto"/>
                <w:lang w:bidi="ar"/>
              </w:rPr>
              <w:t>牙体</w:t>
            </w:r>
            <w:r>
              <w:rPr>
                <w:rStyle w:val="192"/>
                <w:color w:val="auto"/>
                <w:lang w:bidi="ar"/>
              </w:rPr>
              <w:t>​​</w:t>
            </w:r>
            <w:r>
              <w:rPr>
                <w:rStyle w:val="94"/>
                <w:rFonts w:hint="default"/>
                <w:color w:val="auto"/>
                <w:lang w:bidi="ar"/>
              </w:rPr>
              <w:t>状况（如缺损、发育异常）、</w:t>
            </w:r>
            <w:r>
              <w:rPr>
                <w:rStyle w:val="192"/>
                <w:color w:val="auto"/>
                <w:lang w:bidi="ar"/>
              </w:rPr>
              <w:t>​​</w:t>
            </w:r>
            <w:r>
              <w:rPr>
                <w:rStyle w:val="94"/>
                <w:rFonts w:hint="default"/>
                <w:color w:val="auto"/>
                <w:lang w:bidi="ar"/>
              </w:rPr>
              <w:t>牙髓</w:t>
            </w:r>
            <w:r>
              <w:rPr>
                <w:rStyle w:val="192"/>
                <w:color w:val="auto"/>
                <w:lang w:bidi="ar"/>
              </w:rPr>
              <w:t>​​</w:t>
            </w:r>
            <w:r>
              <w:rPr>
                <w:rStyle w:val="94"/>
                <w:rFonts w:hint="default"/>
                <w:color w:val="auto"/>
                <w:lang w:bidi="ar"/>
              </w:rPr>
              <w:t>健康状况以及</w:t>
            </w:r>
            <w:r>
              <w:rPr>
                <w:rStyle w:val="192"/>
                <w:color w:val="auto"/>
                <w:lang w:bidi="ar"/>
              </w:rPr>
              <w:t>​​</w:t>
            </w:r>
            <w:r>
              <w:rPr>
                <w:rStyle w:val="94"/>
                <w:rFonts w:hint="default"/>
                <w:color w:val="auto"/>
                <w:lang w:bidi="ar"/>
              </w:rPr>
              <w:t>六龄齿的特殊情况。</w:t>
            </w:r>
            <w:r>
              <w:rPr>
                <w:rStyle w:val="94"/>
                <w:rFonts w:hint="default"/>
                <w:color w:val="auto"/>
                <w:lang w:bidi="ar"/>
              </w:rPr>
              <w:br w:type="textWrapping"/>
            </w:r>
            <w:r>
              <w:rPr>
                <w:rStyle w:val="192"/>
                <w:color w:val="auto"/>
                <w:lang w:bidi="ar"/>
              </w:rPr>
              <w:t>​​</w:t>
            </w:r>
            <w:r>
              <w:rPr>
                <w:rStyle w:val="94"/>
                <w:rFonts w:hint="default"/>
                <w:color w:val="auto"/>
                <w:lang w:bidi="ar"/>
              </w:rPr>
              <w:t>牙颌发育与功能评估</w:t>
            </w:r>
            <w:r>
              <w:rPr>
                <w:rStyle w:val="192"/>
                <w:color w:val="auto"/>
                <w:lang w:bidi="ar"/>
              </w:rPr>
              <w:t>​​</w:t>
            </w:r>
            <w:r>
              <w:rPr>
                <w:rStyle w:val="94"/>
                <w:rFonts w:hint="default"/>
                <w:color w:val="auto"/>
                <w:lang w:bidi="ar"/>
              </w:rPr>
              <w:t>：系统检查</w:t>
            </w:r>
            <w:r>
              <w:rPr>
                <w:rStyle w:val="192"/>
                <w:color w:val="auto"/>
                <w:lang w:bidi="ar"/>
              </w:rPr>
              <w:t>​​</w:t>
            </w:r>
            <w:r>
              <w:rPr>
                <w:rStyle w:val="94"/>
                <w:rFonts w:hint="default"/>
                <w:color w:val="auto"/>
                <w:lang w:bidi="ar"/>
              </w:rPr>
              <w:t>咬合关系</w:t>
            </w:r>
            <w:r>
              <w:rPr>
                <w:rStyle w:val="192"/>
                <w:color w:val="auto"/>
                <w:lang w:bidi="ar"/>
              </w:rPr>
              <w:t>​​</w:t>
            </w:r>
            <w:r>
              <w:rPr>
                <w:rStyle w:val="94"/>
                <w:rFonts w:hint="default"/>
                <w:color w:val="auto"/>
                <w:lang w:bidi="ar"/>
              </w:rPr>
              <w:t>、牙齿</w:t>
            </w:r>
            <w:r>
              <w:rPr>
                <w:rStyle w:val="192"/>
                <w:color w:val="auto"/>
                <w:lang w:bidi="ar"/>
              </w:rPr>
              <w:t>​​</w:t>
            </w:r>
            <w:r>
              <w:rPr>
                <w:rStyle w:val="94"/>
                <w:rFonts w:hint="default"/>
                <w:color w:val="auto"/>
                <w:lang w:bidi="ar"/>
              </w:rPr>
              <w:t>排列</w:t>
            </w:r>
            <w:r>
              <w:rPr>
                <w:rStyle w:val="192"/>
                <w:color w:val="auto"/>
                <w:lang w:bidi="ar"/>
              </w:rPr>
              <w:t>​​</w:t>
            </w:r>
            <w:r>
              <w:rPr>
                <w:rStyle w:val="94"/>
                <w:rFonts w:hint="default"/>
                <w:color w:val="auto"/>
                <w:lang w:bidi="ar"/>
              </w:rPr>
              <w:t>整齐度及乳恒牙</w:t>
            </w:r>
            <w:r>
              <w:rPr>
                <w:rStyle w:val="192"/>
                <w:color w:val="auto"/>
                <w:lang w:bidi="ar"/>
              </w:rPr>
              <w:t>​​</w:t>
            </w:r>
            <w:r>
              <w:rPr>
                <w:rStyle w:val="94"/>
                <w:rFonts w:hint="default"/>
                <w:color w:val="auto"/>
                <w:lang w:bidi="ar"/>
              </w:rPr>
              <w:t>替换</w:t>
            </w:r>
            <w:r>
              <w:rPr>
                <w:rStyle w:val="192"/>
                <w:color w:val="auto"/>
                <w:lang w:bidi="ar"/>
              </w:rPr>
              <w:t>​​</w:t>
            </w:r>
            <w:r>
              <w:rPr>
                <w:rStyle w:val="94"/>
                <w:rFonts w:hint="default"/>
                <w:color w:val="auto"/>
                <w:lang w:bidi="ar"/>
              </w:rPr>
              <w:t>情况，以监控颌面发育。</w:t>
            </w:r>
            <w:r>
              <w:rPr>
                <w:rStyle w:val="94"/>
                <w:rFonts w:hint="default"/>
                <w:color w:val="auto"/>
                <w:lang w:bidi="ar"/>
              </w:rPr>
              <w:br w:type="textWrapping"/>
            </w:r>
            <w:r>
              <w:rPr>
                <w:rStyle w:val="192"/>
                <w:color w:val="auto"/>
                <w:lang w:bidi="ar"/>
              </w:rPr>
              <w:t>​​</w:t>
            </w:r>
            <w:r>
              <w:rPr>
                <w:rStyle w:val="94"/>
                <w:rFonts w:hint="default"/>
                <w:color w:val="auto"/>
                <w:lang w:bidi="ar"/>
              </w:rPr>
              <w:t>软组织与相关因素调查</w:t>
            </w:r>
            <w:r>
              <w:rPr>
                <w:rStyle w:val="192"/>
                <w:color w:val="auto"/>
                <w:lang w:bidi="ar"/>
              </w:rPr>
              <w:t>​​</w:t>
            </w:r>
            <w:r>
              <w:rPr>
                <w:rStyle w:val="94"/>
                <w:rFonts w:hint="default"/>
                <w:color w:val="auto"/>
                <w:lang w:bidi="ar"/>
              </w:rPr>
              <w:t>：评估</w:t>
            </w:r>
            <w:r>
              <w:rPr>
                <w:rStyle w:val="192"/>
                <w:color w:val="auto"/>
                <w:lang w:bidi="ar"/>
              </w:rPr>
              <w:t>​​</w:t>
            </w:r>
            <w:r>
              <w:rPr>
                <w:rStyle w:val="94"/>
                <w:rFonts w:hint="default"/>
                <w:color w:val="auto"/>
                <w:lang w:bidi="ar"/>
              </w:rPr>
              <w:t>口腔黏膜</w:t>
            </w:r>
            <w:r>
              <w:rPr>
                <w:rStyle w:val="192"/>
                <w:color w:val="auto"/>
                <w:lang w:bidi="ar"/>
              </w:rPr>
              <w:t>​​</w:t>
            </w:r>
            <w:r>
              <w:rPr>
                <w:rStyle w:val="94"/>
                <w:rFonts w:hint="default"/>
                <w:color w:val="auto"/>
                <w:lang w:bidi="ar"/>
              </w:rPr>
              <w:t>健康状况，并调查与口腔健康密切相关的</w:t>
            </w:r>
            <w:r>
              <w:rPr>
                <w:rStyle w:val="192"/>
                <w:color w:val="auto"/>
                <w:lang w:bidi="ar"/>
              </w:rPr>
              <w:t>​​</w:t>
            </w:r>
            <w:r>
              <w:rPr>
                <w:rStyle w:val="94"/>
                <w:rFonts w:hint="default"/>
                <w:color w:val="auto"/>
                <w:lang w:bidi="ar"/>
              </w:rPr>
              <w:t>家庭饮食习惯</w:t>
            </w:r>
            <w:r>
              <w:rPr>
                <w:rStyle w:val="192"/>
                <w:color w:val="auto"/>
                <w:lang w:bidi="ar"/>
              </w:rPr>
              <w:t>​​</w:t>
            </w:r>
            <w:r>
              <w:rPr>
                <w:rStyle w:val="94"/>
                <w:rFonts w:hint="default"/>
                <w:color w:val="auto"/>
                <w:lang w:bidi="ar"/>
              </w:rPr>
              <w:t>及</w:t>
            </w:r>
            <w:r>
              <w:rPr>
                <w:rStyle w:val="192"/>
                <w:color w:val="auto"/>
                <w:lang w:bidi="ar"/>
              </w:rPr>
              <w:t>​​</w:t>
            </w:r>
            <w:r>
              <w:rPr>
                <w:rStyle w:val="94"/>
                <w:rFonts w:hint="default"/>
                <w:color w:val="auto"/>
                <w:lang w:bidi="ar"/>
              </w:rPr>
              <w:t>儿童不良口腔习惯。</w:t>
            </w:r>
            <w:r>
              <w:rPr>
                <w:rStyle w:val="94"/>
                <w:rFonts w:hint="default"/>
                <w:color w:val="auto"/>
                <w:lang w:bidi="ar"/>
              </w:rPr>
              <w:br w:type="textWrapping"/>
            </w:r>
            <w:r>
              <w:rPr>
                <w:rStyle w:val="192"/>
                <w:color w:val="auto"/>
                <w:lang w:bidi="ar"/>
              </w:rPr>
              <w:t>​​</w:t>
            </w:r>
            <w:r>
              <w:rPr>
                <w:rStyle w:val="94"/>
                <w:rFonts w:hint="default"/>
                <w:color w:val="auto"/>
                <w:lang w:bidi="ar"/>
              </w:rPr>
              <w:t>综合诊断与管理</w:t>
            </w:r>
            <w:r>
              <w:rPr>
                <w:rStyle w:val="192"/>
                <w:color w:val="auto"/>
                <w:lang w:bidi="ar"/>
              </w:rPr>
              <w:t>​​</w:t>
            </w:r>
            <w:r>
              <w:rPr>
                <w:rStyle w:val="94"/>
                <w:rFonts w:hint="default"/>
                <w:color w:val="auto"/>
                <w:lang w:bidi="ar"/>
              </w:rPr>
              <w:t>：基于以上检查，形成</w:t>
            </w:r>
            <w:r>
              <w:rPr>
                <w:rStyle w:val="192"/>
                <w:color w:val="auto"/>
                <w:lang w:bidi="ar"/>
              </w:rPr>
              <w:t>​​</w:t>
            </w:r>
            <w:r>
              <w:rPr>
                <w:rStyle w:val="94"/>
                <w:rFonts w:hint="default"/>
                <w:color w:val="auto"/>
                <w:lang w:bidi="ar"/>
              </w:rPr>
              <w:t>口腔健康状况</w:t>
            </w:r>
            <w:r>
              <w:rPr>
                <w:rStyle w:val="192"/>
                <w:color w:val="auto"/>
                <w:lang w:bidi="ar"/>
              </w:rPr>
              <w:t>​​</w:t>
            </w:r>
            <w:r>
              <w:rPr>
                <w:rStyle w:val="94"/>
                <w:rFonts w:hint="default"/>
                <w:color w:val="auto"/>
                <w:lang w:bidi="ar"/>
              </w:rPr>
              <w:t>的总体评价，并</w:t>
            </w:r>
            <w:r>
              <w:rPr>
                <w:rStyle w:val="192"/>
                <w:color w:val="auto"/>
                <w:lang w:bidi="ar"/>
              </w:rPr>
              <w:t>​​</w:t>
            </w:r>
            <w:r>
              <w:rPr>
                <w:rStyle w:val="94"/>
                <w:rFonts w:hint="default"/>
                <w:color w:val="auto"/>
                <w:lang w:bidi="ar"/>
              </w:rPr>
              <w:t>支持上传X光片等附件</w:t>
            </w:r>
            <w:r>
              <w:rPr>
                <w:rStyle w:val="192"/>
                <w:color w:val="auto"/>
                <w:lang w:bidi="ar"/>
              </w:rPr>
              <w:t>​​</w:t>
            </w:r>
            <w:r>
              <w:rPr>
                <w:rStyle w:val="94"/>
                <w:rFonts w:hint="default"/>
                <w:color w:val="auto"/>
                <w:lang w:bidi="ar"/>
              </w:rPr>
              <w:t>作为诊断依据。</w:t>
            </w:r>
          </w:p>
        </w:tc>
      </w:tr>
      <w:tr w14:paraId="38BFC9EF">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6294EE3">
            <w:pPr>
              <w:widowControl/>
              <w:jc w:val="center"/>
              <w:textAlignment w:val="center"/>
              <w:rPr>
                <w:rFonts w:hint="eastAsia" w:ascii="宋体" w:hAnsi="宋体" w:cs="宋体"/>
                <w:sz w:val="24"/>
              </w:rPr>
            </w:pPr>
            <w:r>
              <w:rPr>
                <w:rFonts w:hint="eastAsia" w:ascii="宋体" w:hAnsi="宋体" w:cs="宋体"/>
                <w:kern w:val="0"/>
                <w:sz w:val="24"/>
                <w:lang w:bidi="ar"/>
              </w:rPr>
              <w:t>416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9C40E3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16327B4">
            <w:pPr>
              <w:widowControl/>
              <w:jc w:val="center"/>
              <w:textAlignment w:val="center"/>
              <w:rPr>
                <w:rFonts w:hint="eastAsia" w:ascii="宋体" w:hAnsi="宋体" w:cs="宋体"/>
                <w:sz w:val="24"/>
              </w:rPr>
            </w:pPr>
            <w:r>
              <w:rPr>
                <w:rFonts w:hint="eastAsia" w:ascii="宋体" w:hAnsi="宋体" w:cs="宋体"/>
                <w:kern w:val="0"/>
                <w:sz w:val="24"/>
                <w:lang w:bidi="ar"/>
              </w:rPr>
              <w:t>指导建议</w:t>
            </w:r>
          </w:p>
        </w:tc>
        <w:tc>
          <w:tcPr>
            <w:tcW w:w="9687" w:type="dxa"/>
            <w:tcBorders>
              <w:top w:val="single" w:color="000000" w:sz="4" w:space="0"/>
              <w:left w:val="single" w:color="000000" w:sz="4" w:space="0"/>
              <w:bottom w:val="single" w:color="000000" w:sz="4" w:space="0"/>
              <w:right w:val="single" w:color="000000" w:sz="4" w:space="0"/>
            </w:tcBorders>
            <w:vAlign w:val="center"/>
          </w:tcPr>
          <w:p w14:paraId="03F713D0">
            <w:pPr>
              <w:widowControl/>
              <w:textAlignment w:val="center"/>
              <w:rPr>
                <w:rFonts w:hint="eastAsia" w:ascii="宋体" w:hAnsi="宋体" w:cs="宋体"/>
                <w:sz w:val="24"/>
              </w:rPr>
            </w:pPr>
            <w:r>
              <w:rPr>
                <w:rStyle w:val="94"/>
                <w:rFonts w:hint="default"/>
                <w:color w:val="auto"/>
                <w:lang w:bidi="ar"/>
              </w:rPr>
              <w:t>儿童口腔筛查指导建议模块，是将筛查结果转化为具体的行动方案，完成筛查工作的闭环管理。该模块以</w:t>
            </w:r>
            <w:r>
              <w:rPr>
                <w:rStyle w:val="192"/>
                <w:color w:val="auto"/>
                <w:lang w:bidi="ar"/>
              </w:rPr>
              <w:t>​​</w:t>
            </w:r>
            <w:r>
              <w:rPr>
                <w:rStyle w:val="94"/>
                <w:rFonts w:hint="default"/>
                <w:color w:val="auto"/>
                <w:lang w:bidi="ar"/>
              </w:rPr>
              <w:t>指导建议页面</w:t>
            </w:r>
            <w:r>
              <w:rPr>
                <w:rStyle w:val="192"/>
                <w:color w:val="auto"/>
                <w:lang w:bidi="ar"/>
              </w:rPr>
              <w:t>​​</w:t>
            </w:r>
            <w:r>
              <w:rPr>
                <w:rStyle w:val="94"/>
                <w:rFonts w:hint="default"/>
                <w:color w:val="auto"/>
                <w:lang w:bidi="ar"/>
              </w:rPr>
              <w:t>为核心，实现以下功能：</w:t>
            </w:r>
            <w:r>
              <w:rPr>
                <w:rStyle w:val="94"/>
                <w:rFonts w:hint="default"/>
                <w:color w:val="auto"/>
                <w:lang w:bidi="ar"/>
              </w:rPr>
              <w:br w:type="textWrapping"/>
            </w:r>
            <w:r>
              <w:rPr>
                <w:rStyle w:val="94"/>
                <w:rFonts w:hint="default"/>
                <w:color w:val="auto"/>
                <w:lang w:bidi="ar"/>
              </w:rPr>
              <w:t>系统能够</w:t>
            </w:r>
            <w:r>
              <w:rPr>
                <w:rStyle w:val="192"/>
                <w:color w:val="auto"/>
                <w:lang w:bidi="ar"/>
              </w:rPr>
              <w:t>​​</w:t>
            </w:r>
            <w:r>
              <w:rPr>
                <w:rStyle w:val="94"/>
                <w:rFonts w:hint="default"/>
                <w:color w:val="auto"/>
                <w:lang w:bidi="ar"/>
              </w:rPr>
              <w:t>依据筛查结果给予个性化的干预措施</w:t>
            </w:r>
            <w:r>
              <w:rPr>
                <w:rStyle w:val="192"/>
                <w:color w:val="auto"/>
                <w:lang w:bidi="ar"/>
              </w:rPr>
              <w:t>​​</w:t>
            </w:r>
            <w:r>
              <w:rPr>
                <w:rStyle w:val="94"/>
                <w:rFonts w:hint="default"/>
                <w:color w:val="auto"/>
                <w:lang w:bidi="ar"/>
              </w:rPr>
              <w:t>，对于已接受处理的儿童，可</w:t>
            </w:r>
            <w:r>
              <w:rPr>
                <w:rStyle w:val="192"/>
                <w:color w:val="auto"/>
                <w:lang w:bidi="ar"/>
              </w:rPr>
              <w:t>​​</w:t>
            </w:r>
            <w:r>
              <w:rPr>
                <w:rStyle w:val="94"/>
                <w:rFonts w:hint="default"/>
                <w:color w:val="auto"/>
                <w:lang w:bidi="ar"/>
              </w:rPr>
              <w:t>记录治疗后注意事项</w:t>
            </w:r>
            <w:r>
              <w:rPr>
                <w:rStyle w:val="192"/>
                <w:color w:val="auto"/>
                <w:lang w:bidi="ar"/>
              </w:rPr>
              <w:t>​​</w:t>
            </w:r>
            <w:r>
              <w:rPr>
                <w:rStyle w:val="94"/>
                <w:rFonts w:hint="default"/>
                <w:color w:val="auto"/>
                <w:lang w:bidi="ar"/>
              </w:rPr>
              <w:t>，为家庭护理提供明确指导。</w:t>
            </w:r>
          </w:p>
        </w:tc>
      </w:tr>
      <w:tr w14:paraId="15E73B66">
        <w:tblPrEx>
          <w:tblCellMar>
            <w:top w:w="0" w:type="dxa"/>
            <w:left w:w="108" w:type="dxa"/>
            <w:bottom w:w="0" w:type="dxa"/>
            <w:right w:w="108" w:type="dxa"/>
          </w:tblCellMar>
        </w:tblPrEx>
        <w:trPr>
          <w:trHeight w:val="29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0B2B895">
            <w:pPr>
              <w:widowControl/>
              <w:jc w:val="center"/>
              <w:textAlignment w:val="center"/>
              <w:rPr>
                <w:rFonts w:hint="eastAsia" w:ascii="宋体" w:hAnsi="宋体" w:cs="宋体"/>
                <w:sz w:val="24"/>
              </w:rPr>
            </w:pPr>
            <w:r>
              <w:rPr>
                <w:rFonts w:hint="eastAsia" w:ascii="宋体" w:hAnsi="宋体" w:cs="宋体"/>
                <w:kern w:val="0"/>
                <w:sz w:val="24"/>
                <w:lang w:bidi="ar"/>
              </w:rPr>
              <w:t>417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35FEF0A">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623457">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2C7EC20D">
            <w:pPr>
              <w:widowControl/>
              <w:textAlignment w:val="center"/>
              <w:rPr>
                <w:rFonts w:hint="eastAsia" w:ascii="宋体" w:hAnsi="宋体" w:cs="宋体"/>
                <w:sz w:val="24"/>
              </w:rPr>
            </w:pPr>
            <w:r>
              <w:rPr>
                <w:rStyle w:val="94"/>
                <w:rFonts w:hint="default"/>
                <w:color w:val="auto"/>
                <w:lang w:bidi="ar"/>
              </w:rPr>
              <w:t>儿童口腔筛查统计分析模块，为儿童口腔管理提供数据支持，其功能主要分为两个层面：</w:t>
            </w:r>
            <w:r>
              <w:rPr>
                <w:rStyle w:val="94"/>
                <w:rFonts w:hint="default"/>
                <w:color w:val="auto"/>
                <w:lang w:bidi="ar"/>
              </w:rPr>
              <w:br w:type="textWrapping"/>
            </w:r>
            <w:r>
              <w:rPr>
                <w:rStyle w:val="192"/>
                <w:color w:val="auto"/>
                <w:lang w:bidi="ar"/>
              </w:rPr>
              <w:t>​​</w:t>
            </w:r>
            <w:r>
              <w:rPr>
                <w:rStyle w:val="94"/>
                <w:rFonts w:hint="default"/>
                <w:color w:val="auto"/>
                <w:lang w:bidi="ar"/>
              </w:rPr>
              <w:t>筛查结果登记表管理</w:t>
            </w:r>
            <w:r>
              <w:rPr>
                <w:rStyle w:val="192"/>
                <w:color w:val="auto"/>
                <w:lang w:bidi="ar"/>
              </w:rPr>
              <w:t>​​</w:t>
            </w:r>
            <w:r>
              <w:rPr>
                <w:rStyle w:val="94"/>
                <w:rFonts w:hint="default"/>
                <w:color w:val="auto"/>
                <w:lang w:bidi="ar"/>
              </w:rPr>
              <w:t>：提供“筛查结果登记本”，支持对所有儿童的筛查结果明细进行查询和导出。</w:t>
            </w:r>
            <w:r>
              <w:rPr>
                <w:rStyle w:val="94"/>
                <w:rFonts w:hint="default"/>
                <w:color w:val="auto"/>
                <w:lang w:bidi="ar"/>
              </w:rPr>
              <w:br w:type="textWrapping"/>
            </w:r>
            <w:r>
              <w:rPr>
                <w:rStyle w:val="192"/>
                <w:color w:val="auto"/>
                <w:lang w:bidi="ar"/>
              </w:rPr>
              <w:t>​​</w:t>
            </w:r>
            <w:r>
              <w:rPr>
                <w:rStyle w:val="94"/>
                <w:rFonts w:hint="default"/>
                <w:color w:val="auto"/>
                <w:lang w:bidi="ar"/>
              </w:rPr>
              <w:t>筛查结果统计分析</w:t>
            </w:r>
            <w:r>
              <w:rPr>
                <w:rStyle w:val="192"/>
                <w:color w:val="auto"/>
                <w:lang w:bidi="ar"/>
              </w:rPr>
              <w:t>​​</w:t>
            </w:r>
            <w:r>
              <w:rPr>
                <w:rStyle w:val="94"/>
                <w:rFonts w:hint="default"/>
                <w:color w:val="auto"/>
                <w:lang w:bidi="ar"/>
              </w:rPr>
              <w:t>：提供“筛查结果统计分析”功能，能够对龋患率、治疗需求、各年龄段口腔问题分布等指标进行多维度汇总分析，为评估儿童空腔健康水平和制定防治策略提供数据依据。</w:t>
            </w:r>
          </w:p>
        </w:tc>
      </w:tr>
      <w:tr w14:paraId="5EA51768">
        <w:tblPrEx>
          <w:tblCellMar>
            <w:top w:w="0" w:type="dxa"/>
            <w:left w:w="108" w:type="dxa"/>
            <w:bottom w:w="0" w:type="dxa"/>
            <w:right w:w="108" w:type="dxa"/>
          </w:tblCellMar>
        </w:tblPrEx>
        <w:trPr>
          <w:trHeight w:val="24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2DE8741">
            <w:pPr>
              <w:widowControl/>
              <w:jc w:val="center"/>
              <w:textAlignment w:val="center"/>
              <w:rPr>
                <w:rFonts w:hint="eastAsia" w:ascii="宋体" w:hAnsi="宋体" w:cs="宋体"/>
                <w:sz w:val="24"/>
              </w:rPr>
            </w:pPr>
            <w:r>
              <w:rPr>
                <w:rFonts w:hint="eastAsia" w:ascii="宋体" w:hAnsi="宋体" w:cs="宋体"/>
                <w:kern w:val="0"/>
                <w:sz w:val="24"/>
                <w:lang w:bidi="ar"/>
              </w:rPr>
              <w:t>419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0DF7A23B">
            <w:pPr>
              <w:widowControl/>
              <w:jc w:val="center"/>
              <w:textAlignment w:val="center"/>
              <w:rPr>
                <w:rFonts w:hint="eastAsia" w:ascii="宋体" w:hAnsi="宋体" w:cs="宋体"/>
                <w:sz w:val="24"/>
              </w:rPr>
            </w:pPr>
            <w:r>
              <w:rPr>
                <w:rFonts w:hint="eastAsia" w:ascii="宋体" w:hAnsi="宋体" w:cs="宋体"/>
                <w:kern w:val="0"/>
                <w:sz w:val="24"/>
                <w:lang w:bidi="ar"/>
              </w:rPr>
              <w:t>体重管理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70176E33">
            <w:pPr>
              <w:widowControl/>
              <w:jc w:val="center"/>
              <w:textAlignment w:val="center"/>
              <w:rPr>
                <w:rFonts w:hint="eastAsia" w:ascii="宋体" w:hAnsi="宋体" w:cs="宋体"/>
                <w:sz w:val="24"/>
              </w:rPr>
            </w:pPr>
            <w:r>
              <w:rPr>
                <w:rFonts w:hint="eastAsia" w:ascii="宋体" w:hAnsi="宋体" w:cs="宋体"/>
                <w:kern w:val="0"/>
                <w:sz w:val="24"/>
                <w:lang w:bidi="ar"/>
              </w:rPr>
              <w:t>建立档案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4DEB8048">
            <w:pPr>
              <w:widowControl/>
              <w:textAlignment w:val="center"/>
              <w:rPr>
                <w:rFonts w:hint="eastAsia" w:ascii="宋体" w:hAnsi="宋体" w:cs="宋体"/>
                <w:sz w:val="24"/>
              </w:rPr>
            </w:pPr>
            <w:r>
              <w:rPr>
                <w:rStyle w:val="94"/>
                <w:rFonts w:hint="default"/>
                <w:color w:val="auto"/>
                <w:lang w:bidi="ar"/>
              </w:rPr>
              <w:t>体重管理档案模块，以</w:t>
            </w:r>
            <w:r>
              <w:rPr>
                <w:rStyle w:val="192"/>
                <w:color w:val="auto"/>
                <w:lang w:bidi="ar"/>
              </w:rPr>
              <w:t>​</w:t>
            </w:r>
            <w:r>
              <w:rPr>
                <w:rStyle w:val="94"/>
                <w:rFonts w:hint="default"/>
                <w:color w:val="auto"/>
                <w:lang w:bidi="ar"/>
              </w:rPr>
              <w:t>儿童档案页面</w:t>
            </w:r>
            <w:r>
              <w:rPr>
                <w:rStyle w:val="192"/>
                <w:color w:val="auto"/>
                <w:lang w:bidi="ar"/>
              </w:rPr>
              <w:t>​​</w:t>
            </w:r>
            <w:r>
              <w:rPr>
                <w:rStyle w:val="94"/>
                <w:rFonts w:hint="default"/>
                <w:color w:val="auto"/>
                <w:lang w:bidi="ar"/>
              </w:rPr>
              <w:t>为统一视图，实现对儿童体重管理档案的全生命周期管理，具体功能如下：</w:t>
            </w:r>
            <w:r>
              <w:rPr>
                <w:rStyle w:val="94"/>
                <w:rFonts w:hint="default"/>
                <w:color w:val="auto"/>
                <w:lang w:bidi="ar"/>
              </w:rPr>
              <w:br w:type="textWrapping"/>
            </w:r>
            <w:r>
              <w:rPr>
                <w:rStyle w:val="94"/>
                <w:rFonts w:hint="default"/>
                <w:color w:val="auto"/>
                <w:lang w:bidi="ar"/>
              </w:rPr>
              <w:t>模块支持通过两种方式建立档案：一是</w:t>
            </w:r>
            <w:r>
              <w:rPr>
                <w:rStyle w:val="192"/>
                <w:color w:val="auto"/>
                <w:lang w:bidi="ar"/>
              </w:rPr>
              <w:t>​​</w:t>
            </w:r>
            <w:r>
              <w:rPr>
                <w:rStyle w:val="94"/>
                <w:rFonts w:hint="default"/>
                <w:color w:val="auto"/>
                <w:lang w:bidi="ar"/>
              </w:rPr>
              <w:t>查询并获取妇幼系统中已有的儿童档案</w:t>
            </w:r>
            <w:r>
              <w:rPr>
                <w:rStyle w:val="192"/>
                <w:color w:val="auto"/>
                <w:lang w:bidi="ar"/>
              </w:rPr>
              <w:t>​​</w:t>
            </w:r>
            <w:r>
              <w:rPr>
                <w:rStyle w:val="94"/>
                <w:rFonts w:hint="default"/>
                <w:color w:val="auto"/>
                <w:lang w:bidi="ar"/>
              </w:rPr>
              <w:t>信息，实现数据共享；二是</w:t>
            </w:r>
            <w:r>
              <w:rPr>
                <w:rStyle w:val="192"/>
                <w:color w:val="auto"/>
                <w:lang w:bidi="ar"/>
              </w:rPr>
              <w:t>​​</w:t>
            </w:r>
            <w:r>
              <w:rPr>
                <w:rStyle w:val="94"/>
                <w:rFonts w:hint="default"/>
                <w:color w:val="auto"/>
                <w:lang w:bidi="ar"/>
              </w:rPr>
              <w:t>支持手工新建档案</w:t>
            </w:r>
            <w:r>
              <w:rPr>
                <w:rStyle w:val="192"/>
                <w:color w:val="auto"/>
                <w:lang w:bidi="ar"/>
              </w:rPr>
              <w:t>​​</w:t>
            </w:r>
            <w:r>
              <w:rPr>
                <w:rStyle w:val="94"/>
                <w:rFonts w:hint="default"/>
                <w:color w:val="auto"/>
                <w:lang w:bidi="ar"/>
              </w:rPr>
              <w:t>。档案建立后，支持对档案信息进行</w:t>
            </w:r>
            <w:r>
              <w:rPr>
                <w:rStyle w:val="192"/>
                <w:color w:val="auto"/>
                <w:lang w:bidi="ar"/>
              </w:rPr>
              <w:t>​​</w:t>
            </w:r>
            <w:r>
              <w:rPr>
                <w:rStyle w:val="94"/>
                <w:rFonts w:hint="default"/>
                <w:color w:val="auto"/>
                <w:lang w:bidi="ar"/>
              </w:rPr>
              <w:t>查看、修改和删除</w:t>
            </w:r>
            <w:r>
              <w:rPr>
                <w:rStyle w:val="192"/>
                <w:color w:val="auto"/>
                <w:lang w:bidi="ar"/>
              </w:rPr>
              <w:t>​​</w:t>
            </w:r>
            <w:r>
              <w:rPr>
                <w:rStyle w:val="94"/>
                <w:rFonts w:hint="default"/>
                <w:color w:val="auto"/>
                <w:lang w:bidi="ar"/>
              </w:rPr>
              <w:t>操作，确保档案数据的准确性和时效性。</w:t>
            </w:r>
          </w:p>
        </w:tc>
      </w:tr>
      <w:tr w14:paraId="642A0DB0">
        <w:tblPrEx>
          <w:tblCellMar>
            <w:top w:w="0" w:type="dxa"/>
            <w:left w:w="108" w:type="dxa"/>
            <w:bottom w:w="0" w:type="dxa"/>
            <w:right w:w="108" w:type="dxa"/>
          </w:tblCellMar>
        </w:tblPrEx>
        <w:trPr>
          <w:trHeight w:val="60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E7FD508">
            <w:pPr>
              <w:widowControl/>
              <w:jc w:val="center"/>
              <w:textAlignment w:val="center"/>
              <w:rPr>
                <w:rFonts w:hint="eastAsia" w:ascii="宋体" w:hAnsi="宋体" w:cs="宋体"/>
                <w:sz w:val="24"/>
              </w:rPr>
            </w:pPr>
            <w:r>
              <w:rPr>
                <w:rFonts w:hint="eastAsia" w:ascii="宋体" w:hAnsi="宋体" w:cs="宋体"/>
                <w:kern w:val="0"/>
                <w:sz w:val="24"/>
                <w:lang w:bidi="ar"/>
              </w:rPr>
              <w:t>420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91C957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89E8598">
            <w:pPr>
              <w:widowControl/>
              <w:jc w:val="center"/>
              <w:textAlignment w:val="center"/>
              <w:rPr>
                <w:rFonts w:hint="eastAsia" w:ascii="宋体" w:hAnsi="宋体" w:cs="宋体"/>
                <w:sz w:val="24"/>
              </w:rPr>
            </w:pPr>
            <w:r>
              <w:rPr>
                <w:rFonts w:hint="eastAsia" w:ascii="宋体" w:hAnsi="宋体" w:cs="宋体"/>
                <w:kern w:val="0"/>
                <w:sz w:val="24"/>
                <w:lang w:bidi="ar"/>
              </w:rPr>
              <w:t>体重管理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477D4C2">
            <w:pPr>
              <w:widowControl/>
              <w:textAlignment w:val="center"/>
              <w:rPr>
                <w:rFonts w:hint="eastAsia" w:ascii="宋体" w:hAnsi="宋体" w:cs="宋体"/>
                <w:sz w:val="24"/>
              </w:rPr>
            </w:pPr>
            <w:r>
              <w:rPr>
                <w:rStyle w:val="94"/>
                <w:rFonts w:hint="default"/>
                <w:color w:val="auto"/>
                <w:lang w:bidi="ar"/>
              </w:rPr>
              <w:t>体重管理模块，可以对儿童体重进行动态监测、智能评估与个性化干预，实现体重管理的闭环服务。该模块以</w:t>
            </w:r>
            <w:r>
              <w:rPr>
                <w:rStyle w:val="192"/>
                <w:color w:val="auto"/>
                <w:lang w:bidi="ar"/>
              </w:rPr>
              <w:t>​​</w:t>
            </w:r>
            <w:r>
              <w:rPr>
                <w:rStyle w:val="94"/>
                <w:rFonts w:hint="default"/>
                <w:color w:val="auto"/>
                <w:lang w:bidi="ar"/>
              </w:rPr>
              <w:t>儿童体重管理检查记录页面</w:t>
            </w:r>
            <w:r>
              <w:rPr>
                <w:rStyle w:val="192"/>
                <w:color w:val="auto"/>
                <w:lang w:bidi="ar"/>
              </w:rPr>
              <w:t>​​</w:t>
            </w:r>
            <w:r>
              <w:rPr>
                <w:rStyle w:val="94"/>
                <w:rFonts w:hint="default"/>
                <w:color w:val="auto"/>
                <w:lang w:bidi="ar"/>
              </w:rPr>
              <w:t>为核心，提供以下功能：</w:t>
            </w:r>
            <w:r>
              <w:rPr>
                <w:rStyle w:val="94"/>
                <w:rFonts w:hint="default"/>
                <w:color w:val="auto"/>
                <w:lang w:bidi="ar"/>
              </w:rPr>
              <w:br w:type="textWrapping"/>
            </w:r>
            <w:r>
              <w:rPr>
                <w:rStyle w:val="94"/>
                <w:rFonts w:hint="default"/>
                <w:color w:val="auto"/>
                <w:lang w:bidi="ar"/>
              </w:rPr>
              <w:t>数据智能采集与评估</w:t>
            </w:r>
            <w:r>
              <w:rPr>
                <w:rStyle w:val="192"/>
                <w:color w:val="auto"/>
                <w:lang w:bidi="ar"/>
              </w:rPr>
              <w:t>​​</w:t>
            </w:r>
            <w:r>
              <w:rPr>
                <w:rStyle w:val="94"/>
                <w:rFonts w:hint="default"/>
                <w:color w:val="auto"/>
                <w:lang w:bidi="ar"/>
              </w:rPr>
              <w:t>：系统可</w:t>
            </w:r>
            <w:r>
              <w:rPr>
                <w:rStyle w:val="192"/>
                <w:color w:val="auto"/>
                <w:lang w:bidi="ar"/>
              </w:rPr>
              <w:t>​​</w:t>
            </w:r>
            <w:r>
              <w:rPr>
                <w:rStyle w:val="94"/>
                <w:rFonts w:hint="default"/>
                <w:color w:val="auto"/>
                <w:lang w:bidi="ar"/>
              </w:rPr>
              <w:t>自动导入</w:t>
            </w:r>
            <w:r>
              <w:rPr>
                <w:rStyle w:val="192"/>
                <w:color w:val="auto"/>
                <w:lang w:bidi="ar"/>
              </w:rPr>
              <w:t>​​</w:t>
            </w:r>
            <w:r>
              <w:rPr>
                <w:rStyle w:val="94"/>
                <w:rFonts w:hint="default"/>
                <w:color w:val="auto"/>
                <w:lang w:bidi="ar"/>
              </w:rPr>
              <w:t>现有系统中的历史身高、体重、BMI及辅助检查数据，同时</w:t>
            </w:r>
            <w:r>
              <w:rPr>
                <w:rStyle w:val="192"/>
                <w:color w:val="auto"/>
                <w:lang w:bidi="ar"/>
              </w:rPr>
              <w:t>​​</w:t>
            </w:r>
            <w:r>
              <w:rPr>
                <w:rStyle w:val="94"/>
                <w:rFonts w:hint="default"/>
                <w:color w:val="auto"/>
                <w:lang w:bidi="ar"/>
              </w:rPr>
              <w:t>支持新增、修改和删除本次检查数据</w:t>
            </w:r>
            <w:r>
              <w:rPr>
                <w:rStyle w:val="192"/>
                <w:color w:val="auto"/>
                <w:lang w:bidi="ar"/>
              </w:rPr>
              <w:t>​​</w:t>
            </w:r>
            <w:r>
              <w:rPr>
                <w:rStyle w:val="94"/>
                <w:rFonts w:hint="default"/>
                <w:color w:val="auto"/>
                <w:lang w:bidi="ar"/>
              </w:rPr>
              <w:t>。基于这些数据，系统能</w:t>
            </w:r>
            <w:r>
              <w:rPr>
                <w:rStyle w:val="192"/>
                <w:color w:val="auto"/>
                <w:lang w:bidi="ar"/>
              </w:rPr>
              <w:t>​​</w:t>
            </w:r>
            <w:r>
              <w:rPr>
                <w:rStyle w:val="94"/>
                <w:rFonts w:hint="default"/>
                <w:color w:val="auto"/>
                <w:lang w:bidi="ar"/>
              </w:rPr>
              <w:t>自动判断肥胖类型</w:t>
            </w:r>
            <w:r>
              <w:rPr>
                <w:rStyle w:val="192"/>
                <w:color w:val="auto"/>
                <w:lang w:bidi="ar"/>
              </w:rPr>
              <w:t>​​</w:t>
            </w:r>
            <w:r>
              <w:rPr>
                <w:rStyle w:val="94"/>
                <w:rFonts w:hint="default"/>
                <w:color w:val="auto"/>
                <w:lang w:bidi="ar"/>
              </w:rPr>
              <w:t>，并将超重肥胖儿童自动纳入“体重健康管理”专案进行重点管理。</w:t>
            </w:r>
            <w:r>
              <w:rPr>
                <w:rStyle w:val="94"/>
                <w:rFonts w:hint="default"/>
                <w:color w:val="auto"/>
                <w:lang w:bidi="ar"/>
              </w:rPr>
              <w:br w:type="textWrapping"/>
            </w:r>
            <w:r>
              <w:rPr>
                <w:rStyle w:val="94"/>
                <w:rFonts w:hint="default"/>
                <w:color w:val="auto"/>
                <w:lang w:bidi="ar"/>
              </w:rPr>
              <w:t>生长趋势可视化与个性化干预</w:t>
            </w:r>
            <w:r>
              <w:rPr>
                <w:rStyle w:val="192"/>
                <w:color w:val="auto"/>
                <w:lang w:bidi="ar"/>
              </w:rPr>
              <w:t>​​</w:t>
            </w:r>
            <w:r>
              <w:rPr>
                <w:rStyle w:val="94"/>
                <w:rFonts w:hint="default"/>
                <w:color w:val="auto"/>
                <w:lang w:bidi="ar"/>
              </w:rPr>
              <w:t>：系统</w:t>
            </w:r>
            <w:r>
              <w:rPr>
                <w:rStyle w:val="192"/>
                <w:color w:val="auto"/>
                <w:lang w:bidi="ar"/>
              </w:rPr>
              <w:t>​​</w:t>
            </w:r>
            <w:r>
              <w:rPr>
                <w:rStyle w:val="94"/>
                <w:rFonts w:hint="default"/>
                <w:color w:val="auto"/>
                <w:lang w:bidi="ar"/>
              </w:rPr>
              <w:t>根据历次检查数据，自动生成身高、体重及BMI的生长曲线图</w:t>
            </w:r>
            <w:r>
              <w:rPr>
                <w:rStyle w:val="192"/>
                <w:color w:val="auto"/>
                <w:lang w:bidi="ar"/>
              </w:rPr>
              <w:t>​​</w:t>
            </w:r>
            <w:r>
              <w:rPr>
                <w:rStyle w:val="94"/>
                <w:rFonts w:hint="default"/>
                <w:color w:val="auto"/>
                <w:lang w:bidi="ar"/>
              </w:rPr>
              <w:t>，直观展示儿童生长发育趋势。医护人员可依据评估结果</w:t>
            </w:r>
            <w:r>
              <w:rPr>
                <w:rStyle w:val="192"/>
                <w:color w:val="auto"/>
                <w:lang w:bidi="ar"/>
              </w:rPr>
              <w:t>​​</w:t>
            </w:r>
            <w:r>
              <w:rPr>
                <w:rStyle w:val="94"/>
                <w:rFonts w:hint="default"/>
                <w:color w:val="auto"/>
                <w:lang w:bidi="ar"/>
              </w:rPr>
              <w:t>制定个性化的管理方案</w:t>
            </w:r>
            <w:r>
              <w:rPr>
                <w:rStyle w:val="192"/>
                <w:color w:val="auto"/>
                <w:lang w:bidi="ar"/>
              </w:rPr>
              <w:t>​​</w:t>
            </w:r>
            <w:r>
              <w:rPr>
                <w:rStyle w:val="94"/>
                <w:rFonts w:hint="default"/>
                <w:color w:val="auto"/>
                <w:lang w:bidi="ar"/>
              </w:rPr>
              <w:t>（包括饮食、运动等）。对于纳入专案的儿童，系统支持定期复查管理，在保存本次复查时可</w:t>
            </w:r>
            <w:r>
              <w:rPr>
                <w:rStyle w:val="192"/>
                <w:color w:val="auto"/>
                <w:lang w:bidi="ar"/>
              </w:rPr>
              <w:t>​​</w:t>
            </w:r>
            <w:r>
              <w:rPr>
                <w:rStyle w:val="94"/>
                <w:rFonts w:hint="default"/>
                <w:color w:val="auto"/>
                <w:lang w:bidi="ar"/>
              </w:rPr>
              <w:t>自动生成下次检查时间</w:t>
            </w:r>
            <w:r>
              <w:rPr>
                <w:rStyle w:val="192"/>
                <w:color w:val="auto"/>
                <w:lang w:bidi="ar"/>
              </w:rPr>
              <w:t>​​</w:t>
            </w:r>
            <w:r>
              <w:rPr>
                <w:rStyle w:val="94"/>
                <w:rFonts w:hint="default"/>
                <w:color w:val="auto"/>
                <w:lang w:bidi="ar"/>
              </w:rPr>
              <w:t>，确保干预的连续性。</w:t>
            </w:r>
            <w:r>
              <w:rPr>
                <w:rStyle w:val="94"/>
                <w:rFonts w:hint="default"/>
                <w:color w:val="auto"/>
                <w:lang w:bidi="ar"/>
              </w:rPr>
              <w:br w:type="textWrapping"/>
            </w:r>
            <w:r>
              <w:rPr>
                <w:rStyle w:val="94"/>
                <w:rFonts w:hint="default"/>
                <w:color w:val="auto"/>
                <w:lang w:bidi="ar"/>
              </w:rPr>
              <w:t>该模块实现了从数据记录、智能判断、趋势分析到个性化方案制定与随访提醒的全流程智能化体重管理。</w:t>
            </w:r>
          </w:p>
        </w:tc>
      </w:tr>
      <w:tr w14:paraId="294F5F65">
        <w:tblPrEx>
          <w:tblCellMar>
            <w:top w:w="0" w:type="dxa"/>
            <w:left w:w="108" w:type="dxa"/>
            <w:bottom w:w="0" w:type="dxa"/>
            <w:right w:w="108" w:type="dxa"/>
          </w:tblCellMar>
        </w:tblPrEx>
        <w:trPr>
          <w:trHeight w:val="36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C5BF267">
            <w:pPr>
              <w:widowControl/>
              <w:jc w:val="center"/>
              <w:textAlignment w:val="center"/>
              <w:rPr>
                <w:rFonts w:hint="eastAsia" w:ascii="宋体" w:hAnsi="宋体" w:cs="宋体"/>
                <w:sz w:val="24"/>
              </w:rPr>
            </w:pPr>
            <w:r>
              <w:rPr>
                <w:rFonts w:hint="eastAsia" w:ascii="宋体" w:hAnsi="宋体" w:cs="宋体"/>
                <w:kern w:val="0"/>
                <w:sz w:val="24"/>
                <w:lang w:bidi="ar"/>
              </w:rPr>
              <w:t>421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E6F2E9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A5C04AA">
            <w:pPr>
              <w:widowControl/>
              <w:jc w:val="center"/>
              <w:textAlignment w:val="center"/>
              <w:rPr>
                <w:rFonts w:hint="eastAsia" w:ascii="宋体" w:hAnsi="宋体" w:cs="宋体"/>
                <w:sz w:val="24"/>
              </w:rPr>
            </w:pPr>
            <w:r>
              <w:rPr>
                <w:rFonts w:hint="eastAsia" w:ascii="宋体" w:hAnsi="宋体" w:cs="宋体"/>
                <w:kern w:val="0"/>
                <w:sz w:val="24"/>
                <w:lang w:bidi="ar"/>
              </w:rPr>
              <w:t>随访管理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372BE079">
            <w:pPr>
              <w:widowControl/>
              <w:textAlignment w:val="center"/>
              <w:rPr>
                <w:rFonts w:hint="eastAsia" w:ascii="宋体" w:hAnsi="宋体" w:cs="宋体"/>
                <w:sz w:val="24"/>
              </w:rPr>
            </w:pPr>
            <w:r>
              <w:rPr>
                <w:rStyle w:val="94"/>
                <w:rFonts w:hint="default"/>
                <w:color w:val="auto"/>
                <w:lang w:bidi="ar"/>
              </w:rPr>
              <w:t>随访管理模块，实现对纳入体重健康管理的儿童进行持续性的跟踪与干预，确保管理效果的长期稳定。该模块以</w:t>
            </w:r>
            <w:r>
              <w:rPr>
                <w:rStyle w:val="192"/>
                <w:color w:val="auto"/>
                <w:lang w:bidi="ar"/>
              </w:rPr>
              <w:t>​​</w:t>
            </w:r>
            <w:r>
              <w:rPr>
                <w:rStyle w:val="94"/>
                <w:rFonts w:hint="default"/>
                <w:color w:val="auto"/>
                <w:lang w:bidi="ar"/>
              </w:rPr>
              <w:t>随访信息页面</w:t>
            </w:r>
            <w:r>
              <w:rPr>
                <w:rStyle w:val="192"/>
                <w:color w:val="auto"/>
                <w:lang w:bidi="ar"/>
              </w:rPr>
              <w:t>​​</w:t>
            </w:r>
            <w:r>
              <w:rPr>
                <w:rStyle w:val="94"/>
                <w:rFonts w:hint="default"/>
                <w:color w:val="auto"/>
                <w:lang w:bidi="ar"/>
              </w:rPr>
              <w:t>为核心，实现以下功能：</w:t>
            </w:r>
            <w:r>
              <w:rPr>
                <w:rStyle w:val="94"/>
                <w:rFonts w:hint="default"/>
                <w:color w:val="auto"/>
                <w:lang w:bidi="ar"/>
              </w:rPr>
              <w:br w:type="textWrapping"/>
            </w:r>
            <w:r>
              <w:rPr>
                <w:rStyle w:val="94"/>
                <w:rFonts w:hint="default"/>
                <w:color w:val="auto"/>
                <w:lang w:bidi="ar"/>
              </w:rPr>
              <w:t>模块</w:t>
            </w:r>
            <w:r>
              <w:rPr>
                <w:rStyle w:val="192"/>
                <w:color w:val="auto"/>
                <w:lang w:bidi="ar"/>
              </w:rPr>
              <w:t>​​</w:t>
            </w:r>
            <w:r>
              <w:rPr>
                <w:rStyle w:val="94"/>
                <w:rFonts w:hint="default"/>
                <w:color w:val="auto"/>
                <w:lang w:bidi="ar"/>
              </w:rPr>
              <w:t>根据儿童的体重健康管理情况，提供完整的随访信息管理功能</w:t>
            </w:r>
            <w:r>
              <w:rPr>
                <w:rStyle w:val="192"/>
                <w:color w:val="auto"/>
                <w:lang w:bidi="ar"/>
              </w:rPr>
              <w:t>​​</w:t>
            </w:r>
            <w:r>
              <w:rPr>
                <w:rStyle w:val="94"/>
                <w:rFonts w:hint="default"/>
                <w:color w:val="auto"/>
                <w:lang w:bidi="ar"/>
              </w:rPr>
              <w:t>，支持医护人员</w:t>
            </w:r>
            <w:r>
              <w:rPr>
                <w:rStyle w:val="192"/>
                <w:color w:val="auto"/>
                <w:lang w:bidi="ar"/>
              </w:rPr>
              <w:t>​​</w:t>
            </w:r>
            <w:r>
              <w:rPr>
                <w:rStyle w:val="94"/>
                <w:rFonts w:hint="default"/>
                <w:color w:val="auto"/>
                <w:lang w:bidi="ar"/>
              </w:rPr>
              <w:t>录入、查看、修改和删除</w:t>
            </w:r>
            <w:r>
              <w:rPr>
                <w:rStyle w:val="192"/>
                <w:color w:val="auto"/>
                <w:lang w:bidi="ar"/>
              </w:rPr>
              <w:t>​​</w:t>
            </w:r>
            <w:r>
              <w:rPr>
                <w:rStyle w:val="94"/>
                <w:rFonts w:hint="default"/>
                <w:color w:val="auto"/>
                <w:lang w:bidi="ar"/>
              </w:rPr>
              <w:t>随访记录。随访内容全面，包括体重、身高、BMI等客观指标，以及饮食评估指导、运动情况评估等行为干预信息。特别地，对于</w:t>
            </w:r>
            <w:r>
              <w:rPr>
                <w:rStyle w:val="192"/>
                <w:color w:val="auto"/>
                <w:lang w:bidi="ar"/>
              </w:rPr>
              <w:t>​​</w:t>
            </w:r>
            <w:r>
              <w:rPr>
                <w:rStyle w:val="94"/>
                <w:rFonts w:hint="default"/>
                <w:color w:val="auto"/>
                <w:lang w:bidi="ar"/>
              </w:rPr>
              <w:t>体重已恢复正常的服务对象，系统支持进行定期随访</w:t>
            </w:r>
            <w:r>
              <w:rPr>
                <w:rStyle w:val="192"/>
                <w:color w:val="auto"/>
                <w:lang w:bidi="ar"/>
              </w:rPr>
              <w:t>​​</w:t>
            </w:r>
            <w:r>
              <w:rPr>
                <w:rStyle w:val="94"/>
                <w:rFonts w:hint="default"/>
                <w:color w:val="auto"/>
                <w:lang w:bidi="ar"/>
              </w:rPr>
              <w:t>，记录其维持期的各项数据，实现体重的长期规范化管理。</w:t>
            </w:r>
          </w:p>
        </w:tc>
      </w:tr>
      <w:tr w14:paraId="27126361">
        <w:tblPrEx>
          <w:tblCellMar>
            <w:top w:w="0" w:type="dxa"/>
            <w:left w:w="108" w:type="dxa"/>
            <w:bottom w:w="0" w:type="dxa"/>
            <w:right w:w="108" w:type="dxa"/>
          </w:tblCellMar>
        </w:tblPrEx>
        <w:trPr>
          <w:trHeight w:val="24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50B6C92">
            <w:pPr>
              <w:widowControl/>
              <w:jc w:val="center"/>
              <w:textAlignment w:val="center"/>
              <w:rPr>
                <w:rFonts w:hint="eastAsia" w:ascii="宋体" w:hAnsi="宋体" w:cs="宋体"/>
                <w:sz w:val="24"/>
              </w:rPr>
            </w:pPr>
            <w:r>
              <w:rPr>
                <w:rFonts w:hint="eastAsia" w:ascii="宋体" w:hAnsi="宋体" w:cs="宋体"/>
                <w:kern w:val="0"/>
                <w:sz w:val="24"/>
                <w:lang w:bidi="ar"/>
              </w:rPr>
              <w:t>422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25116C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BE47050">
            <w:pPr>
              <w:widowControl/>
              <w:jc w:val="center"/>
              <w:textAlignment w:val="center"/>
              <w:rPr>
                <w:rFonts w:hint="eastAsia" w:ascii="宋体" w:hAnsi="宋体" w:cs="宋体"/>
                <w:sz w:val="24"/>
              </w:rPr>
            </w:pPr>
            <w:r>
              <w:rPr>
                <w:rFonts w:hint="eastAsia" w:ascii="宋体" w:hAnsi="宋体" w:cs="宋体"/>
                <w:kern w:val="0"/>
                <w:sz w:val="24"/>
                <w:lang w:bidi="ar"/>
              </w:rPr>
              <w:t>登记本</w:t>
            </w:r>
          </w:p>
        </w:tc>
        <w:tc>
          <w:tcPr>
            <w:tcW w:w="9687" w:type="dxa"/>
            <w:tcBorders>
              <w:top w:val="single" w:color="000000" w:sz="4" w:space="0"/>
              <w:left w:val="single" w:color="000000" w:sz="4" w:space="0"/>
              <w:bottom w:val="single" w:color="000000" w:sz="4" w:space="0"/>
              <w:right w:val="single" w:color="000000" w:sz="4" w:space="0"/>
            </w:tcBorders>
            <w:vAlign w:val="center"/>
          </w:tcPr>
          <w:p w14:paraId="05B5B5F6">
            <w:pPr>
              <w:widowControl/>
              <w:textAlignment w:val="center"/>
              <w:rPr>
                <w:rFonts w:hint="eastAsia" w:ascii="宋体" w:hAnsi="宋体" w:cs="宋体"/>
                <w:sz w:val="24"/>
              </w:rPr>
            </w:pPr>
            <w:r>
              <w:rPr>
                <w:rStyle w:val="94"/>
                <w:rFonts w:hint="default"/>
                <w:color w:val="auto"/>
                <w:lang w:bidi="ar"/>
              </w:rPr>
              <w:t>体重管理登记本模块，为体重管理工作提供</w:t>
            </w:r>
            <w:r>
              <w:rPr>
                <w:rStyle w:val="192"/>
                <w:color w:val="auto"/>
                <w:lang w:bidi="ar"/>
              </w:rPr>
              <w:t>​</w:t>
            </w:r>
            <w:r>
              <w:rPr>
                <w:rStyle w:val="94"/>
                <w:rFonts w:hint="default"/>
                <w:color w:val="auto"/>
                <w:lang w:bidi="ar"/>
              </w:rPr>
              <w:t>基础信息与专项登记本管理</w:t>
            </w:r>
            <w:r>
              <w:rPr>
                <w:rStyle w:val="192"/>
                <w:color w:val="auto"/>
                <w:lang w:bidi="ar"/>
              </w:rPr>
              <w:t>​​</w:t>
            </w:r>
            <w:r>
              <w:rPr>
                <w:rStyle w:val="94"/>
                <w:rFonts w:hint="default"/>
                <w:color w:val="auto"/>
                <w:lang w:bidi="ar"/>
              </w:rPr>
              <w:t>：提供对基础数据和专项行为的明细查询与导出功能。包括：</w:t>
            </w:r>
            <w:r>
              <w:rPr>
                <w:rStyle w:val="192"/>
                <w:color w:val="auto"/>
                <w:lang w:bidi="ar"/>
              </w:rPr>
              <w:t>​​</w:t>
            </w:r>
            <w:r>
              <w:rPr>
                <w:rStyle w:val="94"/>
                <w:rFonts w:hint="default"/>
                <w:color w:val="auto"/>
                <w:lang w:bidi="ar"/>
              </w:rPr>
              <w:t>儿童基本信息登记本</w:t>
            </w:r>
            <w:r>
              <w:rPr>
                <w:rStyle w:val="192"/>
                <w:color w:val="auto"/>
                <w:lang w:bidi="ar"/>
              </w:rPr>
              <w:t>​​</w:t>
            </w:r>
            <w:r>
              <w:rPr>
                <w:rStyle w:val="94"/>
                <w:rFonts w:hint="default"/>
                <w:color w:val="auto"/>
                <w:lang w:bidi="ar"/>
              </w:rPr>
              <w:t>：管理全体参与儿童的基本资料。</w:t>
            </w:r>
            <w:r>
              <w:rPr>
                <w:rStyle w:val="192"/>
                <w:color w:val="auto"/>
                <w:lang w:bidi="ar"/>
              </w:rPr>
              <w:t>​​</w:t>
            </w:r>
            <w:r>
              <w:rPr>
                <w:rStyle w:val="94"/>
                <w:rFonts w:hint="default"/>
                <w:color w:val="auto"/>
                <w:lang w:bidi="ar"/>
              </w:rPr>
              <w:t>饮食情况登记本</w:t>
            </w:r>
            <w:r>
              <w:rPr>
                <w:rStyle w:val="192"/>
                <w:color w:val="auto"/>
                <w:lang w:bidi="ar"/>
              </w:rPr>
              <w:t>​​</w:t>
            </w:r>
            <w:r>
              <w:rPr>
                <w:rStyle w:val="94"/>
                <w:rFonts w:hint="default"/>
                <w:color w:val="auto"/>
                <w:lang w:bidi="ar"/>
              </w:rPr>
              <w:t>与</w:t>
            </w:r>
            <w:r>
              <w:rPr>
                <w:rStyle w:val="192"/>
                <w:color w:val="auto"/>
                <w:lang w:bidi="ar"/>
              </w:rPr>
              <w:t>​​</w:t>
            </w:r>
            <w:r>
              <w:rPr>
                <w:rStyle w:val="94"/>
                <w:rFonts w:hint="default"/>
                <w:color w:val="auto"/>
                <w:lang w:bidi="ar"/>
              </w:rPr>
              <w:t>运动情况登记本</w:t>
            </w:r>
            <w:r>
              <w:rPr>
                <w:rStyle w:val="192"/>
                <w:color w:val="auto"/>
                <w:lang w:bidi="ar"/>
              </w:rPr>
              <w:t>​​</w:t>
            </w:r>
            <w:r>
              <w:rPr>
                <w:rStyle w:val="94"/>
                <w:rFonts w:hint="default"/>
                <w:color w:val="auto"/>
                <w:lang w:bidi="ar"/>
              </w:rPr>
              <w:t>：分别记录与查询个体的饮食指导和运动评估明细。</w:t>
            </w:r>
            <w:r>
              <w:rPr>
                <w:rStyle w:val="192"/>
                <w:color w:val="auto"/>
                <w:lang w:bidi="ar"/>
              </w:rPr>
              <w:t>​​</w:t>
            </w:r>
            <w:r>
              <w:rPr>
                <w:rStyle w:val="94"/>
                <w:rFonts w:hint="default"/>
                <w:color w:val="auto"/>
                <w:lang w:bidi="ar"/>
              </w:rPr>
              <w:t>随访登记本</w:t>
            </w:r>
            <w:r>
              <w:rPr>
                <w:rStyle w:val="192"/>
                <w:color w:val="auto"/>
                <w:lang w:bidi="ar"/>
              </w:rPr>
              <w:t>​​</w:t>
            </w:r>
            <w:r>
              <w:rPr>
                <w:rStyle w:val="94"/>
                <w:rFonts w:hint="default"/>
                <w:color w:val="auto"/>
                <w:lang w:bidi="ar"/>
              </w:rPr>
              <w:t>：追踪所有儿童的随访记录详情。</w:t>
            </w:r>
          </w:p>
        </w:tc>
      </w:tr>
      <w:tr w14:paraId="23B58216">
        <w:tblPrEx>
          <w:tblCellMar>
            <w:top w:w="0" w:type="dxa"/>
            <w:left w:w="108" w:type="dxa"/>
            <w:bottom w:w="0" w:type="dxa"/>
            <w:right w:w="108" w:type="dxa"/>
          </w:tblCellMar>
        </w:tblPrEx>
        <w:trPr>
          <w:trHeight w:val="30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77B3EE2">
            <w:pPr>
              <w:widowControl/>
              <w:jc w:val="center"/>
              <w:textAlignment w:val="center"/>
              <w:rPr>
                <w:rFonts w:hint="eastAsia" w:ascii="宋体" w:hAnsi="宋体" w:cs="宋体"/>
                <w:sz w:val="24"/>
              </w:rPr>
            </w:pPr>
            <w:r>
              <w:rPr>
                <w:rFonts w:hint="eastAsia" w:ascii="宋体" w:hAnsi="宋体" w:cs="宋体"/>
                <w:kern w:val="0"/>
                <w:sz w:val="24"/>
                <w:lang w:bidi="ar"/>
              </w:rPr>
              <w:t>423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E2811E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242E445">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5B3BE463">
            <w:pPr>
              <w:widowControl/>
              <w:textAlignment w:val="center"/>
              <w:rPr>
                <w:rFonts w:hint="eastAsia" w:ascii="宋体" w:hAnsi="宋体" w:cs="宋体"/>
                <w:sz w:val="24"/>
              </w:rPr>
            </w:pPr>
            <w:r>
              <w:rPr>
                <w:rStyle w:val="94"/>
                <w:rFonts w:hint="default"/>
                <w:color w:val="auto"/>
                <w:lang w:bidi="ar"/>
              </w:rPr>
              <w:t>体重管理统计分析</w:t>
            </w:r>
            <w:r>
              <w:rPr>
                <w:rStyle w:val="192"/>
                <w:color w:val="auto"/>
                <w:lang w:bidi="ar"/>
              </w:rPr>
              <w:t>​​</w:t>
            </w:r>
            <w:r>
              <w:rPr>
                <w:rStyle w:val="94"/>
                <w:rFonts w:hint="default"/>
                <w:color w:val="auto"/>
                <w:lang w:bidi="ar"/>
              </w:rPr>
              <w:t>：提供统计报表，用于评估整体工作成效：</w:t>
            </w:r>
            <w:r>
              <w:rPr>
                <w:rStyle w:val="192"/>
                <w:color w:val="auto"/>
                <w:lang w:bidi="ar"/>
              </w:rPr>
              <w:t>​​</w:t>
            </w:r>
            <w:r>
              <w:rPr>
                <w:rStyle w:val="94"/>
                <w:rFonts w:hint="default"/>
                <w:color w:val="auto"/>
                <w:lang w:bidi="ar"/>
              </w:rPr>
              <w:t>体重管理综合报表</w:t>
            </w:r>
            <w:r>
              <w:rPr>
                <w:rStyle w:val="192"/>
                <w:color w:val="auto"/>
                <w:lang w:bidi="ar"/>
              </w:rPr>
              <w:t>​​</w:t>
            </w:r>
            <w:r>
              <w:rPr>
                <w:rStyle w:val="94"/>
                <w:rFonts w:hint="default"/>
                <w:color w:val="auto"/>
                <w:lang w:bidi="ar"/>
              </w:rPr>
              <w:t>：从宏观层面统计管理覆盖率、干预执行情况等。</w:t>
            </w:r>
            <w:r>
              <w:rPr>
                <w:rStyle w:val="192"/>
                <w:color w:val="auto"/>
                <w:lang w:bidi="ar"/>
              </w:rPr>
              <w:t>​​</w:t>
            </w:r>
            <w:r>
              <w:rPr>
                <w:rStyle w:val="94"/>
                <w:rFonts w:hint="default"/>
                <w:color w:val="auto"/>
                <w:lang w:bidi="ar"/>
              </w:rPr>
              <w:t>超重肥胖综合统计表</w:t>
            </w:r>
            <w:r>
              <w:rPr>
                <w:rStyle w:val="192"/>
                <w:color w:val="auto"/>
                <w:lang w:bidi="ar"/>
              </w:rPr>
              <w:t>​​</w:t>
            </w:r>
            <w:r>
              <w:rPr>
                <w:rStyle w:val="94"/>
                <w:rFonts w:hint="default"/>
                <w:color w:val="auto"/>
                <w:lang w:bidi="ar"/>
              </w:rPr>
              <w:t>：重点分析超重肥胖人群的分布、干预效果及发展趋势。</w:t>
            </w:r>
            <w:r>
              <w:rPr>
                <w:rStyle w:val="192"/>
                <w:color w:val="auto"/>
                <w:lang w:bidi="ar"/>
              </w:rPr>
              <w:t>​​</w:t>
            </w:r>
            <w:r>
              <w:rPr>
                <w:rStyle w:val="94"/>
                <w:rFonts w:hint="default"/>
                <w:color w:val="auto"/>
                <w:lang w:bidi="ar"/>
              </w:rPr>
              <w:t>体重恢复正常情况统计报表</w:t>
            </w:r>
            <w:r>
              <w:rPr>
                <w:rStyle w:val="192"/>
                <w:color w:val="auto"/>
                <w:lang w:bidi="ar"/>
              </w:rPr>
              <w:t>​​</w:t>
            </w:r>
            <w:r>
              <w:rPr>
                <w:rStyle w:val="94"/>
                <w:rFonts w:hint="default"/>
                <w:color w:val="auto"/>
                <w:lang w:bidi="ar"/>
              </w:rPr>
              <w:t>：专项统计并评估体重管理的成功案例与转化率。</w:t>
            </w:r>
            <w:r>
              <w:rPr>
                <w:rStyle w:val="192"/>
                <w:color w:val="auto"/>
                <w:lang w:bidi="ar"/>
              </w:rPr>
              <w:t>​​</w:t>
            </w:r>
            <w:r>
              <w:rPr>
                <w:rStyle w:val="94"/>
                <w:rFonts w:hint="default"/>
                <w:color w:val="auto"/>
                <w:lang w:bidi="ar"/>
              </w:rPr>
              <w:t>运动情况统计表</w:t>
            </w:r>
            <w:r>
              <w:rPr>
                <w:rStyle w:val="192"/>
                <w:color w:val="auto"/>
                <w:lang w:bidi="ar"/>
              </w:rPr>
              <w:t>​​</w:t>
            </w:r>
            <w:r>
              <w:rPr>
                <w:rStyle w:val="94"/>
                <w:rFonts w:hint="default"/>
                <w:color w:val="auto"/>
                <w:lang w:bidi="ar"/>
              </w:rPr>
              <w:t>：对儿童运动依从性及情况进行汇总分析。所有登记本与统计报表均支持查询和导出，为工作评估、质量控制和决策制定提供坚实的数据支撑。</w:t>
            </w:r>
          </w:p>
        </w:tc>
      </w:tr>
      <w:tr w14:paraId="0EE88627">
        <w:tblPrEx>
          <w:tblCellMar>
            <w:top w:w="0" w:type="dxa"/>
            <w:left w:w="108" w:type="dxa"/>
            <w:bottom w:w="0" w:type="dxa"/>
            <w:right w:w="108" w:type="dxa"/>
          </w:tblCellMar>
        </w:tblPrEx>
        <w:trPr>
          <w:trHeight w:val="24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54C417D">
            <w:pPr>
              <w:widowControl/>
              <w:jc w:val="center"/>
              <w:textAlignment w:val="center"/>
              <w:rPr>
                <w:rFonts w:hint="eastAsia" w:ascii="宋体" w:hAnsi="宋体" w:cs="宋体"/>
                <w:sz w:val="24"/>
              </w:rPr>
            </w:pPr>
            <w:r>
              <w:rPr>
                <w:rFonts w:hint="eastAsia" w:ascii="宋体" w:hAnsi="宋体" w:cs="宋体"/>
                <w:kern w:val="0"/>
                <w:sz w:val="24"/>
                <w:lang w:bidi="ar"/>
              </w:rPr>
              <w:t>425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5979146D">
            <w:pPr>
              <w:widowControl/>
              <w:jc w:val="center"/>
              <w:textAlignment w:val="center"/>
              <w:rPr>
                <w:rFonts w:hint="eastAsia" w:ascii="宋体" w:hAnsi="宋体" w:cs="宋体"/>
                <w:sz w:val="24"/>
              </w:rPr>
            </w:pPr>
            <w:r>
              <w:rPr>
                <w:rFonts w:hint="eastAsia" w:ascii="宋体" w:hAnsi="宋体" w:cs="宋体"/>
                <w:kern w:val="0"/>
                <w:sz w:val="24"/>
                <w:lang w:bidi="ar"/>
              </w:rPr>
              <w:t>脊柱侧弯筛查</w:t>
            </w:r>
          </w:p>
        </w:tc>
        <w:tc>
          <w:tcPr>
            <w:tcW w:w="1313" w:type="dxa"/>
            <w:tcBorders>
              <w:top w:val="single" w:color="000000" w:sz="4" w:space="0"/>
              <w:left w:val="single" w:color="000000" w:sz="4" w:space="0"/>
              <w:bottom w:val="single" w:color="000000" w:sz="4" w:space="0"/>
              <w:right w:val="single" w:color="000000" w:sz="4" w:space="0"/>
            </w:tcBorders>
            <w:vAlign w:val="center"/>
          </w:tcPr>
          <w:p w14:paraId="15118665">
            <w:pPr>
              <w:widowControl/>
              <w:jc w:val="center"/>
              <w:textAlignment w:val="center"/>
              <w:rPr>
                <w:rFonts w:hint="eastAsia" w:ascii="宋体" w:hAnsi="宋体" w:cs="宋体"/>
                <w:sz w:val="24"/>
              </w:rPr>
            </w:pPr>
            <w:r>
              <w:rPr>
                <w:rFonts w:hint="eastAsia" w:ascii="宋体" w:hAnsi="宋体" w:cs="宋体"/>
                <w:kern w:val="0"/>
                <w:sz w:val="24"/>
                <w:lang w:bidi="ar"/>
              </w:rPr>
              <w:t>建立档案</w:t>
            </w:r>
          </w:p>
        </w:tc>
        <w:tc>
          <w:tcPr>
            <w:tcW w:w="9687" w:type="dxa"/>
            <w:tcBorders>
              <w:top w:val="single" w:color="000000" w:sz="4" w:space="0"/>
              <w:left w:val="single" w:color="000000" w:sz="4" w:space="0"/>
              <w:bottom w:val="single" w:color="000000" w:sz="4" w:space="0"/>
              <w:right w:val="single" w:color="000000" w:sz="4" w:space="0"/>
            </w:tcBorders>
            <w:vAlign w:val="center"/>
          </w:tcPr>
          <w:p w14:paraId="5C5DA0A3">
            <w:pPr>
              <w:widowControl/>
              <w:textAlignment w:val="center"/>
              <w:rPr>
                <w:rFonts w:hint="eastAsia" w:ascii="宋体" w:hAnsi="宋体" w:cs="宋体"/>
                <w:sz w:val="24"/>
              </w:rPr>
            </w:pPr>
            <w:r>
              <w:rPr>
                <w:rStyle w:val="94"/>
                <w:rFonts w:hint="default"/>
                <w:color w:val="auto"/>
                <w:lang w:bidi="ar"/>
              </w:rPr>
              <w:t>脊柱侧弯筛查档案管理模块，为脊柱侧弯筛查工作提供标准化的电子档案管理。该模块核心功能如下：</w:t>
            </w:r>
            <w:r>
              <w:rPr>
                <w:rStyle w:val="94"/>
                <w:rFonts w:hint="default"/>
                <w:color w:val="auto"/>
                <w:lang w:bidi="ar"/>
              </w:rPr>
              <w:br w:type="textWrapping"/>
            </w:r>
            <w:r>
              <w:rPr>
                <w:rStyle w:val="94"/>
                <w:rFonts w:hint="default"/>
                <w:color w:val="auto"/>
                <w:lang w:bidi="ar"/>
              </w:rPr>
              <w:t>模块提供</w:t>
            </w:r>
            <w:r>
              <w:rPr>
                <w:rStyle w:val="192"/>
                <w:color w:val="auto"/>
                <w:lang w:bidi="ar"/>
              </w:rPr>
              <w:t>​​</w:t>
            </w:r>
            <w:r>
              <w:rPr>
                <w:rStyle w:val="94"/>
                <w:rFonts w:hint="default"/>
                <w:color w:val="auto"/>
                <w:lang w:bidi="ar"/>
              </w:rPr>
              <w:t>筛查档案信息页面</w:t>
            </w:r>
            <w:r>
              <w:rPr>
                <w:rStyle w:val="192"/>
                <w:color w:val="auto"/>
                <w:lang w:bidi="ar"/>
              </w:rPr>
              <w:t>​​</w:t>
            </w:r>
            <w:r>
              <w:rPr>
                <w:rStyle w:val="94"/>
                <w:rFonts w:hint="default"/>
                <w:color w:val="auto"/>
                <w:lang w:bidi="ar"/>
              </w:rPr>
              <w:t>，用于</w:t>
            </w:r>
            <w:r>
              <w:rPr>
                <w:rStyle w:val="192"/>
                <w:color w:val="auto"/>
                <w:lang w:bidi="ar"/>
              </w:rPr>
              <w:t>​​</w:t>
            </w:r>
            <w:r>
              <w:rPr>
                <w:rStyle w:val="94"/>
                <w:rFonts w:hint="default"/>
                <w:color w:val="auto"/>
                <w:lang w:bidi="ar"/>
              </w:rPr>
              <w:t>登记服务对象的基本信息</w:t>
            </w:r>
            <w:r>
              <w:rPr>
                <w:rStyle w:val="192"/>
                <w:color w:val="auto"/>
                <w:lang w:bidi="ar"/>
              </w:rPr>
              <w:t>​​</w:t>
            </w:r>
            <w:r>
              <w:rPr>
                <w:rStyle w:val="94"/>
                <w:rFonts w:hint="default"/>
                <w:color w:val="auto"/>
                <w:lang w:bidi="ar"/>
              </w:rPr>
              <w:t>，并以此为基础</w:t>
            </w:r>
            <w:r>
              <w:rPr>
                <w:rStyle w:val="192"/>
                <w:color w:val="auto"/>
                <w:lang w:bidi="ar"/>
              </w:rPr>
              <w:t>​​</w:t>
            </w:r>
            <w:r>
              <w:rPr>
                <w:rStyle w:val="94"/>
                <w:rFonts w:hint="default"/>
                <w:color w:val="auto"/>
                <w:lang w:bidi="ar"/>
              </w:rPr>
              <w:t>建立本次专属的脊柱侧弯筛查档案</w:t>
            </w:r>
            <w:r>
              <w:rPr>
                <w:rStyle w:val="192"/>
                <w:color w:val="auto"/>
                <w:lang w:bidi="ar"/>
              </w:rPr>
              <w:t>​​</w:t>
            </w:r>
            <w:r>
              <w:rPr>
                <w:rStyle w:val="94"/>
                <w:rFonts w:hint="default"/>
                <w:color w:val="auto"/>
                <w:lang w:bidi="ar"/>
              </w:rPr>
              <w:t>。档案建立后，支持</w:t>
            </w:r>
            <w:r>
              <w:rPr>
                <w:rStyle w:val="192"/>
                <w:color w:val="auto"/>
                <w:lang w:bidi="ar"/>
              </w:rPr>
              <w:t>​​</w:t>
            </w:r>
            <w:r>
              <w:rPr>
                <w:rStyle w:val="94"/>
                <w:rFonts w:hint="default"/>
                <w:color w:val="auto"/>
                <w:lang w:bidi="ar"/>
              </w:rPr>
              <w:t>查看</w:t>
            </w:r>
            <w:r>
              <w:rPr>
                <w:rStyle w:val="192"/>
                <w:color w:val="auto"/>
                <w:lang w:bidi="ar"/>
              </w:rPr>
              <w:t>​​</w:t>
            </w:r>
            <w:r>
              <w:rPr>
                <w:rStyle w:val="94"/>
                <w:rFonts w:hint="default"/>
                <w:color w:val="auto"/>
                <w:lang w:bidi="ar"/>
              </w:rPr>
              <w:t>档案详情，并可将关键信息</w:t>
            </w:r>
            <w:r>
              <w:rPr>
                <w:rStyle w:val="192"/>
                <w:color w:val="auto"/>
                <w:lang w:bidi="ar"/>
              </w:rPr>
              <w:t>​​</w:t>
            </w:r>
            <w:r>
              <w:rPr>
                <w:rStyle w:val="94"/>
                <w:rFonts w:hint="default"/>
                <w:color w:val="auto"/>
                <w:lang w:bidi="ar"/>
              </w:rPr>
              <w:t>进行打印</w:t>
            </w:r>
            <w:r>
              <w:rPr>
                <w:rStyle w:val="192"/>
                <w:color w:val="auto"/>
                <w:lang w:bidi="ar"/>
              </w:rPr>
              <w:t>​​</w:t>
            </w:r>
            <w:r>
              <w:rPr>
                <w:rStyle w:val="94"/>
                <w:rFonts w:hint="default"/>
                <w:color w:val="auto"/>
                <w:lang w:bidi="ar"/>
              </w:rPr>
              <w:t>。</w:t>
            </w:r>
          </w:p>
        </w:tc>
      </w:tr>
      <w:tr w14:paraId="4D7C1B23">
        <w:tblPrEx>
          <w:tblCellMar>
            <w:top w:w="0" w:type="dxa"/>
            <w:left w:w="108" w:type="dxa"/>
            <w:bottom w:w="0" w:type="dxa"/>
            <w:right w:w="108" w:type="dxa"/>
          </w:tblCellMar>
        </w:tblPrEx>
        <w:trPr>
          <w:trHeight w:val="24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96F4017">
            <w:pPr>
              <w:widowControl/>
              <w:jc w:val="center"/>
              <w:textAlignment w:val="center"/>
              <w:rPr>
                <w:rFonts w:hint="eastAsia" w:ascii="宋体" w:hAnsi="宋体" w:cs="宋体"/>
                <w:sz w:val="24"/>
              </w:rPr>
            </w:pPr>
            <w:r>
              <w:rPr>
                <w:rFonts w:hint="eastAsia" w:ascii="宋体" w:hAnsi="宋体" w:cs="宋体"/>
                <w:kern w:val="0"/>
                <w:sz w:val="24"/>
                <w:lang w:bidi="ar"/>
              </w:rPr>
              <w:t>426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BFA757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27A3306">
            <w:pPr>
              <w:widowControl/>
              <w:jc w:val="center"/>
              <w:textAlignment w:val="center"/>
              <w:rPr>
                <w:rFonts w:hint="eastAsia" w:ascii="宋体" w:hAnsi="宋体" w:cs="宋体"/>
                <w:sz w:val="24"/>
              </w:rPr>
            </w:pPr>
            <w:r>
              <w:rPr>
                <w:rFonts w:hint="eastAsia" w:ascii="宋体" w:hAnsi="宋体" w:cs="宋体"/>
                <w:kern w:val="0"/>
                <w:sz w:val="24"/>
                <w:lang w:bidi="ar"/>
              </w:rPr>
              <w:t>筛查管理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45043543">
            <w:pPr>
              <w:widowControl/>
              <w:textAlignment w:val="center"/>
              <w:rPr>
                <w:rFonts w:hint="eastAsia" w:ascii="宋体" w:hAnsi="宋体" w:cs="宋体"/>
                <w:sz w:val="24"/>
              </w:rPr>
            </w:pPr>
            <w:r>
              <w:rPr>
                <w:rStyle w:val="94"/>
                <w:rFonts w:hint="default"/>
                <w:color w:val="auto"/>
                <w:lang w:bidi="ar"/>
              </w:rPr>
              <w:t>筛查管理模块，实现对脊柱侧弯筛查与干预过程进行持续、详细的跟踪记录。该模块以</w:t>
            </w:r>
            <w:r>
              <w:rPr>
                <w:rStyle w:val="192"/>
                <w:color w:val="auto"/>
                <w:lang w:bidi="ar"/>
              </w:rPr>
              <w:t>​​</w:t>
            </w:r>
            <w:r>
              <w:rPr>
                <w:rStyle w:val="94"/>
                <w:rFonts w:hint="default"/>
                <w:color w:val="auto"/>
                <w:lang w:bidi="ar"/>
              </w:rPr>
              <w:t>检查记录页面</w:t>
            </w:r>
            <w:r>
              <w:rPr>
                <w:rStyle w:val="192"/>
                <w:color w:val="auto"/>
                <w:lang w:bidi="ar"/>
              </w:rPr>
              <w:t>​​</w:t>
            </w:r>
            <w:r>
              <w:rPr>
                <w:rStyle w:val="94"/>
                <w:rFonts w:hint="default"/>
                <w:color w:val="auto"/>
                <w:lang w:bidi="ar"/>
              </w:rPr>
              <w:t>为核心，实现以下功能：</w:t>
            </w:r>
            <w:r>
              <w:rPr>
                <w:rStyle w:val="94"/>
                <w:rFonts w:hint="default"/>
                <w:color w:val="auto"/>
                <w:lang w:bidi="ar"/>
              </w:rPr>
              <w:br w:type="textWrapping"/>
            </w:r>
            <w:r>
              <w:rPr>
                <w:rStyle w:val="94"/>
                <w:rFonts w:hint="default"/>
                <w:color w:val="auto"/>
                <w:lang w:bidi="ar"/>
              </w:rPr>
              <w:t>提供</w:t>
            </w:r>
            <w:r>
              <w:rPr>
                <w:rStyle w:val="192"/>
                <w:color w:val="auto"/>
                <w:lang w:bidi="ar"/>
              </w:rPr>
              <w:t>​​</w:t>
            </w:r>
            <w:r>
              <w:rPr>
                <w:rStyle w:val="94"/>
                <w:rFonts w:hint="default"/>
                <w:color w:val="auto"/>
                <w:lang w:bidi="ar"/>
              </w:rPr>
              <w:t>检查记录页面</w:t>
            </w:r>
            <w:r>
              <w:rPr>
                <w:rStyle w:val="192"/>
                <w:color w:val="auto"/>
                <w:lang w:bidi="ar"/>
              </w:rPr>
              <w:t>​​</w:t>
            </w:r>
            <w:r>
              <w:rPr>
                <w:rStyle w:val="94"/>
                <w:rFonts w:hint="default"/>
                <w:color w:val="auto"/>
                <w:lang w:bidi="ar"/>
              </w:rPr>
              <w:t>，用于</w:t>
            </w:r>
            <w:r>
              <w:rPr>
                <w:rStyle w:val="192"/>
                <w:color w:val="auto"/>
                <w:lang w:bidi="ar"/>
              </w:rPr>
              <w:t>​​</w:t>
            </w:r>
            <w:r>
              <w:rPr>
                <w:rStyle w:val="94"/>
                <w:rFonts w:hint="default"/>
                <w:color w:val="auto"/>
                <w:lang w:bidi="ar"/>
              </w:rPr>
              <w:t>记录每一次检查的关键信息</w:t>
            </w:r>
            <w:r>
              <w:rPr>
                <w:rStyle w:val="192"/>
                <w:color w:val="auto"/>
                <w:lang w:bidi="ar"/>
              </w:rPr>
              <w:t>​​</w:t>
            </w:r>
            <w:r>
              <w:rPr>
                <w:rStyle w:val="94"/>
                <w:rFonts w:hint="default"/>
                <w:color w:val="auto"/>
                <w:lang w:bidi="ar"/>
              </w:rPr>
              <w:t>，包括</w:t>
            </w:r>
            <w:r>
              <w:rPr>
                <w:rStyle w:val="192"/>
                <w:color w:val="auto"/>
                <w:lang w:bidi="ar"/>
              </w:rPr>
              <w:t>​​</w:t>
            </w:r>
            <w:r>
              <w:rPr>
                <w:rStyle w:val="94"/>
                <w:rFonts w:hint="default"/>
                <w:color w:val="auto"/>
                <w:lang w:bidi="ar"/>
              </w:rPr>
              <w:t>检查日期</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X光片报告</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侧弯角度</w:t>
            </w:r>
            <w:r>
              <w:rPr>
                <w:rStyle w:val="192"/>
                <w:color w:val="auto"/>
                <w:lang w:bidi="ar"/>
              </w:rPr>
              <w:t>​​</w:t>
            </w:r>
            <w:r>
              <w:rPr>
                <w:rStyle w:val="94"/>
                <w:rFonts w:hint="default"/>
                <w:color w:val="auto"/>
                <w:lang w:bidi="ar"/>
              </w:rPr>
              <w:t>等客观指标，以及</w:t>
            </w:r>
            <w:r>
              <w:rPr>
                <w:rStyle w:val="192"/>
                <w:color w:val="auto"/>
                <w:lang w:bidi="ar"/>
              </w:rPr>
              <w:t>​​</w:t>
            </w:r>
            <w:r>
              <w:rPr>
                <w:rStyle w:val="94"/>
                <w:rFonts w:hint="default"/>
                <w:color w:val="auto"/>
                <w:lang w:bidi="ar"/>
              </w:rPr>
              <w:t>支具佩戴情况</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康复训练记录</w:t>
            </w:r>
            <w:r>
              <w:rPr>
                <w:rStyle w:val="192"/>
                <w:color w:val="auto"/>
                <w:lang w:bidi="ar"/>
              </w:rPr>
              <w:t>​​</w:t>
            </w:r>
            <w:r>
              <w:rPr>
                <w:rStyle w:val="94"/>
                <w:rFonts w:hint="default"/>
                <w:color w:val="auto"/>
                <w:lang w:bidi="ar"/>
              </w:rPr>
              <w:t>等干预措施执行情况。所有记录可以通过查询条件检索查看。</w:t>
            </w:r>
          </w:p>
        </w:tc>
      </w:tr>
      <w:tr w14:paraId="52552320">
        <w:tblPrEx>
          <w:tblCellMar>
            <w:top w:w="0" w:type="dxa"/>
            <w:left w:w="108" w:type="dxa"/>
            <w:bottom w:w="0" w:type="dxa"/>
            <w:right w:w="108" w:type="dxa"/>
          </w:tblCellMar>
        </w:tblPrEx>
        <w:trPr>
          <w:trHeight w:val="24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29F8B7">
            <w:pPr>
              <w:widowControl/>
              <w:jc w:val="center"/>
              <w:textAlignment w:val="center"/>
              <w:rPr>
                <w:rFonts w:hint="eastAsia" w:ascii="宋体" w:hAnsi="宋体" w:cs="宋体"/>
                <w:sz w:val="24"/>
              </w:rPr>
            </w:pPr>
            <w:r>
              <w:rPr>
                <w:rFonts w:hint="eastAsia" w:ascii="宋体" w:hAnsi="宋体" w:cs="宋体"/>
                <w:kern w:val="0"/>
                <w:sz w:val="24"/>
                <w:lang w:bidi="ar"/>
              </w:rPr>
              <w:t>427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3746A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99DEA53">
            <w:pPr>
              <w:widowControl/>
              <w:jc w:val="center"/>
              <w:textAlignment w:val="center"/>
              <w:rPr>
                <w:rFonts w:hint="eastAsia" w:ascii="宋体" w:hAnsi="宋体" w:cs="宋体"/>
                <w:sz w:val="24"/>
              </w:rPr>
            </w:pPr>
            <w:r>
              <w:rPr>
                <w:rFonts w:hint="eastAsia" w:ascii="宋体" w:hAnsi="宋体" w:cs="宋体"/>
                <w:kern w:val="0"/>
                <w:sz w:val="24"/>
                <w:lang w:bidi="ar"/>
              </w:rPr>
              <w:t>指导管理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A336FCE">
            <w:pPr>
              <w:widowControl/>
              <w:textAlignment w:val="center"/>
              <w:rPr>
                <w:rFonts w:hint="eastAsia" w:ascii="宋体" w:hAnsi="宋体" w:cs="宋体"/>
                <w:sz w:val="24"/>
              </w:rPr>
            </w:pPr>
            <w:r>
              <w:rPr>
                <w:rStyle w:val="94"/>
                <w:rFonts w:hint="default"/>
                <w:color w:val="auto"/>
                <w:lang w:bidi="ar"/>
              </w:rPr>
              <w:t>指导管理模块，可以将筛查与检查数据转化为具体的临床干预方案，实现筛查-评估-干预的闭环管理。该模块以</w:t>
            </w:r>
            <w:r>
              <w:rPr>
                <w:rStyle w:val="192"/>
                <w:color w:val="auto"/>
                <w:lang w:bidi="ar"/>
              </w:rPr>
              <w:t>​​</w:t>
            </w:r>
            <w:r>
              <w:rPr>
                <w:rStyle w:val="94"/>
                <w:rFonts w:hint="default"/>
                <w:color w:val="auto"/>
                <w:lang w:bidi="ar"/>
              </w:rPr>
              <w:t>指导建议页面</w:t>
            </w:r>
            <w:r>
              <w:rPr>
                <w:rStyle w:val="192"/>
                <w:color w:val="auto"/>
                <w:lang w:bidi="ar"/>
              </w:rPr>
              <w:t>​​</w:t>
            </w:r>
            <w:r>
              <w:rPr>
                <w:rStyle w:val="94"/>
                <w:rFonts w:hint="default"/>
                <w:color w:val="auto"/>
                <w:lang w:bidi="ar"/>
              </w:rPr>
              <w:t>为核心，实现以下核心功能：</w:t>
            </w:r>
            <w:r>
              <w:rPr>
                <w:rStyle w:val="94"/>
                <w:rFonts w:hint="default"/>
                <w:color w:val="auto"/>
                <w:lang w:bidi="ar"/>
              </w:rPr>
              <w:br w:type="textWrapping"/>
            </w:r>
            <w:r>
              <w:rPr>
                <w:rStyle w:val="94"/>
                <w:rFonts w:hint="default"/>
                <w:color w:val="auto"/>
                <w:lang w:bidi="ar"/>
              </w:rPr>
              <w:t>医生可在此模块中</w:t>
            </w:r>
            <w:r>
              <w:rPr>
                <w:rStyle w:val="192"/>
                <w:color w:val="auto"/>
                <w:lang w:bidi="ar"/>
              </w:rPr>
              <w:t>​​</w:t>
            </w:r>
            <w:r>
              <w:rPr>
                <w:rStyle w:val="94"/>
                <w:rFonts w:hint="default"/>
                <w:color w:val="auto"/>
                <w:lang w:bidi="ar"/>
              </w:rPr>
              <w:t>评估患者侧弯的进展情况</w:t>
            </w:r>
            <w:r>
              <w:rPr>
                <w:rStyle w:val="192"/>
                <w:color w:val="auto"/>
                <w:lang w:bidi="ar"/>
              </w:rPr>
              <w:t>​​</w:t>
            </w:r>
            <w:r>
              <w:rPr>
                <w:rStyle w:val="94"/>
                <w:rFonts w:hint="default"/>
                <w:color w:val="auto"/>
                <w:lang w:bidi="ar"/>
              </w:rPr>
              <w:t>，并基于评估结果</w:t>
            </w:r>
            <w:r>
              <w:rPr>
                <w:rStyle w:val="192"/>
                <w:color w:val="auto"/>
                <w:lang w:bidi="ar"/>
              </w:rPr>
              <w:t>​​</w:t>
            </w:r>
            <w:r>
              <w:rPr>
                <w:rStyle w:val="94"/>
                <w:rFonts w:hint="default"/>
                <w:color w:val="auto"/>
                <w:lang w:bidi="ar"/>
              </w:rPr>
              <w:t>制定与给予具体的治疗方案</w:t>
            </w:r>
            <w:r>
              <w:rPr>
                <w:rStyle w:val="192"/>
                <w:color w:val="auto"/>
                <w:lang w:bidi="ar"/>
              </w:rPr>
              <w:t>​​</w:t>
            </w:r>
            <w:r>
              <w:rPr>
                <w:rStyle w:val="94"/>
                <w:rFonts w:hint="default"/>
                <w:color w:val="auto"/>
                <w:lang w:bidi="ar"/>
              </w:rPr>
              <w:t>。方案可包括</w:t>
            </w:r>
            <w:r>
              <w:rPr>
                <w:rStyle w:val="192"/>
                <w:color w:val="auto"/>
                <w:lang w:bidi="ar"/>
              </w:rPr>
              <w:t>​​</w:t>
            </w:r>
            <w:r>
              <w:rPr>
                <w:rStyle w:val="94"/>
                <w:rFonts w:hint="default"/>
                <w:color w:val="auto"/>
                <w:lang w:bidi="ar"/>
              </w:rPr>
              <w:t>定制化的康复训练计划</w:t>
            </w:r>
            <w:r>
              <w:rPr>
                <w:rStyle w:val="192"/>
                <w:color w:val="auto"/>
                <w:lang w:bidi="ar"/>
              </w:rPr>
              <w:t>​​</w:t>
            </w:r>
            <w:r>
              <w:rPr>
                <w:rStyle w:val="94"/>
                <w:rFonts w:hint="default"/>
                <w:color w:val="auto"/>
                <w:lang w:bidi="ar"/>
              </w:rPr>
              <w:t>等个性化干预措施。</w:t>
            </w:r>
          </w:p>
        </w:tc>
      </w:tr>
      <w:tr w14:paraId="6C489DE1">
        <w:tblPrEx>
          <w:tblCellMar>
            <w:top w:w="0" w:type="dxa"/>
            <w:left w:w="108" w:type="dxa"/>
            <w:bottom w:w="0" w:type="dxa"/>
            <w:right w:w="108" w:type="dxa"/>
          </w:tblCellMar>
        </w:tblPrEx>
        <w:trPr>
          <w:trHeight w:val="31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731750B">
            <w:pPr>
              <w:widowControl/>
              <w:jc w:val="center"/>
              <w:textAlignment w:val="center"/>
              <w:rPr>
                <w:rFonts w:hint="eastAsia" w:ascii="宋体" w:hAnsi="宋体" w:cs="宋体"/>
                <w:sz w:val="24"/>
              </w:rPr>
            </w:pPr>
            <w:r>
              <w:rPr>
                <w:rFonts w:hint="eastAsia" w:ascii="宋体" w:hAnsi="宋体" w:cs="宋体"/>
                <w:kern w:val="0"/>
                <w:sz w:val="24"/>
                <w:lang w:bidi="ar"/>
              </w:rPr>
              <w:t>428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F63E87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6DAAD72">
            <w:pPr>
              <w:widowControl/>
              <w:jc w:val="center"/>
              <w:textAlignment w:val="center"/>
              <w:rPr>
                <w:rFonts w:hint="eastAsia" w:ascii="宋体" w:hAnsi="宋体" w:cs="宋体"/>
                <w:sz w:val="24"/>
              </w:rPr>
            </w:pPr>
            <w:r>
              <w:rPr>
                <w:rFonts w:hint="eastAsia" w:ascii="宋体" w:hAnsi="宋体" w:cs="宋体"/>
                <w:kern w:val="0"/>
                <w:sz w:val="24"/>
                <w:lang w:bidi="ar"/>
              </w:rPr>
              <w:t>统计分析</w:t>
            </w:r>
          </w:p>
        </w:tc>
        <w:tc>
          <w:tcPr>
            <w:tcW w:w="9687" w:type="dxa"/>
            <w:tcBorders>
              <w:top w:val="single" w:color="000000" w:sz="4" w:space="0"/>
              <w:left w:val="single" w:color="000000" w:sz="4" w:space="0"/>
              <w:bottom w:val="single" w:color="000000" w:sz="4" w:space="0"/>
              <w:right w:val="single" w:color="000000" w:sz="4" w:space="0"/>
            </w:tcBorders>
            <w:vAlign w:val="center"/>
          </w:tcPr>
          <w:p w14:paraId="2E3CC46F">
            <w:pPr>
              <w:widowControl/>
              <w:textAlignment w:val="center"/>
              <w:rPr>
                <w:rFonts w:hint="eastAsia" w:ascii="宋体" w:hAnsi="宋体" w:cs="宋体"/>
                <w:sz w:val="24"/>
              </w:rPr>
            </w:pPr>
            <w:r>
              <w:rPr>
                <w:rStyle w:val="94"/>
                <w:rFonts w:hint="default"/>
                <w:color w:val="auto"/>
                <w:lang w:bidi="ar"/>
              </w:rPr>
              <w:t>统计分析模块，可以为脊柱侧弯筛查工作的管理与评估提供数据支持，其功能主要分为两个层面：</w:t>
            </w:r>
            <w:r>
              <w:rPr>
                <w:rStyle w:val="94"/>
                <w:rFonts w:hint="default"/>
                <w:color w:val="auto"/>
                <w:lang w:bidi="ar"/>
              </w:rPr>
              <w:br w:type="textWrapping"/>
            </w:r>
            <w:r>
              <w:rPr>
                <w:rStyle w:val="94"/>
                <w:rFonts w:hint="default"/>
                <w:color w:val="auto"/>
                <w:lang w:bidi="ar"/>
              </w:rPr>
              <w:t>登记本管理</w:t>
            </w:r>
            <w:r>
              <w:rPr>
                <w:rStyle w:val="192"/>
                <w:color w:val="auto"/>
                <w:lang w:bidi="ar"/>
              </w:rPr>
              <w:t>​​</w:t>
            </w:r>
            <w:r>
              <w:rPr>
                <w:rStyle w:val="94"/>
                <w:rFonts w:hint="default"/>
                <w:color w:val="auto"/>
                <w:lang w:bidi="ar"/>
              </w:rPr>
              <w:t>：提供“筛查人员信息登记本”，支持对参与筛查的服务对象基本信息进行查询和导出。</w:t>
            </w:r>
            <w:r>
              <w:rPr>
                <w:rStyle w:val="94"/>
                <w:rFonts w:hint="default"/>
                <w:color w:val="auto"/>
                <w:lang w:bidi="ar"/>
              </w:rPr>
              <w:br w:type="textWrapping"/>
            </w:r>
            <w:r>
              <w:rPr>
                <w:rStyle w:val="192"/>
                <w:color w:val="auto"/>
                <w:lang w:bidi="ar"/>
              </w:rPr>
              <w:t>​​</w:t>
            </w:r>
            <w:r>
              <w:rPr>
                <w:rStyle w:val="94"/>
                <w:rFonts w:hint="default"/>
                <w:color w:val="auto"/>
                <w:lang w:bidi="ar"/>
              </w:rPr>
              <w:t>筛查结果分析</w:t>
            </w:r>
            <w:r>
              <w:rPr>
                <w:rStyle w:val="192"/>
                <w:color w:val="auto"/>
                <w:lang w:bidi="ar"/>
              </w:rPr>
              <w:t>​​</w:t>
            </w:r>
            <w:r>
              <w:rPr>
                <w:rStyle w:val="94"/>
                <w:rFonts w:hint="default"/>
                <w:color w:val="auto"/>
                <w:lang w:bidi="ar"/>
              </w:rPr>
              <w:t>：提供“筛查结果统计分析”功能，能够对筛查结果（如侧弯发生率、不同严重程度的分布等）进行多维度统计汇总，生成分析报表，为评估筛查成效和制定防治策略提供数据依据。</w:t>
            </w:r>
          </w:p>
        </w:tc>
      </w:tr>
      <w:tr w14:paraId="69B2BF1F">
        <w:tblPrEx>
          <w:tblCellMar>
            <w:top w:w="0" w:type="dxa"/>
            <w:left w:w="108" w:type="dxa"/>
            <w:bottom w:w="0" w:type="dxa"/>
            <w:right w:w="108" w:type="dxa"/>
          </w:tblCellMar>
        </w:tblPrEx>
        <w:trPr>
          <w:trHeight w:val="34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8DDAC7C">
            <w:pPr>
              <w:widowControl/>
              <w:jc w:val="center"/>
              <w:textAlignment w:val="center"/>
              <w:rPr>
                <w:rFonts w:hint="eastAsia" w:ascii="宋体" w:hAnsi="宋体" w:cs="宋体"/>
                <w:sz w:val="24"/>
              </w:rPr>
            </w:pPr>
            <w:r>
              <w:rPr>
                <w:rFonts w:hint="eastAsia" w:ascii="宋体" w:hAnsi="宋体" w:cs="宋体"/>
                <w:kern w:val="0"/>
                <w:sz w:val="24"/>
                <w:lang w:bidi="ar"/>
              </w:rPr>
              <w:t>430</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2B2EF2AE">
            <w:pPr>
              <w:widowControl/>
              <w:jc w:val="center"/>
              <w:textAlignment w:val="center"/>
              <w:rPr>
                <w:rFonts w:hint="eastAsia" w:ascii="宋体" w:hAnsi="宋体" w:cs="宋体"/>
                <w:sz w:val="24"/>
              </w:rPr>
            </w:pPr>
            <w:r>
              <w:rPr>
                <w:rFonts w:hint="eastAsia" w:ascii="宋体" w:hAnsi="宋体" w:cs="宋体"/>
                <w:kern w:val="0"/>
                <w:sz w:val="24"/>
                <w:lang w:bidi="ar"/>
              </w:rPr>
              <w:t>数据质控-孕产妇健康管理项目质控</w:t>
            </w:r>
          </w:p>
        </w:tc>
        <w:tc>
          <w:tcPr>
            <w:tcW w:w="1313" w:type="dxa"/>
            <w:tcBorders>
              <w:top w:val="single" w:color="000000" w:sz="4" w:space="0"/>
              <w:left w:val="single" w:color="000000" w:sz="4" w:space="0"/>
              <w:bottom w:val="single" w:color="000000" w:sz="4" w:space="0"/>
              <w:right w:val="single" w:color="000000" w:sz="4" w:space="0"/>
            </w:tcBorders>
            <w:vAlign w:val="center"/>
          </w:tcPr>
          <w:p w14:paraId="4320CAB0">
            <w:pPr>
              <w:widowControl/>
              <w:jc w:val="center"/>
              <w:textAlignment w:val="center"/>
              <w:rPr>
                <w:rFonts w:hint="eastAsia" w:ascii="宋体" w:hAnsi="宋体" w:cs="宋体"/>
                <w:sz w:val="24"/>
              </w:rPr>
            </w:pPr>
            <w:r>
              <w:rPr>
                <w:rFonts w:hint="eastAsia" w:ascii="宋体" w:hAnsi="宋体" w:cs="宋体"/>
                <w:kern w:val="0"/>
                <w:sz w:val="24"/>
                <w:lang w:bidi="ar"/>
              </w:rPr>
              <w:t>提醒功能</w:t>
            </w:r>
          </w:p>
        </w:tc>
        <w:tc>
          <w:tcPr>
            <w:tcW w:w="9687" w:type="dxa"/>
            <w:tcBorders>
              <w:top w:val="single" w:color="000000" w:sz="4" w:space="0"/>
              <w:left w:val="single" w:color="000000" w:sz="4" w:space="0"/>
              <w:bottom w:val="single" w:color="000000" w:sz="4" w:space="0"/>
              <w:right w:val="single" w:color="000000" w:sz="4" w:space="0"/>
            </w:tcBorders>
            <w:vAlign w:val="center"/>
          </w:tcPr>
          <w:p w14:paraId="5C0C94BB">
            <w:pPr>
              <w:widowControl/>
              <w:textAlignment w:val="center"/>
              <w:rPr>
                <w:rFonts w:hint="eastAsia" w:ascii="宋体" w:hAnsi="宋体" w:cs="宋体"/>
                <w:sz w:val="24"/>
              </w:rPr>
            </w:pPr>
            <w:r>
              <w:rPr>
                <w:rFonts w:hint="eastAsia" w:ascii="宋体" w:hAnsi="宋体" w:cs="宋体"/>
                <w:kern w:val="0"/>
                <w:sz w:val="24"/>
                <w:lang w:bidi="ar"/>
              </w:rPr>
              <w:t>系统可以对产检孕妇进行艾梅乙筛查提醒，孕期心理评估筛查提醒，乙肝五项结果录入完整性提醒。</w:t>
            </w:r>
          </w:p>
        </w:tc>
      </w:tr>
      <w:tr w14:paraId="3867401B">
        <w:tblPrEx>
          <w:tblCellMar>
            <w:top w:w="0" w:type="dxa"/>
            <w:left w:w="108" w:type="dxa"/>
            <w:bottom w:w="0" w:type="dxa"/>
            <w:right w:w="108" w:type="dxa"/>
          </w:tblCellMar>
        </w:tblPrEx>
        <w:trPr>
          <w:trHeight w:val="37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95AE567">
            <w:pPr>
              <w:widowControl/>
              <w:jc w:val="center"/>
              <w:textAlignment w:val="center"/>
              <w:rPr>
                <w:rFonts w:hint="eastAsia" w:ascii="宋体" w:hAnsi="宋体" w:cs="宋体"/>
                <w:sz w:val="24"/>
              </w:rPr>
            </w:pPr>
            <w:r>
              <w:rPr>
                <w:rFonts w:hint="eastAsia" w:ascii="宋体" w:hAnsi="宋体" w:cs="宋体"/>
                <w:kern w:val="0"/>
                <w:sz w:val="24"/>
                <w:lang w:bidi="ar"/>
              </w:rPr>
              <w:t>431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F1F4B6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E9D7879">
            <w:pPr>
              <w:widowControl/>
              <w:jc w:val="center"/>
              <w:textAlignment w:val="center"/>
              <w:rPr>
                <w:rFonts w:hint="eastAsia" w:ascii="宋体" w:hAnsi="宋体" w:cs="宋体"/>
                <w:sz w:val="24"/>
              </w:rPr>
            </w:pPr>
            <w:r>
              <w:rPr>
                <w:rFonts w:hint="eastAsia" w:ascii="宋体" w:hAnsi="宋体" w:cs="宋体"/>
                <w:kern w:val="0"/>
                <w:sz w:val="24"/>
                <w:lang w:bidi="ar"/>
              </w:rPr>
              <w:t>心理筛查录入查询功能</w:t>
            </w:r>
          </w:p>
        </w:tc>
        <w:tc>
          <w:tcPr>
            <w:tcW w:w="9687" w:type="dxa"/>
            <w:tcBorders>
              <w:top w:val="single" w:color="000000" w:sz="4" w:space="0"/>
              <w:left w:val="single" w:color="000000" w:sz="4" w:space="0"/>
              <w:bottom w:val="single" w:color="000000" w:sz="4" w:space="0"/>
              <w:right w:val="single" w:color="000000" w:sz="4" w:space="0"/>
            </w:tcBorders>
            <w:vAlign w:val="center"/>
          </w:tcPr>
          <w:p w14:paraId="2A23BF1B">
            <w:pPr>
              <w:widowControl/>
              <w:textAlignment w:val="center"/>
              <w:rPr>
                <w:rFonts w:hint="eastAsia" w:ascii="宋体" w:hAnsi="宋体" w:cs="宋体"/>
                <w:sz w:val="24"/>
              </w:rPr>
            </w:pPr>
            <w:r>
              <w:rPr>
                <w:rFonts w:hint="eastAsia" w:ascii="宋体" w:hAnsi="宋体" w:cs="宋体"/>
                <w:kern w:val="0"/>
                <w:sz w:val="24"/>
                <w:lang w:bidi="ar"/>
              </w:rPr>
              <w:t>在产后访视页面可以录入心理筛查结果，并在登记本查询心理筛查情况。</w:t>
            </w:r>
          </w:p>
        </w:tc>
      </w:tr>
      <w:tr w14:paraId="25E4BD3E">
        <w:tblPrEx>
          <w:tblCellMar>
            <w:top w:w="0" w:type="dxa"/>
            <w:left w:w="108" w:type="dxa"/>
            <w:bottom w:w="0" w:type="dxa"/>
            <w:right w:w="108" w:type="dxa"/>
          </w:tblCellMar>
        </w:tblPrEx>
        <w:trPr>
          <w:trHeight w:val="673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C1328B8">
            <w:pPr>
              <w:widowControl/>
              <w:jc w:val="center"/>
              <w:textAlignment w:val="center"/>
              <w:rPr>
                <w:rFonts w:hint="eastAsia" w:ascii="宋体" w:hAnsi="宋体" w:cs="宋体"/>
                <w:sz w:val="24"/>
              </w:rPr>
            </w:pPr>
            <w:r>
              <w:rPr>
                <w:rFonts w:hint="eastAsia" w:ascii="宋体" w:hAnsi="宋体" w:cs="宋体"/>
                <w:kern w:val="0"/>
                <w:sz w:val="24"/>
                <w:lang w:bidi="ar"/>
              </w:rPr>
              <w:t>432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60DFDA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1C99FCD">
            <w:pPr>
              <w:widowControl/>
              <w:jc w:val="center"/>
              <w:textAlignment w:val="center"/>
              <w:rPr>
                <w:rFonts w:hint="eastAsia" w:ascii="宋体" w:hAnsi="宋体" w:cs="宋体"/>
                <w:sz w:val="24"/>
              </w:rPr>
            </w:pPr>
            <w:r>
              <w:rPr>
                <w:rFonts w:hint="eastAsia" w:ascii="宋体" w:hAnsi="宋体" w:cs="宋体"/>
                <w:kern w:val="0"/>
                <w:sz w:val="24"/>
                <w:lang w:bidi="ar"/>
              </w:rPr>
              <w:t>体检提醒</w:t>
            </w:r>
          </w:p>
        </w:tc>
        <w:tc>
          <w:tcPr>
            <w:tcW w:w="9687" w:type="dxa"/>
            <w:tcBorders>
              <w:top w:val="single" w:color="000000" w:sz="4" w:space="0"/>
              <w:left w:val="single" w:color="000000" w:sz="4" w:space="0"/>
              <w:bottom w:val="single" w:color="000000" w:sz="4" w:space="0"/>
              <w:right w:val="single" w:color="000000" w:sz="4" w:space="0"/>
            </w:tcBorders>
            <w:vAlign w:val="center"/>
          </w:tcPr>
          <w:p w14:paraId="3F046007">
            <w:pPr>
              <w:widowControl/>
              <w:textAlignment w:val="center"/>
              <w:rPr>
                <w:rFonts w:hint="eastAsia" w:ascii="宋体" w:hAnsi="宋体" w:cs="宋体"/>
                <w:sz w:val="24"/>
              </w:rPr>
            </w:pPr>
            <w:r>
              <w:rPr>
                <w:rFonts w:hint="eastAsia" w:ascii="宋体" w:hAnsi="宋体" w:cs="宋体"/>
                <w:kern w:val="0"/>
                <w:sz w:val="24"/>
                <w:lang w:bidi="ar"/>
              </w:rPr>
              <w:t>系统可以生成待规范随访提醒列表，查询管理单位规范随访情况，可以直接录入随访结果；可以生成待规范产检列表，查询孕产妇的规范产检情况，可以直接录入产检结果；可以生成待产后未家访列表，查询未上门家访孕妇信息，直接录入家访结果；可以生成产后42天未结案提醒列表，查询产后42天未结案孕产妇信息，直接进行结案；可以生成流产后42天未结案提醒列表，查询流产后42天未结案孕产妇信息，直接进行结案；可以查询孕中期，孕晚期，产后心理评估数据。</w:t>
            </w:r>
          </w:p>
        </w:tc>
      </w:tr>
      <w:tr w14:paraId="2BB7B326">
        <w:tblPrEx>
          <w:tblCellMar>
            <w:top w:w="0" w:type="dxa"/>
            <w:left w:w="108" w:type="dxa"/>
            <w:bottom w:w="0" w:type="dxa"/>
            <w:right w:w="108" w:type="dxa"/>
          </w:tblCellMar>
        </w:tblPrEx>
        <w:trPr>
          <w:trHeight w:val="262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33CBF0D">
            <w:pPr>
              <w:widowControl/>
              <w:jc w:val="center"/>
              <w:textAlignment w:val="center"/>
              <w:rPr>
                <w:rFonts w:hint="eastAsia" w:ascii="宋体" w:hAnsi="宋体" w:cs="宋体"/>
                <w:sz w:val="24"/>
              </w:rPr>
            </w:pPr>
            <w:r>
              <w:rPr>
                <w:rFonts w:hint="eastAsia" w:ascii="宋体" w:hAnsi="宋体" w:cs="宋体"/>
                <w:kern w:val="0"/>
                <w:sz w:val="24"/>
                <w:lang w:bidi="ar"/>
              </w:rPr>
              <w:t>433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C7A332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70972C7">
            <w:pPr>
              <w:widowControl/>
              <w:jc w:val="center"/>
              <w:textAlignment w:val="center"/>
              <w:rPr>
                <w:rFonts w:hint="eastAsia" w:ascii="宋体" w:hAnsi="宋体" w:cs="宋体"/>
                <w:sz w:val="24"/>
              </w:rPr>
            </w:pPr>
            <w:r>
              <w:rPr>
                <w:rFonts w:hint="eastAsia" w:ascii="宋体" w:hAnsi="宋体" w:cs="宋体"/>
                <w:kern w:val="0"/>
                <w:sz w:val="24"/>
                <w:lang w:bidi="ar"/>
              </w:rPr>
              <w:t>初检孕周修改</w:t>
            </w:r>
          </w:p>
        </w:tc>
        <w:tc>
          <w:tcPr>
            <w:tcW w:w="9687" w:type="dxa"/>
            <w:tcBorders>
              <w:top w:val="single" w:color="000000" w:sz="4" w:space="0"/>
              <w:left w:val="single" w:color="000000" w:sz="4" w:space="0"/>
              <w:bottom w:val="single" w:color="000000" w:sz="4" w:space="0"/>
              <w:right w:val="single" w:color="000000" w:sz="4" w:space="0"/>
            </w:tcBorders>
            <w:vAlign w:val="center"/>
          </w:tcPr>
          <w:p w14:paraId="20850FB1">
            <w:pPr>
              <w:widowControl/>
              <w:textAlignment w:val="center"/>
              <w:rPr>
                <w:rFonts w:hint="eastAsia" w:ascii="宋体" w:hAnsi="宋体" w:cs="宋体"/>
                <w:sz w:val="24"/>
              </w:rPr>
            </w:pPr>
            <w:r>
              <w:rPr>
                <w:rFonts w:hint="eastAsia" w:ascii="宋体" w:hAnsi="宋体" w:cs="宋体"/>
                <w:kern w:val="0"/>
                <w:sz w:val="24"/>
                <w:lang w:bidi="ar"/>
              </w:rPr>
              <w:t>可以修改孕妇初检孕周，并生成修改日志列表。</w:t>
            </w:r>
          </w:p>
        </w:tc>
      </w:tr>
      <w:tr w14:paraId="397F4449">
        <w:tblPrEx>
          <w:tblCellMar>
            <w:top w:w="0" w:type="dxa"/>
            <w:left w:w="108" w:type="dxa"/>
            <w:bottom w:w="0" w:type="dxa"/>
            <w:right w:w="108" w:type="dxa"/>
          </w:tblCellMar>
        </w:tblPrEx>
        <w:trPr>
          <w:trHeight w:val="37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16074F9">
            <w:pPr>
              <w:widowControl/>
              <w:jc w:val="center"/>
              <w:textAlignment w:val="center"/>
              <w:rPr>
                <w:rFonts w:hint="eastAsia" w:ascii="宋体" w:hAnsi="宋体" w:cs="宋体"/>
                <w:sz w:val="24"/>
              </w:rPr>
            </w:pPr>
            <w:r>
              <w:rPr>
                <w:rFonts w:hint="eastAsia" w:ascii="宋体" w:hAnsi="宋体" w:cs="宋体"/>
                <w:kern w:val="0"/>
                <w:sz w:val="24"/>
                <w:lang w:bidi="ar"/>
              </w:rPr>
              <w:t>435</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2C7448D4">
            <w:pPr>
              <w:widowControl/>
              <w:jc w:val="center"/>
              <w:textAlignment w:val="center"/>
              <w:rPr>
                <w:rFonts w:hint="eastAsia" w:ascii="宋体" w:hAnsi="宋体" w:cs="宋体"/>
                <w:sz w:val="24"/>
              </w:rPr>
            </w:pPr>
            <w:r>
              <w:rPr>
                <w:rFonts w:hint="eastAsia" w:ascii="宋体" w:hAnsi="宋体" w:cs="宋体"/>
                <w:kern w:val="0"/>
                <w:sz w:val="24"/>
                <w:lang w:bidi="ar"/>
              </w:rPr>
              <w:t>数据质控-0-6岁儿童健康管理项目质控</w:t>
            </w:r>
          </w:p>
        </w:tc>
        <w:tc>
          <w:tcPr>
            <w:tcW w:w="1313" w:type="dxa"/>
            <w:tcBorders>
              <w:top w:val="single" w:color="000000" w:sz="4" w:space="0"/>
              <w:left w:val="single" w:color="000000" w:sz="4" w:space="0"/>
              <w:bottom w:val="single" w:color="000000" w:sz="4" w:space="0"/>
              <w:right w:val="single" w:color="000000" w:sz="4" w:space="0"/>
            </w:tcBorders>
            <w:vAlign w:val="center"/>
          </w:tcPr>
          <w:p w14:paraId="041AB4BA">
            <w:pPr>
              <w:widowControl/>
              <w:jc w:val="center"/>
              <w:textAlignment w:val="center"/>
              <w:rPr>
                <w:rFonts w:hint="eastAsia" w:ascii="宋体" w:hAnsi="宋体" w:cs="宋体"/>
                <w:sz w:val="24"/>
              </w:rPr>
            </w:pPr>
            <w:r>
              <w:rPr>
                <w:rFonts w:hint="eastAsia" w:ascii="宋体" w:hAnsi="宋体" w:cs="宋体"/>
                <w:kern w:val="0"/>
                <w:sz w:val="24"/>
                <w:lang w:bidi="ar"/>
              </w:rPr>
              <w:t>设置必填项</w:t>
            </w:r>
          </w:p>
        </w:tc>
        <w:tc>
          <w:tcPr>
            <w:tcW w:w="9687" w:type="dxa"/>
            <w:tcBorders>
              <w:top w:val="single" w:color="000000" w:sz="4" w:space="0"/>
              <w:left w:val="single" w:color="000000" w:sz="4" w:space="0"/>
              <w:bottom w:val="single" w:color="000000" w:sz="4" w:space="0"/>
              <w:right w:val="single" w:color="000000" w:sz="4" w:space="0"/>
            </w:tcBorders>
            <w:vAlign w:val="center"/>
          </w:tcPr>
          <w:p w14:paraId="0F93F088">
            <w:pPr>
              <w:widowControl/>
              <w:textAlignment w:val="center"/>
              <w:rPr>
                <w:rFonts w:hint="eastAsia" w:ascii="宋体" w:hAnsi="宋体" w:cs="宋体"/>
                <w:sz w:val="24"/>
              </w:rPr>
            </w:pPr>
            <w:r>
              <w:rPr>
                <w:rFonts w:hint="eastAsia" w:ascii="宋体" w:hAnsi="宋体" w:cs="宋体"/>
                <w:kern w:val="0"/>
                <w:sz w:val="24"/>
                <w:lang w:bidi="ar"/>
              </w:rPr>
              <w:t>可以设置儿童体格检查中的必填项，可以录入语言发育和社会交往能力结果。</w:t>
            </w:r>
          </w:p>
        </w:tc>
      </w:tr>
      <w:tr w14:paraId="7F2E9AFA">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26B64CE">
            <w:pPr>
              <w:widowControl/>
              <w:jc w:val="center"/>
              <w:textAlignment w:val="center"/>
              <w:rPr>
                <w:rFonts w:hint="eastAsia" w:ascii="宋体" w:hAnsi="宋体" w:cs="宋体"/>
                <w:sz w:val="24"/>
              </w:rPr>
            </w:pPr>
            <w:r>
              <w:rPr>
                <w:rFonts w:hint="eastAsia" w:ascii="宋体" w:hAnsi="宋体" w:cs="宋体"/>
                <w:kern w:val="0"/>
                <w:sz w:val="24"/>
                <w:lang w:bidi="ar"/>
              </w:rPr>
              <w:t>436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072D3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5DA265">
            <w:pPr>
              <w:widowControl/>
              <w:jc w:val="center"/>
              <w:textAlignment w:val="center"/>
              <w:rPr>
                <w:rFonts w:hint="eastAsia" w:ascii="宋体" w:hAnsi="宋体" w:cs="宋体"/>
                <w:sz w:val="24"/>
              </w:rPr>
            </w:pPr>
            <w:r>
              <w:rPr>
                <w:rFonts w:hint="eastAsia" w:ascii="宋体" w:hAnsi="宋体" w:cs="宋体"/>
                <w:kern w:val="0"/>
                <w:sz w:val="24"/>
                <w:lang w:bidi="ar"/>
              </w:rPr>
              <w:t>增加提醒功能</w:t>
            </w:r>
          </w:p>
        </w:tc>
        <w:tc>
          <w:tcPr>
            <w:tcW w:w="9687" w:type="dxa"/>
            <w:tcBorders>
              <w:top w:val="single" w:color="000000" w:sz="4" w:space="0"/>
              <w:left w:val="single" w:color="000000" w:sz="4" w:space="0"/>
              <w:bottom w:val="single" w:color="000000" w:sz="4" w:space="0"/>
              <w:right w:val="single" w:color="000000" w:sz="4" w:space="0"/>
            </w:tcBorders>
            <w:vAlign w:val="center"/>
          </w:tcPr>
          <w:p w14:paraId="4E2BBE41">
            <w:pPr>
              <w:widowControl/>
              <w:textAlignment w:val="center"/>
              <w:rPr>
                <w:rFonts w:hint="eastAsia" w:ascii="宋体" w:hAnsi="宋体" w:cs="宋体"/>
                <w:sz w:val="24"/>
              </w:rPr>
            </w:pPr>
            <w:r>
              <w:rPr>
                <w:rFonts w:hint="eastAsia" w:ascii="宋体" w:hAnsi="宋体" w:cs="宋体"/>
                <w:kern w:val="0"/>
                <w:sz w:val="24"/>
                <w:lang w:bidi="ar"/>
              </w:rPr>
              <w:t>系统在儿童体格检查时，可以进行发育检测未筛提醒。在儿童6~8月龄，18月龄，30月龄时，还可以弹框进行血红蛋白筛查提醒。</w:t>
            </w:r>
          </w:p>
        </w:tc>
      </w:tr>
      <w:tr w14:paraId="7E1A99AF">
        <w:tblPrEx>
          <w:tblCellMar>
            <w:top w:w="0" w:type="dxa"/>
            <w:left w:w="108" w:type="dxa"/>
            <w:bottom w:w="0" w:type="dxa"/>
            <w:right w:w="108" w:type="dxa"/>
          </w:tblCellMar>
        </w:tblPrEx>
        <w:trPr>
          <w:trHeight w:val="37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9FC6115">
            <w:pPr>
              <w:widowControl/>
              <w:jc w:val="center"/>
              <w:textAlignment w:val="center"/>
              <w:rPr>
                <w:rFonts w:hint="eastAsia" w:ascii="宋体" w:hAnsi="宋体" w:cs="宋体"/>
                <w:sz w:val="24"/>
              </w:rPr>
            </w:pPr>
            <w:r>
              <w:rPr>
                <w:rFonts w:hint="eastAsia" w:ascii="宋体" w:hAnsi="宋体" w:cs="宋体"/>
                <w:kern w:val="0"/>
                <w:sz w:val="24"/>
                <w:lang w:bidi="ar"/>
              </w:rPr>
              <w:t>437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2252AA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6E1780D">
            <w:pPr>
              <w:widowControl/>
              <w:jc w:val="center"/>
              <w:textAlignment w:val="center"/>
              <w:rPr>
                <w:rFonts w:hint="eastAsia" w:ascii="宋体" w:hAnsi="宋体" w:cs="宋体"/>
                <w:sz w:val="24"/>
              </w:rPr>
            </w:pPr>
            <w:r>
              <w:rPr>
                <w:rFonts w:hint="eastAsia" w:ascii="宋体" w:hAnsi="宋体" w:cs="宋体"/>
                <w:kern w:val="0"/>
                <w:sz w:val="24"/>
                <w:lang w:bidi="ar"/>
              </w:rPr>
              <w:t>体检提醒</w:t>
            </w:r>
          </w:p>
        </w:tc>
        <w:tc>
          <w:tcPr>
            <w:tcW w:w="9687" w:type="dxa"/>
            <w:tcBorders>
              <w:top w:val="single" w:color="000000" w:sz="4" w:space="0"/>
              <w:left w:val="single" w:color="000000" w:sz="4" w:space="0"/>
              <w:bottom w:val="single" w:color="000000" w:sz="4" w:space="0"/>
              <w:right w:val="single" w:color="000000" w:sz="4" w:space="0"/>
            </w:tcBorders>
            <w:vAlign w:val="center"/>
          </w:tcPr>
          <w:p w14:paraId="12C72D1E">
            <w:pPr>
              <w:widowControl/>
              <w:textAlignment w:val="center"/>
              <w:rPr>
                <w:rFonts w:hint="eastAsia" w:ascii="宋体" w:hAnsi="宋体" w:cs="宋体"/>
                <w:sz w:val="24"/>
              </w:rPr>
            </w:pPr>
            <w:r>
              <w:rPr>
                <w:rFonts w:hint="eastAsia" w:ascii="宋体" w:hAnsi="宋体" w:cs="宋体"/>
                <w:kern w:val="0"/>
                <w:sz w:val="24"/>
                <w:lang w:bidi="ar"/>
              </w:rPr>
              <w:t>系统根据儿童体检情况，生成体检提醒列表，可以查询拖期仍未体检儿童信息，并直接录入儿童体格检查结。可以查询不同筛查阶段未体检儿童信息并导出查询到的儿童信息。可以查看儿童档案详情和历次体检详情。</w:t>
            </w:r>
          </w:p>
        </w:tc>
      </w:tr>
      <w:tr w14:paraId="3D21B837">
        <w:tblPrEx>
          <w:tblCellMar>
            <w:top w:w="0" w:type="dxa"/>
            <w:left w:w="108" w:type="dxa"/>
            <w:bottom w:w="0" w:type="dxa"/>
            <w:right w:w="108" w:type="dxa"/>
          </w:tblCellMar>
        </w:tblPrEx>
        <w:trPr>
          <w:trHeight w:val="730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D86BAD8">
            <w:pPr>
              <w:widowControl/>
              <w:jc w:val="center"/>
              <w:textAlignment w:val="center"/>
              <w:rPr>
                <w:rFonts w:hint="eastAsia" w:ascii="宋体" w:hAnsi="宋体" w:cs="宋体"/>
                <w:sz w:val="24"/>
              </w:rPr>
            </w:pPr>
            <w:r>
              <w:rPr>
                <w:rFonts w:hint="eastAsia" w:ascii="宋体" w:hAnsi="宋体" w:cs="宋体"/>
                <w:kern w:val="0"/>
                <w:sz w:val="24"/>
                <w:lang w:bidi="ar"/>
              </w:rPr>
              <w:t>438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4BADC7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FA7AB13">
            <w:pPr>
              <w:widowControl/>
              <w:jc w:val="center"/>
              <w:textAlignment w:val="center"/>
              <w:rPr>
                <w:rFonts w:hint="eastAsia" w:ascii="宋体" w:hAnsi="宋体" w:cs="宋体"/>
                <w:sz w:val="24"/>
              </w:rPr>
            </w:pPr>
            <w:r>
              <w:rPr>
                <w:rFonts w:hint="eastAsia" w:ascii="宋体" w:hAnsi="宋体" w:cs="宋体"/>
                <w:kern w:val="0"/>
                <w:sz w:val="24"/>
                <w:lang w:bidi="ar"/>
              </w:rPr>
              <w:t>查询数据列表</w:t>
            </w:r>
          </w:p>
        </w:tc>
        <w:tc>
          <w:tcPr>
            <w:tcW w:w="9687" w:type="dxa"/>
            <w:tcBorders>
              <w:top w:val="single" w:color="000000" w:sz="4" w:space="0"/>
              <w:left w:val="single" w:color="000000" w:sz="4" w:space="0"/>
              <w:bottom w:val="single" w:color="000000" w:sz="4" w:space="0"/>
              <w:right w:val="single" w:color="000000" w:sz="4" w:space="0"/>
            </w:tcBorders>
            <w:vAlign w:val="center"/>
          </w:tcPr>
          <w:p w14:paraId="3E5AD171">
            <w:pPr>
              <w:widowControl/>
              <w:textAlignment w:val="center"/>
              <w:rPr>
                <w:rFonts w:hint="eastAsia" w:ascii="宋体" w:hAnsi="宋体" w:cs="宋体"/>
                <w:sz w:val="24"/>
              </w:rPr>
            </w:pPr>
            <w:r>
              <w:rPr>
                <w:rFonts w:hint="eastAsia" w:ascii="宋体" w:hAnsi="宋体" w:cs="宋体"/>
                <w:kern w:val="0"/>
                <w:sz w:val="24"/>
                <w:lang w:bidi="ar"/>
              </w:rPr>
              <w:t>系统可以根据儿童体格检查时发育检测录入情况，生成发育监测筛查提醒列表，可以查看每个筛查阶段发育监测未筛儿童信息，查询每个规范年龄段的发育筛查结果。可以在发育监测筛查提醒列表直接录入筛查结果。可以导出发育监测提醒列表。</w:t>
            </w:r>
            <w:r>
              <w:rPr>
                <w:rFonts w:hint="eastAsia" w:ascii="宋体" w:hAnsi="宋体" w:cs="宋体"/>
                <w:kern w:val="0"/>
                <w:sz w:val="24"/>
                <w:lang w:bidi="ar"/>
              </w:rPr>
              <w:br w:type="textWrapping"/>
            </w:r>
            <w:r>
              <w:rPr>
                <w:rFonts w:hint="eastAsia" w:ascii="宋体" w:hAnsi="宋体" w:cs="宋体"/>
                <w:kern w:val="0"/>
                <w:sz w:val="24"/>
                <w:lang w:bidi="ar"/>
              </w:rPr>
              <w:t>系统可以根据儿童血红蛋白录入情况，生成血红蛋白未录列表。可以查询并导出6~8月龄血红单位未做儿童名单，18月龄血红单位未做儿童名单和30月龄血红单位未做儿童名。可以在血红蛋白未录列表直接录入筛查结果，还可以在血红蛋白未录列表查看儿童档案详情和历次体检详情。</w:t>
            </w:r>
          </w:p>
        </w:tc>
      </w:tr>
      <w:tr w14:paraId="007EE330">
        <w:tblPrEx>
          <w:tblCellMar>
            <w:top w:w="0" w:type="dxa"/>
            <w:left w:w="108" w:type="dxa"/>
            <w:bottom w:w="0" w:type="dxa"/>
            <w:right w:w="108" w:type="dxa"/>
          </w:tblCellMar>
        </w:tblPrEx>
        <w:trPr>
          <w:trHeight w:val="465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1A4D97D">
            <w:pPr>
              <w:widowControl/>
              <w:jc w:val="center"/>
              <w:textAlignment w:val="center"/>
              <w:rPr>
                <w:rFonts w:hint="eastAsia" w:ascii="宋体" w:hAnsi="宋体" w:cs="宋体"/>
                <w:sz w:val="24"/>
              </w:rPr>
            </w:pPr>
            <w:r>
              <w:rPr>
                <w:rFonts w:hint="eastAsia" w:ascii="宋体" w:hAnsi="宋体" w:cs="宋体"/>
                <w:kern w:val="0"/>
                <w:sz w:val="24"/>
                <w:lang w:bidi="ar"/>
              </w:rPr>
              <w:t>440</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3C388380">
            <w:pPr>
              <w:widowControl/>
              <w:jc w:val="center"/>
              <w:textAlignment w:val="center"/>
              <w:rPr>
                <w:rFonts w:hint="eastAsia" w:ascii="宋体" w:hAnsi="宋体" w:cs="宋体"/>
                <w:sz w:val="24"/>
              </w:rPr>
            </w:pPr>
            <w:r>
              <w:rPr>
                <w:rFonts w:hint="eastAsia" w:ascii="宋体" w:hAnsi="宋体" w:cs="宋体"/>
                <w:kern w:val="0"/>
                <w:sz w:val="24"/>
                <w:lang w:bidi="ar"/>
              </w:rPr>
              <w:t xml:space="preserve">可视化展示管理 </w:t>
            </w:r>
          </w:p>
        </w:tc>
        <w:tc>
          <w:tcPr>
            <w:tcW w:w="1313" w:type="dxa"/>
            <w:tcBorders>
              <w:top w:val="single" w:color="000000" w:sz="4" w:space="0"/>
              <w:left w:val="single" w:color="000000" w:sz="4" w:space="0"/>
              <w:bottom w:val="single" w:color="000000" w:sz="4" w:space="0"/>
              <w:right w:val="single" w:color="000000" w:sz="4" w:space="0"/>
            </w:tcBorders>
            <w:vAlign w:val="center"/>
          </w:tcPr>
          <w:p w14:paraId="5F199F56">
            <w:pPr>
              <w:widowControl/>
              <w:jc w:val="center"/>
              <w:textAlignment w:val="center"/>
              <w:rPr>
                <w:rFonts w:hint="eastAsia" w:ascii="宋体" w:hAnsi="宋体" w:cs="宋体"/>
                <w:sz w:val="24"/>
              </w:rPr>
            </w:pPr>
            <w:r>
              <w:rPr>
                <w:rFonts w:hint="eastAsia" w:ascii="宋体" w:hAnsi="宋体" w:cs="宋体"/>
                <w:kern w:val="0"/>
                <w:sz w:val="24"/>
                <w:lang w:bidi="ar"/>
              </w:rPr>
              <w:t>妇幼基本情况</w:t>
            </w:r>
          </w:p>
        </w:tc>
        <w:tc>
          <w:tcPr>
            <w:tcW w:w="9687" w:type="dxa"/>
            <w:tcBorders>
              <w:top w:val="single" w:color="000000" w:sz="4" w:space="0"/>
              <w:left w:val="single" w:color="000000" w:sz="4" w:space="0"/>
              <w:bottom w:val="single" w:color="000000" w:sz="4" w:space="0"/>
              <w:right w:val="single" w:color="000000" w:sz="4" w:space="0"/>
            </w:tcBorders>
            <w:vAlign w:val="center"/>
          </w:tcPr>
          <w:p w14:paraId="75029E46">
            <w:pPr>
              <w:widowControl/>
              <w:textAlignment w:val="center"/>
              <w:rPr>
                <w:rFonts w:hint="eastAsia" w:ascii="宋体" w:hAnsi="宋体" w:cs="宋体"/>
                <w:sz w:val="24"/>
              </w:rPr>
            </w:pPr>
            <w:r>
              <w:rPr>
                <w:rStyle w:val="94"/>
                <w:rFonts w:hint="default"/>
                <w:color w:val="auto"/>
                <w:lang w:bidi="ar"/>
              </w:rPr>
              <w:t>妇幼基本情况数据展示，通过数据看板的形式，全面、动态地呈现全市妇幼健康核心指标的总体概况。该模块从三个维度进行数据可视化：</w:t>
            </w:r>
            <w:r>
              <w:rPr>
                <w:rStyle w:val="94"/>
                <w:rFonts w:hint="default"/>
                <w:color w:val="auto"/>
                <w:lang w:bidi="ar"/>
              </w:rPr>
              <w:br w:type="textWrapping"/>
            </w:r>
            <w:r>
              <w:rPr>
                <w:rStyle w:val="94"/>
                <w:rFonts w:hint="default"/>
                <w:color w:val="auto"/>
                <w:lang w:bidi="ar"/>
              </w:rPr>
              <w:t>首先，展示</w:t>
            </w:r>
            <w:r>
              <w:rPr>
                <w:rStyle w:val="192"/>
                <w:color w:val="auto"/>
                <w:lang w:bidi="ar"/>
              </w:rPr>
              <w:t>​​</w:t>
            </w:r>
            <w:r>
              <w:rPr>
                <w:rStyle w:val="94"/>
                <w:rFonts w:hint="default"/>
                <w:color w:val="auto"/>
                <w:lang w:bidi="ar"/>
              </w:rPr>
              <w:t>全市在管人群的核心数量</w:t>
            </w:r>
            <w:r>
              <w:rPr>
                <w:rStyle w:val="192"/>
                <w:color w:val="auto"/>
                <w:lang w:bidi="ar"/>
              </w:rPr>
              <w:t>​​</w:t>
            </w:r>
            <w:r>
              <w:rPr>
                <w:rStyle w:val="94"/>
                <w:rFonts w:hint="default"/>
                <w:color w:val="auto"/>
                <w:lang w:bidi="ar"/>
              </w:rPr>
              <w:t>，包括孕产妇（按高危、红/紫/黄/橙色等级及分娩方式细分）和儿童（按年龄、性别细分）的实时在管总数，以及妇女（总数及35-64岁重点人群）的基本情况。</w:t>
            </w:r>
            <w:r>
              <w:rPr>
                <w:rStyle w:val="94"/>
                <w:rFonts w:hint="default"/>
                <w:color w:val="auto"/>
                <w:lang w:bidi="ar"/>
              </w:rPr>
              <w:br w:type="textWrapping"/>
            </w:r>
            <w:r>
              <w:rPr>
                <w:rStyle w:val="94"/>
                <w:rFonts w:hint="default"/>
                <w:color w:val="auto"/>
                <w:lang w:bidi="ar"/>
              </w:rPr>
              <w:t>其次，反映</w:t>
            </w:r>
            <w:r>
              <w:rPr>
                <w:rStyle w:val="192"/>
                <w:color w:val="auto"/>
                <w:lang w:bidi="ar"/>
              </w:rPr>
              <w:t>​​</w:t>
            </w:r>
            <w:r>
              <w:rPr>
                <w:rStyle w:val="94"/>
                <w:rFonts w:hint="default"/>
                <w:color w:val="auto"/>
                <w:lang w:bidi="ar"/>
              </w:rPr>
              <w:t>全市妇幼保健资源与服务能力</w:t>
            </w:r>
            <w:r>
              <w:rPr>
                <w:rStyle w:val="192"/>
                <w:color w:val="auto"/>
                <w:lang w:bidi="ar"/>
              </w:rPr>
              <w:t>​​</w:t>
            </w:r>
            <w:r>
              <w:rPr>
                <w:rStyle w:val="94"/>
                <w:rFonts w:hint="default"/>
                <w:color w:val="auto"/>
                <w:lang w:bidi="ar"/>
              </w:rPr>
              <w:t>，涵盖各县区妇幼保健机构的面积、设备、门诊/住院量、营业收入等资源配置数据，以及妇幼从业人员的数量分布。</w:t>
            </w:r>
            <w:r>
              <w:rPr>
                <w:rStyle w:val="94"/>
                <w:rFonts w:hint="default"/>
                <w:color w:val="auto"/>
                <w:lang w:bidi="ar"/>
              </w:rPr>
              <w:br w:type="textWrapping"/>
            </w:r>
            <w:r>
              <w:rPr>
                <w:rStyle w:val="94"/>
                <w:rFonts w:hint="default"/>
                <w:color w:val="auto"/>
                <w:lang w:bidi="ar"/>
              </w:rPr>
              <w:t>最后，通过</w:t>
            </w:r>
            <w:r>
              <w:rPr>
                <w:rStyle w:val="192"/>
                <w:color w:val="auto"/>
                <w:lang w:bidi="ar"/>
              </w:rPr>
              <w:t>​​</w:t>
            </w:r>
            <w:r>
              <w:rPr>
                <w:rStyle w:val="94"/>
                <w:rFonts w:hint="default"/>
                <w:color w:val="auto"/>
                <w:lang w:bidi="ar"/>
              </w:rPr>
              <w:t>历年动态指标对比</w:t>
            </w:r>
            <w:r>
              <w:rPr>
                <w:rStyle w:val="192"/>
                <w:color w:val="auto"/>
                <w:lang w:bidi="ar"/>
              </w:rPr>
              <w:t>​​</w:t>
            </w:r>
            <w:r>
              <w:rPr>
                <w:rStyle w:val="94"/>
                <w:rFonts w:hint="default"/>
                <w:color w:val="auto"/>
                <w:lang w:bidi="ar"/>
              </w:rPr>
              <w:t>，包括孕产妇死亡率、出生缺陷率、孕产妇系统管理率、婴儿死亡率、新生儿死亡率及儿童系统管理率，为宏观决策提供直观的数据支持。</w:t>
            </w:r>
          </w:p>
        </w:tc>
      </w:tr>
      <w:tr w14:paraId="4F90DE10">
        <w:tblPrEx>
          <w:tblCellMar>
            <w:top w:w="0" w:type="dxa"/>
            <w:left w:w="108" w:type="dxa"/>
            <w:bottom w:w="0" w:type="dxa"/>
            <w:right w:w="108" w:type="dxa"/>
          </w:tblCellMar>
        </w:tblPrEx>
        <w:trPr>
          <w:trHeight w:val="357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EDE5060">
            <w:pPr>
              <w:widowControl/>
              <w:jc w:val="center"/>
              <w:textAlignment w:val="center"/>
              <w:rPr>
                <w:rFonts w:hint="eastAsia" w:ascii="宋体" w:hAnsi="宋体" w:cs="宋体"/>
                <w:sz w:val="24"/>
              </w:rPr>
            </w:pPr>
            <w:r>
              <w:rPr>
                <w:rFonts w:hint="eastAsia" w:ascii="宋体" w:hAnsi="宋体" w:cs="宋体"/>
                <w:kern w:val="0"/>
                <w:sz w:val="24"/>
                <w:lang w:bidi="ar"/>
              </w:rPr>
              <w:t>441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1BE459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B80D1F1">
            <w:pPr>
              <w:widowControl/>
              <w:jc w:val="center"/>
              <w:textAlignment w:val="center"/>
              <w:rPr>
                <w:rFonts w:hint="eastAsia" w:ascii="宋体" w:hAnsi="宋体" w:cs="宋体"/>
                <w:sz w:val="24"/>
              </w:rPr>
            </w:pPr>
            <w:r>
              <w:rPr>
                <w:rFonts w:hint="eastAsia" w:ascii="宋体" w:hAnsi="宋体" w:cs="宋体"/>
                <w:kern w:val="0"/>
                <w:sz w:val="24"/>
                <w:lang w:bidi="ar"/>
              </w:rPr>
              <w:t>妇女保健-婚前医学检查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6802D421">
            <w:pPr>
              <w:widowControl/>
              <w:textAlignment w:val="center"/>
              <w:rPr>
                <w:rFonts w:hint="eastAsia" w:ascii="宋体" w:hAnsi="宋体" w:cs="宋体"/>
                <w:sz w:val="24"/>
              </w:rPr>
            </w:pPr>
            <w:r>
              <w:rPr>
                <w:rStyle w:val="94"/>
                <w:rFonts w:hint="default"/>
                <w:color w:val="auto"/>
                <w:lang w:bidi="ar"/>
              </w:rPr>
              <w:t>婚前医学检查数据展示，是对全市婚前医学检查工作的执行情况与结果进行多维度、动态化的统计分析。该模块的核心功能点概述如下：</w:t>
            </w:r>
            <w:r>
              <w:rPr>
                <w:rStyle w:val="94"/>
                <w:rFonts w:hint="default"/>
                <w:color w:val="auto"/>
                <w:lang w:bidi="ar"/>
              </w:rPr>
              <w:br w:type="textWrapping"/>
            </w:r>
            <w:r>
              <w:rPr>
                <w:rStyle w:val="94"/>
                <w:rFonts w:hint="default"/>
                <w:color w:val="auto"/>
                <w:lang w:bidi="ar"/>
              </w:rPr>
              <w:t>该模块支持按</w:t>
            </w:r>
            <w:r>
              <w:rPr>
                <w:rStyle w:val="192"/>
                <w:color w:val="auto"/>
                <w:lang w:bidi="ar"/>
              </w:rPr>
              <w:t>​​</w:t>
            </w:r>
            <w:r>
              <w:rPr>
                <w:rStyle w:val="94"/>
                <w:rFonts w:hint="default"/>
                <w:color w:val="auto"/>
                <w:lang w:bidi="ar"/>
              </w:rPr>
              <w:t>时间（年度、月度）和区（现住地址）</w:t>
            </w:r>
            <w:r>
              <w:rPr>
                <w:rStyle w:val="192"/>
                <w:color w:val="auto"/>
                <w:lang w:bidi="ar"/>
              </w:rPr>
              <w:t>​​</w:t>
            </w:r>
            <w:r>
              <w:rPr>
                <w:rStyle w:val="94"/>
                <w:rFonts w:hint="default"/>
                <w:color w:val="auto"/>
                <w:lang w:bidi="ar"/>
              </w:rPr>
              <w:t xml:space="preserve"> 统计并展示婚检的</w:t>
            </w:r>
            <w:r>
              <w:rPr>
                <w:rStyle w:val="192"/>
                <w:color w:val="auto"/>
                <w:lang w:bidi="ar"/>
              </w:rPr>
              <w:t>​​</w:t>
            </w:r>
            <w:r>
              <w:rPr>
                <w:rStyle w:val="94"/>
                <w:rFonts w:hint="default"/>
                <w:color w:val="auto"/>
                <w:lang w:bidi="ar"/>
              </w:rPr>
              <w:t>任务数、登记数和完成数</w:t>
            </w:r>
            <w:r>
              <w:rPr>
                <w:rStyle w:val="192"/>
                <w:color w:val="auto"/>
                <w:lang w:bidi="ar"/>
              </w:rPr>
              <w:t>​​</w:t>
            </w:r>
            <w:r>
              <w:rPr>
                <w:rStyle w:val="94"/>
                <w:rFonts w:hint="default"/>
                <w:color w:val="auto"/>
                <w:lang w:bidi="ar"/>
              </w:rPr>
              <w:t>，并动态计算</w:t>
            </w:r>
            <w:r>
              <w:rPr>
                <w:rStyle w:val="192"/>
                <w:color w:val="auto"/>
                <w:lang w:bidi="ar"/>
              </w:rPr>
              <w:t>​​</w:t>
            </w:r>
            <w:r>
              <w:rPr>
                <w:rStyle w:val="94"/>
                <w:rFonts w:hint="default"/>
                <w:color w:val="auto"/>
                <w:lang w:bidi="ar"/>
              </w:rPr>
              <w:t>婚检完成率（完成数/任务数）</w:t>
            </w:r>
            <w:r>
              <w:rPr>
                <w:rStyle w:val="192"/>
                <w:color w:val="auto"/>
                <w:lang w:bidi="ar"/>
              </w:rPr>
              <w:t>​​</w:t>
            </w:r>
            <w:r>
              <w:rPr>
                <w:rStyle w:val="94"/>
                <w:rFonts w:hint="default"/>
                <w:color w:val="auto"/>
                <w:lang w:bidi="ar"/>
              </w:rPr>
              <w:t xml:space="preserve"> 且按完成率进行地区排名。同时，模块提供深入的分析功能，可按地区和时间对婚检的</w:t>
            </w:r>
            <w:r>
              <w:rPr>
                <w:rStyle w:val="192"/>
                <w:color w:val="auto"/>
                <w:lang w:bidi="ar"/>
              </w:rPr>
              <w:t>​​</w:t>
            </w:r>
            <w:r>
              <w:rPr>
                <w:rStyle w:val="94"/>
                <w:rFonts w:hint="default"/>
                <w:color w:val="auto"/>
                <w:lang w:bidi="ar"/>
              </w:rPr>
              <w:t>疾病分类情况</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医学意见结果</w:t>
            </w:r>
            <w:r>
              <w:rPr>
                <w:rStyle w:val="192"/>
                <w:color w:val="auto"/>
                <w:lang w:bidi="ar"/>
              </w:rPr>
              <w:t>​​</w:t>
            </w:r>
            <w:r>
              <w:rPr>
                <w:rStyle w:val="94"/>
                <w:rFonts w:hint="default"/>
                <w:color w:val="auto"/>
                <w:lang w:bidi="ar"/>
              </w:rPr>
              <w:t>进行分组统计，并支持按性别、登记类型、户籍、年龄等多种条件进行筛选，从而全面评估婚检工作的覆盖范围、执行效率和健康状况。</w:t>
            </w:r>
          </w:p>
        </w:tc>
      </w:tr>
      <w:tr w14:paraId="3109B47F">
        <w:tblPrEx>
          <w:tblCellMar>
            <w:top w:w="0" w:type="dxa"/>
            <w:left w:w="108" w:type="dxa"/>
            <w:bottom w:w="0" w:type="dxa"/>
            <w:right w:w="108" w:type="dxa"/>
          </w:tblCellMar>
        </w:tblPrEx>
        <w:trPr>
          <w:trHeight w:val="38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A3F11F">
            <w:pPr>
              <w:widowControl/>
              <w:jc w:val="center"/>
              <w:textAlignment w:val="center"/>
              <w:rPr>
                <w:rFonts w:hint="eastAsia" w:ascii="宋体" w:hAnsi="宋体" w:cs="宋体"/>
                <w:sz w:val="24"/>
              </w:rPr>
            </w:pPr>
            <w:r>
              <w:rPr>
                <w:rFonts w:hint="eastAsia" w:ascii="宋体" w:hAnsi="宋体" w:cs="宋体"/>
                <w:kern w:val="0"/>
                <w:sz w:val="24"/>
                <w:lang w:bidi="ar"/>
              </w:rPr>
              <w:t>442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65D58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4BE7144">
            <w:pPr>
              <w:widowControl/>
              <w:jc w:val="center"/>
              <w:textAlignment w:val="center"/>
              <w:rPr>
                <w:rFonts w:hint="eastAsia" w:ascii="宋体" w:hAnsi="宋体" w:cs="宋体"/>
                <w:sz w:val="24"/>
              </w:rPr>
            </w:pPr>
            <w:r>
              <w:rPr>
                <w:rFonts w:hint="eastAsia" w:ascii="宋体" w:hAnsi="宋体" w:cs="宋体"/>
                <w:kern w:val="0"/>
                <w:sz w:val="24"/>
                <w:lang w:bidi="ar"/>
              </w:rPr>
              <w:t>妇女保健-孕前优生检查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090C1EE4">
            <w:pPr>
              <w:widowControl/>
              <w:textAlignment w:val="center"/>
              <w:rPr>
                <w:rFonts w:hint="eastAsia" w:ascii="宋体" w:hAnsi="宋体" w:cs="宋体"/>
                <w:sz w:val="24"/>
              </w:rPr>
            </w:pPr>
            <w:r>
              <w:rPr>
                <w:rStyle w:val="94"/>
                <w:rFonts w:hint="default"/>
                <w:color w:val="auto"/>
                <w:lang w:bidi="ar"/>
              </w:rPr>
              <w:t>孕前优生检查数据展示，可以动态监测与评估全市孕前优生健康检查项目的实施进度与健康结果。该模块的核心功能点概述如下：</w:t>
            </w:r>
            <w:r>
              <w:rPr>
                <w:rStyle w:val="94"/>
                <w:rFonts w:hint="default"/>
                <w:color w:val="auto"/>
                <w:lang w:bidi="ar"/>
              </w:rPr>
              <w:br w:type="textWrapping"/>
            </w:r>
            <w:r>
              <w:rPr>
                <w:rStyle w:val="94"/>
                <w:rFonts w:hint="default"/>
                <w:color w:val="auto"/>
                <w:lang w:bidi="ar"/>
              </w:rPr>
              <w:t>该模块支持按</w:t>
            </w:r>
            <w:r>
              <w:rPr>
                <w:rStyle w:val="192"/>
                <w:color w:val="auto"/>
                <w:lang w:bidi="ar"/>
              </w:rPr>
              <w:t>​​</w:t>
            </w:r>
            <w:r>
              <w:rPr>
                <w:rStyle w:val="94"/>
                <w:rFonts w:hint="default"/>
                <w:color w:val="auto"/>
                <w:lang w:bidi="ar"/>
              </w:rPr>
              <w:t>时间（年度、月度）和区（现住地址）</w:t>
            </w:r>
            <w:r>
              <w:rPr>
                <w:rStyle w:val="192"/>
                <w:color w:val="auto"/>
                <w:lang w:bidi="ar"/>
              </w:rPr>
              <w:t>​​</w:t>
            </w:r>
            <w:r>
              <w:rPr>
                <w:rStyle w:val="94"/>
                <w:rFonts w:hint="default"/>
                <w:color w:val="auto"/>
                <w:lang w:bidi="ar"/>
              </w:rPr>
              <w:t xml:space="preserve"> 统计并展示孕前优生检查的</w:t>
            </w:r>
            <w:r>
              <w:rPr>
                <w:rStyle w:val="192"/>
                <w:color w:val="auto"/>
                <w:lang w:bidi="ar"/>
              </w:rPr>
              <w:t>​​</w:t>
            </w:r>
            <w:r>
              <w:rPr>
                <w:rStyle w:val="94"/>
                <w:rFonts w:hint="default"/>
                <w:color w:val="auto"/>
                <w:lang w:bidi="ar"/>
              </w:rPr>
              <w:t>任务数、登记数和完成数</w:t>
            </w:r>
            <w:r>
              <w:rPr>
                <w:rStyle w:val="192"/>
                <w:color w:val="auto"/>
                <w:lang w:bidi="ar"/>
              </w:rPr>
              <w:t>​​</w:t>
            </w:r>
            <w:r>
              <w:rPr>
                <w:rStyle w:val="94"/>
                <w:rFonts w:hint="default"/>
                <w:color w:val="auto"/>
                <w:lang w:bidi="ar"/>
              </w:rPr>
              <w:t>，并动态计算</w:t>
            </w:r>
            <w:r>
              <w:rPr>
                <w:rStyle w:val="192"/>
                <w:color w:val="auto"/>
                <w:lang w:bidi="ar"/>
              </w:rPr>
              <w:t>​​</w:t>
            </w:r>
            <w:r>
              <w:rPr>
                <w:rStyle w:val="94"/>
                <w:rFonts w:hint="default"/>
                <w:color w:val="auto"/>
                <w:lang w:bidi="ar"/>
              </w:rPr>
              <w:t>检查完成率（完成数/任务数）</w:t>
            </w:r>
            <w:r>
              <w:rPr>
                <w:rStyle w:val="192"/>
                <w:color w:val="auto"/>
                <w:lang w:bidi="ar"/>
              </w:rPr>
              <w:t>​​</w:t>
            </w:r>
            <w:r>
              <w:rPr>
                <w:rStyle w:val="94"/>
                <w:rFonts w:hint="default"/>
                <w:color w:val="auto"/>
                <w:lang w:bidi="ar"/>
              </w:rPr>
              <w:t xml:space="preserve"> 且按完成率进行地区排名。在评估工作量的基础上，模块进一步提供关键健康结果的追踪分析，可按地区和时间维度分别展示</w:t>
            </w:r>
            <w:r>
              <w:rPr>
                <w:rStyle w:val="192"/>
                <w:color w:val="auto"/>
                <w:lang w:bidi="ar"/>
              </w:rPr>
              <w:t>​​</w:t>
            </w:r>
            <w:r>
              <w:rPr>
                <w:rStyle w:val="94"/>
                <w:rFonts w:hint="default"/>
                <w:color w:val="auto"/>
                <w:lang w:bidi="ar"/>
              </w:rPr>
              <w:t>高危人群的分布情况、早孕随访的执行情况以及最终的妊娠结局</w:t>
            </w:r>
            <w:r>
              <w:rPr>
                <w:rStyle w:val="192"/>
                <w:color w:val="auto"/>
                <w:lang w:bidi="ar"/>
              </w:rPr>
              <w:t>​​</w:t>
            </w:r>
            <w:r>
              <w:rPr>
                <w:rStyle w:val="94"/>
                <w:rFonts w:hint="default"/>
                <w:color w:val="auto"/>
                <w:lang w:bidi="ar"/>
              </w:rPr>
              <w:t>，从而全面评估该项目的覆盖率、执行质量及其对母婴健康的潜在影响。</w:t>
            </w:r>
          </w:p>
        </w:tc>
      </w:tr>
      <w:tr w14:paraId="7E4AD3F4">
        <w:tblPrEx>
          <w:tblCellMar>
            <w:top w:w="0" w:type="dxa"/>
            <w:left w:w="108" w:type="dxa"/>
            <w:bottom w:w="0" w:type="dxa"/>
            <w:right w:w="108" w:type="dxa"/>
          </w:tblCellMar>
        </w:tblPrEx>
        <w:trPr>
          <w:trHeight w:val="505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C5E314B">
            <w:pPr>
              <w:widowControl/>
              <w:jc w:val="center"/>
              <w:textAlignment w:val="center"/>
              <w:rPr>
                <w:rFonts w:hint="eastAsia" w:ascii="宋体" w:hAnsi="宋体" w:cs="宋体"/>
                <w:sz w:val="24"/>
              </w:rPr>
            </w:pPr>
            <w:r>
              <w:rPr>
                <w:rFonts w:hint="eastAsia" w:ascii="宋体" w:hAnsi="宋体" w:cs="宋体"/>
                <w:kern w:val="0"/>
                <w:sz w:val="24"/>
                <w:lang w:bidi="ar"/>
              </w:rPr>
              <w:t>443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495FD3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91EE657">
            <w:pPr>
              <w:widowControl/>
              <w:jc w:val="center"/>
              <w:textAlignment w:val="center"/>
              <w:rPr>
                <w:rFonts w:hint="eastAsia" w:ascii="宋体" w:hAnsi="宋体" w:cs="宋体"/>
                <w:sz w:val="24"/>
              </w:rPr>
            </w:pPr>
            <w:r>
              <w:rPr>
                <w:rFonts w:hint="eastAsia" w:ascii="宋体" w:hAnsi="宋体" w:cs="宋体"/>
                <w:kern w:val="0"/>
                <w:sz w:val="24"/>
                <w:lang w:bidi="ar"/>
              </w:rPr>
              <w:t>妇女保健-宫颈癌筛查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21777186">
            <w:pPr>
              <w:widowControl/>
              <w:textAlignment w:val="center"/>
              <w:rPr>
                <w:rFonts w:hint="eastAsia" w:ascii="宋体" w:hAnsi="宋体" w:cs="宋体"/>
                <w:sz w:val="24"/>
              </w:rPr>
            </w:pPr>
            <w:r>
              <w:rPr>
                <w:rStyle w:val="94"/>
                <w:rFonts w:hint="default"/>
                <w:color w:val="auto"/>
                <w:lang w:bidi="ar"/>
              </w:rPr>
              <w:t>宫颈癌筛查数据展示，可以实现对全市宫颈癌筛查工作的全流程数据进行动态监控与多维度分析。该模块的核心功能点概述如下：</w:t>
            </w:r>
            <w:r>
              <w:rPr>
                <w:rStyle w:val="94"/>
                <w:rFonts w:hint="default"/>
                <w:color w:val="auto"/>
                <w:lang w:bidi="ar"/>
              </w:rPr>
              <w:br w:type="textWrapping"/>
            </w:r>
            <w:r>
              <w:rPr>
                <w:rStyle w:val="94"/>
                <w:rFonts w:hint="default"/>
                <w:color w:val="auto"/>
                <w:lang w:bidi="ar"/>
              </w:rPr>
              <w:t>首先从宏观层面展示关键数据，包括</w:t>
            </w:r>
            <w:r>
              <w:rPr>
                <w:rStyle w:val="192"/>
                <w:color w:val="auto"/>
                <w:lang w:bidi="ar"/>
              </w:rPr>
              <w:t>​​</w:t>
            </w:r>
            <w:r>
              <w:rPr>
                <w:rStyle w:val="94"/>
                <w:rFonts w:hint="default"/>
                <w:color w:val="auto"/>
                <w:lang w:bidi="ar"/>
              </w:rPr>
              <w:t>最近7天的登记趋势</w:t>
            </w:r>
            <w:r>
              <w:rPr>
                <w:rStyle w:val="192"/>
                <w:color w:val="auto"/>
                <w:lang w:bidi="ar"/>
              </w:rPr>
              <w:t>​​</w:t>
            </w:r>
            <w:r>
              <w:rPr>
                <w:rStyle w:val="94"/>
                <w:rFonts w:hint="default"/>
                <w:color w:val="auto"/>
                <w:lang w:bidi="ar"/>
              </w:rPr>
              <w:t>，以及</w:t>
            </w:r>
            <w:r>
              <w:rPr>
                <w:rStyle w:val="192"/>
                <w:color w:val="auto"/>
                <w:lang w:bidi="ar"/>
              </w:rPr>
              <w:t>​​</w:t>
            </w:r>
            <w:r>
              <w:rPr>
                <w:rStyle w:val="94"/>
                <w:rFonts w:hint="default"/>
                <w:color w:val="auto"/>
                <w:lang w:bidi="ar"/>
              </w:rPr>
              <w:t>当前年度</w:t>
            </w:r>
            <w:r>
              <w:rPr>
                <w:rStyle w:val="192"/>
                <w:color w:val="auto"/>
                <w:lang w:bidi="ar"/>
              </w:rPr>
              <w:t>​​</w:t>
            </w:r>
            <w:r>
              <w:rPr>
                <w:rStyle w:val="94"/>
                <w:rFonts w:hint="default"/>
                <w:color w:val="auto"/>
                <w:lang w:bidi="ar"/>
              </w:rPr>
              <w:t>的筛查总览，如总登记人数、正常/异常/未结案人数、已结案比例，并统计HPV检测数、TCT采样数、开单数、未出结果数及阴/阳性结果与检测百分比。</w:t>
            </w:r>
            <w:r>
              <w:rPr>
                <w:rStyle w:val="94"/>
                <w:rFonts w:hint="default"/>
                <w:color w:val="auto"/>
                <w:lang w:bidi="ar"/>
              </w:rPr>
              <w:br w:type="textWrapping"/>
            </w:r>
            <w:r>
              <w:rPr>
                <w:rStyle w:val="94"/>
                <w:rFonts w:hint="default"/>
                <w:color w:val="auto"/>
                <w:lang w:bidi="ar"/>
              </w:rPr>
              <w:t>在此基础上，模块提供深入的分析视图，支持</w:t>
            </w:r>
            <w:r>
              <w:rPr>
                <w:rStyle w:val="192"/>
                <w:color w:val="auto"/>
                <w:lang w:bidi="ar"/>
              </w:rPr>
              <w:t>​​</w:t>
            </w:r>
            <w:r>
              <w:rPr>
                <w:rStyle w:val="94"/>
                <w:rFonts w:hint="default"/>
                <w:color w:val="auto"/>
                <w:lang w:bidi="ar"/>
              </w:rPr>
              <w:t>按全市汇总和地区分级</w:t>
            </w:r>
            <w:r>
              <w:rPr>
                <w:rStyle w:val="192"/>
                <w:color w:val="auto"/>
                <w:lang w:bidi="ar"/>
              </w:rPr>
              <w:t>​​</w:t>
            </w:r>
            <w:r>
              <w:rPr>
                <w:rStyle w:val="94"/>
                <w:rFonts w:hint="default"/>
                <w:color w:val="auto"/>
                <w:lang w:bidi="ar"/>
              </w:rPr>
              <w:t>的方式，对筛查结果的分类、各筛查阶段的已查/未查人数进行对比展示。</w:t>
            </w:r>
            <w:r>
              <w:rPr>
                <w:rStyle w:val="94"/>
                <w:rFonts w:hint="default"/>
                <w:color w:val="auto"/>
                <w:lang w:bidi="ar"/>
              </w:rPr>
              <w:br w:type="textWrapping"/>
            </w:r>
            <w:r>
              <w:rPr>
                <w:rStyle w:val="94"/>
                <w:rFonts w:hint="default"/>
                <w:color w:val="auto"/>
                <w:lang w:bidi="ar"/>
              </w:rPr>
              <w:t>同时，还能</w:t>
            </w:r>
            <w:r>
              <w:rPr>
                <w:rStyle w:val="192"/>
                <w:color w:val="auto"/>
                <w:lang w:bidi="ar"/>
              </w:rPr>
              <w:t>​​</w:t>
            </w:r>
            <w:r>
              <w:rPr>
                <w:rStyle w:val="94"/>
                <w:rFonts w:hint="default"/>
                <w:color w:val="auto"/>
                <w:lang w:bidi="ar"/>
              </w:rPr>
              <w:t>按地区和筛查时间</w:t>
            </w:r>
            <w:r>
              <w:rPr>
                <w:rStyle w:val="192"/>
                <w:color w:val="auto"/>
                <w:lang w:bidi="ar"/>
              </w:rPr>
              <w:t>​​</w:t>
            </w:r>
            <w:r>
              <w:rPr>
                <w:rStyle w:val="94"/>
                <w:rFonts w:hint="default"/>
                <w:color w:val="auto"/>
                <w:lang w:bidi="ar"/>
              </w:rPr>
              <w:t>对核心医学诊断结果——包括</w:t>
            </w:r>
            <w:r>
              <w:rPr>
                <w:rStyle w:val="192"/>
                <w:color w:val="auto"/>
                <w:lang w:bidi="ar"/>
              </w:rPr>
              <w:t>​​</w:t>
            </w:r>
            <w:r>
              <w:rPr>
                <w:rStyle w:val="94"/>
                <w:rFonts w:hint="default"/>
                <w:color w:val="auto"/>
                <w:lang w:bidi="ar"/>
              </w:rPr>
              <w:t>阴道镜诊断、TCT阳性分类以及组织病理诊断结果</w:t>
            </w:r>
            <w:r>
              <w:rPr>
                <w:rStyle w:val="192"/>
                <w:color w:val="auto"/>
                <w:lang w:bidi="ar"/>
              </w:rPr>
              <w:t>​​</w:t>
            </w:r>
            <w:r>
              <w:rPr>
                <w:rStyle w:val="94"/>
                <w:rFonts w:hint="default"/>
                <w:color w:val="auto"/>
                <w:lang w:bidi="ar"/>
              </w:rPr>
              <w:t>——进行详细的分类汇总，从而全面评估筛查工作的覆盖范围、执行效率和异常病例的分布情况。</w:t>
            </w:r>
          </w:p>
        </w:tc>
      </w:tr>
      <w:tr w14:paraId="46911CF0">
        <w:tblPrEx>
          <w:tblCellMar>
            <w:top w:w="0" w:type="dxa"/>
            <w:left w:w="108" w:type="dxa"/>
            <w:bottom w:w="0" w:type="dxa"/>
            <w:right w:w="108" w:type="dxa"/>
          </w:tblCellMar>
        </w:tblPrEx>
        <w:trPr>
          <w:trHeight w:val="38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7B23346">
            <w:pPr>
              <w:widowControl/>
              <w:jc w:val="center"/>
              <w:textAlignment w:val="center"/>
              <w:rPr>
                <w:rFonts w:hint="eastAsia" w:ascii="宋体" w:hAnsi="宋体" w:cs="宋体"/>
                <w:sz w:val="24"/>
              </w:rPr>
            </w:pPr>
            <w:r>
              <w:rPr>
                <w:rFonts w:hint="eastAsia" w:ascii="宋体" w:hAnsi="宋体" w:cs="宋体"/>
                <w:kern w:val="0"/>
                <w:sz w:val="24"/>
                <w:lang w:bidi="ar"/>
              </w:rPr>
              <w:t>444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A65D32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F6361E1">
            <w:pPr>
              <w:widowControl/>
              <w:jc w:val="center"/>
              <w:textAlignment w:val="center"/>
              <w:rPr>
                <w:rFonts w:hint="eastAsia" w:ascii="宋体" w:hAnsi="宋体" w:cs="宋体"/>
                <w:sz w:val="24"/>
              </w:rPr>
            </w:pPr>
            <w:r>
              <w:rPr>
                <w:rFonts w:hint="eastAsia" w:ascii="宋体" w:hAnsi="宋体" w:cs="宋体"/>
                <w:kern w:val="0"/>
                <w:sz w:val="24"/>
                <w:lang w:bidi="ar"/>
              </w:rPr>
              <w:t>妇女保健-乳腺癌筛查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42AECA3B">
            <w:pPr>
              <w:widowControl/>
              <w:textAlignment w:val="center"/>
              <w:rPr>
                <w:rFonts w:hint="eastAsia" w:ascii="宋体" w:hAnsi="宋体" w:cs="宋体"/>
                <w:sz w:val="24"/>
              </w:rPr>
            </w:pPr>
            <w:r>
              <w:rPr>
                <w:rStyle w:val="94"/>
                <w:rFonts w:hint="default"/>
                <w:color w:val="auto"/>
                <w:lang w:bidi="ar"/>
              </w:rPr>
              <w:t>乳腺癌筛查数据展示，实现对全市乳腺癌筛查工作的核心数据进行动态监控与统计分析。该模块的核心功能点概述如下：</w:t>
            </w:r>
            <w:r>
              <w:rPr>
                <w:rStyle w:val="94"/>
                <w:rFonts w:hint="default"/>
                <w:color w:val="auto"/>
                <w:lang w:bidi="ar"/>
              </w:rPr>
              <w:br w:type="textWrapping"/>
            </w:r>
            <w:r>
              <w:rPr>
                <w:rStyle w:val="94"/>
                <w:rFonts w:hint="default"/>
                <w:color w:val="auto"/>
                <w:lang w:bidi="ar"/>
              </w:rPr>
              <w:t>首先展示</w:t>
            </w:r>
            <w:r>
              <w:rPr>
                <w:rStyle w:val="192"/>
                <w:color w:val="auto"/>
                <w:lang w:bidi="ar"/>
              </w:rPr>
              <w:t>​​</w:t>
            </w:r>
            <w:r>
              <w:rPr>
                <w:rStyle w:val="94"/>
                <w:rFonts w:hint="default"/>
                <w:color w:val="auto"/>
                <w:lang w:bidi="ar"/>
              </w:rPr>
              <w:t>最近7天的筛查登记数据趋势</w:t>
            </w:r>
            <w:r>
              <w:rPr>
                <w:rStyle w:val="192"/>
                <w:color w:val="auto"/>
                <w:lang w:bidi="ar"/>
              </w:rPr>
              <w:t>​​</w:t>
            </w:r>
            <w:r>
              <w:rPr>
                <w:rStyle w:val="94"/>
                <w:rFonts w:hint="default"/>
                <w:color w:val="auto"/>
                <w:lang w:bidi="ar"/>
              </w:rPr>
              <w:t>，并对</w:t>
            </w:r>
            <w:r>
              <w:rPr>
                <w:rStyle w:val="192"/>
                <w:color w:val="auto"/>
                <w:lang w:bidi="ar"/>
              </w:rPr>
              <w:t>​​</w:t>
            </w:r>
            <w:r>
              <w:rPr>
                <w:rStyle w:val="94"/>
                <w:rFonts w:hint="default"/>
                <w:color w:val="auto"/>
                <w:lang w:bidi="ar"/>
              </w:rPr>
              <w:t>当前年度</w:t>
            </w:r>
            <w:r>
              <w:rPr>
                <w:rStyle w:val="192"/>
                <w:color w:val="auto"/>
                <w:lang w:bidi="ar"/>
              </w:rPr>
              <w:t>​​</w:t>
            </w:r>
            <w:r>
              <w:rPr>
                <w:rStyle w:val="94"/>
                <w:rFonts w:hint="default"/>
                <w:color w:val="auto"/>
                <w:lang w:bidi="ar"/>
              </w:rPr>
              <w:t>的筛查总体情况进行比例分析，包括总登记人数、以及其中正常、异常、未结案和已结案人数的分布情况。</w:t>
            </w:r>
            <w:r>
              <w:rPr>
                <w:rStyle w:val="94"/>
                <w:rFonts w:hint="default"/>
                <w:color w:val="auto"/>
                <w:lang w:bidi="ar"/>
              </w:rPr>
              <w:br w:type="textWrapping"/>
            </w:r>
            <w:r>
              <w:rPr>
                <w:rStyle w:val="94"/>
                <w:rFonts w:hint="default"/>
                <w:color w:val="auto"/>
                <w:lang w:bidi="ar"/>
              </w:rPr>
              <w:t>在区域分析层面，支持</w:t>
            </w:r>
            <w:r>
              <w:rPr>
                <w:rStyle w:val="192"/>
                <w:color w:val="auto"/>
                <w:lang w:bidi="ar"/>
              </w:rPr>
              <w:t>​​</w:t>
            </w:r>
            <w:r>
              <w:rPr>
                <w:rStyle w:val="94"/>
                <w:rFonts w:hint="default"/>
                <w:color w:val="auto"/>
                <w:lang w:bidi="ar"/>
              </w:rPr>
              <w:t>按全市汇总和地区分级</w:t>
            </w:r>
            <w:r>
              <w:rPr>
                <w:rStyle w:val="192"/>
                <w:color w:val="auto"/>
                <w:lang w:bidi="ar"/>
              </w:rPr>
              <w:t>​​</w:t>
            </w:r>
            <w:r>
              <w:rPr>
                <w:rStyle w:val="94"/>
                <w:rFonts w:hint="default"/>
                <w:color w:val="auto"/>
                <w:lang w:bidi="ar"/>
              </w:rPr>
              <w:t>两种维度，对乳腺癌的</w:t>
            </w:r>
            <w:r>
              <w:rPr>
                <w:rStyle w:val="192"/>
                <w:color w:val="auto"/>
                <w:lang w:bidi="ar"/>
              </w:rPr>
              <w:t>​​</w:t>
            </w:r>
            <w:r>
              <w:rPr>
                <w:rStyle w:val="94"/>
                <w:rFonts w:hint="default"/>
                <w:color w:val="auto"/>
                <w:lang w:bidi="ar"/>
              </w:rPr>
              <w:t>筛查结果进行分类汇总</w:t>
            </w:r>
            <w:r>
              <w:rPr>
                <w:rStyle w:val="192"/>
                <w:color w:val="auto"/>
                <w:lang w:bidi="ar"/>
              </w:rPr>
              <w:t>​​</w:t>
            </w:r>
            <w:r>
              <w:rPr>
                <w:rStyle w:val="94"/>
                <w:rFonts w:hint="default"/>
                <w:color w:val="auto"/>
                <w:lang w:bidi="ar"/>
              </w:rPr>
              <w:t>，并对比展示</w:t>
            </w:r>
            <w:r>
              <w:rPr>
                <w:rStyle w:val="192"/>
                <w:color w:val="auto"/>
                <w:lang w:bidi="ar"/>
              </w:rPr>
              <w:t>​​</w:t>
            </w:r>
            <w:r>
              <w:rPr>
                <w:rStyle w:val="94"/>
                <w:rFonts w:hint="default"/>
                <w:color w:val="auto"/>
                <w:lang w:bidi="ar"/>
              </w:rPr>
              <w:t>各个筛查阶段的已查人数和未查人数</w:t>
            </w:r>
            <w:r>
              <w:rPr>
                <w:rStyle w:val="192"/>
                <w:color w:val="auto"/>
                <w:lang w:bidi="ar"/>
              </w:rPr>
              <w:t>​​</w:t>
            </w:r>
            <w:r>
              <w:rPr>
                <w:rStyle w:val="94"/>
                <w:rFonts w:hint="default"/>
                <w:color w:val="auto"/>
                <w:lang w:bidi="ar"/>
              </w:rPr>
              <w:t>，从而清晰反映不同地区的筛查覆盖率、执行进度和结果分布，为资源调配和工作评估提供数据支持。</w:t>
            </w:r>
          </w:p>
        </w:tc>
      </w:tr>
      <w:tr w14:paraId="16EDEBBE">
        <w:tblPrEx>
          <w:tblCellMar>
            <w:top w:w="0" w:type="dxa"/>
            <w:left w:w="108" w:type="dxa"/>
            <w:bottom w:w="0" w:type="dxa"/>
            <w:right w:w="108" w:type="dxa"/>
          </w:tblCellMar>
        </w:tblPrEx>
        <w:trPr>
          <w:trHeight w:val="44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810056B">
            <w:pPr>
              <w:widowControl/>
              <w:jc w:val="center"/>
              <w:textAlignment w:val="center"/>
              <w:rPr>
                <w:rFonts w:hint="eastAsia" w:ascii="宋体" w:hAnsi="宋体" w:cs="宋体"/>
                <w:sz w:val="24"/>
              </w:rPr>
            </w:pPr>
            <w:r>
              <w:rPr>
                <w:rFonts w:hint="eastAsia" w:ascii="宋体" w:hAnsi="宋体" w:cs="宋体"/>
                <w:kern w:val="0"/>
                <w:sz w:val="24"/>
                <w:lang w:bidi="ar"/>
              </w:rPr>
              <w:t>445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9ACB8B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237B61F">
            <w:pPr>
              <w:widowControl/>
              <w:jc w:val="center"/>
              <w:textAlignment w:val="center"/>
              <w:rPr>
                <w:rFonts w:hint="eastAsia" w:ascii="宋体" w:hAnsi="宋体" w:cs="宋体"/>
                <w:sz w:val="24"/>
              </w:rPr>
            </w:pPr>
            <w:r>
              <w:rPr>
                <w:rFonts w:hint="eastAsia" w:ascii="宋体" w:hAnsi="宋体" w:cs="宋体"/>
                <w:kern w:val="0"/>
                <w:sz w:val="24"/>
                <w:lang w:bidi="ar"/>
              </w:rPr>
              <w:t>孕产妇保健-孕产妇系统管理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E52BB73">
            <w:pPr>
              <w:widowControl/>
              <w:textAlignment w:val="center"/>
              <w:rPr>
                <w:rFonts w:hint="eastAsia" w:ascii="宋体" w:hAnsi="宋体" w:cs="宋体"/>
                <w:sz w:val="24"/>
              </w:rPr>
            </w:pPr>
            <w:r>
              <w:rPr>
                <w:rStyle w:val="94"/>
                <w:rFonts w:hint="default"/>
                <w:color w:val="auto"/>
                <w:lang w:bidi="ar"/>
              </w:rPr>
              <w:t>孕产妇系统管理数据展示，可以全面监测与评估全市孕产妇健康管理的核心指标与服务质量。该模块的核心功能点概述如下：</w:t>
            </w:r>
            <w:r>
              <w:rPr>
                <w:rStyle w:val="94"/>
                <w:rFonts w:hint="default"/>
                <w:color w:val="auto"/>
                <w:lang w:bidi="ar"/>
              </w:rPr>
              <w:br w:type="textWrapping"/>
            </w:r>
            <w:r>
              <w:rPr>
                <w:rStyle w:val="94"/>
                <w:rFonts w:hint="default"/>
                <w:color w:val="auto"/>
                <w:lang w:bidi="ar"/>
              </w:rPr>
              <w:t>首先展示孕产妇管理的基本情况，包括</w:t>
            </w:r>
            <w:r>
              <w:rPr>
                <w:rStyle w:val="192"/>
                <w:color w:val="auto"/>
                <w:lang w:bidi="ar"/>
              </w:rPr>
              <w:t>​​</w:t>
            </w:r>
            <w:r>
              <w:rPr>
                <w:rStyle w:val="94"/>
                <w:rFonts w:hint="default"/>
                <w:color w:val="auto"/>
                <w:lang w:bidi="ar"/>
              </w:rPr>
              <w:t>在管孕产妇总人数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高危孕产妇的人数与占比</w:t>
            </w:r>
            <w:r>
              <w:rPr>
                <w:rStyle w:val="192"/>
                <w:color w:val="auto"/>
                <w:lang w:bidi="ar"/>
              </w:rPr>
              <w:t>​​</w:t>
            </w:r>
            <w:r>
              <w:rPr>
                <w:rStyle w:val="94"/>
                <w:rFonts w:hint="default"/>
                <w:color w:val="auto"/>
                <w:lang w:bidi="ar"/>
              </w:rPr>
              <w:t>，并按风险等级（橙色、红色、紫色）分别统计其人数及占比。</w:t>
            </w:r>
            <w:r>
              <w:rPr>
                <w:rStyle w:val="94"/>
                <w:rFonts w:hint="default"/>
                <w:color w:val="auto"/>
                <w:lang w:bidi="ar"/>
              </w:rPr>
              <w:br w:type="textWrapping"/>
            </w:r>
            <w:r>
              <w:rPr>
                <w:rStyle w:val="94"/>
                <w:rFonts w:hint="default"/>
                <w:color w:val="auto"/>
                <w:lang w:bidi="ar"/>
              </w:rPr>
              <w:t>在关键管理率方面，模块追踪了孕产期全程的核心服务指标，包括</w:t>
            </w:r>
            <w:r>
              <w:rPr>
                <w:rStyle w:val="192"/>
                <w:color w:val="auto"/>
                <w:lang w:bidi="ar"/>
              </w:rPr>
              <w:t>​​</w:t>
            </w:r>
            <w:r>
              <w:rPr>
                <w:rStyle w:val="94"/>
                <w:rFonts w:hint="default"/>
                <w:color w:val="auto"/>
                <w:lang w:bidi="ar"/>
              </w:rPr>
              <w:t>早孕建册率</w:t>
            </w:r>
            <w:r>
              <w:rPr>
                <w:rStyle w:val="192"/>
                <w:color w:val="auto"/>
                <w:lang w:bidi="ar"/>
              </w:rPr>
              <w:t>​​</w:t>
            </w:r>
            <w:r>
              <w:rPr>
                <w:rStyle w:val="94"/>
                <w:rFonts w:hint="default"/>
                <w:color w:val="auto"/>
                <w:lang w:bidi="ar"/>
              </w:rPr>
              <w:t>（12+6周前）、接受</w:t>
            </w:r>
            <w:r>
              <w:rPr>
                <w:rStyle w:val="192"/>
                <w:color w:val="auto"/>
                <w:lang w:bidi="ar"/>
              </w:rPr>
              <w:t>​​</w:t>
            </w:r>
            <w:r>
              <w:rPr>
                <w:rStyle w:val="94"/>
                <w:rFonts w:hint="default"/>
                <w:color w:val="auto"/>
                <w:lang w:bidi="ar"/>
              </w:rPr>
              <w:t>5次及以上产前检查的人数与占比</w:t>
            </w:r>
            <w:r>
              <w:rPr>
                <w:rStyle w:val="192"/>
                <w:color w:val="auto"/>
                <w:lang w:bidi="ar"/>
              </w:rPr>
              <w:t>​​</w:t>
            </w:r>
            <w:r>
              <w:rPr>
                <w:rStyle w:val="94"/>
                <w:rFonts w:hint="default"/>
                <w:color w:val="auto"/>
                <w:lang w:bidi="ar"/>
              </w:rPr>
              <w:t>，以及接受</w:t>
            </w:r>
            <w:r>
              <w:rPr>
                <w:rStyle w:val="192"/>
                <w:color w:val="auto"/>
                <w:lang w:bidi="ar"/>
              </w:rPr>
              <w:t>​​</w:t>
            </w:r>
            <w:r>
              <w:rPr>
                <w:rStyle w:val="94"/>
                <w:rFonts w:hint="default"/>
                <w:color w:val="auto"/>
                <w:lang w:bidi="ar"/>
              </w:rPr>
              <w:t>产后访视的人数与占比</w:t>
            </w:r>
            <w:r>
              <w:rPr>
                <w:rStyle w:val="192"/>
                <w:color w:val="auto"/>
                <w:lang w:bidi="ar"/>
              </w:rPr>
              <w:t>​​</w:t>
            </w:r>
            <w:r>
              <w:rPr>
                <w:rStyle w:val="94"/>
                <w:rFonts w:hint="default"/>
                <w:color w:val="auto"/>
                <w:lang w:bidi="ar"/>
              </w:rPr>
              <w:t>，用以评估系统管理的完整性。</w:t>
            </w:r>
            <w:r>
              <w:rPr>
                <w:rStyle w:val="94"/>
                <w:rFonts w:hint="default"/>
                <w:color w:val="auto"/>
                <w:lang w:bidi="ar"/>
              </w:rPr>
              <w:br w:type="textWrapping"/>
            </w:r>
            <w:r>
              <w:rPr>
                <w:rStyle w:val="94"/>
                <w:rFonts w:hint="default"/>
                <w:color w:val="auto"/>
                <w:lang w:bidi="ar"/>
              </w:rPr>
              <w:t>此外，模块还统计了</w:t>
            </w:r>
            <w:r>
              <w:rPr>
                <w:rStyle w:val="192"/>
                <w:color w:val="auto"/>
                <w:lang w:bidi="ar"/>
              </w:rPr>
              <w:t>​​</w:t>
            </w:r>
            <w:r>
              <w:rPr>
                <w:rStyle w:val="94"/>
                <w:rFonts w:hint="default"/>
                <w:color w:val="auto"/>
                <w:lang w:bidi="ar"/>
              </w:rPr>
              <w:t>年度内分娩产妇总数</w:t>
            </w:r>
            <w:r>
              <w:rPr>
                <w:rStyle w:val="192"/>
                <w:color w:val="auto"/>
                <w:lang w:bidi="ar"/>
              </w:rPr>
              <w:t>​​</w:t>
            </w:r>
            <w:r>
              <w:rPr>
                <w:rStyle w:val="94"/>
                <w:rFonts w:hint="default"/>
                <w:color w:val="auto"/>
                <w:lang w:bidi="ar"/>
              </w:rPr>
              <w:t>及其中的</w:t>
            </w:r>
            <w:r>
              <w:rPr>
                <w:rStyle w:val="192"/>
                <w:color w:val="auto"/>
                <w:lang w:bidi="ar"/>
              </w:rPr>
              <w:t>​​</w:t>
            </w:r>
            <w:r>
              <w:rPr>
                <w:rStyle w:val="94"/>
                <w:rFonts w:hint="default"/>
                <w:color w:val="auto"/>
                <w:lang w:bidi="ar"/>
              </w:rPr>
              <w:t>剖宫产人数与占比</w:t>
            </w:r>
            <w:r>
              <w:rPr>
                <w:rStyle w:val="192"/>
                <w:color w:val="auto"/>
                <w:lang w:bidi="ar"/>
              </w:rPr>
              <w:t>​​</w:t>
            </w:r>
            <w:r>
              <w:rPr>
                <w:rStyle w:val="94"/>
                <w:rFonts w:hint="default"/>
                <w:color w:val="auto"/>
                <w:lang w:bidi="ar"/>
              </w:rPr>
              <w:t>，综合反映孕产妇保健的管理成效与分娩健康状况。</w:t>
            </w:r>
          </w:p>
        </w:tc>
      </w:tr>
      <w:tr w14:paraId="3FDF7E57">
        <w:tblPrEx>
          <w:tblCellMar>
            <w:top w:w="0" w:type="dxa"/>
            <w:left w:w="108" w:type="dxa"/>
            <w:bottom w:w="0" w:type="dxa"/>
            <w:right w:w="108" w:type="dxa"/>
          </w:tblCellMar>
        </w:tblPrEx>
        <w:trPr>
          <w:trHeight w:val="20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0799E02">
            <w:pPr>
              <w:widowControl/>
              <w:jc w:val="center"/>
              <w:textAlignment w:val="center"/>
              <w:rPr>
                <w:rFonts w:hint="eastAsia" w:ascii="宋体" w:hAnsi="宋体" w:cs="宋体"/>
                <w:sz w:val="24"/>
              </w:rPr>
            </w:pPr>
            <w:r>
              <w:rPr>
                <w:rFonts w:hint="eastAsia" w:ascii="宋体" w:hAnsi="宋体" w:cs="宋体"/>
                <w:kern w:val="0"/>
                <w:sz w:val="24"/>
                <w:lang w:bidi="ar"/>
              </w:rPr>
              <w:t>446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4AF7F3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BB0BF5F">
            <w:pPr>
              <w:widowControl/>
              <w:jc w:val="center"/>
              <w:textAlignment w:val="center"/>
              <w:rPr>
                <w:rFonts w:hint="eastAsia" w:ascii="宋体" w:hAnsi="宋体" w:cs="宋体"/>
                <w:sz w:val="24"/>
              </w:rPr>
            </w:pPr>
            <w:r>
              <w:rPr>
                <w:rFonts w:hint="eastAsia" w:ascii="宋体" w:hAnsi="宋体" w:cs="宋体"/>
                <w:kern w:val="0"/>
                <w:sz w:val="24"/>
                <w:lang w:bidi="ar"/>
              </w:rPr>
              <w:t>孕产妇保健-增补叶酸</w:t>
            </w:r>
          </w:p>
        </w:tc>
        <w:tc>
          <w:tcPr>
            <w:tcW w:w="9687" w:type="dxa"/>
            <w:tcBorders>
              <w:top w:val="single" w:color="000000" w:sz="4" w:space="0"/>
              <w:left w:val="single" w:color="000000" w:sz="4" w:space="0"/>
              <w:bottom w:val="single" w:color="000000" w:sz="4" w:space="0"/>
              <w:right w:val="single" w:color="000000" w:sz="4" w:space="0"/>
            </w:tcBorders>
            <w:vAlign w:val="center"/>
          </w:tcPr>
          <w:p w14:paraId="36AA572F">
            <w:pPr>
              <w:widowControl/>
              <w:textAlignment w:val="center"/>
              <w:rPr>
                <w:rFonts w:hint="eastAsia" w:ascii="宋体" w:hAnsi="宋体" w:cs="宋体"/>
                <w:sz w:val="24"/>
              </w:rPr>
            </w:pPr>
            <w:r>
              <w:rPr>
                <w:rStyle w:val="94"/>
                <w:rFonts w:hint="default"/>
                <w:color w:val="auto"/>
                <w:lang w:bidi="ar"/>
              </w:rPr>
              <w:t>增补叶酸数据展示，实现对全市各市县增补叶酸项目的任务执行情况进行宏观监控与对比分析。</w:t>
            </w:r>
            <w:r>
              <w:rPr>
                <w:rStyle w:val="94"/>
                <w:rFonts w:hint="default"/>
                <w:color w:val="auto"/>
                <w:lang w:bidi="ar"/>
              </w:rPr>
              <w:br w:type="textWrapping"/>
            </w:r>
            <w:r>
              <w:rPr>
                <w:rStyle w:val="94"/>
                <w:rFonts w:hint="default"/>
                <w:color w:val="auto"/>
                <w:lang w:bidi="ar"/>
              </w:rPr>
              <w:t>该模块的核心功能是统计并展示</w:t>
            </w:r>
            <w:r>
              <w:rPr>
                <w:rStyle w:val="192"/>
                <w:color w:val="auto"/>
                <w:lang w:bidi="ar"/>
              </w:rPr>
              <w:t>​​</w:t>
            </w:r>
            <w:r>
              <w:rPr>
                <w:rStyle w:val="94"/>
                <w:rFonts w:hint="default"/>
                <w:color w:val="auto"/>
                <w:lang w:bidi="ar"/>
              </w:rPr>
              <w:t>年度内各市县的叶酸增补任务数</w:t>
            </w:r>
            <w:r>
              <w:rPr>
                <w:rStyle w:val="192"/>
                <w:color w:val="auto"/>
                <w:lang w:bidi="ar"/>
              </w:rPr>
              <w:t>​​</w:t>
            </w:r>
            <w:r>
              <w:rPr>
                <w:rStyle w:val="94"/>
                <w:rFonts w:hint="default"/>
                <w:color w:val="auto"/>
                <w:lang w:bidi="ar"/>
              </w:rPr>
              <w:t>以及相应的</w:t>
            </w:r>
            <w:r>
              <w:rPr>
                <w:rStyle w:val="192"/>
                <w:color w:val="auto"/>
                <w:lang w:bidi="ar"/>
              </w:rPr>
              <w:t>​​</w:t>
            </w:r>
            <w:r>
              <w:rPr>
                <w:rStyle w:val="94"/>
                <w:rFonts w:hint="default"/>
                <w:color w:val="auto"/>
                <w:lang w:bidi="ar"/>
              </w:rPr>
              <w:t>叶酸增补完成人数</w:t>
            </w:r>
            <w:r>
              <w:rPr>
                <w:rStyle w:val="192"/>
                <w:color w:val="auto"/>
                <w:lang w:bidi="ar"/>
              </w:rPr>
              <w:t>​​</w:t>
            </w:r>
            <w:r>
              <w:rPr>
                <w:rStyle w:val="94"/>
                <w:rFonts w:hint="default"/>
                <w:color w:val="auto"/>
                <w:lang w:bidi="ar"/>
              </w:rPr>
              <w:t>，从而清晰反映不同地区任务的分配量与实际完成进度，为业务管理与考核提供直观的数据依据。</w:t>
            </w:r>
          </w:p>
        </w:tc>
      </w:tr>
      <w:tr w14:paraId="0BE09B7A">
        <w:tblPrEx>
          <w:tblCellMar>
            <w:top w:w="0" w:type="dxa"/>
            <w:left w:w="108" w:type="dxa"/>
            <w:bottom w:w="0" w:type="dxa"/>
            <w:right w:w="108" w:type="dxa"/>
          </w:tblCellMar>
        </w:tblPrEx>
        <w:trPr>
          <w:trHeight w:val="3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BFEA864">
            <w:pPr>
              <w:widowControl/>
              <w:jc w:val="center"/>
              <w:textAlignment w:val="center"/>
              <w:rPr>
                <w:rFonts w:hint="eastAsia" w:ascii="宋体" w:hAnsi="宋体" w:cs="宋体"/>
                <w:sz w:val="24"/>
              </w:rPr>
            </w:pPr>
            <w:r>
              <w:rPr>
                <w:rFonts w:hint="eastAsia" w:ascii="宋体" w:hAnsi="宋体" w:cs="宋体"/>
                <w:kern w:val="0"/>
                <w:sz w:val="24"/>
                <w:lang w:bidi="ar"/>
              </w:rPr>
              <w:t>447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38F0DE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214F6E9">
            <w:pPr>
              <w:widowControl/>
              <w:jc w:val="center"/>
              <w:textAlignment w:val="center"/>
              <w:rPr>
                <w:rFonts w:hint="eastAsia" w:ascii="宋体" w:hAnsi="宋体" w:cs="宋体"/>
                <w:sz w:val="24"/>
              </w:rPr>
            </w:pPr>
            <w:r>
              <w:rPr>
                <w:rFonts w:hint="eastAsia" w:ascii="宋体" w:hAnsi="宋体" w:cs="宋体"/>
                <w:kern w:val="0"/>
                <w:sz w:val="24"/>
                <w:lang w:bidi="ar"/>
              </w:rPr>
              <w:t>孕产妇保健-艾梅乙项目</w:t>
            </w:r>
          </w:p>
        </w:tc>
        <w:tc>
          <w:tcPr>
            <w:tcW w:w="9687" w:type="dxa"/>
            <w:tcBorders>
              <w:top w:val="single" w:color="000000" w:sz="4" w:space="0"/>
              <w:left w:val="single" w:color="000000" w:sz="4" w:space="0"/>
              <w:bottom w:val="single" w:color="000000" w:sz="4" w:space="0"/>
              <w:right w:val="single" w:color="000000" w:sz="4" w:space="0"/>
            </w:tcBorders>
            <w:vAlign w:val="center"/>
          </w:tcPr>
          <w:p w14:paraId="09513811">
            <w:pPr>
              <w:widowControl/>
              <w:textAlignment w:val="center"/>
              <w:rPr>
                <w:rFonts w:hint="eastAsia" w:ascii="宋体" w:hAnsi="宋体" w:cs="宋体"/>
                <w:sz w:val="24"/>
              </w:rPr>
            </w:pPr>
            <w:r>
              <w:rPr>
                <w:rStyle w:val="94"/>
                <w:rFonts w:hint="default"/>
                <w:color w:val="auto"/>
                <w:lang w:bidi="ar"/>
              </w:rPr>
              <w:t>艾梅乙项目数据展示，实现对预防艾滋病、梅毒和乙肝母婴传播项目的实施情况进行全面监测与效果评估。该模块的核心功能点概述如下：</w:t>
            </w:r>
            <w:r>
              <w:rPr>
                <w:rStyle w:val="94"/>
                <w:rFonts w:hint="default"/>
                <w:color w:val="auto"/>
                <w:lang w:bidi="ar"/>
              </w:rPr>
              <w:br w:type="textWrapping"/>
            </w:r>
            <w:r>
              <w:rPr>
                <w:rStyle w:val="94"/>
                <w:rFonts w:hint="default"/>
                <w:color w:val="auto"/>
                <w:lang w:bidi="ar"/>
              </w:rPr>
              <w:t>该模块首先展示</w:t>
            </w:r>
            <w:r>
              <w:rPr>
                <w:rStyle w:val="192"/>
                <w:color w:val="auto"/>
                <w:lang w:bidi="ar"/>
              </w:rPr>
              <w:t>​​</w:t>
            </w:r>
            <w:r>
              <w:rPr>
                <w:rStyle w:val="94"/>
                <w:rFonts w:hint="default"/>
                <w:color w:val="auto"/>
                <w:lang w:bidi="ar"/>
              </w:rPr>
              <w:t>年度内各市县的孕产妇建档人数</w:t>
            </w:r>
            <w:r>
              <w:rPr>
                <w:rStyle w:val="192"/>
                <w:color w:val="auto"/>
                <w:lang w:bidi="ar"/>
              </w:rPr>
              <w:t>​​</w:t>
            </w:r>
            <w:r>
              <w:rPr>
                <w:rStyle w:val="94"/>
                <w:rFonts w:hint="default"/>
                <w:color w:val="auto"/>
                <w:lang w:bidi="ar"/>
              </w:rPr>
              <w:t>作为基线数据。在此基础上，分别针对乙肝、梅毒和HIV三种传染病，统计其</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并计算相应的</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，以评估项目覆盖面；同时，统计</w:t>
            </w:r>
            <w:r>
              <w:rPr>
                <w:rStyle w:val="192"/>
                <w:color w:val="auto"/>
                <w:lang w:bidi="ar"/>
              </w:rPr>
              <w:t>​​</w:t>
            </w:r>
            <w:r>
              <w:rPr>
                <w:rStyle w:val="94"/>
                <w:rFonts w:hint="default"/>
                <w:color w:val="auto"/>
                <w:lang w:bidi="ar"/>
              </w:rPr>
              <w:t>筛查阳性人数</w:t>
            </w:r>
            <w:r>
              <w:rPr>
                <w:rStyle w:val="192"/>
                <w:color w:val="auto"/>
                <w:lang w:bidi="ar"/>
              </w:rPr>
              <w:t>​​</w:t>
            </w:r>
            <w:r>
              <w:rPr>
                <w:rStyle w:val="94"/>
                <w:rFonts w:hint="default"/>
                <w:color w:val="auto"/>
                <w:lang w:bidi="ar"/>
              </w:rPr>
              <w:t>并计算</w:t>
            </w:r>
            <w:r>
              <w:rPr>
                <w:rStyle w:val="192"/>
                <w:color w:val="auto"/>
                <w:lang w:bidi="ar"/>
              </w:rPr>
              <w:t>​​</w:t>
            </w:r>
            <w:r>
              <w:rPr>
                <w:rStyle w:val="94"/>
                <w:rFonts w:hint="default"/>
                <w:color w:val="auto"/>
                <w:lang w:bidi="ar"/>
              </w:rPr>
              <w:t>阳性率</w:t>
            </w:r>
            <w:r>
              <w:rPr>
                <w:rStyle w:val="192"/>
                <w:color w:val="auto"/>
                <w:lang w:bidi="ar"/>
              </w:rPr>
              <w:t>​​</w:t>
            </w:r>
            <w:r>
              <w:rPr>
                <w:rStyle w:val="94"/>
                <w:rFonts w:hint="default"/>
                <w:color w:val="auto"/>
                <w:lang w:bidi="ar"/>
              </w:rPr>
              <w:t>，用以监测疾病的流行状况与干预重点。通过对这些核心指标的集中展示，实现对“艾梅乙”项目执行情况和母婴传播风险的有效监控。</w:t>
            </w:r>
          </w:p>
        </w:tc>
      </w:tr>
      <w:tr w14:paraId="328852D8">
        <w:tblPrEx>
          <w:tblCellMar>
            <w:top w:w="0" w:type="dxa"/>
            <w:left w:w="108" w:type="dxa"/>
            <w:bottom w:w="0" w:type="dxa"/>
            <w:right w:w="108" w:type="dxa"/>
          </w:tblCellMar>
        </w:tblPrEx>
        <w:trPr>
          <w:trHeight w:val="30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2B94CBF">
            <w:pPr>
              <w:widowControl/>
              <w:jc w:val="center"/>
              <w:textAlignment w:val="center"/>
              <w:rPr>
                <w:rFonts w:hint="eastAsia" w:ascii="宋体" w:hAnsi="宋体" w:cs="宋体"/>
                <w:sz w:val="24"/>
              </w:rPr>
            </w:pPr>
            <w:r>
              <w:rPr>
                <w:rFonts w:hint="eastAsia" w:ascii="宋体" w:hAnsi="宋体" w:cs="宋体"/>
                <w:kern w:val="0"/>
                <w:sz w:val="24"/>
                <w:lang w:bidi="ar"/>
              </w:rPr>
              <w:t>448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9C2026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2E3A435">
            <w:pPr>
              <w:widowControl/>
              <w:jc w:val="center"/>
              <w:textAlignment w:val="center"/>
              <w:rPr>
                <w:rFonts w:hint="eastAsia" w:ascii="宋体" w:hAnsi="宋体" w:cs="宋体"/>
                <w:sz w:val="24"/>
              </w:rPr>
            </w:pPr>
            <w:r>
              <w:rPr>
                <w:rFonts w:hint="eastAsia" w:ascii="宋体" w:hAnsi="宋体" w:cs="宋体"/>
                <w:kern w:val="0"/>
                <w:sz w:val="24"/>
                <w:lang w:bidi="ar"/>
              </w:rPr>
              <w:t>孕产妇保健-产前筛查与诊断</w:t>
            </w:r>
          </w:p>
        </w:tc>
        <w:tc>
          <w:tcPr>
            <w:tcW w:w="9687" w:type="dxa"/>
            <w:tcBorders>
              <w:top w:val="single" w:color="000000" w:sz="4" w:space="0"/>
              <w:left w:val="single" w:color="000000" w:sz="4" w:space="0"/>
              <w:bottom w:val="single" w:color="000000" w:sz="4" w:space="0"/>
              <w:right w:val="single" w:color="000000" w:sz="4" w:space="0"/>
            </w:tcBorders>
            <w:vAlign w:val="center"/>
          </w:tcPr>
          <w:p w14:paraId="721F36DB">
            <w:pPr>
              <w:widowControl/>
              <w:textAlignment w:val="center"/>
              <w:rPr>
                <w:rFonts w:hint="eastAsia" w:ascii="宋体" w:hAnsi="宋体" w:cs="宋体"/>
                <w:sz w:val="24"/>
              </w:rPr>
            </w:pPr>
            <w:r>
              <w:rPr>
                <w:rStyle w:val="94"/>
                <w:rFonts w:hint="default"/>
                <w:color w:val="auto"/>
                <w:lang w:bidi="ar"/>
              </w:rPr>
              <w:t>产前筛查与诊断数据展示，实现对全市产前筛查与诊断工作的覆盖范围和风险分层进行追踪与评估。该模块的核心功能点概述如下：</w:t>
            </w:r>
            <w:r>
              <w:rPr>
                <w:rStyle w:val="94"/>
                <w:rFonts w:hint="default"/>
                <w:color w:val="auto"/>
                <w:lang w:bidi="ar"/>
              </w:rPr>
              <w:br w:type="textWrapping"/>
            </w:r>
            <w:r>
              <w:rPr>
                <w:rStyle w:val="94"/>
                <w:rFonts w:hint="default"/>
                <w:color w:val="auto"/>
                <w:lang w:bidi="ar"/>
              </w:rPr>
              <w:t>该模块以</w:t>
            </w:r>
            <w:r>
              <w:rPr>
                <w:rStyle w:val="192"/>
                <w:color w:val="auto"/>
                <w:lang w:bidi="ar"/>
              </w:rPr>
              <w:t>​​</w:t>
            </w:r>
            <w:r>
              <w:rPr>
                <w:rStyle w:val="94"/>
                <w:rFonts w:hint="default"/>
                <w:color w:val="auto"/>
                <w:lang w:bidi="ar"/>
              </w:rPr>
              <w:t>年度内各市县的孕产妇建档人数</w:t>
            </w:r>
            <w:r>
              <w:rPr>
                <w:rStyle w:val="192"/>
                <w:color w:val="auto"/>
                <w:lang w:bidi="ar"/>
              </w:rPr>
              <w:t>​​</w:t>
            </w:r>
            <w:r>
              <w:rPr>
                <w:rStyle w:val="94"/>
                <w:rFonts w:hint="default"/>
                <w:color w:val="auto"/>
                <w:lang w:bidi="ar"/>
              </w:rPr>
              <w:t>为基础，依次统计并展示接受</w:t>
            </w:r>
            <w:r>
              <w:rPr>
                <w:rStyle w:val="192"/>
                <w:color w:val="auto"/>
                <w:lang w:bidi="ar"/>
              </w:rPr>
              <w:t>​​</w:t>
            </w:r>
            <w:r>
              <w:rPr>
                <w:rStyle w:val="94"/>
                <w:rFonts w:hint="default"/>
                <w:color w:val="auto"/>
                <w:lang w:bidi="ar"/>
              </w:rPr>
              <w:t>产前筛查的总人数</w:t>
            </w:r>
            <w:r>
              <w:rPr>
                <w:rStyle w:val="192"/>
                <w:color w:val="auto"/>
                <w:lang w:bidi="ar"/>
              </w:rPr>
              <w:t>​​</w:t>
            </w:r>
            <w:r>
              <w:rPr>
                <w:rStyle w:val="94"/>
                <w:rFonts w:hint="default"/>
                <w:color w:val="auto"/>
                <w:lang w:bidi="ar"/>
              </w:rPr>
              <w:t>，筛查结果中判定为</w:t>
            </w:r>
            <w:r>
              <w:rPr>
                <w:rStyle w:val="192"/>
                <w:color w:val="auto"/>
                <w:lang w:bidi="ar"/>
              </w:rPr>
              <w:t>​​</w:t>
            </w:r>
            <w:r>
              <w:rPr>
                <w:rStyle w:val="94"/>
                <w:rFonts w:hint="default"/>
                <w:color w:val="auto"/>
                <w:lang w:bidi="ar"/>
              </w:rPr>
              <w:t>临界风险的人数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高风险的人数</w:t>
            </w:r>
            <w:r>
              <w:rPr>
                <w:rStyle w:val="192"/>
                <w:color w:val="auto"/>
                <w:lang w:bidi="ar"/>
              </w:rPr>
              <w:t>​​</w:t>
            </w:r>
            <w:r>
              <w:rPr>
                <w:rStyle w:val="94"/>
                <w:rFonts w:hint="default"/>
                <w:color w:val="auto"/>
                <w:lang w:bidi="ar"/>
              </w:rPr>
              <w:t>，以及最终接受</w:t>
            </w:r>
            <w:r>
              <w:rPr>
                <w:rStyle w:val="192"/>
                <w:color w:val="auto"/>
                <w:lang w:bidi="ar"/>
              </w:rPr>
              <w:t>​​</w:t>
            </w:r>
            <w:r>
              <w:rPr>
                <w:rStyle w:val="94"/>
                <w:rFonts w:hint="default"/>
                <w:color w:val="auto"/>
                <w:lang w:bidi="ar"/>
              </w:rPr>
              <w:t>产前诊断的人数</w:t>
            </w:r>
            <w:r>
              <w:rPr>
                <w:rStyle w:val="192"/>
                <w:color w:val="auto"/>
                <w:lang w:bidi="ar"/>
              </w:rPr>
              <w:t>​​</w:t>
            </w:r>
            <w:r>
              <w:rPr>
                <w:rStyle w:val="94"/>
                <w:rFonts w:hint="default"/>
                <w:color w:val="auto"/>
                <w:lang w:bidi="ar"/>
              </w:rPr>
              <w:t>。通过这一系列递进的数据，清晰反映出从筛查覆盖到高风险人群追踪管理的完整工作链条。</w:t>
            </w:r>
          </w:p>
        </w:tc>
      </w:tr>
      <w:tr w14:paraId="19FA04EE">
        <w:tblPrEx>
          <w:tblCellMar>
            <w:top w:w="0" w:type="dxa"/>
            <w:left w:w="108" w:type="dxa"/>
            <w:bottom w:w="0" w:type="dxa"/>
            <w:right w:w="108" w:type="dxa"/>
          </w:tblCellMar>
        </w:tblPrEx>
        <w:trPr>
          <w:trHeight w:val="24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2DEE670">
            <w:pPr>
              <w:widowControl/>
              <w:jc w:val="center"/>
              <w:textAlignment w:val="center"/>
              <w:rPr>
                <w:rFonts w:hint="eastAsia" w:ascii="宋体" w:hAnsi="宋体" w:cs="宋体"/>
                <w:sz w:val="24"/>
              </w:rPr>
            </w:pPr>
            <w:r>
              <w:rPr>
                <w:rFonts w:hint="eastAsia" w:ascii="宋体" w:hAnsi="宋体" w:cs="宋体"/>
                <w:kern w:val="0"/>
                <w:sz w:val="24"/>
                <w:lang w:bidi="ar"/>
              </w:rPr>
              <w:t>449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C3B127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140D092">
            <w:pPr>
              <w:widowControl/>
              <w:jc w:val="center"/>
              <w:textAlignment w:val="center"/>
              <w:rPr>
                <w:rFonts w:hint="eastAsia" w:ascii="宋体" w:hAnsi="宋体" w:cs="宋体"/>
                <w:sz w:val="24"/>
              </w:rPr>
            </w:pPr>
            <w:r>
              <w:rPr>
                <w:rFonts w:hint="eastAsia" w:ascii="宋体" w:hAnsi="宋体" w:cs="宋体"/>
                <w:kern w:val="0"/>
                <w:sz w:val="24"/>
                <w:lang w:bidi="ar"/>
              </w:rPr>
              <w:t>孕产妇保健-孕早期B超筛查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5E8E73B6">
            <w:pPr>
              <w:widowControl/>
              <w:textAlignment w:val="center"/>
              <w:rPr>
                <w:rFonts w:hint="eastAsia" w:ascii="宋体" w:hAnsi="宋体" w:cs="宋体"/>
                <w:sz w:val="24"/>
              </w:rPr>
            </w:pPr>
            <w:r>
              <w:rPr>
                <w:rStyle w:val="94"/>
                <w:rFonts w:hint="default"/>
                <w:color w:val="auto"/>
                <w:lang w:bidi="ar"/>
              </w:rPr>
              <w:t>孕早期B超筛查数据展示，实现监测和评估孕早期B超筛查工作的覆盖情况与风险初筛结果。</w:t>
            </w:r>
            <w:r>
              <w:rPr>
                <w:rStyle w:val="94"/>
                <w:rFonts w:hint="default"/>
                <w:color w:val="auto"/>
                <w:lang w:bidi="ar"/>
              </w:rPr>
              <w:br w:type="textWrapping"/>
            </w:r>
            <w:r>
              <w:rPr>
                <w:rStyle w:val="94"/>
                <w:rFonts w:hint="default"/>
                <w:color w:val="auto"/>
                <w:lang w:bidi="ar"/>
              </w:rPr>
              <w:t>该模块的核心功能是统计并展示</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的相关数据，包括参与筛查的</w:t>
            </w:r>
            <w:r>
              <w:rPr>
                <w:rStyle w:val="192"/>
                <w:color w:val="auto"/>
                <w:lang w:bidi="ar"/>
              </w:rPr>
              <w:t>​​</w:t>
            </w:r>
            <w:r>
              <w:rPr>
                <w:rStyle w:val="94"/>
                <w:rFonts w:hint="default"/>
                <w:color w:val="auto"/>
                <w:lang w:bidi="ar"/>
              </w:rPr>
              <w:t>建档人数</w:t>
            </w:r>
            <w:r>
              <w:rPr>
                <w:rStyle w:val="192"/>
                <w:color w:val="auto"/>
                <w:lang w:bidi="ar"/>
              </w:rPr>
              <w:t>​​</w:t>
            </w:r>
            <w:r>
              <w:rPr>
                <w:rStyle w:val="94"/>
                <w:rFonts w:hint="default"/>
                <w:color w:val="auto"/>
                <w:lang w:bidi="ar"/>
              </w:rPr>
              <w:t>、实际完成</w:t>
            </w:r>
            <w:r>
              <w:rPr>
                <w:rStyle w:val="192"/>
                <w:color w:val="auto"/>
                <w:lang w:bidi="ar"/>
              </w:rPr>
              <w:t>​​</w:t>
            </w:r>
            <w:r>
              <w:rPr>
                <w:rStyle w:val="94"/>
                <w:rFonts w:hint="default"/>
                <w:color w:val="auto"/>
                <w:lang w:bidi="ar"/>
              </w:rPr>
              <w:t>B超筛查的人数</w:t>
            </w:r>
            <w:r>
              <w:rPr>
                <w:rStyle w:val="192"/>
                <w:color w:val="auto"/>
                <w:lang w:bidi="ar"/>
              </w:rPr>
              <w:t>​​</w:t>
            </w:r>
            <w:r>
              <w:rPr>
                <w:rStyle w:val="94"/>
                <w:rFonts w:hint="default"/>
                <w:color w:val="auto"/>
                <w:lang w:bidi="ar"/>
              </w:rPr>
              <w:t>，以及筛查结果中判定的</w:t>
            </w:r>
            <w:r>
              <w:rPr>
                <w:rStyle w:val="192"/>
                <w:color w:val="auto"/>
                <w:lang w:bidi="ar"/>
              </w:rPr>
              <w:t>​​</w:t>
            </w:r>
            <w:r>
              <w:rPr>
                <w:rStyle w:val="94"/>
                <w:rFonts w:hint="default"/>
                <w:color w:val="auto"/>
                <w:lang w:bidi="ar"/>
              </w:rPr>
              <w:t>低风险人数</w:t>
            </w:r>
            <w:r>
              <w:rPr>
                <w:rStyle w:val="192"/>
                <w:color w:val="auto"/>
                <w:lang w:bidi="ar"/>
              </w:rPr>
              <w:t>​​</w:t>
            </w:r>
            <w:r>
              <w:rPr>
                <w:rStyle w:val="94"/>
                <w:rFonts w:hint="default"/>
                <w:color w:val="auto"/>
                <w:lang w:bidi="ar"/>
              </w:rPr>
              <w:t>与</w:t>
            </w:r>
            <w:r>
              <w:rPr>
                <w:rStyle w:val="192"/>
                <w:color w:val="auto"/>
                <w:lang w:bidi="ar"/>
              </w:rPr>
              <w:t>​​</w:t>
            </w:r>
            <w:r>
              <w:rPr>
                <w:rStyle w:val="94"/>
                <w:rFonts w:hint="default"/>
                <w:color w:val="auto"/>
                <w:lang w:bidi="ar"/>
              </w:rPr>
              <w:t>高风险人数</w:t>
            </w:r>
            <w:r>
              <w:rPr>
                <w:rStyle w:val="192"/>
                <w:color w:val="auto"/>
                <w:lang w:bidi="ar"/>
              </w:rPr>
              <w:t>​​</w:t>
            </w:r>
            <w:r>
              <w:rPr>
                <w:rStyle w:val="94"/>
                <w:rFonts w:hint="default"/>
                <w:color w:val="auto"/>
                <w:lang w:bidi="ar"/>
              </w:rPr>
              <w:t>，从而清晰反映该筛查项目的实施范围和初步的风险分布。</w:t>
            </w:r>
          </w:p>
        </w:tc>
      </w:tr>
      <w:tr w14:paraId="3EA13C66">
        <w:tblPrEx>
          <w:tblCellMar>
            <w:top w:w="0" w:type="dxa"/>
            <w:left w:w="108" w:type="dxa"/>
            <w:bottom w:w="0" w:type="dxa"/>
            <w:right w:w="108" w:type="dxa"/>
          </w:tblCellMar>
        </w:tblPrEx>
        <w:trPr>
          <w:trHeight w:val="3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79BE2F2">
            <w:pPr>
              <w:widowControl/>
              <w:jc w:val="center"/>
              <w:textAlignment w:val="center"/>
              <w:rPr>
                <w:rFonts w:hint="eastAsia" w:ascii="宋体" w:hAnsi="宋体" w:cs="宋体"/>
                <w:sz w:val="24"/>
              </w:rPr>
            </w:pPr>
            <w:r>
              <w:rPr>
                <w:rFonts w:hint="eastAsia" w:ascii="宋体" w:hAnsi="宋体" w:cs="宋体"/>
                <w:kern w:val="0"/>
                <w:sz w:val="24"/>
                <w:lang w:bidi="ar"/>
              </w:rPr>
              <w:t>450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25E388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3AA777F">
            <w:pPr>
              <w:widowControl/>
              <w:jc w:val="center"/>
              <w:textAlignment w:val="center"/>
              <w:rPr>
                <w:rFonts w:hint="eastAsia" w:ascii="宋体" w:hAnsi="宋体" w:cs="宋体"/>
                <w:sz w:val="24"/>
              </w:rPr>
            </w:pPr>
            <w:r>
              <w:rPr>
                <w:rFonts w:hint="eastAsia" w:ascii="宋体" w:hAnsi="宋体" w:cs="宋体"/>
                <w:kern w:val="0"/>
                <w:sz w:val="24"/>
                <w:lang w:bidi="ar"/>
              </w:rPr>
              <w:t>孕产妇保健-孕期SMA筛查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0DB6F352">
            <w:pPr>
              <w:widowControl/>
              <w:textAlignment w:val="center"/>
              <w:rPr>
                <w:rFonts w:hint="eastAsia" w:ascii="宋体" w:hAnsi="宋体" w:cs="宋体"/>
                <w:sz w:val="24"/>
              </w:rPr>
            </w:pPr>
            <w:r>
              <w:rPr>
                <w:rStyle w:val="94"/>
                <w:rFonts w:hint="default"/>
                <w:color w:val="auto"/>
                <w:lang w:bidi="ar"/>
              </w:rPr>
              <w:t>孕期SMA筛查数据展示，实现对全市孕期SMA筛查工作的执行情况与检测结果进行详细监测与分析。该模块的核心功能点概述如下：</w:t>
            </w:r>
            <w:r>
              <w:rPr>
                <w:rStyle w:val="94"/>
                <w:rFonts w:hint="default"/>
                <w:color w:val="auto"/>
                <w:lang w:bidi="ar"/>
              </w:rPr>
              <w:br w:type="textWrapping"/>
            </w:r>
            <w:r>
              <w:rPr>
                <w:rStyle w:val="94"/>
                <w:rFonts w:hint="default"/>
                <w:color w:val="auto"/>
                <w:lang w:bidi="ar"/>
              </w:rPr>
              <w:t>首先统计</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参与SMA筛查的</w:t>
            </w:r>
            <w:r>
              <w:rPr>
                <w:rStyle w:val="192"/>
                <w:color w:val="auto"/>
                <w:lang w:bidi="ar"/>
              </w:rPr>
              <w:t>​​</w:t>
            </w:r>
            <w:r>
              <w:rPr>
                <w:rStyle w:val="94"/>
                <w:rFonts w:hint="default"/>
                <w:color w:val="auto"/>
                <w:lang w:bidi="ar"/>
              </w:rPr>
              <w:t>建档人数</w:t>
            </w:r>
            <w:r>
              <w:rPr>
                <w:rStyle w:val="192"/>
                <w:color w:val="auto"/>
                <w:lang w:bidi="ar"/>
              </w:rPr>
              <w:t>​​</w:t>
            </w:r>
            <w:r>
              <w:rPr>
                <w:rStyle w:val="94"/>
                <w:rFonts w:hint="default"/>
                <w:color w:val="auto"/>
                <w:lang w:bidi="ar"/>
              </w:rPr>
              <w:t>和实际</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。在此基础上，对筛查结果进行多维度分析：从总体层面统计</w:t>
            </w:r>
            <w:r>
              <w:rPr>
                <w:rStyle w:val="192"/>
                <w:color w:val="auto"/>
                <w:lang w:bidi="ar"/>
              </w:rPr>
              <w:t>​​</w:t>
            </w:r>
            <w:r>
              <w:rPr>
                <w:rStyle w:val="94"/>
                <w:rFonts w:hint="default"/>
                <w:color w:val="auto"/>
                <w:lang w:bidi="ar"/>
              </w:rPr>
              <w:t>结果未见明显异常人数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结果异常人数</w:t>
            </w:r>
            <w:r>
              <w:rPr>
                <w:rStyle w:val="192"/>
                <w:color w:val="auto"/>
                <w:lang w:bidi="ar"/>
              </w:rPr>
              <w:t>​​</w:t>
            </w:r>
            <w:r>
              <w:rPr>
                <w:rStyle w:val="94"/>
                <w:rFonts w:hint="default"/>
                <w:color w:val="auto"/>
                <w:lang w:bidi="ar"/>
              </w:rPr>
              <w:t>；并进一步针对关键的E7和E8外显子实验，分别详细统计其结果为</w:t>
            </w:r>
            <w:r>
              <w:rPr>
                <w:rStyle w:val="192"/>
                <w:color w:val="auto"/>
                <w:lang w:bidi="ar"/>
              </w:rPr>
              <w:t>​​</w:t>
            </w:r>
            <w:r>
              <w:rPr>
                <w:rStyle w:val="94"/>
                <w:rFonts w:hint="default"/>
                <w:color w:val="auto"/>
                <w:lang w:bidi="ar"/>
              </w:rPr>
              <w:t>纯合缺失、杂合缺失和未缺失</w:t>
            </w:r>
            <w:r>
              <w:rPr>
                <w:rStyle w:val="192"/>
                <w:color w:val="auto"/>
                <w:lang w:bidi="ar"/>
              </w:rPr>
              <w:t>​​</w:t>
            </w:r>
            <w:r>
              <w:rPr>
                <w:rStyle w:val="94"/>
                <w:rFonts w:hint="default"/>
                <w:color w:val="auto"/>
                <w:lang w:bidi="ar"/>
              </w:rPr>
              <w:t>的具体人数，从而精确评估SMA致病基因的携带情况与分布。</w:t>
            </w:r>
          </w:p>
        </w:tc>
      </w:tr>
      <w:tr w14:paraId="3F10A6C8">
        <w:tblPrEx>
          <w:tblCellMar>
            <w:top w:w="0" w:type="dxa"/>
            <w:left w:w="108" w:type="dxa"/>
            <w:bottom w:w="0" w:type="dxa"/>
            <w:right w:w="108" w:type="dxa"/>
          </w:tblCellMar>
        </w:tblPrEx>
        <w:trPr>
          <w:trHeight w:val="27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A96E3F4">
            <w:pPr>
              <w:widowControl/>
              <w:jc w:val="center"/>
              <w:textAlignment w:val="center"/>
              <w:rPr>
                <w:rFonts w:hint="eastAsia" w:ascii="宋体" w:hAnsi="宋体" w:cs="宋体"/>
                <w:sz w:val="24"/>
              </w:rPr>
            </w:pPr>
            <w:r>
              <w:rPr>
                <w:rFonts w:hint="eastAsia" w:ascii="宋体" w:hAnsi="宋体" w:cs="宋体"/>
                <w:kern w:val="0"/>
                <w:sz w:val="24"/>
                <w:lang w:bidi="ar"/>
              </w:rPr>
              <w:t>451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9B3EBB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667CBA4">
            <w:pPr>
              <w:widowControl/>
              <w:jc w:val="center"/>
              <w:textAlignment w:val="center"/>
              <w:rPr>
                <w:rFonts w:hint="eastAsia" w:ascii="宋体" w:hAnsi="宋体" w:cs="宋体"/>
                <w:sz w:val="24"/>
              </w:rPr>
            </w:pPr>
            <w:r>
              <w:rPr>
                <w:rFonts w:hint="eastAsia" w:ascii="宋体" w:hAnsi="宋体" w:cs="宋体"/>
                <w:kern w:val="0"/>
                <w:sz w:val="24"/>
                <w:lang w:bidi="ar"/>
              </w:rPr>
              <w:t>孕产妇保健-早中孕联合筛查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76FC1077">
            <w:pPr>
              <w:widowControl/>
              <w:textAlignment w:val="center"/>
              <w:rPr>
                <w:rFonts w:hint="eastAsia" w:ascii="宋体" w:hAnsi="宋体" w:cs="宋体"/>
                <w:sz w:val="24"/>
              </w:rPr>
            </w:pPr>
            <w:r>
              <w:rPr>
                <w:rStyle w:val="94"/>
                <w:rFonts w:hint="default"/>
                <w:color w:val="auto"/>
                <w:lang w:bidi="ar"/>
              </w:rPr>
              <w:t>早中孕联合筛查数据展示，旨在追踪和评估早中孕期联合血清学筛查项目的实施流程与风险分层情况。</w:t>
            </w:r>
            <w:r>
              <w:rPr>
                <w:rStyle w:val="94"/>
                <w:rFonts w:hint="default"/>
                <w:color w:val="auto"/>
                <w:lang w:bidi="ar"/>
              </w:rPr>
              <w:br w:type="textWrapping"/>
            </w:r>
            <w:r>
              <w:rPr>
                <w:rStyle w:val="94"/>
                <w:rFonts w:hint="default"/>
                <w:color w:val="auto"/>
                <w:lang w:bidi="ar"/>
              </w:rPr>
              <w:t>该模块的核心功能是统计并展示</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的相关数据，包括参与筛查的</w:t>
            </w:r>
            <w:r>
              <w:rPr>
                <w:rStyle w:val="192"/>
                <w:color w:val="auto"/>
                <w:lang w:bidi="ar"/>
              </w:rPr>
              <w:t>​​</w:t>
            </w:r>
            <w:r>
              <w:rPr>
                <w:rStyle w:val="94"/>
                <w:rFonts w:hint="default"/>
                <w:color w:val="auto"/>
                <w:lang w:bidi="ar"/>
              </w:rPr>
              <w:t>建档人数</w:t>
            </w:r>
            <w:r>
              <w:rPr>
                <w:rStyle w:val="192"/>
                <w:color w:val="auto"/>
                <w:lang w:bidi="ar"/>
              </w:rPr>
              <w:t>​​</w:t>
            </w:r>
            <w:r>
              <w:rPr>
                <w:rStyle w:val="94"/>
                <w:rFonts w:hint="default"/>
                <w:color w:val="auto"/>
                <w:lang w:bidi="ar"/>
              </w:rPr>
              <w:t>、实际完成</w:t>
            </w:r>
            <w:r>
              <w:rPr>
                <w:rStyle w:val="192"/>
                <w:color w:val="auto"/>
                <w:lang w:bidi="ar"/>
              </w:rPr>
              <w:t>​​</w:t>
            </w:r>
            <w:r>
              <w:rPr>
                <w:rStyle w:val="94"/>
                <w:rFonts w:hint="default"/>
                <w:color w:val="auto"/>
                <w:lang w:bidi="ar"/>
              </w:rPr>
              <w:t>筛查的人数</w:t>
            </w:r>
            <w:r>
              <w:rPr>
                <w:rStyle w:val="192"/>
                <w:color w:val="auto"/>
                <w:lang w:bidi="ar"/>
              </w:rPr>
              <w:t>​​</w:t>
            </w:r>
            <w:r>
              <w:rPr>
                <w:rStyle w:val="94"/>
                <w:rFonts w:hint="default"/>
                <w:color w:val="auto"/>
                <w:lang w:bidi="ar"/>
              </w:rPr>
              <w:t>、筛查结果中判定的</w:t>
            </w:r>
            <w:r>
              <w:rPr>
                <w:rStyle w:val="192"/>
                <w:color w:val="auto"/>
                <w:lang w:bidi="ar"/>
              </w:rPr>
              <w:t>​​</w:t>
            </w:r>
            <w:r>
              <w:rPr>
                <w:rStyle w:val="94"/>
                <w:rFonts w:hint="default"/>
                <w:color w:val="auto"/>
                <w:lang w:bidi="ar"/>
              </w:rPr>
              <w:t>临界风险人数</w:t>
            </w:r>
            <w:r>
              <w:rPr>
                <w:rStyle w:val="192"/>
                <w:color w:val="auto"/>
                <w:lang w:bidi="ar"/>
              </w:rPr>
              <w:t>​​</w:t>
            </w:r>
            <w:r>
              <w:rPr>
                <w:rStyle w:val="94"/>
                <w:rFonts w:hint="default"/>
                <w:color w:val="auto"/>
                <w:lang w:bidi="ar"/>
              </w:rPr>
              <w:t>与</w:t>
            </w:r>
            <w:r>
              <w:rPr>
                <w:rStyle w:val="192"/>
                <w:color w:val="auto"/>
                <w:lang w:bidi="ar"/>
              </w:rPr>
              <w:t>​​</w:t>
            </w:r>
            <w:r>
              <w:rPr>
                <w:rStyle w:val="94"/>
                <w:rFonts w:hint="default"/>
                <w:color w:val="auto"/>
                <w:lang w:bidi="ar"/>
              </w:rPr>
              <w:t>高风险人数</w:t>
            </w:r>
            <w:r>
              <w:rPr>
                <w:rStyle w:val="192"/>
                <w:color w:val="auto"/>
                <w:lang w:bidi="ar"/>
              </w:rPr>
              <w:t>​​</w:t>
            </w:r>
            <w:r>
              <w:rPr>
                <w:rStyle w:val="94"/>
                <w:rFonts w:hint="default"/>
                <w:color w:val="auto"/>
                <w:lang w:bidi="ar"/>
              </w:rPr>
              <w:t>，以及后续接受</w:t>
            </w:r>
            <w:r>
              <w:rPr>
                <w:rStyle w:val="192"/>
                <w:color w:val="auto"/>
                <w:lang w:bidi="ar"/>
              </w:rPr>
              <w:t>​​</w:t>
            </w:r>
            <w:r>
              <w:rPr>
                <w:rStyle w:val="94"/>
                <w:rFonts w:hint="default"/>
                <w:color w:val="auto"/>
                <w:lang w:bidi="ar"/>
              </w:rPr>
              <w:t>产前诊断的人数</w:t>
            </w:r>
            <w:r>
              <w:rPr>
                <w:rStyle w:val="192"/>
                <w:color w:val="auto"/>
                <w:lang w:bidi="ar"/>
              </w:rPr>
              <w:t>​​</w:t>
            </w:r>
            <w:r>
              <w:rPr>
                <w:rStyle w:val="94"/>
                <w:rFonts w:hint="default"/>
                <w:color w:val="auto"/>
                <w:lang w:bidi="ar"/>
              </w:rPr>
              <w:t>，从而清晰呈现从筛查覆盖到高风险人群确诊干预的完整管理路径。</w:t>
            </w:r>
          </w:p>
        </w:tc>
      </w:tr>
      <w:tr w14:paraId="37890C53">
        <w:tblPrEx>
          <w:tblCellMar>
            <w:top w:w="0" w:type="dxa"/>
            <w:left w:w="108" w:type="dxa"/>
            <w:bottom w:w="0" w:type="dxa"/>
            <w:right w:w="108" w:type="dxa"/>
          </w:tblCellMar>
        </w:tblPrEx>
        <w:trPr>
          <w:trHeight w:val="27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CDB22BD">
            <w:pPr>
              <w:widowControl/>
              <w:jc w:val="center"/>
              <w:textAlignment w:val="center"/>
              <w:rPr>
                <w:rFonts w:hint="eastAsia" w:ascii="宋体" w:hAnsi="宋体" w:cs="宋体"/>
                <w:sz w:val="24"/>
              </w:rPr>
            </w:pPr>
            <w:r>
              <w:rPr>
                <w:rFonts w:hint="eastAsia" w:ascii="宋体" w:hAnsi="宋体" w:cs="宋体"/>
                <w:kern w:val="0"/>
                <w:sz w:val="24"/>
                <w:lang w:bidi="ar"/>
              </w:rPr>
              <w:t>452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DD0B5E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AE03C4F">
            <w:pPr>
              <w:widowControl/>
              <w:jc w:val="center"/>
              <w:textAlignment w:val="center"/>
              <w:rPr>
                <w:rFonts w:hint="eastAsia" w:ascii="宋体" w:hAnsi="宋体" w:cs="宋体"/>
                <w:sz w:val="24"/>
              </w:rPr>
            </w:pPr>
            <w:r>
              <w:rPr>
                <w:rFonts w:hint="eastAsia" w:ascii="宋体" w:hAnsi="宋体" w:cs="宋体"/>
                <w:kern w:val="0"/>
                <w:sz w:val="24"/>
                <w:lang w:bidi="ar"/>
              </w:rPr>
              <w:t>孕产妇保健-无创DNA筛查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17767C3E">
            <w:pPr>
              <w:widowControl/>
              <w:textAlignment w:val="center"/>
              <w:rPr>
                <w:rFonts w:hint="eastAsia" w:ascii="宋体" w:hAnsi="宋体" w:cs="宋体"/>
                <w:sz w:val="24"/>
              </w:rPr>
            </w:pPr>
            <w:r>
              <w:rPr>
                <w:rStyle w:val="94"/>
                <w:rFonts w:hint="default"/>
                <w:color w:val="auto"/>
                <w:lang w:bidi="ar"/>
              </w:rPr>
              <w:t>无创DNA筛查数据展示，实现监测和评估孕期无创产前DNA检测的覆盖范围及风险分层管理效果。</w:t>
            </w:r>
            <w:r>
              <w:rPr>
                <w:rStyle w:val="94"/>
                <w:rFonts w:hint="default"/>
                <w:color w:val="auto"/>
                <w:lang w:bidi="ar"/>
              </w:rPr>
              <w:br w:type="textWrapping"/>
            </w:r>
            <w:r>
              <w:rPr>
                <w:rStyle w:val="94"/>
                <w:rFonts w:hint="default"/>
                <w:color w:val="auto"/>
                <w:lang w:bidi="ar"/>
              </w:rPr>
              <w:t>该模块的核心功能是统计并展示</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的相关数据，包括参与筛查的</w:t>
            </w:r>
            <w:r>
              <w:rPr>
                <w:rStyle w:val="192"/>
                <w:color w:val="auto"/>
                <w:lang w:bidi="ar"/>
              </w:rPr>
              <w:t>​​</w:t>
            </w:r>
            <w:r>
              <w:rPr>
                <w:rStyle w:val="94"/>
                <w:rFonts w:hint="default"/>
                <w:color w:val="auto"/>
                <w:lang w:bidi="ar"/>
              </w:rPr>
              <w:t>建档人数</w:t>
            </w:r>
            <w:r>
              <w:rPr>
                <w:rStyle w:val="192"/>
                <w:color w:val="auto"/>
                <w:lang w:bidi="ar"/>
              </w:rPr>
              <w:t>​​</w:t>
            </w:r>
            <w:r>
              <w:rPr>
                <w:rStyle w:val="94"/>
                <w:rFonts w:hint="default"/>
                <w:color w:val="auto"/>
                <w:lang w:bidi="ar"/>
              </w:rPr>
              <w:t>、实际完成</w:t>
            </w:r>
            <w:r>
              <w:rPr>
                <w:rStyle w:val="192"/>
                <w:color w:val="auto"/>
                <w:lang w:bidi="ar"/>
              </w:rPr>
              <w:t>​​</w:t>
            </w:r>
            <w:r>
              <w:rPr>
                <w:rStyle w:val="94"/>
                <w:rFonts w:hint="default"/>
                <w:color w:val="auto"/>
                <w:lang w:bidi="ar"/>
              </w:rPr>
              <w:t>无创DNA筛查的人数</w:t>
            </w:r>
            <w:r>
              <w:rPr>
                <w:rStyle w:val="192"/>
                <w:color w:val="auto"/>
                <w:lang w:bidi="ar"/>
              </w:rPr>
              <w:t>​​</w:t>
            </w:r>
            <w:r>
              <w:rPr>
                <w:rStyle w:val="94"/>
                <w:rFonts w:hint="default"/>
                <w:color w:val="auto"/>
                <w:lang w:bidi="ar"/>
              </w:rPr>
              <w:t>、筛查结果中判定的</w:t>
            </w:r>
            <w:r>
              <w:rPr>
                <w:rStyle w:val="192"/>
                <w:color w:val="auto"/>
                <w:lang w:bidi="ar"/>
              </w:rPr>
              <w:t>​​</w:t>
            </w:r>
            <w:r>
              <w:rPr>
                <w:rStyle w:val="94"/>
                <w:rFonts w:hint="default"/>
                <w:color w:val="auto"/>
                <w:lang w:bidi="ar"/>
              </w:rPr>
              <w:t>临界风险人数</w:t>
            </w:r>
            <w:r>
              <w:rPr>
                <w:rStyle w:val="192"/>
                <w:color w:val="auto"/>
                <w:lang w:bidi="ar"/>
              </w:rPr>
              <w:t>​​</w:t>
            </w:r>
            <w:r>
              <w:rPr>
                <w:rStyle w:val="94"/>
                <w:rFonts w:hint="default"/>
                <w:color w:val="auto"/>
                <w:lang w:bidi="ar"/>
              </w:rPr>
              <w:t>与</w:t>
            </w:r>
            <w:r>
              <w:rPr>
                <w:rStyle w:val="192"/>
                <w:color w:val="auto"/>
                <w:lang w:bidi="ar"/>
              </w:rPr>
              <w:t>​​</w:t>
            </w:r>
            <w:r>
              <w:rPr>
                <w:rStyle w:val="94"/>
                <w:rFonts w:hint="default"/>
                <w:color w:val="auto"/>
                <w:lang w:bidi="ar"/>
              </w:rPr>
              <w:t>高风险人数</w:t>
            </w:r>
            <w:r>
              <w:rPr>
                <w:rStyle w:val="192"/>
                <w:color w:val="auto"/>
                <w:lang w:bidi="ar"/>
              </w:rPr>
              <w:t>​​</w:t>
            </w:r>
            <w:r>
              <w:rPr>
                <w:rStyle w:val="94"/>
                <w:rFonts w:hint="default"/>
                <w:color w:val="auto"/>
                <w:lang w:bidi="ar"/>
              </w:rPr>
              <w:t>，以及后续接受</w:t>
            </w:r>
            <w:r>
              <w:rPr>
                <w:rStyle w:val="192"/>
                <w:color w:val="auto"/>
                <w:lang w:bidi="ar"/>
              </w:rPr>
              <w:t>​​</w:t>
            </w:r>
            <w:r>
              <w:rPr>
                <w:rStyle w:val="94"/>
                <w:rFonts w:hint="default"/>
                <w:color w:val="auto"/>
                <w:lang w:bidi="ar"/>
              </w:rPr>
              <w:t>产前诊断的确诊人数</w:t>
            </w:r>
            <w:r>
              <w:rPr>
                <w:rStyle w:val="192"/>
                <w:color w:val="auto"/>
                <w:lang w:bidi="ar"/>
              </w:rPr>
              <w:t>​​</w:t>
            </w:r>
            <w:r>
              <w:rPr>
                <w:rStyle w:val="94"/>
                <w:rFonts w:hint="default"/>
                <w:color w:val="auto"/>
                <w:lang w:bidi="ar"/>
              </w:rPr>
              <w:t>，从而清晰反映该筛查技术的应用情况和高风险人群的追踪管理成效。</w:t>
            </w:r>
          </w:p>
        </w:tc>
      </w:tr>
      <w:tr w14:paraId="7AF730F9">
        <w:tblPrEx>
          <w:tblCellMar>
            <w:top w:w="0" w:type="dxa"/>
            <w:left w:w="108" w:type="dxa"/>
            <w:bottom w:w="0" w:type="dxa"/>
            <w:right w:w="108" w:type="dxa"/>
          </w:tblCellMar>
        </w:tblPrEx>
        <w:trPr>
          <w:trHeight w:val="38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FAA8FAA">
            <w:pPr>
              <w:widowControl/>
              <w:jc w:val="center"/>
              <w:textAlignment w:val="center"/>
              <w:rPr>
                <w:rFonts w:hint="eastAsia" w:ascii="宋体" w:hAnsi="宋体" w:cs="宋体"/>
                <w:sz w:val="24"/>
              </w:rPr>
            </w:pPr>
            <w:r>
              <w:rPr>
                <w:rFonts w:hint="eastAsia" w:ascii="宋体" w:hAnsi="宋体" w:cs="宋体"/>
                <w:kern w:val="0"/>
                <w:sz w:val="24"/>
                <w:lang w:bidi="ar"/>
              </w:rPr>
              <w:t>453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56397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FE823E3">
            <w:pPr>
              <w:widowControl/>
              <w:jc w:val="center"/>
              <w:textAlignment w:val="center"/>
              <w:rPr>
                <w:rFonts w:hint="eastAsia" w:ascii="宋体" w:hAnsi="宋体" w:cs="宋体"/>
                <w:sz w:val="24"/>
              </w:rPr>
            </w:pPr>
            <w:r>
              <w:rPr>
                <w:rFonts w:hint="eastAsia" w:ascii="宋体" w:hAnsi="宋体" w:cs="宋体"/>
                <w:kern w:val="0"/>
                <w:sz w:val="24"/>
                <w:lang w:bidi="ar"/>
              </w:rPr>
              <w:t>孕产妇保健-孕产妇耳聋基因筛查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27B58D37">
            <w:pPr>
              <w:widowControl/>
              <w:textAlignment w:val="center"/>
              <w:rPr>
                <w:rFonts w:hint="eastAsia" w:ascii="宋体" w:hAnsi="宋体" w:cs="宋体"/>
                <w:sz w:val="24"/>
              </w:rPr>
            </w:pPr>
            <w:r>
              <w:rPr>
                <w:rStyle w:val="94"/>
                <w:rFonts w:hint="default"/>
                <w:color w:val="auto"/>
                <w:lang w:bidi="ar"/>
              </w:rPr>
              <w:t>孕产妇耳聋基因筛查数据展示，旨在对全市孕产妇耳聋基因携带者筛查项目的参与情况与检测结果进行精细化监测与分析。该模块的核心功能点概述如下：</w:t>
            </w:r>
            <w:r>
              <w:rPr>
                <w:rStyle w:val="94"/>
                <w:rFonts w:hint="default"/>
                <w:color w:val="auto"/>
                <w:lang w:bidi="ar"/>
              </w:rPr>
              <w:br w:type="textWrapping"/>
            </w:r>
            <w:r>
              <w:rPr>
                <w:rStyle w:val="94"/>
                <w:rFonts w:hint="default"/>
                <w:color w:val="auto"/>
                <w:lang w:bidi="ar"/>
              </w:rPr>
              <w:t>该模块首先统计</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的筛查基线数据，包括孕产妇</w:t>
            </w:r>
            <w:r>
              <w:rPr>
                <w:rStyle w:val="192"/>
                <w:color w:val="auto"/>
                <w:lang w:bidi="ar"/>
              </w:rPr>
              <w:t>​​</w:t>
            </w:r>
            <w:r>
              <w:rPr>
                <w:rStyle w:val="94"/>
                <w:rFonts w:hint="default"/>
                <w:color w:val="auto"/>
                <w:lang w:bidi="ar"/>
              </w:rPr>
              <w:t>建档人数</w:t>
            </w:r>
            <w:r>
              <w:rPr>
                <w:rStyle w:val="192"/>
                <w:color w:val="auto"/>
                <w:lang w:bidi="ar"/>
              </w:rPr>
              <w:t>​​</w:t>
            </w:r>
            <w:r>
              <w:rPr>
                <w:rStyle w:val="94"/>
                <w:rFonts w:hint="default"/>
                <w:color w:val="auto"/>
                <w:lang w:bidi="ar"/>
              </w:rPr>
              <w:t>、孕产妇</w:t>
            </w:r>
            <w:r>
              <w:rPr>
                <w:rStyle w:val="192"/>
                <w:color w:val="auto"/>
                <w:lang w:bidi="ar"/>
              </w:rPr>
              <w:t>​​</w:t>
            </w:r>
            <w:r>
              <w:rPr>
                <w:rStyle w:val="94"/>
                <w:rFonts w:hint="default"/>
                <w:color w:val="auto"/>
                <w:lang w:bidi="ar"/>
              </w:rPr>
              <w:t>登记筛查人数</w:t>
            </w:r>
            <w:r>
              <w:rPr>
                <w:rStyle w:val="192"/>
                <w:color w:val="auto"/>
                <w:lang w:bidi="ar"/>
              </w:rPr>
              <w:t>​​</w:t>
            </w:r>
            <w:r>
              <w:rPr>
                <w:rStyle w:val="94"/>
                <w:rFonts w:hint="default"/>
                <w:color w:val="auto"/>
                <w:lang w:bidi="ar"/>
              </w:rPr>
              <w:t>及其</w:t>
            </w:r>
            <w:r>
              <w:rPr>
                <w:rStyle w:val="192"/>
                <w:color w:val="auto"/>
                <w:lang w:bidi="ar"/>
              </w:rPr>
              <w:t>​​</w:t>
            </w:r>
            <w:r>
              <w:rPr>
                <w:rStyle w:val="94"/>
                <w:rFonts w:hint="default"/>
                <w:color w:val="auto"/>
                <w:lang w:bidi="ar"/>
              </w:rPr>
              <w:t>丈夫的登记筛查人数</w:t>
            </w:r>
            <w:r>
              <w:rPr>
                <w:rStyle w:val="192"/>
                <w:color w:val="auto"/>
                <w:lang w:bidi="ar"/>
              </w:rPr>
              <w:t>​​</w:t>
            </w:r>
            <w:r>
              <w:rPr>
                <w:rStyle w:val="94"/>
                <w:rFonts w:hint="default"/>
                <w:color w:val="auto"/>
                <w:lang w:bidi="ar"/>
              </w:rPr>
              <w:t>。随后，对筛查结果进行总体和特异性分析：从总体层面统计结果</w:t>
            </w:r>
            <w:r>
              <w:rPr>
                <w:rStyle w:val="192"/>
                <w:color w:val="auto"/>
                <w:lang w:bidi="ar"/>
              </w:rPr>
              <w:t>​​</w:t>
            </w:r>
            <w:r>
              <w:rPr>
                <w:rStyle w:val="94"/>
                <w:rFonts w:hint="default"/>
                <w:color w:val="auto"/>
                <w:lang w:bidi="ar"/>
              </w:rPr>
              <w:t>正常人数</w:t>
            </w:r>
            <w:r>
              <w:rPr>
                <w:rStyle w:val="192"/>
                <w:color w:val="auto"/>
                <w:lang w:bidi="ar"/>
              </w:rPr>
              <w:t>​​</w:t>
            </w:r>
            <w:r>
              <w:rPr>
                <w:rStyle w:val="94"/>
                <w:rFonts w:hint="default"/>
                <w:color w:val="auto"/>
                <w:lang w:bidi="ar"/>
              </w:rPr>
              <w:t>与</w:t>
            </w:r>
            <w:r>
              <w:rPr>
                <w:rStyle w:val="192"/>
                <w:color w:val="auto"/>
                <w:lang w:bidi="ar"/>
              </w:rPr>
              <w:t>​​</w:t>
            </w:r>
            <w:r>
              <w:rPr>
                <w:rStyle w:val="94"/>
                <w:rFonts w:hint="default"/>
                <w:color w:val="auto"/>
                <w:lang w:bidi="ar"/>
              </w:rPr>
              <w:t>异常人数</w:t>
            </w:r>
            <w:r>
              <w:rPr>
                <w:rStyle w:val="192"/>
                <w:color w:val="auto"/>
                <w:lang w:bidi="ar"/>
              </w:rPr>
              <w:t>​​</w:t>
            </w:r>
            <w:r>
              <w:rPr>
                <w:rStyle w:val="94"/>
                <w:rFonts w:hint="default"/>
                <w:color w:val="auto"/>
                <w:lang w:bidi="ar"/>
              </w:rPr>
              <w:t>；并进一步针对GJB3、SLC26A4、MT-RNR1这三个常见的致聋基因，分别统计其检测结果为</w:t>
            </w:r>
            <w:r>
              <w:rPr>
                <w:rStyle w:val="192"/>
                <w:color w:val="auto"/>
                <w:lang w:bidi="ar"/>
              </w:rPr>
              <w:t>​​</w:t>
            </w:r>
            <w:r>
              <w:rPr>
                <w:rStyle w:val="94"/>
                <w:rFonts w:hint="default"/>
                <w:color w:val="auto"/>
                <w:lang w:bidi="ar"/>
              </w:rPr>
              <w:t>正常</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异常</w:t>
            </w:r>
            <w:r>
              <w:rPr>
                <w:rStyle w:val="192"/>
                <w:color w:val="auto"/>
                <w:lang w:bidi="ar"/>
              </w:rPr>
              <w:t>​​</w:t>
            </w:r>
            <w:r>
              <w:rPr>
                <w:rStyle w:val="94"/>
                <w:rFonts w:hint="default"/>
                <w:color w:val="auto"/>
                <w:lang w:bidi="ar"/>
              </w:rPr>
              <w:t>的具体人数，从而精确评估目标人群的耳聋基因携带谱系与分布特征。</w:t>
            </w:r>
          </w:p>
        </w:tc>
      </w:tr>
      <w:tr w14:paraId="5435A646">
        <w:tblPrEx>
          <w:tblCellMar>
            <w:top w:w="0" w:type="dxa"/>
            <w:left w:w="108" w:type="dxa"/>
            <w:bottom w:w="0" w:type="dxa"/>
            <w:right w:w="108" w:type="dxa"/>
          </w:tblCellMar>
        </w:tblPrEx>
        <w:trPr>
          <w:trHeight w:val="57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81EB0EC">
            <w:pPr>
              <w:widowControl/>
              <w:jc w:val="center"/>
              <w:textAlignment w:val="center"/>
              <w:rPr>
                <w:rFonts w:hint="eastAsia" w:ascii="宋体" w:hAnsi="宋体" w:cs="宋体"/>
                <w:sz w:val="24"/>
              </w:rPr>
            </w:pPr>
            <w:r>
              <w:rPr>
                <w:rFonts w:hint="eastAsia" w:ascii="宋体" w:hAnsi="宋体" w:cs="宋体"/>
                <w:kern w:val="0"/>
                <w:sz w:val="24"/>
                <w:lang w:bidi="ar"/>
              </w:rPr>
              <w:t>454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C76404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F8D9978">
            <w:pPr>
              <w:widowControl/>
              <w:jc w:val="center"/>
              <w:textAlignment w:val="center"/>
              <w:rPr>
                <w:rFonts w:hint="eastAsia" w:ascii="宋体" w:hAnsi="宋体" w:cs="宋体"/>
                <w:sz w:val="24"/>
              </w:rPr>
            </w:pPr>
            <w:r>
              <w:rPr>
                <w:rFonts w:hint="eastAsia" w:ascii="宋体" w:hAnsi="宋体" w:cs="宋体"/>
                <w:kern w:val="0"/>
                <w:sz w:val="24"/>
                <w:lang w:bidi="ar"/>
              </w:rPr>
              <w:t>儿童保健-儿童系统管理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26458615">
            <w:pPr>
              <w:widowControl/>
              <w:textAlignment w:val="center"/>
              <w:rPr>
                <w:rFonts w:hint="eastAsia" w:ascii="宋体" w:hAnsi="宋体" w:cs="宋体"/>
                <w:sz w:val="24"/>
              </w:rPr>
            </w:pPr>
            <w:r>
              <w:rPr>
                <w:rStyle w:val="94"/>
                <w:rFonts w:hint="default"/>
                <w:color w:val="auto"/>
                <w:lang w:bidi="ar"/>
              </w:rPr>
              <w:t>儿童系统管理数据展示，实现全面监测与评估全市0-6岁儿童的健康状况与系统管理成效。该模块的核心功能点概述如下：</w:t>
            </w:r>
            <w:r>
              <w:rPr>
                <w:rStyle w:val="94"/>
                <w:rFonts w:hint="default"/>
                <w:color w:val="auto"/>
                <w:lang w:bidi="ar"/>
              </w:rPr>
              <w:br w:type="textWrapping"/>
            </w:r>
            <w:r>
              <w:rPr>
                <w:rStyle w:val="94"/>
                <w:rFonts w:hint="default"/>
                <w:color w:val="auto"/>
                <w:lang w:bidi="ar"/>
              </w:rPr>
              <w:t>首先展示</w:t>
            </w:r>
            <w:r>
              <w:rPr>
                <w:rStyle w:val="192"/>
                <w:color w:val="auto"/>
                <w:lang w:bidi="ar"/>
              </w:rPr>
              <w:t>​​</w:t>
            </w:r>
            <w:r>
              <w:rPr>
                <w:rStyle w:val="94"/>
                <w:rFonts w:hint="default"/>
                <w:color w:val="auto"/>
                <w:lang w:bidi="ar"/>
              </w:rPr>
              <w:t>当前在管儿童的基本情况</w:t>
            </w:r>
            <w:r>
              <w:rPr>
                <w:rStyle w:val="192"/>
                <w:color w:val="auto"/>
                <w:lang w:bidi="ar"/>
              </w:rPr>
              <w:t>​​</w:t>
            </w:r>
            <w:r>
              <w:rPr>
                <w:rStyle w:val="94"/>
                <w:rFonts w:hint="default"/>
                <w:color w:val="auto"/>
                <w:lang w:bidi="ar"/>
              </w:rPr>
              <w:t>，按年龄（0-1岁、1-3岁、3-6岁）和性别进行统计，并重点关注</w:t>
            </w:r>
            <w:r>
              <w:rPr>
                <w:rStyle w:val="192"/>
                <w:color w:val="auto"/>
                <w:lang w:bidi="ar"/>
              </w:rPr>
              <w:t>​​</w:t>
            </w:r>
            <w:r>
              <w:rPr>
                <w:rStyle w:val="94"/>
                <w:rFonts w:hint="default"/>
                <w:color w:val="auto"/>
                <w:lang w:bidi="ar"/>
              </w:rPr>
              <w:t>高危儿</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体弱儿</w:t>
            </w:r>
            <w:r>
              <w:rPr>
                <w:rStyle w:val="192"/>
                <w:color w:val="auto"/>
                <w:lang w:bidi="ar"/>
              </w:rPr>
              <w:t>​​</w:t>
            </w:r>
            <w:r>
              <w:rPr>
                <w:rStyle w:val="94"/>
                <w:rFonts w:hint="default"/>
                <w:color w:val="auto"/>
                <w:lang w:bidi="ar"/>
              </w:rPr>
              <w:t>的人数与占比。</w:t>
            </w:r>
            <w:r>
              <w:rPr>
                <w:rStyle w:val="94"/>
                <w:rFonts w:hint="default"/>
                <w:color w:val="auto"/>
                <w:lang w:bidi="ar"/>
              </w:rPr>
              <w:br w:type="textWrapping"/>
            </w:r>
            <w:r>
              <w:rPr>
                <w:rStyle w:val="94"/>
                <w:rFonts w:hint="default"/>
                <w:color w:val="auto"/>
                <w:lang w:bidi="ar"/>
              </w:rPr>
              <w:t>在出生健康方面，模块统计</w:t>
            </w:r>
            <w:r>
              <w:rPr>
                <w:rStyle w:val="192"/>
                <w:color w:val="auto"/>
                <w:lang w:bidi="ar"/>
              </w:rPr>
              <w:t>​​</w:t>
            </w:r>
            <w:r>
              <w:rPr>
                <w:rStyle w:val="94"/>
                <w:rFonts w:hint="default"/>
                <w:color w:val="auto"/>
                <w:lang w:bidi="ar"/>
              </w:rPr>
              <w:t>年度内围产儿</w:t>
            </w:r>
            <w:r>
              <w:rPr>
                <w:rStyle w:val="192"/>
                <w:color w:val="auto"/>
                <w:lang w:bidi="ar"/>
              </w:rPr>
              <w:t>​​</w:t>
            </w:r>
            <w:r>
              <w:rPr>
                <w:rStyle w:val="94"/>
                <w:rFonts w:hint="default"/>
                <w:color w:val="auto"/>
                <w:lang w:bidi="ar"/>
              </w:rPr>
              <w:t>的相关指标，包括围产儿总数，以及低出生体重、巨大儿、早产儿、死胎死产和早期新生儿（0-6天）死亡的</w:t>
            </w:r>
            <w:r>
              <w:rPr>
                <w:rStyle w:val="192"/>
                <w:color w:val="auto"/>
                <w:lang w:bidi="ar"/>
              </w:rPr>
              <w:t>​​</w:t>
            </w:r>
            <w:r>
              <w:rPr>
                <w:rStyle w:val="94"/>
                <w:rFonts w:hint="default"/>
                <w:color w:val="auto"/>
                <w:lang w:bidi="ar"/>
              </w:rPr>
              <w:t>数量与比率</w:t>
            </w:r>
            <w:r>
              <w:rPr>
                <w:rStyle w:val="192"/>
                <w:color w:val="auto"/>
                <w:lang w:bidi="ar"/>
              </w:rPr>
              <w:t>​​</w:t>
            </w:r>
            <w:r>
              <w:rPr>
                <w:rStyle w:val="94"/>
                <w:rFonts w:hint="default"/>
                <w:color w:val="auto"/>
                <w:lang w:bidi="ar"/>
              </w:rPr>
              <w:t>。</w:t>
            </w:r>
            <w:r>
              <w:rPr>
                <w:rStyle w:val="94"/>
                <w:rFonts w:hint="default"/>
                <w:color w:val="auto"/>
                <w:lang w:bidi="ar"/>
              </w:rPr>
              <w:br w:type="textWrapping"/>
            </w:r>
            <w:r>
              <w:rPr>
                <w:rStyle w:val="94"/>
                <w:rFonts w:hint="default"/>
                <w:color w:val="auto"/>
                <w:lang w:bidi="ar"/>
              </w:rPr>
              <w:t>在系统管理率方面，模块追踪</w:t>
            </w:r>
            <w:r>
              <w:rPr>
                <w:rStyle w:val="192"/>
                <w:color w:val="auto"/>
                <w:lang w:bidi="ar"/>
              </w:rPr>
              <w:t>​​</w:t>
            </w:r>
            <w:r>
              <w:rPr>
                <w:rStyle w:val="94"/>
                <w:rFonts w:hint="default"/>
                <w:color w:val="auto"/>
                <w:lang w:bidi="ar"/>
              </w:rPr>
              <w:t>3岁以下儿童的系统管理情况</w:t>
            </w:r>
            <w:r>
              <w:rPr>
                <w:rStyle w:val="192"/>
                <w:color w:val="auto"/>
                <w:lang w:bidi="ar"/>
              </w:rPr>
              <w:t>​​</w:t>
            </w:r>
            <w:r>
              <w:rPr>
                <w:rStyle w:val="94"/>
                <w:rFonts w:hint="default"/>
                <w:color w:val="auto"/>
                <w:lang w:bidi="ar"/>
              </w:rPr>
              <w:t>，包括新生儿访视率和年度内至少接受一次体检的管理率。</w:t>
            </w:r>
            <w:r>
              <w:rPr>
                <w:rStyle w:val="94"/>
                <w:rFonts w:hint="default"/>
                <w:color w:val="auto"/>
                <w:lang w:bidi="ar"/>
              </w:rPr>
              <w:br w:type="textWrapping"/>
            </w:r>
            <w:r>
              <w:rPr>
                <w:rStyle w:val="94"/>
                <w:rFonts w:hint="default"/>
                <w:color w:val="auto"/>
                <w:lang w:bidi="ar"/>
              </w:rPr>
              <w:t>最后，模块对</w:t>
            </w:r>
            <w:r>
              <w:rPr>
                <w:rStyle w:val="192"/>
                <w:color w:val="auto"/>
                <w:lang w:bidi="ar"/>
              </w:rPr>
              <w:t>​​</w:t>
            </w:r>
            <w:r>
              <w:rPr>
                <w:rStyle w:val="94"/>
                <w:rFonts w:hint="default"/>
                <w:color w:val="auto"/>
                <w:lang w:bidi="ar"/>
              </w:rPr>
              <w:t>5岁以下体检儿童进行营养与健康状况评价</w:t>
            </w:r>
            <w:r>
              <w:rPr>
                <w:rStyle w:val="192"/>
                <w:color w:val="auto"/>
                <w:lang w:bidi="ar"/>
              </w:rPr>
              <w:t>​​</w:t>
            </w:r>
            <w:r>
              <w:rPr>
                <w:rStyle w:val="94"/>
                <w:rFonts w:hint="default"/>
                <w:color w:val="auto"/>
                <w:lang w:bidi="ar"/>
              </w:rPr>
              <w:t>，统计体检总人次数，并分析低体重、消瘦、超重、肥胖以及轻度、中重度贫血的</w:t>
            </w:r>
            <w:r>
              <w:rPr>
                <w:rStyle w:val="192"/>
                <w:color w:val="auto"/>
                <w:lang w:bidi="ar"/>
              </w:rPr>
              <w:t>​​</w:t>
            </w:r>
            <w:r>
              <w:rPr>
                <w:rStyle w:val="94"/>
                <w:rFonts w:hint="default"/>
                <w:color w:val="auto"/>
                <w:lang w:bidi="ar"/>
              </w:rPr>
              <w:t>人次数及其所占比率</w:t>
            </w:r>
            <w:r>
              <w:rPr>
                <w:rStyle w:val="192"/>
                <w:color w:val="auto"/>
                <w:lang w:bidi="ar"/>
              </w:rPr>
              <w:t>​​</w:t>
            </w:r>
            <w:r>
              <w:rPr>
                <w:rStyle w:val="94"/>
                <w:rFonts w:hint="default"/>
                <w:color w:val="auto"/>
                <w:lang w:bidi="ar"/>
              </w:rPr>
              <w:t>，全面评估儿童生长发育水平。</w:t>
            </w:r>
          </w:p>
        </w:tc>
      </w:tr>
      <w:tr w14:paraId="77A89614">
        <w:tblPrEx>
          <w:tblCellMar>
            <w:top w:w="0" w:type="dxa"/>
            <w:left w:w="108" w:type="dxa"/>
            <w:bottom w:w="0" w:type="dxa"/>
            <w:right w:w="108" w:type="dxa"/>
          </w:tblCellMar>
        </w:tblPrEx>
        <w:trPr>
          <w:trHeight w:val="36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38B2AF">
            <w:pPr>
              <w:widowControl/>
              <w:jc w:val="center"/>
              <w:textAlignment w:val="center"/>
              <w:rPr>
                <w:rFonts w:hint="eastAsia" w:ascii="宋体" w:hAnsi="宋体" w:cs="宋体"/>
                <w:sz w:val="24"/>
              </w:rPr>
            </w:pPr>
            <w:r>
              <w:rPr>
                <w:rFonts w:hint="eastAsia" w:ascii="宋体" w:hAnsi="宋体" w:cs="宋体"/>
                <w:kern w:val="0"/>
                <w:sz w:val="24"/>
                <w:lang w:bidi="ar"/>
              </w:rPr>
              <w:t>455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F2BA29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8094B7A">
            <w:pPr>
              <w:widowControl/>
              <w:jc w:val="center"/>
              <w:textAlignment w:val="center"/>
              <w:rPr>
                <w:rFonts w:hint="eastAsia" w:ascii="宋体" w:hAnsi="宋体" w:cs="宋体"/>
                <w:sz w:val="24"/>
              </w:rPr>
            </w:pPr>
            <w:r>
              <w:rPr>
                <w:rFonts w:hint="eastAsia" w:ascii="宋体" w:hAnsi="宋体" w:cs="宋体"/>
                <w:kern w:val="0"/>
                <w:sz w:val="24"/>
                <w:lang w:bidi="ar"/>
              </w:rPr>
              <w:t>儿童保健-遗传代谢病筛查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27A1723F">
            <w:pPr>
              <w:widowControl/>
              <w:textAlignment w:val="center"/>
              <w:rPr>
                <w:rFonts w:hint="eastAsia" w:ascii="宋体" w:hAnsi="宋体" w:cs="宋体"/>
                <w:sz w:val="24"/>
              </w:rPr>
            </w:pPr>
            <w:r>
              <w:rPr>
                <w:rStyle w:val="94"/>
                <w:rFonts w:hint="default"/>
                <w:color w:val="auto"/>
                <w:lang w:bidi="ar"/>
              </w:rPr>
              <w:t>遗传代谢病筛查数据展示，实现动态监测与评估全市新生儿遗传代谢病筛查工作的覆盖范围与疾病确诊情况。该模块的核心功能点概述如下：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的筛查流程数据，包括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初筛异常人数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复筛异常人数</w:t>
            </w:r>
            <w:r>
              <w:rPr>
                <w:rStyle w:val="192"/>
                <w:color w:val="auto"/>
                <w:lang w:bidi="ar"/>
              </w:rPr>
              <w:t>​​</w:t>
            </w:r>
            <w:r>
              <w:rPr>
                <w:rStyle w:val="94"/>
                <w:rFonts w:hint="default"/>
                <w:color w:val="auto"/>
                <w:lang w:bidi="ar"/>
              </w:rPr>
              <w:t>，并重点统计</w:t>
            </w:r>
            <w:r>
              <w:rPr>
                <w:rStyle w:val="192"/>
                <w:color w:val="auto"/>
                <w:lang w:bidi="ar"/>
              </w:rPr>
              <w:t>​​</w:t>
            </w:r>
            <w:r>
              <w:rPr>
                <w:rStyle w:val="94"/>
                <w:rFonts w:hint="default"/>
                <w:color w:val="auto"/>
                <w:lang w:bidi="ar"/>
              </w:rPr>
              <w:t>先天性甲状腺功能减低症（CH）</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苯丙酮尿症（PKU）</w:t>
            </w:r>
            <w:r>
              <w:rPr>
                <w:rStyle w:val="192"/>
                <w:color w:val="auto"/>
                <w:lang w:bidi="ar"/>
              </w:rPr>
              <w:t>​​</w:t>
            </w:r>
            <w:r>
              <w:rPr>
                <w:rStyle w:val="94"/>
                <w:rFonts w:hint="default"/>
                <w:color w:val="auto"/>
                <w:lang w:bidi="ar"/>
              </w:rPr>
              <w:t xml:space="preserve"> 和</w:t>
            </w:r>
            <w:r>
              <w:rPr>
                <w:rStyle w:val="192"/>
                <w:color w:val="auto"/>
                <w:lang w:bidi="ar"/>
              </w:rPr>
              <w:t>​​</w:t>
            </w:r>
            <w:r>
              <w:rPr>
                <w:rStyle w:val="94"/>
                <w:rFonts w:hint="default"/>
                <w:color w:val="auto"/>
                <w:lang w:bidi="ar"/>
              </w:rPr>
              <w:t>葡萄糖-6-磷酸脱氢酶缺乏症（G6PD）</w:t>
            </w:r>
            <w:r>
              <w:rPr>
                <w:rStyle w:val="192"/>
                <w:color w:val="auto"/>
                <w:lang w:bidi="ar"/>
              </w:rPr>
              <w:t>​​</w:t>
            </w:r>
            <w:r>
              <w:rPr>
                <w:rStyle w:val="94"/>
                <w:rFonts w:hint="default"/>
                <w:color w:val="auto"/>
                <w:lang w:bidi="ar"/>
              </w:rPr>
              <w:t xml:space="preserve"> 的确诊人数。</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数据，通过历史趋势对比，评估筛查项目的长期实施效果与覆盖水平的动态变化。</w:t>
            </w:r>
          </w:p>
        </w:tc>
      </w:tr>
      <w:tr w14:paraId="719B48AA">
        <w:tblPrEx>
          <w:tblCellMar>
            <w:top w:w="0" w:type="dxa"/>
            <w:left w:w="108" w:type="dxa"/>
            <w:bottom w:w="0" w:type="dxa"/>
            <w:right w:w="108" w:type="dxa"/>
          </w:tblCellMar>
        </w:tblPrEx>
        <w:trPr>
          <w:trHeight w:val="33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9926A24">
            <w:pPr>
              <w:widowControl/>
              <w:jc w:val="center"/>
              <w:textAlignment w:val="center"/>
              <w:rPr>
                <w:rFonts w:hint="eastAsia" w:ascii="宋体" w:hAnsi="宋体" w:cs="宋体"/>
                <w:sz w:val="24"/>
              </w:rPr>
            </w:pPr>
            <w:r>
              <w:rPr>
                <w:rFonts w:hint="eastAsia" w:ascii="宋体" w:hAnsi="宋体" w:cs="宋体"/>
                <w:kern w:val="0"/>
                <w:sz w:val="24"/>
                <w:lang w:bidi="ar"/>
              </w:rPr>
              <w:t>456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0FE97B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20ED02C">
            <w:pPr>
              <w:widowControl/>
              <w:jc w:val="center"/>
              <w:textAlignment w:val="center"/>
              <w:rPr>
                <w:rFonts w:hint="eastAsia" w:ascii="宋体" w:hAnsi="宋体" w:cs="宋体"/>
                <w:sz w:val="24"/>
              </w:rPr>
            </w:pPr>
            <w:r>
              <w:rPr>
                <w:rFonts w:hint="eastAsia" w:ascii="宋体" w:hAnsi="宋体" w:cs="宋体"/>
                <w:kern w:val="0"/>
                <w:sz w:val="24"/>
                <w:lang w:bidi="ar"/>
              </w:rPr>
              <w:t>儿童保健-新生儿听力筛查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6D550485">
            <w:pPr>
              <w:widowControl/>
              <w:textAlignment w:val="center"/>
              <w:rPr>
                <w:rFonts w:hint="eastAsia" w:ascii="宋体" w:hAnsi="宋体" w:cs="宋体"/>
                <w:sz w:val="24"/>
              </w:rPr>
            </w:pPr>
            <w:r>
              <w:rPr>
                <w:rStyle w:val="94"/>
                <w:rFonts w:hint="default"/>
                <w:color w:val="auto"/>
                <w:lang w:bidi="ar"/>
              </w:rPr>
              <w:t>新生儿听力筛查数据展示，实现对全市新生儿听力筛查工作的全过程进行追踪与效果评估。该模块的核心功能点概述如下：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的筛查流程数据，包括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初筛异常人数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复筛异常人数</w:t>
            </w:r>
            <w:r>
              <w:rPr>
                <w:rStyle w:val="192"/>
                <w:color w:val="auto"/>
                <w:lang w:bidi="ar"/>
              </w:rPr>
              <w:t>​​</w:t>
            </w:r>
            <w:r>
              <w:rPr>
                <w:rStyle w:val="94"/>
                <w:rFonts w:hint="default"/>
                <w:color w:val="auto"/>
                <w:lang w:bidi="ar"/>
              </w:rPr>
              <w:t>、最终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以及接受干预的</w:t>
            </w:r>
            <w:r>
              <w:rPr>
                <w:rStyle w:val="192"/>
                <w:color w:val="auto"/>
                <w:lang w:bidi="ar"/>
              </w:rPr>
              <w:t>​​</w:t>
            </w:r>
            <w:r>
              <w:rPr>
                <w:rStyle w:val="94"/>
                <w:rFonts w:hint="default"/>
                <w:color w:val="auto"/>
                <w:lang w:bidi="ar"/>
              </w:rPr>
              <w:t>治疗人数</w:t>
            </w:r>
            <w:r>
              <w:rPr>
                <w:rStyle w:val="192"/>
                <w:color w:val="auto"/>
                <w:lang w:bidi="ar"/>
              </w:rPr>
              <w:t>​​</w:t>
            </w:r>
            <w:r>
              <w:rPr>
                <w:rStyle w:val="94"/>
                <w:rFonts w:hint="default"/>
                <w:color w:val="auto"/>
                <w:lang w:bidi="ar"/>
              </w:rPr>
              <w:t>，清晰呈现从筛查到干预的完整管理链条。</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数据，通过历史趋势对比，评估筛查项目的覆盖广度和实施效果的持续性。</w:t>
            </w:r>
          </w:p>
        </w:tc>
      </w:tr>
      <w:tr w14:paraId="4EFA143E">
        <w:tblPrEx>
          <w:tblCellMar>
            <w:top w:w="0" w:type="dxa"/>
            <w:left w:w="108" w:type="dxa"/>
            <w:bottom w:w="0" w:type="dxa"/>
            <w:right w:w="108" w:type="dxa"/>
          </w:tblCellMar>
        </w:tblPrEx>
        <w:trPr>
          <w:trHeight w:val="36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D3FA6C1">
            <w:pPr>
              <w:widowControl/>
              <w:jc w:val="center"/>
              <w:textAlignment w:val="center"/>
              <w:rPr>
                <w:rFonts w:hint="eastAsia" w:ascii="宋体" w:hAnsi="宋体" w:cs="宋体"/>
                <w:sz w:val="24"/>
              </w:rPr>
            </w:pPr>
            <w:r>
              <w:rPr>
                <w:rFonts w:hint="eastAsia" w:ascii="宋体" w:hAnsi="宋体" w:cs="宋体"/>
                <w:kern w:val="0"/>
                <w:sz w:val="24"/>
                <w:lang w:bidi="ar"/>
              </w:rPr>
              <w:t>457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DED23D6">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D84ADF8">
            <w:pPr>
              <w:widowControl/>
              <w:jc w:val="center"/>
              <w:textAlignment w:val="center"/>
              <w:rPr>
                <w:rFonts w:hint="eastAsia" w:ascii="宋体" w:hAnsi="宋体" w:cs="宋体"/>
                <w:sz w:val="24"/>
              </w:rPr>
            </w:pPr>
            <w:r>
              <w:rPr>
                <w:rFonts w:hint="eastAsia" w:ascii="宋体" w:hAnsi="宋体" w:cs="宋体"/>
                <w:kern w:val="0"/>
                <w:sz w:val="24"/>
                <w:lang w:bidi="ar"/>
              </w:rPr>
              <w:t>儿童保健-先心病筛查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7612EC24">
            <w:pPr>
              <w:widowControl/>
              <w:textAlignment w:val="center"/>
              <w:rPr>
                <w:rFonts w:hint="eastAsia" w:ascii="宋体" w:hAnsi="宋体" w:cs="宋体"/>
                <w:sz w:val="24"/>
              </w:rPr>
            </w:pPr>
            <w:r>
              <w:rPr>
                <w:rStyle w:val="94"/>
                <w:rFonts w:hint="default"/>
                <w:color w:val="auto"/>
                <w:lang w:bidi="ar"/>
              </w:rPr>
              <w:t>先心病筛查数据展示，实现对全市儿童先天性心脏病筛查工作的实施情况进行全流程监控与长期趋势分析。该模块的核心功能点概述如下：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的筛查与诊疗数据，包括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初筛异常人数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复筛异常人数</w:t>
            </w:r>
            <w:r>
              <w:rPr>
                <w:rStyle w:val="192"/>
                <w:color w:val="auto"/>
                <w:lang w:bidi="ar"/>
              </w:rPr>
              <w:t>​​</w:t>
            </w:r>
            <w:r>
              <w:rPr>
                <w:rStyle w:val="94"/>
                <w:rFonts w:hint="default"/>
                <w:color w:val="auto"/>
                <w:lang w:bidi="ar"/>
              </w:rPr>
              <w:t>、最终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以及接受干预的</w:t>
            </w:r>
            <w:r>
              <w:rPr>
                <w:rStyle w:val="192"/>
                <w:color w:val="auto"/>
                <w:lang w:bidi="ar"/>
              </w:rPr>
              <w:t>​​</w:t>
            </w:r>
            <w:r>
              <w:rPr>
                <w:rStyle w:val="94"/>
                <w:rFonts w:hint="default"/>
                <w:color w:val="auto"/>
                <w:lang w:bidi="ar"/>
              </w:rPr>
              <w:t>治疗人数</w:t>
            </w:r>
            <w:r>
              <w:rPr>
                <w:rStyle w:val="192"/>
                <w:color w:val="auto"/>
                <w:lang w:bidi="ar"/>
              </w:rPr>
              <w:t>​​</w:t>
            </w:r>
            <w:r>
              <w:rPr>
                <w:rStyle w:val="94"/>
                <w:rFonts w:hint="default"/>
                <w:color w:val="auto"/>
                <w:lang w:bidi="ar"/>
              </w:rPr>
              <w:t>，完整展示从早期筛查到后续诊疗的管理闭环。</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数据，通过历史趋势的纵向对比，评估筛查项目的覆盖广度、实施效率以及干预效果的持续性与变化情况。</w:t>
            </w:r>
          </w:p>
        </w:tc>
      </w:tr>
      <w:tr w14:paraId="636D024F">
        <w:tblPrEx>
          <w:tblCellMar>
            <w:top w:w="0" w:type="dxa"/>
            <w:left w:w="108" w:type="dxa"/>
            <w:bottom w:w="0" w:type="dxa"/>
            <w:right w:w="108" w:type="dxa"/>
          </w:tblCellMar>
        </w:tblPrEx>
        <w:trPr>
          <w:trHeight w:val="36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AE76F67">
            <w:pPr>
              <w:widowControl/>
              <w:jc w:val="center"/>
              <w:textAlignment w:val="center"/>
              <w:rPr>
                <w:rFonts w:hint="eastAsia" w:ascii="宋体" w:hAnsi="宋体" w:cs="宋体"/>
                <w:sz w:val="24"/>
              </w:rPr>
            </w:pPr>
            <w:r>
              <w:rPr>
                <w:rFonts w:hint="eastAsia" w:ascii="宋体" w:hAnsi="宋体" w:cs="宋体"/>
                <w:kern w:val="0"/>
                <w:sz w:val="24"/>
                <w:lang w:bidi="ar"/>
              </w:rPr>
              <w:t>458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BA9BD4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9D0089E">
            <w:pPr>
              <w:widowControl/>
              <w:jc w:val="center"/>
              <w:textAlignment w:val="center"/>
              <w:rPr>
                <w:rFonts w:hint="eastAsia" w:ascii="宋体" w:hAnsi="宋体" w:cs="宋体"/>
                <w:sz w:val="24"/>
              </w:rPr>
            </w:pPr>
            <w:r>
              <w:rPr>
                <w:rFonts w:hint="eastAsia" w:ascii="宋体" w:hAnsi="宋体" w:cs="宋体"/>
                <w:kern w:val="0"/>
                <w:sz w:val="24"/>
                <w:lang w:bidi="ar"/>
              </w:rPr>
              <w:t>儿童保健-新生儿SCID筛查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4CE7607A">
            <w:pPr>
              <w:widowControl/>
              <w:textAlignment w:val="center"/>
              <w:rPr>
                <w:rFonts w:hint="eastAsia" w:ascii="宋体" w:hAnsi="宋体" w:cs="宋体"/>
                <w:sz w:val="24"/>
              </w:rPr>
            </w:pPr>
            <w:r>
              <w:rPr>
                <w:rStyle w:val="94"/>
                <w:rFonts w:hint="default"/>
                <w:color w:val="auto"/>
                <w:lang w:bidi="ar"/>
              </w:rPr>
              <w:t>新生儿SCID筛查数据展示，实现对全市新生儿SCID筛查工作的全流程进行监测与长期趋势分析。该模块的核心功能点概述如下：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的筛查与诊疗数据，包括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初筛异常人数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复筛异常人数</w:t>
            </w:r>
            <w:r>
              <w:rPr>
                <w:rStyle w:val="192"/>
                <w:color w:val="auto"/>
                <w:lang w:bidi="ar"/>
              </w:rPr>
              <w:t>​​</w:t>
            </w:r>
            <w:r>
              <w:rPr>
                <w:rStyle w:val="94"/>
                <w:rFonts w:hint="default"/>
                <w:color w:val="auto"/>
                <w:lang w:bidi="ar"/>
              </w:rPr>
              <w:t>、最终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以及接受干预的</w:t>
            </w:r>
            <w:r>
              <w:rPr>
                <w:rStyle w:val="192"/>
                <w:color w:val="auto"/>
                <w:lang w:bidi="ar"/>
              </w:rPr>
              <w:t>​​</w:t>
            </w:r>
            <w:r>
              <w:rPr>
                <w:rStyle w:val="94"/>
                <w:rFonts w:hint="default"/>
                <w:color w:val="auto"/>
                <w:lang w:bidi="ar"/>
              </w:rPr>
              <w:t>治疗人数</w:t>
            </w:r>
            <w:r>
              <w:rPr>
                <w:rStyle w:val="192"/>
                <w:color w:val="auto"/>
                <w:lang w:bidi="ar"/>
              </w:rPr>
              <w:t>​​</w:t>
            </w:r>
            <w:r>
              <w:rPr>
                <w:rStyle w:val="94"/>
                <w:rFonts w:hint="default"/>
                <w:color w:val="auto"/>
                <w:lang w:bidi="ar"/>
              </w:rPr>
              <w:t>，完整展示从早期筛查到后续诊疗的管理闭环。</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数据，通过历史趋势的纵向对比，评估筛查项目的覆盖广度、实施效率以及干预效果的持续性与变化情况。</w:t>
            </w:r>
          </w:p>
        </w:tc>
      </w:tr>
      <w:tr w14:paraId="688796C6">
        <w:tblPrEx>
          <w:tblCellMar>
            <w:top w:w="0" w:type="dxa"/>
            <w:left w:w="108" w:type="dxa"/>
            <w:bottom w:w="0" w:type="dxa"/>
            <w:right w:w="108" w:type="dxa"/>
          </w:tblCellMar>
        </w:tblPrEx>
        <w:trPr>
          <w:trHeight w:val="36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7FE704E">
            <w:pPr>
              <w:widowControl/>
              <w:jc w:val="center"/>
              <w:textAlignment w:val="center"/>
              <w:rPr>
                <w:rFonts w:hint="eastAsia" w:ascii="宋体" w:hAnsi="宋体" w:cs="宋体"/>
                <w:sz w:val="24"/>
              </w:rPr>
            </w:pPr>
            <w:r>
              <w:rPr>
                <w:rFonts w:hint="eastAsia" w:ascii="宋体" w:hAnsi="宋体" w:cs="宋体"/>
                <w:kern w:val="0"/>
                <w:sz w:val="24"/>
                <w:lang w:bidi="ar"/>
              </w:rPr>
              <w:t>459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72757D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B61EECF">
            <w:pPr>
              <w:widowControl/>
              <w:jc w:val="center"/>
              <w:textAlignment w:val="center"/>
              <w:rPr>
                <w:rFonts w:hint="eastAsia" w:ascii="宋体" w:hAnsi="宋体" w:cs="宋体"/>
                <w:sz w:val="24"/>
              </w:rPr>
            </w:pPr>
            <w:r>
              <w:rPr>
                <w:rFonts w:hint="eastAsia" w:ascii="宋体" w:hAnsi="宋体" w:cs="宋体"/>
                <w:kern w:val="0"/>
                <w:sz w:val="24"/>
                <w:lang w:bidi="ar"/>
              </w:rPr>
              <w:t>儿童保健-新生儿SMA筛查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67133FE8">
            <w:pPr>
              <w:widowControl/>
              <w:textAlignment w:val="center"/>
              <w:rPr>
                <w:rFonts w:hint="eastAsia" w:ascii="宋体" w:hAnsi="宋体" w:cs="宋体"/>
                <w:sz w:val="24"/>
              </w:rPr>
            </w:pPr>
            <w:r>
              <w:rPr>
                <w:rStyle w:val="94"/>
                <w:rFonts w:hint="default"/>
                <w:color w:val="auto"/>
                <w:lang w:bidi="ar"/>
              </w:rPr>
              <w:t>新生儿SMA筛查数据展示，实现对全市新生儿SMA筛查工作的全流程进行监测与长期趋势分析。该模块的核心功能点概述如下：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的筛查与诊疗数据，包括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初筛异常人数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复筛异常人数</w:t>
            </w:r>
            <w:r>
              <w:rPr>
                <w:rStyle w:val="192"/>
                <w:color w:val="auto"/>
                <w:lang w:bidi="ar"/>
              </w:rPr>
              <w:t>​​</w:t>
            </w:r>
            <w:r>
              <w:rPr>
                <w:rStyle w:val="94"/>
                <w:rFonts w:hint="default"/>
                <w:color w:val="auto"/>
                <w:lang w:bidi="ar"/>
              </w:rPr>
              <w:t>、最终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以及接受干预的</w:t>
            </w:r>
            <w:r>
              <w:rPr>
                <w:rStyle w:val="192"/>
                <w:color w:val="auto"/>
                <w:lang w:bidi="ar"/>
              </w:rPr>
              <w:t>​​</w:t>
            </w:r>
            <w:r>
              <w:rPr>
                <w:rStyle w:val="94"/>
                <w:rFonts w:hint="default"/>
                <w:color w:val="auto"/>
                <w:lang w:bidi="ar"/>
              </w:rPr>
              <w:t>治疗人数</w:t>
            </w:r>
            <w:r>
              <w:rPr>
                <w:rStyle w:val="192"/>
                <w:color w:val="auto"/>
                <w:lang w:bidi="ar"/>
              </w:rPr>
              <w:t>​​</w:t>
            </w:r>
            <w:r>
              <w:rPr>
                <w:rStyle w:val="94"/>
                <w:rFonts w:hint="default"/>
                <w:color w:val="auto"/>
                <w:lang w:bidi="ar"/>
              </w:rPr>
              <w:t>，完整展示从早期筛查到后续诊疗的管理闭环。</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数据，通过历史趋势的纵向对比，评估筛查项目的覆盖广度、实施效率以及干预效果的持续性与变化情况。</w:t>
            </w:r>
          </w:p>
        </w:tc>
      </w:tr>
      <w:tr w14:paraId="0324CAAB">
        <w:tblPrEx>
          <w:tblCellMar>
            <w:top w:w="0" w:type="dxa"/>
            <w:left w:w="108" w:type="dxa"/>
            <w:bottom w:w="0" w:type="dxa"/>
            <w:right w:w="108" w:type="dxa"/>
          </w:tblCellMar>
        </w:tblPrEx>
        <w:trPr>
          <w:trHeight w:val="3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4B00E8F">
            <w:pPr>
              <w:widowControl/>
              <w:jc w:val="center"/>
              <w:textAlignment w:val="center"/>
              <w:rPr>
                <w:rFonts w:hint="eastAsia" w:ascii="宋体" w:hAnsi="宋体" w:cs="宋体"/>
                <w:sz w:val="24"/>
              </w:rPr>
            </w:pPr>
            <w:r>
              <w:rPr>
                <w:rFonts w:hint="eastAsia" w:ascii="宋体" w:hAnsi="宋体" w:cs="宋体"/>
                <w:kern w:val="0"/>
                <w:sz w:val="24"/>
                <w:lang w:bidi="ar"/>
              </w:rPr>
              <w:t>460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12B5B9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76683CE">
            <w:pPr>
              <w:widowControl/>
              <w:jc w:val="center"/>
              <w:textAlignment w:val="center"/>
              <w:rPr>
                <w:rFonts w:hint="eastAsia" w:ascii="宋体" w:hAnsi="宋体" w:cs="宋体"/>
                <w:sz w:val="24"/>
              </w:rPr>
            </w:pPr>
            <w:r>
              <w:rPr>
                <w:rFonts w:hint="eastAsia" w:ascii="宋体" w:hAnsi="宋体" w:cs="宋体"/>
                <w:kern w:val="0"/>
                <w:sz w:val="24"/>
                <w:lang w:bidi="ar"/>
              </w:rPr>
              <w:t>儿童保健-眼保健和视力筛查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12DB53A6">
            <w:pPr>
              <w:widowControl/>
              <w:textAlignment w:val="center"/>
              <w:rPr>
                <w:rFonts w:hint="eastAsia" w:ascii="宋体" w:hAnsi="宋体" w:cs="宋体"/>
                <w:sz w:val="24"/>
              </w:rPr>
            </w:pPr>
            <w:r>
              <w:rPr>
                <w:rStyle w:val="94"/>
                <w:rFonts w:hint="default"/>
                <w:color w:val="auto"/>
                <w:lang w:bidi="ar"/>
              </w:rPr>
              <w:t>眼保健和视力筛查数据展示，实现对全市儿童眼保健及视力筛查工作的执行情况与效果进行监测和评估。该模块的核心功能点概述如下：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的筛查与诊疗数据，包括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、发现的</w:t>
            </w:r>
            <w:r>
              <w:rPr>
                <w:rStyle w:val="192"/>
                <w:color w:val="auto"/>
                <w:lang w:bidi="ar"/>
              </w:rPr>
              <w:t>​​</w:t>
            </w:r>
            <w:r>
              <w:rPr>
                <w:rStyle w:val="94"/>
                <w:rFonts w:hint="default"/>
                <w:color w:val="auto"/>
                <w:lang w:bidi="ar"/>
              </w:rPr>
              <w:t>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转诊人数</w:t>
            </w:r>
            <w:r>
              <w:rPr>
                <w:rStyle w:val="192"/>
                <w:color w:val="auto"/>
                <w:lang w:bidi="ar"/>
              </w:rPr>
              <w:t>​​</w:t>
            </w:r>
            <w:r>
              <w:rPr>
                <w:rStyle w:val="94"/>
                <w:rFonts w:hint="default"/>
                <w:color w:val="auto"/>
                <w:lang w:bidi="ar"/>
              </w:rPr>
              <w:t>以及最终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，清晰呈现从初步筛查到确诊干预的完整工作流程。</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数据，通过历史趋势的纵向对比，评估此项保健服务的覆盖广度、实施效果的持续性以及工作质量的演变情况。</w:t>
            </w:r>
          </w:p>
        </w:tc>
      </w:tr>
      <w:tr w14:paraId="2E983043">
        <w:tblPrEx>
          <w:tblCellMar>
            <w:top w:w="0" w:type="dxa"/>
            <w:left w:w="108" w:type="dxa"/>
            <w:bottom w:w="0" w:type="dxa"/>
            <w:right w:w="108" w:type="dxa"/>
          </w:tblCellMar>
        </w:tblPrEx>
        <w:trPr>
          <w:trHeight w:val="3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57FC0E9">
            <w:pPr>
              <w:widowControl/>
              <w:jc w:val="center"/>
              <w:textAlignment w:val="center"/>
              <w:rPr>
                <w:rFonts w:hint="eastAsia" w:ascii="宋体" w:hAnsi="宋体" w:cs="宋体"/>
                <w:sz w:val="24"/>
              </w:rPr>
            </w:pPr>
            <w:r>
              <w:rPr>
                <w:rFonts w:hint="eastAsia" w:ascii="宋体" w:hAnsi="宋体" w:cs="宋体"/>
                <w:kern w:val="0"/>
                <w:sz w:val="24"/>
                <w:lang w:bidi="ar"/>
              </w:rPr>
              <w:t>461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1188CB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5DBA37F">
            <w:pPr>
              <w:widowControl/>
              <w:jc w:val="center"/>
              <w:textAlignment w:val="center"/>
              <w:rPr>
                <w:rFonts w:hint="eastAsia" w:ascii="宋体" w:hAnsi="宋体" w:cs="宋体"/>
                <w:sz w:val="24"/>
              </w:rPr>
            </w:pPr>
            <w:r>
              <w:rPr>
                <w:rFonts w:hint="eastAsia" w:ascii="宋体" w:hAnsi="宋体" w:cs="宋体"/>
                <w:kern w:val="0"/>
                <w:sz w:val="24"/>
                <w:lang w:bidi="ar"/>
              </w:rPr>
              <w:t>儿童保健-孤独症筛查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761C1680">
            <w:pPr>
              <w:widowControl/>
              <w:textAlignment w:val="center"/>
              <w:rPr>
                <w:rFonts w:hint="eastAsia" w:ascii="宋体" w:hAnsi="宋体" w:cs="宋体"/>
                <w:sz w:val="24"/>
              </w:rPr>
            </w:pPr>
            <w:r>
              <w:rPr>
                <w:rStyle w:val="94"/>
                <w:rFonts w:hint="default"/>
                <w:color w:val="auto"/>
                <w:lang w:bidi="ar"/>
              </w:rPr>
              <w:t>孤独症筛查数据展示，实现对全市儿童孤独症谱系障碍筛查工作的实施流程与干预效果进行监测和评估。该模块的核心功能点概述如下：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的筛查与诊疗数据，包括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、发现的</w:t>
            </w:r>
            <w:r>
              <w:rPr>
                <w:rStyle w:val="192"/>
                <w:color w:val="auto"/>
                <w:lang w:bidi="ar"/>
              </w:rPr>
              <w:t>​​</w:t>
            </w:r>
            <w:r>
              <w:rPr>
                <w:rStyle w:val="94"/>
                <w:rFonts w:hint="default"/>
                <w:color w:val="auto"/>
                <w:lang w:bidi="ar"/>
              </w:rPr>
              <w:t>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转诊人数</w:t>
            </w:r>
            <w:r>
              <w:rPr>
                <w:rStyle w:val="192"/>
                <w:color w:val="auto"/>
                <w:lang w:bidi="ar"/>
              </w:rPr>
              <w:t>​​</w:t>
            </w:r>
            <w:r>
              <w:rPr>
                <w:rStyle w:val="94"/>
                <w:rFonts w:hint="default"/>
                <w:color w:val="auto"/>
                <w:lang w:bidi="ar"/>
              </w:rPr>
              <w:t>以及最终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，清晰呈现从早期发现到专业诊断的完整管理路径。</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数据，通过历史趋势的纵向对比，评估筛查工作的覆盖广度、实施效果的持续性等。</w:t>
            </w:r>
          </w:p>
        </w:tc>
      </w:tr>
      <w:tr w14:paraId="505434E7">
        <w:tblPrEx>
          <w:tblCellMar>
            <w:top w:w="0" w:type="dxa"/>
            <w:left w:w="108" w:type="dxa"/>
            <w:bottom w:w="0" w:type="dxa"/>
            <w:right w:w="108" w:type="dxa"/>
          </w:tblCellMar>
        </w:tblPrEx>
        <w:trPr>
          <w:trHeight w:val="32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F805109">
            <w:pPr>
              <w:widowControl/>
              <w:jc w:val="center"/>
              <w:textAlignment w:val="center"/>
              <w:rPr>
                <w:rFonts w:hint="eastAsia" w:ascii="宋体" w:hAnsi="宋体" w:cs="宋体"/>
                <w:sz w:val="24"/>
              </w:rPr>
            </w:pPr>
            <w:r>
              <w:rPr>
                <w:rFonts w:hint="eastAsia" w:ascii="宋体" w:hAnsi="宋体" w:cs="宋体"/>
                <w:kern w:val="0"/>
                <w:sz w:val="24"/>
                <w:lang w:bidi="ar"/>
              </w:rPr>
              <w:t>462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8B17FD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C813B95">
            <w:pPr>
              <w:widowControl/>
              <w:jc w:val="center"/>
              <w:textAlignment w:val="center"/>
              <w:rPr>
                <w:rFonts w:hint="eastAsia" w:ascii="宋体" w:hAnsi="宋体" w:cs="宋体"/>
                <w:sz w:val="24"/>
              </w:rPr>
            </w:pPr>
            <w:r>
              <w:rPr>
                <w:rFonts w:hint="eastAsia" w:ascii="宋体" w:hAnsi="宋体" w:cs="宋体"/>
                <w:kern w:val="0"/>
                <w:sz w:val="24"/>
                <w:lang w:bidi="ar"/>
              </w:rPr>
              <w:t>儿童保健-髋关节脱位筛查</w:t>
            </w:r>
          </w:p>
        </w:tc>
        <w:tc>
          <w:tcPr>
            <w:tcW w:w="9687" w:type="dxa"/>
            <w:tcBorders>
              <w:top w:val="single" w:color="000000" w:sz="4" w:space="0"/>
              <w:left w:val="single" w:color="000000" w:sz="4" w:space="0"/>
              <w:bottom w:val="single" w:color="000000" w:sz="4" w:space="0"/>
              <w:right w:val="single" w:color="000000" w:sz="4" w:space="0"/>
            </w:tcBorders>
            <w:vAlign w:val="center"/>
          </w:tcPr>
          <w:p w14:paraId="34D7A7FC">
            <w:pPr>
              <w:widowControl/>
              <w:textAlignment w:val="center"/>
              <w:rPr>
                <w:rFonts w:hint="eastAsia" w:ascii="宋体" w:hAnsi="宋体" w:cs="宋体"/>
                <w:sz w:val="24"/>
              </w:rPr>
            </w:pPr>
            <w:r>
              <w:rPr>
                <w:rStyle w:val="94"/>
                <w:rFonts w:hint="default"/>
                <w:color w:val="auto"/>
                <w:lang w:bidi="ar"/>
              </w:rPr>
              <w:t>髋关节脱位筛查数据展示，实现对全市儿童髋关节脱位筛查工作的执行情况与干预效果进行监测和评估。该模块的核心功能点概述如下：</w:t>
            </w:r>
            <w:r>
              <w:rPr>
                <w:rStyle w:val="94"/>
                <w:rFonts w:hint="default"/>
                <w:color w:val="auto"/>
                <w:lang w:bidi="ar"/>
              </w:rPr>
              <w:br w:type="textWrapping"/>
            </w:r>
            <w:r>
              <w:rPr>
                <w:rStyle w:val="94"/>
                <w:rFonts w:hint="default"/>
                <w:color w:val="auto"/>
                <w:lang w:bidi="ar"/>
              </w:rPr>
              <w:t>首先追踪</w:t>
            </w:r>
            <w:r>
              <w:rPr>
                <w:rStyle w:val="192"/>
                <w:color w:val="auto"/>
                <w:lang w:bidi="ar"/>
              </w:rPr>
              <w:t>​​</w:t>
            </w:r>
            <w:r>
              <w:rPr>
                <w:rStyle w:val="94"/>
                <w:rFonts w:hint="default"/>
                <w:color w:val="auto"/>
                <w:lang w:bidi="ar"/>
              </w:rPr>
              <w:t>年度内各市县</w:t>
            </w:r>
            <w:r>
              <w:rPr>
                <w:rStyle w:val="192"/>
                <w:color w:val="auto"/>
                <w:lang w:bidi="ar"/>
              </w:rPr>
              <w:t>​​</w:t>
            </w:r>
            <w:r>
              <w:rPr>
                <w:rStyle w:val="94"/>
                <w:rFonts w:hint="default"/>
                <w:color w:val="auto"/>
                <w:lang w:bidi="ar"/>
              </w:rPr>
              <w:t>的筛查与诊疗数据，包括</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、发现的</w:t>
            </w:r>
            <w:r>
              <w:rPr>
                <w:rStyle w:val="192"/>
                <w:color w:val="auto"/>
                <w:lang w:bidi="ar"/>
              </w:rPr>
              <w:t>​​</w:t>
            </w:r>
            <w:r>
              <w:rPr>
                <w:rStyle w:val="94"/>
                <w:rFonts w:hint="default"/>
                <w:color w:val="auto"/>
                <w:lang w:bidi="ar"/>
              </w:rPr>
              <w:t>异常人数</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转诊人数</w:t>
            </w:r>
            <w:r>
              <w:rPr>
                <w:rStyle w:val="192"/>
                <w:color w:val="auto"/>
                <w:lang w:bidi="ar"/>
              </w:rPr>
              <w:t>​​</w:t>
            </w:r>
            <w:r>
              <w:rPr>
                <w:rStyle w:val="94"/>
                <w:rFonts w:hint="default"/>
                <w:color w:val="auto"/>
                <w:lang w:bidi="ar"/>
              </w:rPr>
              <w:t>以及最终</w:t>
            </w:r>
            <w:r>
              <w:rPr>
                <w:rStyle w:val="192"/>
                <w:color w:val="auto"/>
                <w:lang w:bidi="ar"/>
              </w:rPr>
              <w:t>​​</w:t>
            </w:r>
            <w:r>
              <w:rPr>
                <w:rStyle w:val="94"/>
                <w:rFonts w:hint="default"/>
                <w:color w:val="auto"/>
                <w:lang w:bidi="ar"/>
              </w:rPr>
              <w:t>确诊人数</w:t>
            </w:r>
            <w:r>
              <w:rPr>
                <w:rStyle w:val="192"/>
                <w:color w:val="auto"/>
                <w:lang w:bidi="ar"/>
              </w:rPr>
              <w:t>​​</w:t>
            </w:r>
            <w:r>
              <w:rPr>
                <w:rStyle w:val="94"/>
                <w:rFonts w:hint="default"/>
                <w:color w:val="auto"/>
                <w:lang w:bidi="ar"/>
              </w:rPr>
              <w:t>，清晰呈现从早期筛查到专业确诊的完整管理路径。</w:t>
            </w:r>
            <w:r>
              <w:rPr>
                <w:rStyle w:val="94"/>
                <w:rFonts w:hint="default"/>
                <w:color w:val="auto"/>
                <w:lang w:bidi="ar"/>
              </w:rPr>
              <w:br w:type="textWrapping"/>
            </w:r>
            <w:r>
              <w:rPr>
                <w:rStyle w:val="94"/>
                <w:rFonts w:hint="default"/>
                <w:color w:val="auto"/>
                <w:lang w:bidi="ar"/>
              </w:rPr>
              <w:t>同时，模块提供</w:t>
            </w:r>
            <w:r>
              <w:rPr>
                <w:rStyle w:val="192"/>
                <w:color w:val="auto"/>
                <w:lang w:bidi="ar"/>
              </w:rPr>
              <w:t>​​</w:t>
            </w:r>
            <w:r>
              <w:rPr>
                <w:rStyle w:val="94"/>
                <w:rFonts w:hint="default"/>
                <w:color w:val="auto"/>
                <w:lang w:bidi="ar"/>
              </w:rPr>
              <w:t>历年各市县</w:t>
            </w:r>
            <w:r>
              <w:rPr>
                <w:rStyle w:val="192"/>
                <w:color w:val="auto"/>
                <w:lang w:bidi="ar"/>
              </w:rPr>
              <w:t>​​</w:t>
            </w:r>
            <w:r>
              <w:rPr>
                <w:rStyle w:val="94"/>
                <w:rFonts w:hint="default"/>
                <w:color w:val="auto"/>
                <w:lang w:bidi="ar"/>
              </w:rPr>
              <w:t>的</w:t>
            </w:r>
            <w:r>
              <w:rPr>
                <w:rStyle w:val="192"/>
                <w:color w:val="auto"/>
                <w:lang w:bidi="ar"/>
              </w:rPr>
              <w:t>​​</w:t>
            </w:r>
            <w:r>
              <w:rPr>
                <w:rStyle w:val="94"/>
                <w:rFonts w:hint="default"/>
                <w:color w:val="auto"/>
                <w:lang w:bidi="ar"/>
              </w:rPr>
              <w:t>筛查人数</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筛查率</w:t>
            </w:r>
            <w:r>
              <w:rPr>
                <w:rStyle w:val="192"/>
                <w:color w:val="auto"/>
                <w:lang w:bidi="ar"/>
              </w:rPr>
              <w:t>​​</w:t>
            </w:r>
            <w:r>
              <w:rPr>
                <w:rStyle w:val="94"/>
                <w:rFonts w:hint="default"/>
                <w:color w:val="auto"/>
                <w:lang w:bidi="ar"/>
              </w:rPr>
              <w:t>数据，通过历史趋势的纵向对比，评估此项筛查工作的覆盖广度、实施效果的持续性以及早期干预成效的变化情况。</w:t>
            </w:r>
          </w:p>
        </w:tc>
      </w:tr>
      <w:tr w14:paraId="6EF9B8FB">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97E7143">
            <w:pPr>
              <w:widowControl/>
              <w:jc w:val="center"/>
              <w:textAlignment w:val="center"/>
              <w:rPr>
                <w:rFonts w:hint="eastAsia" w:ascii="宋体" w:hAnsi="宋体" w:cs="宋体"/>
                <w:sz w:val="24"/>
              </w:rPr>
            </w:pPr>
            <w:r>
              <w:rPr>
                <w:rFonts w:hint="eastAsia" w:ascii="宋体" w:hAnsi="宋体" w:cs="宋体"/>
                <w:kern w:val="0"/>
                <w:sz w:val="24"/>
                <w:lang w:bidi="ar"/>
              </w:rPr>
              <w:t>463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2CBEE0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47788D1">
            <w:pPr>
              <w:widowControl/>
              <w:jc w:val="center"/>
              <w:textAlignment w:val="center"/>
              <w:rPr>
                <w:rFonts w:hint="eastAsia" w:ascii="宋体" w:hAnsi="宋体" w:cs="宋体"/>
                <w:sz w:val="24"/>
              </w:rPr>
            </w:pPr>
            <w:r>
              <w:rPr>
                <w:rFonts w:hint="eastAsia" w:ascii="宋体" w:hAnsi="宋体" w:cs="宋体"/>
                <w:kern w:val="0"/>
                <w:sz w:val="24"/>
                <w:lang w:bidi="ar"/>
              </w:rPr>
              <w:t>三网监测-出生缺陷</w:t>
            </w:r>
          </w:p>
        </w:tc>
        <w:tc>
          <w:tcPr>
            <w:tcW w:w="9687" w:type="dxa"/>
            <w:tcBorders>
              <w:top w:val="single" w:color="000000" w:sz="4" w:space="0"/>
              <w:left w:val="single" w:color="000000" w:sz="4" w:space="0"/>
              <w:bottom w:val="single" w:color="000000" w:sz="4" w:space="0"/>
              <w:right w:val="single" w:color="000000" w:sz="4" w:space="0"/>
            </w:tcBorders>
            <w:vAlign w:val="center"/>
          </w:tcPr>
          <w:p w14:paraId="68C88095">
            <w:pPr>
              <w:widowControl/>
              <w:textAlignment w:val="center"/>
              <w:rPr>
                <w:rFonts w:hint="eastAsia" w:ascii="宋体" w:hAnsi="宋体" w:cs="宋体"/>
                <w:sz w:val="24"/>
              </w:rPr>
            </w:pPr>
            <w:r>
              <w:rPr>
                <w:rFonts w:hint="eastAsia" w:ascii="宋体" w:hAnsi="宋体" w:cs="宋体"/>
                <w:kern w:val="0"/>
                <w:sz w:val="24"/>
                <w:lang w:bidi="ar"/>
              </w:rPr>
              <w:t>出生缺陷数据展示可以实现以下核心功能：在年度层面，按各市县维度统计并展示新生儿总数、出生缺陷人数、主要缺陷类型、发生率及其区域分布情况；在趋势分析层面，则按历年时间序列对全市范围内的新生儿总数、出生缺陷人数、主要缺陷类型、发生率及区域分布变化进行综合展示，从而全面支撑出生缺陷监测数据的可视化分析与管理工作。</w:t>
            </w:r>
          </w:p>
        </w:tc>
      </w:tr>
      <w:tr w14:paraId="311F48F1">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D3A61C0">
            <w:pPr>
              <w:widowControl/>
              <w:jc w:val="center"/>
              <w:textAlignment w:val="center"/>
              <w:rPr>
                <w:rFonts w:hint="eastAsia" w:ascii="宋体" w:hAnsi="宋体" w:cs="宋体"/>
                <w:sz w:val="24"/>
              </w:rPr>
            </w:pPr>
            <w:r>
              <w:rPr>
                <w:rFonts w:hint="eastAsia" w:ascii="宋体" w:hAnsi="宋体" w:cs="宋体"/>
                <w:kern w:val="0"/>
                <w:sz w:val="24"/>
                <w:lang w:bidi="ar"/>
              </w:rPr>
              <w:t>464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C50A9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9344F31">
            <w:pPr>
              <w:widowControl/>
              <w:jc w:val="center"/>
              <w:textAlignment w:val="center"/>
              <w:rPr>
                <w:rFonts w:hint="eastAsia" w:ascii="宋体" w:hAnsi="宋体" w:cs="宋体"/>
                <w:sz w:val="24"/>
              </w:rPr>
            </w:pPr>
            <w:r>
              <w:rPr>
                <w:rFonts w:hint="eastAsia" w:ascii="宋体" w:hAnsi="宋体" w:cs="宋体"/>
                <w:kern w:val="0"/>
                <w:sz w:val="24"/>
                <w:lang w:bidi="ar"/>
              </w:rPr>
              <w:t>三网监测-孕产妇死亡</w:t>
            </w:r>
          </w:p>
        </w:tc>
        <w:tc>
          <w:tcPr>
            <w:tcW w:w="9687" w:type="dxa"/>
            <w:tcBorders>
              <w:top w:val="single" w:color="000000" w:sz="4" w:space="0"/>
              <w:left w:val="single" w:color="000000" w:sz="4" w:space="0"/>
              <w:bottom w:val="single" w:color="000000" w:sz="4" w:space="0"/>
              <w:right w:val="single" w:color="000000" w:sz="4" w:space="0"/>
            </w:tcBorders>
            <w:vAlign w:val="center"/>
          </w:tcPr>
          <w:p w14:paraId="66CF132B">
            <w:pPr>
              <w:widowControl/>
              <w:textAlignment w:val="center"/>
              <w:rPr>
                <w:rFonts w:hint="eastAsia" w:ascii="宋体" w:hAnsi="宋体" w:cs="宋体"/>
                <w:sz w:val="24"/>
              </w:rPr>
            </w:pPr>
            <w:r>
              <w:rPr>
                <w:rFonts w:hint="eastAsia" w:ascii="宋体" w:hAnsi="宋体" w:cs="宋体"/>
                <w:kern w:val="0"/>
                <w:sz w:val="24"/>
                <w:lang w:bidi="ar"/>
              </w:rPr>
              <w:t>孕产妇死亡数据展示可以实现以下核心功能：在年度层面，系统将按各市县维度统计并展示孕产妇总数、活产总数、死亡孕产妇人数及孕产妇死亡率；在趋势分析层面，系统将按历年时间序列对全市范围内的孕产妇总数、活产总数、死亡孕产妇人数及死亡率进行综合展示，从而全面支撑孕产妇死亡监测数据的可视化分析与管理工作。</w:t>
            </w:r>
          </w:p>
        </w:tc>
      </w:tr>
      <w:tr w14:paraId="5A56BC2E">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83E03BE">
            <w:pPr>
              <w:widowControl/>
              <w:jc w:val="center"/>
              <w:textAlignment w:val="center"/>
              <w:rPr>
                <w:rFonts w:hint="eastAsia" w:ascii="宋体" w:hAnsi="宋体" w:cs="宋体"/>
                <w:sz w:val="24"/>
              </w:rPr>
            </w:pPr>
            <w:r>
              <w:rPr>
                <w:rFonts w:hint="eastAsia" w:ascii="宋体" w:hAnsi="宋体" w:cs="宋体"/>
                <w:kern w:val="0"/>
                <w:sz w:val="24"/>
                <w:lang w:bidi="ar"/>
              </w:rPr>
              <w:t>465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E2260B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7E564BD">
            <w:pPr>
              <w:widowControl/>
              <w:jc w:val="center"/>
              <w:textAlignment w:val="center"/>
              <w:rPr>
                <w:rFonts w:hint="eastAsia" w:ascii="宋体" w:hAnsi="宋体" w:cs="宋体"/>
                <w:sz w:val="24"/>
              </w:rPr>
            </w:pPr>
            <w:r>
              <w:rPr>
                <w:rFonts w:hint="eastAsia" w:ascii="宋体" w:hAnsi="宋体" w:cs="宋体"/>
                <w:kern w:val="0"/>
                <w:sz w:val="24"/>
                <w:lang w:bidi="ar"/>
              </w:rPr>
              <w:t>三网监测-儿童死亡</w:t>
            </w:r>
          </w:p>
        </w:tc>
        <w:tc>
          <w:tcPr>
            <w:tcW w:w="9687" w:type="dxa"/>
            <w:tcBorders>
              <w:top w:val="single" w:color="000000" w:sz="4" w:space="0"/>
              <w:left w:val="single" w:color="000000" w:sz="4" w:space="0"/>
              <w:bottom w:val="single" w:color="000000" w:sz="4" w:space="0"/>
              <w:right w:val="single" w:color="000000" w:sz="4" w:space="0"/>
            </w:tcBorders>
            <w:vAlign w:val="center"/>
          </w:tcPr>
          <w:p w14:paraId="26565DBC">
            <w:pPr>
              <w:widowControl/>
              <w:textAlignment w:val="center"/>
              <w:rPr>
                <w:rFonts w:hint="eastAsia" w:ascii="宋体" w:hAnsi="宋体" w:cs="宋体"/>
                <w:sz w:val="24"/>
              </w:rPr>
            </w:pPr>
            <w:r>
              <w:rPr>
                <w:rFonts w:hint="eastAsia" w:ascii="宋体" w:hAnsi="宋体" w:cs="宋体"/>
                <w:kern w:val="0"/>
                <w:sz w:val="24"/>
                <w:lang w:bidi="ar"/>
              </w:rPr>
              <w:t>儿童死亡数据展示可以实现以下核心功能：在年度层面，按各市县维度统计并展示活产总数，并分别针对婴儿、新生儿及5岁以下儿童群体，展示其死亡人数、主要死亡原因及死亡率；在趋势分析层面，则按历年时间序列对全市范围内的活产总数，以及婴儿、新生儿和5岁以下儿童的死亡人数、死亡原因和死亡率进行综合展示，从而全面支撑儿童死亡监测数据的多维度可视化分析与管理工作。</w:t>
            </w:r>
          </w:p>
        </w:tc>
      </w:tr>
      <w:tr w14:paraId="5F914D13">
        <w:tblPrEx>
          <w:tblCellMar>
            <w:top w:w="0" w:type="dxa"/>
            <w:left w:w="108" w:type="dxa"/>
            <w:bottom w:w="0" w:type="dxa"/>
            <w:right w:w="108" w:type="dxa"/>
          </w:tblCellMar>
        </w:tblPrEx>
        <w:trPr>
          <w:trHeight w:val="26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C7E041B">
            <w:pPr>
              <w:widowControl/>
              <w:jc w:val="center"/>
              <w:textAlignment w:val="center"/>
              <w:rPr>
                <w:rFonts w:hint="eastAsia" w:ascii="宋体" w:hAnsi="宋体" w:cs="宋体"/>
                <w:sz w:val="24"/>
              </w:rPr>
            </w:pPr>
            <w:r>
              <w:rPr>
                <w:rFonts w:hint="eastAsia" w:ascii="宋体" w:hAnsi="宋体" w:cs="宋体"/>
                <w:kern w:val="0"/>
                <w:sz w:val="24"/>
                <w:lang w:bidi="ar"/>
              </w:rPr>
              <w:t>467</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19706005">
            <w:pPr>
              <w:widowControl/>
              <w:jc w:val="center"/>
              <w:textAlignment w:val="center"/>
              <w:rPr>
                <w:rFonts w:hint="eastAsia" w:ascii="宋体" w:hAnsi="宋体" w:cs="宋体"/>
                <w:sz w:val="24"/>
              </w:rPr>
            </w:pPr>
            <w:r>
              <w:rPr>
                <w:rFonts w:hint="eastAsia" w:ascii="宋体" w:hAnsi="宋体" w:cs="宋体"/>
                <w:kern w:val="0"/>
                <w:sz w:val="24"/>
                <w:lang w:bidi="ar"/>
              </w:rPr>
              <w:t>定时任务管理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07205BFD">
            <w:pPr>
              <w:widowControl/>
              <w:jc w:val="center"/>
              <w:textAlignment w:val="center"/>
              <w:rPr>
                <w:rFonts w:hint="eastAsia" w:ascii="宋体" w:hAnsi="宋体" w:cs="宋体"/>
                <w:sz w:val="24"/>
              </w:rPr>
            </w:pPr>
            <w:r>
              <w:rPr>
                <w:rFonts w:hint="eastAsia" w:ascii="宋体" w:hAnsi="宋体" w:cs="宋体"/>
                <w:kern w:val="0"/>
                <w:sz w:val="24"/>
                <w:lang w:bidi="ar"/>
              </w:rPr>
              <w:t>任务设置</w:t>
            </w:r>
          </w:p>
        </w:tc>
        <w:tc>
          <w:tcPr>
            <w:tcW w:w="9687" w:type="dxa"/>
            <w:tcBorders>
              <w:top w:val="single" w:color="000000" w:sz="4" w:space="0"/>
              <w:left w:val="single" w:color="000000" w:sz="4" w:space="0"/>
              <w:bottom w:val="single" w:color="000000" w:sz="4" w:space="0"/>
              <w:right w:val="single" w:color="000000" w:sz="4" w:space="0"/>
            </w:tcBorders>
            <w:vAlign w:val="center"/>
          </w:tcPr>
          <w:p w14:paraId="7F75A6EA">
            <w:pPr>
              <w:widowControl/>
              <w:textAlignment w:val="center"/>
              <w:rPr>
                <w:rFonts w:hint="eastAsia" w:ascii="宋体" w:hAnsi="宋体" w:cs="宋体"/>
                <w:sz w:val="24"/>
              </w:rPr>
            </w:pPr>
            <w:r>
              <w:rPr>
                <w:rStyle w:val="94"/>
                <w:rFonts w:hint="default"/>
                <w:color w:val="auto"/>
                <w:lang w:bidi="ar"/>
              </w:rPr>
              <w:t>任务设置模块，提供一个集中化的平台来定义和管理所有自动化任务的执行规则。</w:t>
            </w:r>
            <w:r>
              <w:rPr>
                <w:rStyle w:val="94"/>
                <w:rFonts w:hint="default"/>
                <w:color w:val="auto"/>
                <w:lang w:bidi="ar"/>
              </w:rPr>
              <w:br w:type="textWrapping"/>
            </w:r>
            <w:r>
              <w:rPr>
                <w:rStyle w:val="94"/>
                <w:rFonts w:hint="default"/>
                <w:color w:val="auto"/>
                <w:lang w:bidi="ar"/>
              </w:rPr>
              <w:t>该模块允许管理员对每一项任务进行详细配置，具体包括：设置任务的核心</w:t>
            </w:r>
            <w:r>
              <w:rPr>
                <w:rStyle w:val="192"/>
                <w:color w:val="auto"/>
                <w:lang w:bidi="ar"/>
              </w:rPr>
              <w:t>​​</w:t>
            </w:r>
            <w:r>
              <w:rPr>
                <w:rStyle w:val="94"/>
                <w:rFonts w:hint="default"/>
                <w:color w:val="auto"/>
                <w:lang w:bidi="ar"/>
              </w:rPr>
              <w:t>业务逻辑</w:t>
            </w:r>
            <w:r>
              <w:rPr>
                <w:rStyle w:val="192"/>
                <w:color w:val="auto"/>
                <w:lang w:bidi="ar"/>
              </w:rPr>
              <w:t>​​</w:t>
            </w:r>
            <w:r>
              <w:rPr>
                <w:rStyle w:val="94"/>
                <w:rFonts w:hint="default"/>
                <w:color w:val="auto"/>
                <w:lang w:bidi="ar"/>
              </w:rPr>
              <w:t>、具体的</w:t>
            </w:r>
            <w:r>
              <w:rPr>
                <w:rStyle w:val="192"/>
                <w:color w:val="auto"/>
                <w:lang w:bidi="ar"/>
              </w:rPr>
              <w:t>​​</w:t>
            </w:r>
            <w:r>
              <w:rPr>
                <w:rStyle w:val="94"/>
                <w:rFonts w:hint="default"/>
                <w:color w:val="auto"/>
                <w:lang w:bidi="ar"/>
              </w:rPr>
              <w:t>执行时间</w:t>
            </w:r>
            <w:r>
              <w:rPr>
                <w:rStyle w:val="192"/>
                <w:color w:val="auto"/>
                <w:lang w:bidi="ar"/>
              </w:rPr>
              <w:t>​​</w:t>
            </w:r>
            <w:r>
              <w:rPr>
                <w:rStyle w:val="94"/>
                <w:rFonts w:hint="default"/>
                <w:color w:val="auto"/>
                <w:lang w:bidi="ar"/>
              </w:rPr>
              <w:t>、</w:t>
            </w:r>
            <w:r>
              <w:rPr>
                <w:rStyle w:val="192"/>
                <w:color w:val="auto"/>
                <w:lang w:bidi="ar"/>
              </w:rPr>
              <w:t>​​</w:t>
            </w:r>
            <w:r>
              <w:rPr>
                <w:rStyle w:val="94"/>
                <w:rFonts w:hint="default"/>
                <w:color w:val="auto"/>
                <w:lang w:bidi="ar"/>
              </w:rPr>
              <w:t>触发条件</w:t>
            </w:r>
            <w:r>
              <w:rPr>
                <w:rStyle w:val="192"/>
                <w:color w:val="auto"/>
                <w:lang w:bidi="ar"/>
              </w:rPr>
              <w:t>​​</w:t>
            </w:r>
            <w:r>
              <w:rPr>
                <w:rStyle w:val="94"/>
                <w:rFonts w:hint="default"/>
                <w:color w:val="auto"/>
                <w:lang w:bidi="ar"/>
              </w:rPr>
              <w:t>以及</w:t>
            </w:r>
            <w:r>
              <w:rPr>
                <w:rStyle w:val="192"/>
                <w:color w:val="auto"/>
                <w:lang w:bidi="ar"/>
              </w:rPr>
              <w:t>​​</w:t>
            </w:r>
            <w:r>
              <w:rPr>
                <w:rStyle w:val="94"/>
                <w:rFonts w:hint="default"/>
                <w:color w:val="auto"/>
                <w:lang w:bidi="ar"/>
              </w:rPr>
              <w:t>执行周期</w:t>
            </w:r>
            <w:r>
              <w:rPr>
                <w:rStyle w:val="192"/>
                <w:color w:val="auto"/>
                <w:lang w:bidi="ar"/>
              </w:rPr>
              <w:t>​​</w:t>
            </w:r>
            <w:r>
              <w:rPr>
                <w:rStyle w:val="94"/>
                <w:rFonts w:hint="default"/>
                <w:color w:val="auto"/>
                <w:lang w:bidi="ar"/>
              </w:rPr>
              <w:t>。此外，还可以配置任务的</w:t>
            </w:r>
            <w:r>
              <w:rPr>
                <w:rStyle w:val="192"/>
                <w:color w:val="auto"/>
                <w:lang w:bidi="ar"/>
              </w:rPr>
              <w:t>​​</w:t>
            </w:r>
            <w:r>
              <w:rPr>
                <w:rStyle w:val="94"/>
                <w:rFonts w:hint="default"/>
                <w:color w:val="auto"/>
                <w:lang w:bidi="ar"/>
              </w:rPr>
              <w:t>运行模式</w:t>
            </w:r>
            <w:r>
              <w:rPr>
                <w:rStyle w:val="192"/>
                <w:color w:val="auto"/>
                <w:lang w:bidi="ar"/>
              </w:rPr>
              <w:t>​​</w:t>
            </w:r>
            <w:r>
              <w:rPr>
                <w:rStyle w:val="94"/>
                <w:rFonts w:hint="default"/>
                <w:color w:val="auto"/>
                <w:lang w:bidi="ar"/>
              </w:rPr>
              <w:t>，并为任务设定</w:t>
            </w:r>
            <w:r>
              <w:rPr>
                <w:rStyle w:val="192"/>
                <w:color w:val="auto"/>
                <w:lang w:bidi="ar"/>
              </w:rPr>
              <w:t>​​</w:t>
            </w:r>
            <w:r>
              <w:rPr>
                <w:rStyle w:val="94"/>
                <w:rFonts w:hint="default"/>
                <w:color w:val="auto"/>
                <w:lang w:bidi="ar"/>
              </w:rPr>
              <w:t>超时限制</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失败次数限制</w:t>
            </w:r>
            <w:r>
              <w:rPr>
                <w:rStyle w:val="192"/>
                <w:color w:val="auto"/>
                <w:lang w:bidi="ar"/>
              </w:rPr>
              <w:t>​​</w:t>
            </w:r>
            <w:r>
              <w:rPr>
                <w:rStyle w:val="94"/>
                <w:rFonts w:hint="default"/>
                <w:color w:val="auto"/>
                <w:lang w:bidi="ar"/>
              </w:rPr>
              <w:t>，从而确保任务能够在可控的范围内稳定、可靠地自动运行。</w:t>
            </w:r>
          </w:p>
        </w:tc>
      </w:tr>
      <w:tr w14:paraId="1B865A02">
        <w:tblPrEx>
          <w:tblCellMar>
            <w:top w:w="0" w:type="dxa"/>
            <w:left w:w="108" w:type="dxa"/>
            <w:bottom w:w="0" w:type="dxa"/>
            <w:right w:w="108" w:type="dxa"/>
          </w:tblCellMar>
        </w:tblPrEx>
        <w:trPr>
          <w:trHeight w:val="14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446CBA9">
            <w:pPr>
              <w:widowControl/>
              <w:jc w:val="center"/>
              <w:textAlignment w:val="center"/>
              <w:rPr>
                <w:rFonts w:hint="eastAsia" w:ascii="宋体" w:hAnsi="宋体" w:cs="宋体"/>
                <w:sz w:val="24"/>
              </w:rPr>
            </w:pPr>
            <w:r>
              <w:rPr>
                <w:rFonts w:hint="eastAsia" w:ascii="宋体" w:hAnsi="宋体" w:cs="宋体"/>
                <w:kern w:val="0"/>
                <w:sz w:val="24"/>
                <w:lang w:bidi="ar"/>
              </w:rPr>
              <w:t>468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AFFF29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80AE07B">
            <w:pPr>
              <w:widowControl/>
              <w:jc w:val="center"/>
              <w:textAlignment w:val="center"/>
              <w:rPr>
                <w:rFonts w:hint="eastAsia" w:ascii="宋体" w:hAnsi="宋体" w:cs="宋体"/>
                <w:sz w:val="24"/>
              </w:rPr>
            </w:pPr>
            <w:r>
              <w:rPr>
                <w:rFonts w:hint="eastAsia" w:ascii="宋体" w:hAnsi="宋体" w:cs="宋体"/>
                <w:kern w:val="0"/>
                <w:sz w:val="24"/>
                <w:lang w:bidi="ar"/>
              </w:rPr>
              <w:t>任务注册管理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74527CB0">
            <w:pPr>
              <w:widowControl/>
              <w:textAlignment w:val="center"/>
              <w:rPr>
                <w:rFonts w:hint="eastAsia" w:ascii="宋体" w:hAnsi="宋体" w:cs="宋体"/>
                <w:sz w:val="24"/>
              </w:rPr>
            </w:pPr>
            <w:r>
              <w:rPr>
                <w:rStyle w:val="94"/>
                <w:rFonts w:hint="default"/>
                <w:color w:val="auto"/>
                <w:lang w:bidi="ar"/>
              </w:rPr>
              <w:t>任务注册管理模块，实现对业务模块中各类自动化任务的集中式登记与管理。该模块通过</w:t>
            </w:r>
            <w:r>
              <w:rPr>
                <w:rStyle w:val="192"/>
                <w:color w:val="auto"/>
                <w:lang w:bidi="ar"/>
              </w:rPr>
              <w:t>​​</w:t>
            </w:r>
            <w:r>
              <w:rPr>
                <w:rStyle w:val="94"/>
                <w:rFonts w:hint="default"/>
                <w:color w:val="auto"/>
                <w:lang w:bidi="ar"/>
              </w:rPr>
              <w:t>任务注册</w:t>
            </w:r>
            <w:r>
              <w:rPr>
                <w:rStyle w:val="192"/>
                <w:color w:val="auto"/>
                <w:lang w:bidi="ar"/>
              </w:rPr>
              <w:t>​​</w:t>
            </w:r>
            <w:r>
              <w:rPr>
                <w:rStyle w:val="94"/>
                <w:rFonts w:hint="default"/>
                <w:color w:val="auto"/>
                <w:lang w:bidi="ar"/>
              </w:rPr>
              <w:t>机制，统一管理各业务模块所需执行的具体任务逻辑，确保所有定时任务都能被系统识别、调度和监控。</w:t>
            </w:r>
          </w:p>
        </w:tc>
      </w:tr>
      <w:tr w14:paraId="4AA61A58">
        <w:tblPrEx>
          <w:tblCellMar>
            <w:top w:w="0" w:type="dxa"/>
            <w:left w:w="108" w:type="dxa"/>
            <w:bottom w:w="0" w:type="dxa"/>
            <w:right w:w="108" w:type="dxa"/>
          </w:tblCellMar>
        </w:tblPrEx>
        <w:trPr>
          <w:trHeight w:val="214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C37D220">
            <w:pPr>
              <w:widowControl/>
              <w:jc w:val="center"/>
              <w:textAlignment w:val="center"/>
              <w:rPr>
                <w:rFonts w:hint="eastAsia" w:ascii="宋体" w:hAnsi="宋体" w:cs="宋体"/>
                <w:sz w:val="24"/>
              </w:rPr>
            </w:pPr>
            <w:r>
              <w:rPr>
                <w:rFonts w:hint="eastAsia" w:ascii="宋体" w:hAnsi="宋体" w:cs="宋体"/>
                <w:kern w:val="0"/>
                <w:sz w:val="24"/>
                <w:lang w:bidi="ar"/>
              </w:rPr>
              <w:t>469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484CF7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6181121">
            <w:pPr>
              <w:widowControl/>
              <w:jc w:val="center"/>
              <w:textAlignment w:val="center"/>
              <w:rPr>
                <w:rFonts w:hint="eastAsia" w:ascii="宋体" w:hAnsi="宋体" w:cs="宋体"/>
                <w:sz w:val="24"/>
              </w:rPr>
            </w:pPr>
            <w:r>
              <w:rPr>
                <w:rFonts w:hint="eastAsia" w:ascii="宋体" w:hAnsi="宋体" w:cs="宋体"/>
                <w:kern w:val="0"/>
                <w:sz w:val="24"/>
                <w:lang w:bidi="ar"/>
              </w:rPr>
              <w:t>任务执行管理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455CCFE">
            <w:pPr>
              <w:widowControl/>
              <w:textAlignment w:val="center"/>
              <w:rPr>
                <w:rFonts w:hint="eastAsia" w:ascii="宋体" w:hAnsi="宋体" w:cs="宋体"/>
                <w:sz w:val="24"/>
              </w:rPr>
            </w:pPr>
            <w:r>
              <w:rPr>
                <w:rStyle w:val="94"/>
                <w:rFonts w:hint="default"/>
                <w:color w:val="auto"/>
                <w:lang w:bidi="ar"/>
              </w:rPr>
              <w:t>任务执行管理模块，负责对已注册任务的执行过程进行控制和监督。</w:t>
            </w:r>
            <w:r>
              <w:rPr>
                <w:rStyle w:val="94"/>
                <w:rFonts w:hint="default"/>
                <w:color w:val="auto"/>
                <w:lang w:bidi="ar"/>
              </w:rPr>
              <w:br w:type="textWrapping"/>
            </w:r>
            <w:r>
              <w:rPr>
                <w:rStyle w:val="94"/>
                <w:rFonts w:hint="default"/>
                <w:color w:val="auto"/>
                <w:lang w:bidi="ar"/>
              </w:rPr>
              <w:t>该模块提供两种任务触发方式：支持</w:t>
            </w:r>
            <w:r>
              <w:rPr>
                <w:rStyle w:val="192"/>
                <w:color w:val="auto"/>
                <w:lang w:bidi="ar"/>
              </w:rPr>
              <w:t>​​</w:t>
            </w:r>
            <w:r>
              <w:rPr>
                <w:rStyle w:val="94"/>
                <w:rFonts w:hint="default"/>
                <w:color w:val="auto"/>
                <w:lang w:bidi="ar"/>
              </w:rPr>
              <w:t>设置任务自动执行</w:t>
            </w:r>
            <w:r>
              <w:rPr>
                <w:rStyle w:val="192"/>
                <w:color w:val="auto"/>
                <w:lang w:bidi="ar"/>
              </w:rPr>
              <w:t>​​</w:t>
            </w:r>
            <w:r>
              <w:rPr>
                <w:rStyle w:val="94"/>
                <w:rFonts w:hint="default"/>
                <w:color w:val="auto"/>
                <w:lang w:bidi="ar"/>
              </w:rPr>
              <w:t>，使其按预定规则在后台运行；同时允许</w:t>
            </w:r>
            <w:r>
              <w:rPr>
                <w:rStyle w:val="192"/>
                <w:color w:val="auto"/>
                <w:lang w:bidi="ar"/>
              </w:rPr>
              <w:t>​​</w:t>
            </w:r>
            <w:r>
              <w:rPr>
                <w:rStyle w:val="94"/>
                <w:rFonts w:hint="default"/>
                <w:color w:val="auto"/>
                <w:lang w:bidi="ar"/>
              </w:rPr>
              <w:t>手动触发任务立即执行</w:t>
            </w:r>
            <w:r>
              <w:rPr>
                <w:rStyle w:val="192"/>
                <w:color w:val="auto"/>
                <w:lang w:bidi="ar"/>
              </w:rPr>
              <w:t>​​</w:t>
            </w:r>
            <w:r>
              <w:rPr>
                <w:rStyle w:val="94"/>
                <w:rFonts w:hint="default"/>
                <w:color w:val="auto"/>
                <w:lang w:bidi="ar"/>
              </w:rPr>
              <w:t>，以满足临时性需求。所有关于任务执行模式的操作均会被</w:t>
            </w:r>
            <w:r>
              <w:rPr>
                <w:rStyle w:val="192"/>
                <w:color w:val="auto"/>
                <w:lang w:bidi="ar"/>
              </w:rPr>
              <w:t>​​</w:t>
            </w:r>
            <w:r>
              <w:rPr>
                <w:rStyle w:val="94"/>
                <w:rFonts w:hint="default"/>
                <w:color w:val="auto"/>
                <w:lang w:bidi="ar"/>
              </w:rPr>
              <w:t>记录在操作日志中</w:t>
            </w:r>
            <w:r>
              <w:rPr>
                <w:rStyle w:val="192"/>
                <w:color w:val="auto"/>
                <w:lang w:bidi="ar"/>
              </w:rPr>
              <w:t>​​</w:t>
            </w:r>
            <w:r>
              <w:rPr>
                <w:rStyle w:val="94"/>
                <w:rFonts w:hint="default"/>
                <w:color w:val="auto"/>
                <w:lang w:bidi="ar"/>
              </w:rPr>
              <w:t>，确保执行行为的可追溯性。</w:t>
            </w:r>
          </w:p>
        </w:tc>
      </w:tr>
      <w:tr w14:paraId="46233A55">
        <w:tblPrEx>
          <w:tblCellMar>
            <w:top w:w="0" w:type="dxa"/>
            <w:left w:w="108" w:type="dxa"/>
            <w:bottom w:w="0" w:type="dxa"/>
            <w:right w:w="108" w:type="dxa"/>
          </w:tblCellMar>
        </w:tblPrEx>
        <w:trPr>
          <w:trHeight w:val="23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14D754A">
            <w:pPr>
              <w:widowControl/>
              <w:jc w:val="center"/>
              <w:textAlignment w:val="center"/>
              <w:rPr>
                <w:rFonts w:hint="eastAsia" w:ascii="宋体" w:hAnsi="宋体" w:cs="宋体"/>
                <w:sz w:val="24"/>
              </w:rPr>
            </w:pPr>
            <w:r>
              <w:rPr>
                <w:rFonts w:hint="eastAsia" w:ascii="宋体" w:hAnsi="宋体" w:cs="宋体"/>
                <w:kern w:val="0"/>
                <w:sz w:val="24"/>
                <w:lang w:bidi="ar"/>
              </w:rPr>
              <w:t>470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39971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09598E9">
            <w:pPr>
              <w:widowControl/>
              <w:jc w:val="center"/>
              <w:textAlignment w:val="center"/>
              <w:rPr>
                <w:rFonts w:hint="eastAsia" w:ascii="宋体" w:hAnsi="宋体" w:cs="宋体"/>
                <w:sz w:val="24"/>
              </w:rPr>
            </w:pPr>
            <w:r>
              <w:rPr>
                <w:rFonts w:hint="eastAsia" w:ascii="宋体" w:hAnsi="宋体" w:cs="宋体"/>
                <w:kern w:val="0"/>
                <w:sz w:val="24"/>
                <w:lang w:bidi="ar"/>
              </w:rPr>
              <w:t>任务日志管理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6181D26">
            <w:pPr>
              <w:widowControl/>
              <w:textAlignment w:val="center"/>
              <w:rPr>
                <w:rFonts w:hint="eastAsia" w:ascii="宋体" w:hAnsi="宋体" w:cs="宋体"/>
                <w:sz w:val="24"/>
              </w:rPr>
            </w:pPr>
            <w:r>
              <w:rPr>
                <w:rStyle w:val="94"/>
                <w:rFonts w:hint="default"/>
                <w:color w:val="auto"/>
                <w:lang w:bidi="ar"/>
              </w:rPr>
              <w:t>任务日志管理模块，为定时任务的执行历史进行全面追踪与审计。</w:t>
            </w:r>
            <w:r>
              <w:rPr>
                <w:rStyle w:val="94"/>
                <w:rFonts w:hint="default"/>
                <w:color w:val="auto"/>
                <w:lang w:bidi="ar"/>
              </w:rPr>
              <w:br w:type="textWrapping"/>
            </w:r>
            <w:r>
              <w:rPr>
                <w:rStyle w:val="94"/>
                <w:rFonts w:hint="default"/>
                <w:color w:val="auto"/>
                <w:lang w:bidi="ar"/>
              </w:rPr>
              <w:t>该模块的核心是</w:t>
            </w:r>
            <w:r>
              <w:rPr>
                <w:rStyle w:val="192"/>
                <w:color w:val="auto"/>
                <w:lang w:bidi="ar"/>
              </w:rPr>
              <w:t>​​</w:t>
            </w:r>
            <w:r>
              <w:rPr>
                <w:rStyle w:val="94"/>
                <w:rFonts w:hint="default"/>
                <w:color w:val="auto"/>
                <w:lang w:bidi="ar"/>
              </w:rPr>
              <w:t>详细记录每一个定时任务的执行状态和具体情况</w:t>
            </w:r>
            <w:r>
              <w:rPr>
                <w:rStyle w:val="192"/>
                <w:color w:val="auto"/>
                <w:lang w:bidi="ar"/>
              </w:rPr>
              <w:t>​​</w:t>
            </w:r>
            <w:r>
              <w:rPr>
                <w:rStyle w:val="94"/>
                <w:rFonts w:hint="default"/>
                <w:color w:val="auto"/>
                <w:lang w:bidi="ar"/>
              </w:rPr>
              <w:t>，所记录的日志信息关键字段包括任务名称、执行时间、执行方式（自动/手动）以及执行结果（成功/失败）等，为任务运行的监控、问题排查与效能分析提供可靠的数据依据。</w:t>
            </w:r>
          </w:p>
        </w:tc>
      </w:tr>
      <w:tr w14:paraId="3D12B3B3">
        <w:tblPrEx>
          <w:tblCellMar>
            <w:top w:w="0" w:type="dxa"/>
            <w:left w:w="108" w:type="dxa"/>
            <w:bottom w:w="0" w:type="dxa"/>
            <w:right w:w="108" w:type="dxa"/>
          </w:tblCellMar>
        </w:tblPrEx>
        <w:trPr>
          <w:trHeight w:val="24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081AE90">
            <w:pPr>
              <w:widowControl/>
              <w:jc w:val="center"/>
              <w:textAlignment w:val="center"/>
              <w:rPr>
                <w:rFonts w:hint="eastAsia" w:ascii="宋体" w:hAnsi="宋体" w:cs="宋体"/>
                <w:sz w:val="24"/>
              </w:rPr>
            </w:pPr>
            <w:r>
              <w:rPr>
                <w:rFonts w:hint="eastAsia" w:ascii="宋体" w:hAnsi="宋体" w:cs="宋体"/>
                <w:kern w:val="0"/>
                <w:sz w:val="24"/>
                <w:lang w:bidi="ar"/>
              </w:rPr>
              <w:t>471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A12A26E">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7EE20D0">
            <w:pPr>
              <w:widowControl/>
              <w:jc w:val="center"/>
              <w:textAlignment w:val="center"/>
              <w:rPr>
                <w:rFonts w:hint="eastAsia" w:ascii="宋体" w:hAnsi="宋体" w:cs="宋体"/>
                <w:sz w:val="24"/>
              </w:rPr>
            </w:pPr>
            <w:r>
              <w:rPr>
                <w:rFonts w:hint="eastAsia" w:ascii="宋体" w:hAnsi="宋体" w:cs="宋体"/>
                <w:kern w:val="0"/>
                <w:sz w:val="24"/>
                <w:lang w:bidi="ar"/>
              </w:rPr>
              <w:t>任务报告管理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56DB702">
            <w:pPr>
              <w:widowControl/>
              <w:textAlignment w:val="center"/>
              <w:rPr>
                <w:rFonts w:hint="eastAsia" w:ascii="宋体" w:hAnsi="宋体" w:cs="宋体"/>
                <w:sz w:val="24"/>
              </w:rPr>
            </w:pPr>
            <w:r>
              <w:rPr>
                <w:rStyle w:val="94"/>
                <w:rFonts w:hint="default"/>
                <w:color w:val="auto"/>
                <w:lang w:bidi="ar"/>
              </w:rPr>
              <w:t>任务报告管理模块，为定时任务的执行情况提供可视化的数据分析和概览。该模块通过</w:t>
            </w:r>
            <w:r>
              <w:rPr>
                <w:rStyle w:val="192"/>
                <w:color w:val="auto"/>
                <w:lang w:bidi="ar"/>
              </w:rPr>
              <w:t>​​</w:t>
            </w:r>
            <w:r>
              <w:rPr>
                <w:rStyle w:val="94"/>
                <w:rFonts w:hint="default"/>
                <w:color w:val="auto"/>
                <w:lang w:bidi="ar"/>
              </w:rPr>
              <w:t>任务报告管理页面</w:t>
            </w:r>
            <w:r>
              <w:rPr>
                <w:rStyle w:val="192"/>
                <w:color w:val="auto"/>
                <w:lang w:bidi="ar"/>
              </w:rPr>
              <w:t>​​</w:t>
            </w:r>
            <w:r>
              <w:rPr>
                <w:rStyle w:val="94"/>
                <w:rFonts w:hint="default"/>
                <w:color w:val="auto"/>
                <w:lang w:bidi="ar"/>
              </w:rPr>
              <w:t>，生成并展示基于关键维度的</w:t>
            </w:r>
            <w:r>
              <w:rPr>
                <w:rStyle w:val="192"/>
                <w:color w:val="auto"/>
                <w:lang w:bidi="ar"/>
              </w:rPr>
              <w:t>​​</w:t>
            </w:r>
            <w:r>
              <w:rPr>
                <w:rStyle w:val="94"/>
                <w:rFonts w:hint="default"/>
                <w:color w:val="auto"/>
                <w:lang w:bidi="ar"/>
              </w:rPr>
              <w:t>任务报告数据报表</w:t>
            </w:r>
            <w:r>
              <w:rPr>
                <w:rStyle w:val="192"/>
                <w:color w:val="auto"/>
                <w:lang w:bidi="ar"/>
              </w:rPr>
              <w:t>​​</w:t>
            </w:r>
            <w:r>
              <w:rPr>
                <w:rStyle w:val="94"/>
                <w:rFonts w:hint="default"/>
                <w:color w:val="auto"/>
                <w:lang w:bidi="ar"/>
              </w:rPr>
              <w:t>，具体包括任务的</w:t>
            </w:r>
            <w:r>
              <w:rPr>
                <w:rStyle w:val="192"/>
                <w:color w:val="auto"/>
                <w:lang w:bidi="ar"/>
              </w:rPr>
              <w:t>​​</w:t>
            </w:r>
            <w:r>
              <w:rPr>
                <w:rStyle w:val="94"/>
                <w:rFonts w:hint="default"/>
                <w:color w:val="auto"/>
                <w:lang w:bidi="ar"/>
              </w:rPr>
              <w:t>执行时间</w:t>
            </w:r>
            <w:r>
              <w:rPr>
                <w:rStyle w:val="192"/>
                <w:color w:val="auto"/>
                <w:lang w:bidi="ar"/>
              </w:rPr>
              <w:t>​​</w:t>
            </w:r>
            <w:r>
              <w:rPr>
                <w:rStyle w:val="94"/>
                <w:rFonts w:hint="default"/>
                <w:color w:val="auto"/>
                <w:lang w:bidi="ar"/>
              </w:rPr>
              <w:t>分布、</w:t>
            </w:r>
            <w:r>
              <w:rPr>
                <w:rStyle w:val="192"/>
                <w:color w:val="auto"/>
                <w:lang w:bidi="ar"/>
              </w:rPr>
              <w:t>​​</w:t>
            </w:r>
            <w:r>
              <w:rPr>
                <w:rStyle w:val="94"/>
                <w:rFonts w:hint="default"/>
                <w:color w:val="auto"/>
                <w:lang w:bidi="ar"/>
              </w:rPr>
              <w:t>执行方式</w:t>
            </w:r>
            <w:r>
              <w:rPr>
                <w:rStyle w:val="192"/>
                <w:color w:val="auto"/>
                <w:lang w:bidi="ar"/>
              </w:rPr>
              <w:t>​​</w:t>
            </w:r>
            <w:r>
              <w:rPr>
                <w:rStyle w:val="94"/>
                <w:rFonts w:hint="default"/>
                <w:color w:val="auto"/>
                <w:lang w:bidi="ar"/>
              </w:rPr>
              <w:t>（自动/手动）统计、所属</w:t>
            </w:r>
            <w:r>
              <w:rPr>
                <w:rStyle w:val="192"/>
                <w:color w:val="auto"/>
                <w:lang w:bidi="ar"/>
              </w:rPr>
              <w:t>​​</w:t>
            </w:r>
            <w:r>
              <w:rPr>
                <w:rStyle w:val="94"/>
                <w:rFonts w:hint="default"/>
                <w:color w:val="auto"/>
                <w:lang w:bidi="ar"/>
              </w:rPr>
              <w:t>业务模块</w:t>
            </w:r>
            <w:r>
              <w:rPr>
                <w:rStyle w:val="192"/>
                <w:color w:val="auto"/>
                <w:lang w:bidi="ar"/>
              </w:rPr>
              <w:t>​​</w:t>
            </w:r>
            <w:r>
              <w:rPr>
                <w:rStyle w:val="94"/>
                <w:rFonts w:hint="default"/>
                <w:color w:val="auto"/>
                <w:lang w:bidi="ar"/>
              </w:rPr>
              <w:t>的汇总以及</w:t>
            </w:r>
            <w:r>
              <w:rPr>
                <w:rStyle w:val="192"/>
                <w:color w:val="auto"/>
                <w:lang w:bidi="ar"/>
              </w:rPr>
              <w:t>​​</w:t>
            </w:r>
            <w:r>
              <w:rPr>
                <w:rStyle w:val="94"/>
                <w:rFonts w:hint="default"/>
                <w:color w:val="auto"/>
                <w:lang w:bidi="ar"/>
              </w:rPr>
              <w:t>执行结果</w:t>
            </w:r>
            <w:r>
              <w:rPr>
                <w:rStyle w:val="192"/>
                <w:color w:val="auto"/>
                <w:lang w:bidi="ar"/>
              </w:rPr>
              <w:t>​​</w:t>
            </w:r>
            <w:r>
              <w:rPr>
                <w:rStyle w:val="94"/>
                <w:rFonts w:hint="default"/>
                <w:color w:val="auto"/>
                <w:lang w:bidi="ar"/>
              </w:rPr>
              <w:t>（成功/失败）的分析，从而为系统监控和运维决策提供清晰的数据支持。</w:t>
            </w:r>
          </w:p>
        </w:tc>
      </w:tr>
      <w:tr w14:paraId="287B439A">
        <w:tblPrEx>
          <w:tblCellMar>
            <w:top w:w="0" w:type="dxa"/>
            <w:left w:w="108" w:type="dxa"/>
            <w:bottom w:w="0" w:type="dxa"/>
            <w:right w:w="108" w:type="dxa"/>
          </w:tblCellMar>
        </w:tblPrEx>
        <w:trPr>
          <w:trHeight w:val="303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184AA0E">
            <w:pPr>
              <w:widowControl/>
              <w:jc w:val="center"/>
              <w:textAlignment w:val="center"/>
              <w:rPr>
                <w:rFonts w:hint="eastAsia" w:ascii="宋体" w:hAnsi="宋体" w:cs="宋体"/>
                <w:sz w:val="24"/>
              </w:rPr>
            </w:pPr>
            <w:r>
              <w:rPr>
                <w:rFonts w:hint="eastAsia" w:ascii="宋体" w:hAnsi="宋体" w:cs="宋体"/>
                <w:kern w:val="0"/>
                <w:sz w:val="24"/>
                <w:lang w:bidi="ar"/>
              </w:rPr>
              <w:t>473</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297C8E43">
            <w:pPr>
              <w:widowControl/>
              <w:jc w:val="center"/>
              <w:textAlignment w:val="center"/>
              <w:rPr>
                <w:rFonts w:hint="eastAsia" w:ascii="宋体" w:hAnsi="宋体" w:cs="宋体"/>
                <w:sz w:val="24"/>
              </w:rPr>
            </w:pPr>
            <w:r>
              <w:rPr>
                <w:rFonts w:hint="eastAsia" w:ascii="宋体" w:hAnsi="宋体" w:cs="宋体"/>
                <w:kern w:val="0"/>
                <w:sz w:val="24"/>
                <w:lang w:bidi="ar"/>
              </w:rPr>
              <w:t>系统管理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2A6A7C81">
            <w:pPr>
              <w:widowControl/>
              <w:jc w:val="center"/>
              <w:textAlignment w:val="center"/>
              <w:rPr>
                <w:rFonts w:hint="eastAsia" w:ascii="宋体" w:hAnsi="宋体" w:cs="宋体"/>
                <w:sz w:val="24"/>
              </w:rPr>
            </w:pPr>
            <w:r>
              <w:rPr>
                <w:rFonts w:hint="eastAsia" w:ascii="宋体" w:hAnsi="宋体" w:cs="宋体"/>
                <w:kern w:val="0"/>
                <w:sz w:val="24"/>
                <w:lang w:bidi="ar"/>
              </w:rPr>
              <w:t>统一用户管理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5237245F">
            <w:pPr>
              <w:widowControl/>
              <w:textAlignment w:val="center"/>
              <w:rPr>
                <w:rFonts w:hint="eastAsia" w:ascii="宋体" w:hAnsi="宋体" w:cs="宋体"/>
                <w:sz w:val="24"/>
              </w:rPr>
            </w:pPr>
            <w:r>
              <w:rPr>
                <w:rStyle w:val="94"/>
                <w:rFonts w:hint="default"/>
                <w:color w:val="auto"/>
                <w:lang w:bidi="ar"/>
              </w:rPr>
              <w:t>统一用户管理模块，要实现对用户账户的全生命周期集中化管理。该模块通过</w:t>
            </w:r>
            <w:r>
              <w:rPr>
                <w:rStyle w:val="192"/>
                <w:color w:val="auto"/>
                <w:lang w:bidi="ar"/>
              </w:rPr>
              <w:t>​​</w:t>
            </w:r>
            <w:r>
              <w:rPr>
                <w:rStyle w:val="94"/>
                <w:rFonts w:hint="default"/>
                <w:color w:val="auto"/>
                <w:lang w:bidi="ar"/>
              </w:rPr>
              <w:t>调用现有的用户和角色接口</w:t>
            </w:r>
            <w:r>
              <w:rPr>
                <w:rStyle w:val="192"/>
                <w:color w:val="auto"/>
                <w:lang w:bidi="ar"/>
              </w:rPr>
              <w:t>​​</w:t>
            </w:r>
            <w:r>
              <w:rPr>
                <w:rStyle w:val="94"/>
                <w:rFonts w:hint="default"/>
                <w:color w:val="auto"/>
                <w:lang w:bidi="ar"/>
              </w:rPr>
              <w:t>，并与新建模块实现统一登录集成，确保身份认证体系的一致性。在此基础上，模块提供完善的用户账户管理功能，支持在系统页面上</w:t>
            </w:r>
            <w:r>
              <w:rPr>
                <w:rStyle w:val="192"/>
                <w:color w:val="auto"/>
                <w:lang w:bidi="ar"/>
              </w:rPr>
              <w:t>​​</w:t>
            </w:r>
            <w:r>
              <w:rPr>
                <w:rStyle w:val="94"/>
                <w:rFonts w:hint="default"/>
                <w:color w:val="auto"/>
                <w:lang w:bidi="ar"/>
              </w:rPr>
              <w:t>手动创建、维护和管理用户</w:t>
            </w:r>
            <w:r>
              <w:rPr>
                <w:rStyle w:val="192"/>
                <w:color w:val="auto"/>
                <w:lang w:bidi="ar"/>
              </w:rPr>
              <w:t>​​</w:t>
            </w:r>
            <w:r>
              <w:rPr>
                <w:rStyle w:val="94"/>
                <w:rFonts w:hint="default"/>
                <w:color w:val="auto"/>
                <w:lang w:bidi="ar"/>
              </w:rPr>
              <w:t>，也</w:t>
            </w:r>
            <w:r>
              <w:rPr>
                <w:rStyle w:val="192"/>
                <w:color w:val="auto"/>
                <w:lang w:bidi="ar"/>
              </w:rPr>
              <w:t>​​</w:t>
            </w:r>
            <w:r>
              <w:rPr>
                <w:rStyle w:val="94"/>
                <w:rFonts w:hint="default"/>
                <w:color w:val="auto"/>
                <w:lang w:bidi="ar"/>
              </w:rPr>
              <w:t>支持按标准格式批量导入用户</w:t>
            </w:r>
            <w:r>
              <w:rPr>
                <w:rStyle w:val="192"/>
                <w:color w:val="auto"/>
                <w:lang w:bidi="ar"/>
              </w:rPr>
              <w:t>​​</w:t>
            </w:r>
            <w:r>
              <w:rPr>
                <w:rStyle w:val="94"/>
                <w:rFonts w:hint="default"/>
                <w:color w:val="auto"/>
                <w:lang w:bidi="ar"/>
              </w:rPr>
              <w:t>，并可将用户及角色信息导出。此外，模块还提供</w:t>
            </w:r>
            <w:r>
              <w:rPr>
                <w:rStyle w:val="192"/>
                <w:color w:val="auto"/>
                <w:lang w:bidi="ar"/>
              </w:rPr>
              <w:t>​​</w:t>
            </w:r>
            <w:r>
              <w:rPr>
                <w:rStyle w:val="94"/>
                <w:rFonts w:hint="default"/>
                <w:color w:val="auto"/>
                <w:lang w:bidi="ar"/>
              </w:rPr>
              <w:t>用户与CA数字证书绑定的能力</w:t>
            </w:r>
            <w:r>
              <w:rPr>
                <w:rStyle w:val="192"/>
                <w:color w:val="auto"/>
                <w:lang w:bidi="ar"/>
              </w:rPr>
              <w:t>​​</w:t>
            </w:r>
            <w:r>
              <w:rPr>
                <w:rStyle w:val="94"/>
                <w:rFonts w:hint="default"/>
                <w:color w:val="auto"/>
                <w:lang w:bidi="ar"/>
              </w:rPr>
              <w:t>，以支持更高安全等级的身份验证方式。</w:t>
            </w:r>
          </w:p>
        </w:tc>
      </w:tr>
      <w:tr w14:paraId="3C4655CC">
        <w:tblPrEx>
          <w:tblCellMar>
            <w:top w:w="0" w:type="dxa"/>
            <w:left w:w="108" w:type="dxa"/>
            <w:bottom w:w="0" w:type="dxa"/>
            <w:right w:w="108" w:type="dxa"/>
          </w:tblCellMar>
        </w:tblPrEx>
        <w:trPr>
          <w:trHeight w:val="45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BDD44C9">
            <w:pPr>
              <w:widowControl/>
              <w:jc w:val="center"/>
              <w:textAlignment w:val="center"/>
              <w:rPr>
                <w:rFonts w:hint="eastAsia" w:ascii="宋体" w:hAnsi="宋体" w:cs="宋体"/>
                <w:sz w:val="24"/>
              </w:rPr>
            </w:pPr>
            <w:r>
              <w:rPr>
                <w:rFonts w:hint="eastAsia" w:ascii="宋体" w:hAnsi="宋体" w:cs="宋体"/>
                <w:kern w:val="0"/>
                <w:sz w:val="24"/>
                <w:lang w:bidi="ar"/>
              </w:rPr>
              <w:t>474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2A4A4B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14EF3B1">
            <w:pPr>
              <w:widowControl/>
              <w:jc w:val="center"/>
              <w:textAlignment w:val="center"/>
              <w:rPr>
                <w:rFonts w:hint="eastAsia" w:ascii="宋体" w:hAnsi="宋体" w:cs="宋体"/>
                <w:sz w:val="24"/>
              </w:rPr>
            </w:pPr>
            <w:r>
              <w:rPr>
                <w:rFonts w:hint="eastAsia" w:ascii="宋体" w:hAnsi="宋体" w:cs="宋体"/>
                <w:kern w:val="0"/>
                <w:sz w:val="24"/>
                <w:lang w:bidi="ar"/>
              </w:rPr>
              <w:t>统一权限体系</w:t>
            </w:r>
          </w:p>
        </w:tc>
        <w:tc>
          <w:tcPr>
            <w:tcW w:w="9687" w:type="dxa"/>
            <w:tcBorders>
              <w:top w:val="single" w:color="000000" w:sz="4" w:space="0"/>
              <w:left w:val="single" w:color="000000" w:sz="4" w:space="0"/>
              <w:bottom w:val="single" w:color="000000" w:sz="4" w:space="0"/>
              <w:right w:val="single" w:color="000000" w:sz="4" w:space="0"/>
            </w:tcBorders>
            <w:vAlign w:val="center"/>
          </w:tcPr>
          <w:p w14:paraId="5CE79B86">
            <w:pPr>
              <w:widowControl/>
              <w:textAlignment w:val="center"/>
              <w:rPr>
                <w:rFonts w:hint="eastAsia" w:ascii="宋体" w:hAnsi="宋体" w:cs="宋体"/>
                <w:sz w:val="24"/>
              </w:rPr>
            </w:pPr>
            <w:r>
              <w:rPr>
                <w:rFonts w:hint="eastAsia" w:ascii="宋体" w:hAnsi="宋体" w:cs="宋体"/>
                <w:kern w:val="0"/>
                <w:sz w:val="24"/>
                <w:lang w:bidi="ar"/>
              </w:rPr>
              <w:t>统一权限体系模块，实现构建一个集中、精细且可扩展的访问控制框架。</w:t>
            </w:r>
            <w:r>
              <w:rPr>
                <w:rFonts w:hint="eastAsia" w:ascii="宋体" w:hAnsi="宋体" w:cs="宋体"/>
                <w:kern w:val="0"/>
                <w:sz w:val="24"/>
                <w:lang w:bidi="ar"/>
              </w:rPr>
              <w:br w:type="textWrapping"/>
            </w:r>
            <w:r>
              <w:rPr>
                <w:rFonts w:hint="eastAsia" w:ascii="宋体" w:hAnsi="宋体" w:cs="宋体"/>
                <w:kern w:val="0"/>
                <w:sz w:val="24"/>
                <w:lang w:bidi="ar"/>
              </w:rPr>
              <w:t>该模块要求所有新建功能必须沿用现有用户权限体系，通过配置权限点的方式进行统一授权，确保权限管理的一致性。</w:t>
            </w:r>
            <w:r>
              <w:rPr>
                <w:rFonts w:hint="eastAsia" w:ascii="宋体" w:hAnsi="宋体" w:cs="宋体"/>
                <w:kern w:val="0"/>
                <w:sz w:val="24"/>
                <w:lang w:bidi="ar"/>
              </w:rPr>
              <w:br w:type="textWrapping"/>
            </w:r>
            <w:r>
              <w:rPr>
                <w:rFonts w:hint="eastAsia" w:ascii="宋体" w:hAnsi="宋体" w:cs="宋体"/>
                <w:kern w:val="0"/>
                <w:sz w:val="24"/>
                <w:lang w:bidi="ar"/>
              </w:rPr>
              <w:t>权限控制将细化至具体的菜单项和操作按钮级别，并通过角色为用户分配功能权限。</w:t>
            </w:r>
            <w:r>
              <w:rPr>
                <w:rFonts w:hint="eastAsia" w:ascii="宋体" w:hAnsi="宋体" w:cs="宋体"/>
                <w:kern w:val="0"/>
                <w:sz w:val="24"/>
                <w:lang w:bidi="ar"/>
              </w:rPr>
              <w:br w:type="textWrapping"/>
            </w:r>
            <w:r>
              <w:rPr>
                <w:rFonts w:hint="eastAsia" w:ascii="宋体" w:hAnsi="宋体" w:cs="宋体"/>
                <w:kern w:val="0"/>
                <w:sz w:val="24"/>
                <w:lang w:bidi="ar"/>
              </w:rPr>
              <w:t>为满足更高层次的安全需求，该体系不仅控制功能访问，还支持对特定项目中的隐私数据进行权限设置，实现数据级权限控制。在外部集成方面，模块提供对外部系统接口账号的权限管理能力。</w:t>
            </w:r>
            <w:r>
              <w:rPr>
                <w:rFonts w:hint="eastAsia" w:ascii="宋体" w:hAnsi="宋体" w:cs="宋体"/>
                <w:kern w:val="0"/>
                <w:sz w:val="24"/>
                <w:lang w:bidi="ar"/>
              </w:rPr>
              <w:br w:type="textWrapping"/>
            </w:r>
            <w:r>
              <w:rPr>
                <w:rFonts w:hint="eastAsia" w:ascii="宋体" w:hAnsi="宋体" w:cs="宋体"/>
                <w:kern w:val="0"/>
                <w:sz w:val="24"/>
                <w:lang w:bidi="ar"/>
              </w:rPr>
              <w:t>此外，模块具备完善的权限信息审计与导出功能，支持在系统页面上导出全局权限信息、指定权限下的已分配用户列表以及指定用户已拥有的所有权限清单，便于权限审查与运维管理。</w:t>
            </w:r>
          </w:p>
        </w:tc>
      </w:tr>
      <w:tr w14:paraId="64A9ACB6">
        <w:tblPrEx>
          <w:tblCellMar>
            <w:top w:w="0" w:type="dxa"/>
            <w:left w:w="108" w:type="dxa"/>
            <w:bottom w:w="0" w:type="dxa"/>
            <w:right w:w="108" w:type="dxa"/>
          </w:tblCellMar>
        </w:tblPrEx>
        <w:trPr>
          <w:trHeight w:val="27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1563F15">
            <w:pPr>
              <w:widowControl/>
              <w:jc w:val="center"/>
              <w:textAlignment w:val="center"/>
              <w:rPr>
                <w:rFonts w:hint="eastAsia" w:ascii="宋体" w:hAnsi="宋体" w:cs="宋体"/>
                <w:sz w:val="24"/>
              </w:rPr>
            </w:pPr>
            <w:r>
              <w:rPr>
                <w:rFonts w:hint="eastAsia" w:ascii="宋体" w:hAnsi="宋体" w:cs="宋体"/>
                <w:kern w:val="0"/>
                <w:sz w:val="24"/>
                <w:lang w:bidi="ar"/>
              </w:rPr>
              <w:t>475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4BF0FE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0D0D8F9">
            <w:pPr>
              <w:widowControl/>
              <w:jc w:val="center"/>
              <w:textAlignment w:val="center"/>
              <w:rPr>
                <w:rFonts w:hint="eastAsia" w:ascii="宋体" w:hAnsi="宋体" w:cs="宋体"/>
                <w:sz w:val="24"/>
              </w:rPr>
            </w:pPr>
            <w:r>
              <w:rPr>
                <w:rFonts w:hint="eastAsia" w:ascii="宋体" w:hAnsi="宋体" w:cs="宋体"/>
                <w:kern w:val="0"/>
                <w:sz w:val="24"/>
                <w:lang w:bidi="ar"/>
              </w:rPr>
              <w:t>统一系统配置管理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67207EB4">
            <w:pPr>
              <w:widowControl/>
              <w:textAlignment w:val="center"/>
              <w:rPr>
                <w:rFonts w:hint="eastAsia" w:ascii="宋体" w:hAnsi="宋体" w:cs="宋体"/>
                <w:sz w:val="24"/>
              </w:rPr>
            </w:pPr>
            <w:r>
              <w:rPr>
                <w:rStyle w:val="94"/>
                <w:rFonts w:hint="default"/>
                <w:color w:val="auto"/>
                <w:lang w:bidi="ar"/>
              </w:rPr>
              <w:t>统一系统配置管理模块，提供一个集中、可控的平台来维护系统的各项运行参数。</w:t>
            </w:r>
            <w:r>
              <w:rPr>
                <w:rStyle w:val="94"/>
                <w:rFonts w:hint="default"/>
                <w:color w:val="auto"/>
                <w:lang w:bidi="ar"/>
              </w:rPr>
              <w:br w:type="textWrapping"/>
            </w:r>
            <w:r>
              <w:rPr>
                <w:rStyle w:val="94"/>
                <w:rFonts w:hint="default"/>
                <w:color w:val="auto"/>
                <w:lang w:bidi="ar"/>
              </w:rPr>
              <w:t>该模块首先确保</w:t>
            </w:r>
            <w:r>
              <w:rPr>
                <w:rStyle w:val="192"/>
                <w:color w:val="auto"/>
                <w:lang w:bidi="ar"/>
              </w:rPr>
              <w:t>​​</w:t>
            </w:r>
            <w:r>
              <w:rPr>
                <w:rStyle w:val="94"/>
                <w:rFonts w:hint="default"/>
                <w:color w:val="auto"/>
                <w:lang w:bidi="ar"/>
              </w:rPr>
              <w:t>与现有配置管理功能保持一致性</w:t>
            </w:r>
            <w:r>
              <w:rPr>
                <w:rStyle w:val="192"/>
                <w:color w:val="auto"/>
                <w:lang w:bidi="ar"/>
              </w:rPr>
              <w:t>​​</w:t>
            </w:r>
            <w:r>
              <w:rPr>
                <w:rStyle w:val="94"/>
                <w:rFonts w:hint="default"/>
                <w:color w:val="auto"/>
                <w:lang w:bidi="ar"/>
              </w:rPr>
              <w:t>，实现平滑集成。在此基础上，它提供了对配置项进行全生命周期管理的能力，包括</w:t>
            </w:r>
            <w:r>
              <w:rPr>
                <w:rStyle w:val="192"/>
                <w:color w:val="auto"/>
                <w:lang w:bidi="ar"/>
              </w:rPr>
              <w:t>​​</w:t>
            </w:r>
            <w:r>
              <w:rPr>
                <w:rStyle w:val="94"/>
                <w:rFonts w:hint="default"/>
                <w:color w:val="auto"/>
                <w:lang w:bidi="ar"/>
              </w:rPr>
              <w:t>新增、修改和删除配置</w:t>
            </w:r>
            <w:r>
              <w:rPr>
                <w:rStyle w:val="192"/>
                <w:color w:val="auto"/>
                <w:lang w:bidi="ar"/>
              </w:rPr>
              <w:t>​​</w:t>
            </w:r>
            <w:r>
              <w:rPr>
                <w:rStyle w:val="94"/>
                <w:rFonts w:hint="default"/>
                <w:color w:val="auto"/>
                <w:lang w:bidi="ar"/>
              </w:rPr>
              <w:t>。此外，该模块的一个重要特性是支持</w:t>
            </w:r>
            <w:r>
              <w:rPr>
                <w:rStyle w:val="192"/>
                <w:color w:val="auto"/>
                <w:lang w:bidi="ar"/>
              </w:rPr>
              <w:t>​​</w:t>
            </w:r>
            <w:r>
              <w:rPr>
                <w:rStyle w:val="94"/>
                <w:rFonts w:hint="default"/>
                <w:color w:val="auto"/>
                <w:lang w:bidi="ar"/>
              </w:rPr>
              <w:t>配置与权限体系联动</w:t>
            </w:r>
            <w:r>
              <w:rPr>
                <w:rStyle w:val="192"/>
                <w:color w:val="auto"/>
                <w:lang w:bidi="ar"/>
              </w:rPr>
              <w:t>​​</w:t>
            </w:r>
            <w:r>
              <w:rPr>
                <w:rStyle w:val="94"/>
                <w:rFonts w:hint="default"/>
                <w:color w:val="auto"/>
                <w:lang w:bidi="ar"/>
              </w:rPr>
              <w:t>，能够根据用户的权限动态控制特定配置的生效或失效，从而实现更精细化和安全的配置管理策略。</w:t>
            </w:r>
          </w:p>
        </w:tc>
      </w:tr>
      <w:tr w14:paraId="39FCCFC2">
        <w:tblPrEx>
          <w:tblCellMar>
            <w:top w:w="0" w:type="dxa"/>
            <w:left w:w="108" w:type="dxa"/>
            <w:bottom w:w="0" w:type="dxa"/>
            <w:right w:w="108" w:type="dxa"/>
          </w:tblCellMar>
        </w:tblPrEx>
        <w:trPr>
          <w:trHeight w:val="45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C53A7F1">
            <w:pPr>
              <w:widowControl/>
              <w:jc w:val="center"/>
              <w:textAlignment w:val="center"/>
              <w:rPr>
                <w:rFonts w:hint="eastAsia" w:ascii="宋体" w:hAnsi="宋体" w:cs="宋体"/>
                <w:sz w:val="24"/>
              </w:rPr>
            </w:pPr>
            <w:r>
              <w:rPr>
                <w:rFonts w:hint="eastAsia" w:ascii="宋体" w:hAnsi="宋体" w:cs="宋体"/>
                <w:kern w:val="0"/>
                <w:sz w:val="24"/>
                <w:lang w:bidi="ar"/>
              </w:rPr>
              <w:t>476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05EC2F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E6B0FBF">
            <w:pPr>
              <w:widowControl/>
              <w:jc w:val="center"/>
              <w:textAlignment w:val="center"/>
              <w:rPr>
                <w:rFonts w:hint="eastAsia" w:ascii="宋体" w:hAnsi="宋体" w:cs="宋体"/>
                <w:sz w:val="24"/>
              </w:rPr>
            </w:pPr>
            <w:r>
              <w:rPr>
                <w:rFonts w:hint="eastAsia" w:ascii="宋体" w:hAnsi="宋体" w:cs="宋体"/>
                <w:kern w:val="0"/>
                <w:sz w:val="24"/>
                <w:lang w:bidi="ar"/>
              </w:rPr>
              <w:t>统一日志与监控管理</w:t>
            </w:r>
          </w:p>
        </w:tc>
        <w:tc>
          <w:tcPr>
            <w:tcW w:w="9687" w:type="dxa"/>
            <w:tcBorders>
              <w:top w:val="single" w:color="000000" w:sz="4" w:space="0"/>
              <w:left w:val="single" w:color="000000" w:sz="4" w:space="0"/>
              <w:bottom w:val="single" w:color="000000" w:sz="4" w:space="0"/>
              <w:right w:val="single" w:color="000000" w:sz="4" w:space="0"/>
            </w:tcBorders>
            <w:vAlign w:val="center"/>
          </w:tcPr>
          <w:p w14:paraId="0C47CFD5">
            <w:pPr>
              <w:widowControl/>
              <w:textAlignment w:val="center"/>
              <w:rPr>
                <w:rFonts w:hint="eastAsia" w:ascii="宋体" w:hAnsi="宋体" w:cs="宋体"/>
                <w:sz w:val="24"/>
              </w:rPr>
            </w:pPr>
            <w:r>
              <w:rPr>
                <w:rFonts w:hint="eastAsia" w:ascii="宋体" w:hAnsi="宋体" w:cs="宋体"/>
                <w:kern w:val="0"/>
                <w:sz w:val="24"/>
                <w:lang w:bidi="ar"/>
              </w:rPr>
              <w:t>统一日志与监控管理模块，可以构建一个集中、可追溯的安全审计中心。</w:t>
            </w:r>
            <w:r>
              <w:rPr>
                <w:rFonts w:hint="eastAsia" w:ascii="宋体" w:hAnsi="宋体" w:cs="宋体"/>
                <w:kern w:val="0"/>
                <w:sz w:val="24"/>
                <w:lang w:bidi="ar"/>
              </w:rPr>
              <w:br w:type="textWrapping"/>
            </w:r>
            <w:r>
              <w:rPr>
                <w:rFonts w:hint="eastAsia" w:ascii="宋体" w:hAnsi="宋体" w:cs="宋体"/>
                <w:kern w:val="0"/>
                <w:sz w:val="24"/>
                <w:lang w:bidi="ar"/>
              </w:rPr>
              <w:t>该模块首先确保新建模块的操作日志功能与现有体系保持一致。所有模块的操作日志将按业务逻辑进行处理，并最终汇总在一个统一的入口页面进行集中展示。</w:t>
            </w:r>
            <w:r>
              <w:rPr>
                <w:rFonts w:hint="eastAsia" w:ascii="宋体" w:hAnsi="宋体" w:cs="宋体"/>
                <w:kern w:val="0"/>
                <w:sz w:val="24"/>
                <w:lang w:bidi="ar"/>
              </w:rPr>
              <w:br w:type="textWrapping"/>
            </w:r>
            <w:r>
              <w:rPr>
                <w:rFonts w:hint="eastAsia" w:ascii="宋体" w:hAnsi="宋体" w:cs="宋体"/>
                <w:kern w:val="0"/>
                <w:sz w:val="24"/>
                <w:lang w:bidi="ar"/>
              </w:rPr>
              <w:t>在查询分析方面，系统支持灵活的日志检索：既可根据姓名、证件号码等条件精确定位特定个案的操作记录，也可按操作单位、操作时间等维度进行批量查询。所有操作日志及账号监控信息均支持导出，便于离线审计与分析。</w:t>
            </w:r>
            <w:r>
              <w:rPr>
                <w:rFonts w:hint="eastAsia" w:ascii="宋体" w:hAnsi="宋体" w:cs="宋体"/>
                <w:kern w:val="0"/>
                <w:sz w:val="24"/>
                <w:lang w:bidi="ar"/>
              </w:rPr>
              <w:br w:type="textWrapping"/>
            </w:r>
            <w:r>
              <w:rPr>
                <w:rFonts w:hint="eastAsia" w:ascii="宋体" w:hAnsi="宋体" w:cs="宋体"/>
                <w:kern w:val="0"/>
                <w:sz w:val="24"/>
                <w:lang w:bidi="ar"/>
              </w:rPr>
              <w:t>该模块还对用户行为进行全方位监控，记录的关键信息包括操作IP、操作时间、操作模块、操作内容、用户名、登录/退出时间、用户类型、所在单位及地区等，为安全事件追溯和用户行为分析提供完整的数据支撑。</w:t>
            </w:r>
          </w:p>
        </w:tc>
      </w:tr>
      <w:tr w14:paraId="0931BF60">
        <w:tblPrEx>
          <w:tblCellMar>
            <w:top w:w="0" w:type="dxa"/>
            <w:left w:w="108" w:type="dxa"/>
            <w:bottom w:w="0" w:type="dxa"/>
            <w:right w:w="108" w:type="dxa"/>
          </w:tblCellMar>
        </w:tblPrEx>
        <w:trPr>
          <w:trHeight w:val="294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2BB13DA">
            <w:pPr>
              <w:widowControl/>
              <w:jc w:val="center"/>
              <w:textAlignment w:val="center"/>
              <w:rPr>
                <w:rFonts w:hint="eastAsia" w:ascii="宋体" w:hAnsi="宋体" w:cs="宋体"/>
                <w:sz w:val="24"/>
              </w:rPr>
            </w:pPr>
            <w:r>
              <w:rPr>
                <w:rFonts w:hint="eastAsia" w:ascii="宋体" w:hAnsi="宋体" w:cs="宋体"/>
                <w:kern w:val="0"/>
                <w:sz w:val="24"/>
                <w:lang w:bidi="ar"/>
              </w:rPr>
              <w:t>477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F56BE2">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B38A733">
            <w:pPr>
              <w:widowControl/>
              <w:jc w:val="center"/>
              <w:textAlignment w:val="center"/>
              <w:rPr>
                <w:rFonts w:hint="eastAsia" w:ascii="宋体" w:hAnsi="宋体" w:cs="宋体"/>
                <w:sz w:val="24"/>
              </w:rPr>
            </w:pPr>
            <w:r>
              <w:rPr>
                <w:rFonts w:hint="eastAsia" w:ascii="宋体" w:hAnsi="宋体" w:cs="宋体"/>
                <w:kern w:val="0"/>
                <w:sz w:val="24"/>
                <w:lang w:bidi="ar"/>
              </w:rPr>
              <w:t>对接日志</w:t>
            </w:r>
          </w:p>
        </w:tc>
        <w:tc>
          <w:tcPr>
            <w:tcW w:w="9687" w:type="dxa"/>
            <w:tcBorders>
              <w:top w:val="single" w:color="000000" w:sz="4" w:space="0"/>
              <w:left w:val="single" w:color="000000" w:sz="4" w:space="0"/>
              <w:bottom w:val="single" w:color="000000" w:sz="4" w:space="0"/>
              <w:right w:val="single" w:color="000000" w:sz="4" w:space="0"/>
            </w:tcBorders>
            <w:vAlign w:val="center"/>
          </w:tcPr>
          <w:p w14:paraId="27733129">
            <w:pPr>
              <w:widowControl/>
              <w:textAlignment w:val="center"/>
              <w:rPr>
                <w:rFonts w:hint="eastAsia" w:ascii="宋体" w:hAnsi="宋体" w:cs="宋体"/>
                <w:sz w:val="24"/>
              </w:rPr>
            </w:pPr>
            <w:r>
              <w:rPr>
                <w:rStyle w:val="94"/>
                <w:rFonts w:hint="default"/>
                <w:color w:val="auto"/>
                <w:lang w:bidi="ar"/>
              </w:rPr>
              <w:t>对接日志模块，实现系统与外部系统的所有交互行为进行全链路、可视化的监控与审计。该模块的核心功能是详细记录每一次接口调用的完整信息，包括对接单位、对接模块、数据源、调用状态等元数据，并具体记录接口</w:t>
            </w:r>
            <w:r>
              <w:rPr>
                <w:rStyle w:val="192"/>
                <w:color w:val="auto"/>
                <w:lang w:bidi="ar"/>
              </w:rPr>
              <w:t>​​</w:t>
            </w:r>
            <w:r>
              <w:rPr>
                <w:rStyle w:val="94"/>
                <w:rFonts w:hint="default"/>
                <w:color w:val="auto"/>
                <w:lang w:bidi="ar"/>
              </w:rPr>
              <w:t>调用时传出的详细数据</w:t>
            </w:r>
            <w:r>
              <w:rPr>
                <w:rStyle w:val="192"/>
                <w:color w:val="auto"/>
                <w:lang w:bidi="ar"/>
              </w:rPr>
              <w:t>​​</w:t>
            </w:r>
            <w:r>
              <w:rPr>
                <w:rStyle w:val="94"/>
                <w:rFonts w:hint="default"/>
                <w:color w:val="auto"/>
                <w:lang w:bidi="ar"/>
              </w:rPr>
              <w:t>以及</w:t>
            </w:r>
            <w:r>
              <w:rPr>
                <w:rStyle w:val="192"/>
                <w:color w:val="auto"/>
                <w:lang w:bidi="ar"/>
              </w:rPr>
              <w:t>​​</w:t>
            </w:r>
            <w:r>
              <w:rPr>
                <w:rStyle w:val="94"/>
                <w:rFonts w:hint="default"/>
                <w:color w:val="auto"/>
                <w:lang w:bidi="ar"/>
              </w:rPr>
              <w:t>获取时传入的详细数据</w:t>
            </w:r>
            <w:r>
              <w:rPr>
                <w:rStyle w:val="192"/>
                <w:color w:val="auto"/>
                <w:lang w:bidi="ar"/>
              </w:rPr>
              <w:t>​​</w:t>
            </w:r>
            <w:r>
              <w:rPr>
                <w:rStyle w:val="94"/>
                <w:rFonts w:hint="default"/>
                <w:color w:val="auto"/>
                <w:lang w:bidi="ar"/>
              </w:rPr>
              <w:t>，形成双向数据流日志。所有交互日志与接口异常时的监控信息均通过统一的</w:t>
            </w:r>
            <w:r>
              <w:rPr>
                <w:rStyle w:val="192"/>
                <w:color w:val="auto"/>
                <w:lang w:bidi="ar"/>
              </w:rPr>
              <w:t>​​</w:t>
            </w:r>
            <w:r>
              <w:rPr>
                <w:rStyle w:val="94"/>
                <w:rFonts w:hint="default"/>
                <w:color w:val="auto"/>
                <w:lang w:bidi="ar"/>
              </w:rPr>
              <w:t>对接日志管理页面</w:t>
            </w:r>
            <w:r>
              <w:rPr>
                <w:rStyle w:val="192"/>
                <w:color w:val="auto"/>
                <w:lang w:bidi="ar"/>
              </w:rPr>
              <w:t>​​</w:t>
            </w:r>
            <w:r>
              <w:rPr>
                <w:rStyle w:val="94"/>
                <w:rFonts w:hint="default"/>
                <w:color w:val="auto"/>
                <w:lang w:bidi="ar"/>
              </w:rPr>
              <w:t>进行集中展示、查询，并支持导出功能，以便于问题排查、安全审计与性能分析。</w:t>
            </w:r>
          </w:p>
        </w:tc>
      </w:tr>
      <w:tr w14:paraId="7DF5625B">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487724E">
            <w:pPr>
              <w:widowControl/>
              <w:jc w:val="center"/>
              <w:textAlignment w:val="center"/>
              <w:rPr>
                <w:rFonts w:hint="eastAsia" w:ascii="宋体" w:hAnsi="宋体" w:cs="宋体"/>
                <w:sz w:val="24"/>
              </w:rPr>
            </w:pPr>
            <w:r>
              <w:rPr>
                <w:rFonts w:hint="eastAsia" w:ascii="宋体" w:hAnsi="宋体" w:cs="宋体"/>
                <w:kern w:val="0"/>
                <w:sz w:val="24"/>
                <w:lang w:bidi="ar"/>
              </w:rPr>
              <w:t>479</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6B390F85">
            <w:pPr>
              <w:widowControl/>
              <w:jc w:val="center"/>
              <w:textAlignment w:val="center"/>
              <w:rPr>
                <w:rFonts w:hint="eastAsia" w:ascii="宋体" w:hAnsi="宋体" w:cs="宋体"/>
                <w:sz w:val="24"/>
              </w:rPr>
            </w:pPr>
            <w:r>
              <w:rPr>
                <w:rFonts w:hint="eastAsia" w:ascii="宋体" w:hAnsi="宋体" w:cs="宋体"/>
                <w:kern w:val="0"/>
                <w:sz w:val="24"/>
                <w:lang w:bidi="ar"/>
              </w:rPr>
              <w:t>系统安全设计</w:t>
            </w:r>
          </w:p>
        </w:tc>
        <w:tc>
          <w:tcPr>
            <w:tcW w:w="1313" w:type="dxa"/>
            <w:tcBorders>
              <w:top w:val="single" w:color="000000" w:sz="4" w:space="0"/>
              <w:left w:val="single" w:color="000000" w:sz="4" w:space="0"/>
              <w:bottom w:val="single" w:color="000000" w:sz="4" w:space="0"/>
              <w:right w:val="single" w:color="000000" w:sz="4" w:space="0"/>
            </w:tcBorders>
            <w:vAlign w:val="center"/>
          </w:tcPr>
          <w:p w14:paraId="071564D2">
            <w:pPr>
              <w:widowControl/>
              <w:jc w:val="center"/>
              <w:textAlignment w:val="center"/>
              <w:rPr>
                <w:rFonts w:hint="eastAsia" w:ascii="宋体" w:hAnsi="宋体" w:cs="宋体"/>
                <w:sz w:val="24"/>
              </w:rPr>
            </w:pPr>
            <w:r>
              <w:rPr>
                <w:rFonts w:hint="eastAsia" w:ascii="宋体" w:hAnsi="宋体" w:cs="宋体"/>
                <w:kern w:val="0"/>
                <w:sz w:val="24"/>
                <w:lang w:bidi="ar"/>
              </w:rPr>
              <w:t>系统访问控制</w:t>
            </w:r>
          </w:p>
        </w:tc>
        <w:tc>
          <w:tcPr>
            <w:tcW w:w="9687" w:type="dxa"/>
            <w:tcBorders>
              <w:top w:val="single" w:color="000000" w:sz="4" w:space="0"/>
              <w:left w:val="single" w:color="000000" w:sz="4" w:space="0"/>
              <w:bottom w:val="single" w:color="000000" w:sz="4" w:space="0"/>
              <w:right w:val="single" w:color="000000" w:sz="4" w:space="0"/>
            </w:tcBorders>
            <w:vAlign w:val="center"/>
          </w:tcPr>
          <w:p w14:paraId="5AC9775F">
            <w:pPr>
              <w:widowControl/>
              <w:textAlignment w:val="center"/>
              <w:rPr>
                <w:rFonts w:hint="eastAsia" w:ascii="宋体" w:hAnsi="宋体" w:cs="宋体"/>
                <w:sz w:val="24"/>
              </w:rPr>
            </w:pPr>
            <w:r>
              <w:rPr>
                <w:rFonts w:hint="eastAsia" w:ascii="宋体" w:hAnsi="宋体" w:cs="宋体"/>
                <w:kern w:val="0"/>
                <w:sz w:val="24"/>
                <w:lang w:bidi="ar"/>
              </w:rPr>
              <w:t>系统实现严格的访问控制：首先，系统执行身份认证机制，确保所有访问均需经过身份识别与验证；其次，遵循最小权限原则，用户仅被授予完成特定任务所必需的最小访问权限；第三，权限分配按需审批，依据用户实际工作需求进行授权，防止权限过度赋予；第四，采用默认拒绝策略，即未经明确许可的访问一律禁止；最后，针对外部接口，系统将根据对接功能严格限制接口的授权范围，以防范未授权访问风险。</w:t>
            </w:r>
          </w:p>
        </w:tc>
      </w:tr>
      <w:tr w14:paraId="7C5C0149">
        <w:tblPrEx>
          <w:tblCellMar>
            <w:top w:w="0" w:type="dxa"/>
            <w:left w:w="108" w:type="dxa"/>
            <w:bottom w:w="0" w:type="dxa"/>
            <w:right w:w="108" w:type="dxa"/>
          </w:tblCellMar>
        </w:tblPrEx>
        <w:trPr>
          <w:trHeight w:val="486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9CB3E03">
            <w:pPr>
              <w:widowControl/>
              <w:jc w:val="center"/>
              <w:textAlignment w:val="center"/>
              <w:rPr>
                <w:rFonts w:hint="eastAsia" w:ascii="宋体" w:hAnsi="宋体" w:cs="宋体"/>
                <w:sz w:val="24"/>
              </w:rPr>
            </w:pPr>
            <w:r>
              <w:rPr>
                <w:rFonts w:hint="eastAsia" w:ascii="宋体" w:hAnsi="宋体" w:cs="宋体"/>
                <w:kern w:val="0"/>
                <w:sz w:val="24"/>
                <w:lang w:bidi="ar"/>
              </w:rPr>
              <w:t>480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1516C3C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5622042">
            <w:pPr>
              <w:widowControl/>
              <w:jc w:val="center"/>
              <w:textAlignment w:val="center"/>
              <w:rPr>
                <w:rFonts w:hint="eastAsia" w:ascii="宋体" w:hAnsi="宋体" w:cs="宋体"/>
                <w:sz w:val="24"/>
              </w:rPr>
            </w:pPr>
            <w:r>
              <w:rPr>
                <w:rFonts w:hint="eastAsia" w:ascii="宋体" w:hAnsi="宋体" w:cs="宋体"/>
                <w:kern w:val="0"/>
                <w:sz w:val="24"/>
                <w:lang w:bidi="ar"/>
              </w:rPr>
              <w:t>系统安全配置要求</w:t>
            </w:r>
          </w:p>
        </w:tc>
        <w:tc>
          <w:tcPr>
            <w:tcW w:w="9687" w:type="dxa"/>
            <w:tcBorders>
              <w:top w:val="single" w:color="000000" w:sz="4" w:space="0"/>
              <w:left w:val="single" w:color="000000" w:sz="4" w:space="0"/>
              <w:bottom w:val="single" w:color="000000" w:sz="4" w:space="0"/>
              <w:right w:val="single" w:color="000000" w:sz="4" w:space="0"/>
            </w:tcBorders>
            <w:vAlign w:val="center"/>
          </w:tcPr>
          <w:p w14:paraId="407C51D4">
            <w:pPr>
              <w:widowControl/>
              <w:textAlignment w:val="center"/>
              <w:rPr>
                <w:rFonts w:hint="eastAsia" w:ascii="宋体" w:hAnsi="宋体" w:cs="宋体"/>
                <w:sz w:val="24"/>
              </w:rPr>
            </w:pPr>
            <w:r>
              <w:rPr>
                <w:rStyle w:val="94"/>
                <w:rFonts w:hint="default"/>
                <w:color w:val="auto"/>
                <w:lang w:bidi="ar"/>
              </w:rPr>
              <w:t>系统安全配置要求模块，是通过一系列细化的策略和机制来强化系统基础安全。该模块首先通过</w:t>
            </w:r>
            <w:r>
              <w:rPr>
                <w:rStyle w:val="192"/>
                <w:color w:val="auto"/>
                <w:lang w:bidi="ar"/>
              </w:rPr>
              <w:t>​​</w:t>
            </w:r>
            <w:r>
              <w:rPr>
                <w:rStyle w:val="94"/>
                <w:rFonts w:hint="default"/>
                <w:color w:val="auto"/>
                <w:lang w:bidi="ar"/>
              </w:rPr>
              <w:t>账号口令策略管理</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系统账号注册、重置、强制修改及长期未登录等配置</w:t>
            </w:r>
            <w:r>
              <w:rPr>
                <w:rStyle w:val="192"/>
                <w:color w:val="auto"/>
                <w:lang w:bidi="ar"/>
              </w:rPr>
              <w:t>​​</w:t>
            </w:r>
            <w:r>
              <w:rPr>
                <w:rStyle w:val="94"/>
                <w:rFonts w:hint="default"/>
                <w:color w:val="auto"/>
                <w:lang w:bidi="ar"/>
              </w:rPr>
              <w:t>，确保账号和口令的全生命周期符合安全标准，例如强制使用复杂随机密码、设置登录时限和自动停用机制。其次，通过</w:t>
            </w:r>
            <w:r>
              <w:rPr>
                <w:rStyle w:val="192"/>
                <w:color w:val="auto"/>
                <w:lang w:bidi="ar"/>
              </w:rPr>
              <w:t>​​</w:t>
            </w:r>
            <w:r>
              <w:rPr>
                <w:rStyle w:val="94"/>
                <w:rFonts w:hint="default"/>
                <w:color w:val="auto"/>
                <w:lang w:bidi="ar"/>
              </w:rPr>
              <w:t>会话安全管理</w:t>
            </w:r>
            <w:r>
              <w:rPr>
                <w:rStyle w:val="192"/>
                <w:color w:val="auto"/>
                <w:lang w:bidi="ar"/>
              </w:rPr>
              <w:t>​​</w:t>
            </w:r>
            <w:r>
              <w:rPr>
                <w:rStyle w:val="94"/>
                <w:rFonts w:hint="default"/>
                <w:color w:val="auto"/>
                <w:lang w:bidi="ar"/>
              </w:rPr>
              <w:t>设定超时和锁屏策略，并通过</w:t>
            </w:r>
            <w:r>
              <w:rPr>
                <w:rStyle w:val="192"/>
                <w:color w:val="auto"/>
                <w:lang w:bidi="ar"/>
              </w:rPr>
              <w:t>​​</w:t>
            </w:r>
            <w:r>
              <w:rPr>
                <w:rStyle w:val="94"/>
                <w:rFonts w:hint="default"/>
                <w:color w:val="auto"/>
                <w:lang w:bidi="ar"/>
              </w:rPr>
              <w:t>系统文件访问控制策略</w:t>
            </w:r>
            <w:r>
              <w:rPr>
                <w:rStyle w:val="192"/>
                <w:color w:val="auto"/>
                <w:lang w:bidi="ar"/>
              </w:rPr>
              <w:t>​​</w:t>
            </w:r>
            <w:r>
              <w:rPr>
                <w:rStyle w:val="94"/>
                <w:rFonts w:hint="default"/>
                <w:color w:val="auto"/>
                <w:lang w:bidi="ar"/>
              </w:rPr>
              <w:t>和</w:t>
            </w:r>
            <w:r>
              <w:rPr>
                <w:rStyle w:val="192"/>
                <w:color w:val="auto"/>
                <w:lang w:bidi="ar"/>
              </w:rPr>
              <w:t>​​</w:t>
            </w:r>
            <w:r>
              <w:rPr>
                <w:rStyle w:val="94"/>
                <w:rFonts w:hint="default"/>
                <w:color w:val="auto"/>
                <w:lang w:bidi="ar"/>
              </w:rPr>
              <w:t>系统服务开关策略管理</w:t>
            </w:r>
            <w:r>
              <w:rPr>
                <w:rStyle w:val="192"/>
                <w:color w:val="auto"/>
                <w:lang w:bidi="ar"/>
              </w:rPr>
              <w:t>​​</w:t>
            </w:r>
            <w:r>
              <w:rPr>
                <w:rStyle w:val="94"/>
                <w:rFonts w:hint="default"/>
                <w:color w:val="auto"/>
                <w:lang w:bidi="ar"/>
              </w:rPr>
              <w:t>，禁用不安全登录程序和服务，减少攻击面。同时，模块实施</w:t>
            </w:r>
            <w:r>
              <w:rPr>
                <w:rStyle w:val="192"/>
                <w:color w:val="auto"/>
                <w:lang w:bidi="ar"/>
              </w:rPr>
              <w:t>​​</w:t>
            </w:r>
            <w:r>
              <w:rPr>
                <w:rStyle w:val="94"/>
                <w:rFonts w:hint="default"/>
                <w:color w:val="auto"/>
                <w:lang w:bidi="ar"/>
              </w:rPr>
              <w:t>系统文件访问控制</w:t>
            </w:r>
            <w:r>
              <w:rPr>
                <w:rStyle w:val="192"/>
                <w:color w:val="auto"/>
                <w:lang w:bidi="ar"/>
              </w:rPr>
              <w:t>​​</w:t>
            </w:r>
            <w:r>
              <w:rPr>
                <w:rStyle w:val="94"/>
                <w:rFonts w:hint="default"/>
                <w:color w:val="auto"/>
                <w:lang w:bidi="ar"/>
              </w:rPr>
              <w:t>以保护文件安全，并建立</w:t>
            </w:r>
            <w:r>
              <w:rPr>
                <w:rStyle w:val="192"/>
                <w:color w:val="auto"/>
                <w:lang w:bidi="ar"/>
              </w:rPr>
              <w:t>​​</w:t>
            </w:r>
            <w:r>
              <w:rPr>
                <w:rStyle w:val="94"/>
                <w:rFonts w:hint="default"/>
                <w:color w:val="auto"/>
                <w:lang w:bidi="ar"/>
              </w:rPr>
              <w:t>恶意软件防护策略</w:t>
            </w:r>
            <w:r>
              <w:rPr>
                <w:rStyle w:val="192"/>
                <w:color w:val="auto"/>
                <w:lang w:bidi="ar"/>
              </w:rPr>
              <w:t>​​</w:t>
            </w:r>
            <w:r>
              <w:rPr>
                <w:rStyle w:val="94"/>
                <w:rFonts w:hint="default"/>
                <w:color w:val="auto"/>
                <w:lang w:bidi="ar"/>
              </w:rPr>
              <w:t>。为主动发现风险，模块还配置了</w:t>
            </w:r>
            <w:r>
              <w:rPr>
                <w:rStyle w:val="192"/>
                <w:color w:val="auto"/>
                <w:lang w:bidi="ar"/>
              </w:rPr>
              <w:t>​​</w:t>
            </w:r>
            <w:r>
              <w:rPr>
                <w:rStyle w:val="94"/>
                <w:rFonts w:hint="default"/>
                <w:color w:val="auto"/>
                <w:lang w:bidi="ar"/>
              </w:rPr>
              <w:t>安全扫描机制</w:t>
            </w:r>
            <w:r>
              <w:rPr>
                <w:rStyle w:val="192"/>
                <w:color w:val="auto"/>
                <w:lang w:bidi="ar"/>
              </w:rPr>
              <w:t>​​</w:t>
            </w:r>
            <w:r>
              <w:rPr>
                <w:rStyle w:val="94"/>
                <w:rFonts w:hint="default"/>
                <w:color w:val="auto"/>
                <w:lang w:bidi="ar"/>
              </w:rPr>
              <w:t>。最后，通过精细的</w:t>
            </w:r>
            <w:r>
              <w:rPr>
                <w:rStyle w:val="192"/>
                <w:color w:val="auto"/>
                <w:lang w:bidi="ar"/>
              </w:rPr>
              <w:t>​​</w:t>
            </w:r>
            <w:r>
              <w:rPr>
                <w:rStyle w:val="94"/>
                <w:rFonts w:hint="default"/>
                <w:color w:val="auto"/>
                <w:lang w:bidi="ar"/>
              </w:rPr>
              <w:t>系统账号登录IP白名单与黑名单配置</w:t>
            </w:r>
            <w:r>
              <w:rPr>
                <w:rStyle w:val="192"/>
                <w:color w:val="auto"/>
                <w:lang w:bidi="ar"/>
              </w:rPr>
              <w:t>​​</w:t>
            </w:r>
            <w:r>
              <w:rPr>
                <w:rStyle w:val="94"/>
                <w:rFonts w:hint="default"/>
                <w:color w:val="auto"/>
                <w:lang w:bidi="ar"/>
              </w:rPr>
              <w:t>，对登录源IP进行严格的访问控制，从而构建多层次、主动式的纵深防御体系。</w:t>
            </w:r>
          </w:p>
        </w:tc>
      </w:tr>
      <w:tr w14:paraId="5261A309">
        <w:tblPrEx>
          <w:tblCellMar>
            <w:top w:w="0" w:type="dxa"/>
            <w:left w:w="108" w:type="dxa"/>
            <w:bottom w:w="0" w:type="dxa"/>
            <w:right w:w="108" w:type="dxa"/>
          </w:tblCellMar>
        </w:tblPrEx>
        <w:trPr>
          <w:trHeight w:val="537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0AA5476">
            <w:pPr>
              <w:widowControl/>
              <w:jc w:val="center"/>
              <w:textAlignment w:val="center"/>
              <w:rPr>
                <w:rFonts w:hint="eastAsia" w:ascii="宋体" w:hAnsi="宋体" w:cs="宋体"/>
                <w:sz w:val="24"/>
              </w:rPr>
            </w:pPr>
            <w:r>
              <w:rPr>
                <w:rFonts w:hint="eastAsia" w:ascii="宋体" w:hAnsi="宋体" w:cs="宋体"/>
                <w:kern w:val="0"/>
                <w:sz w:val="24"/>
                <w:lang w:bidi="ar"/>
              </w:rPr>
              <w:t>481</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177385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5B8423B">
            <w:pPr>
              <w:widowControl/>
              <w:jc w:val="center"/>
              <w:textAlignment w:val="center"/>
              <w:rPr>
                <w:rFonts w:hint="eastAsia" w:ascii="宋体" w:hAnsi="宋体" w:cs="宋体"/>
                <w:sz w:val="24"/>
              </w:rPr>
            </w:pPr>
            <w:r>
              <w:rPr>
                <w:rFonts w:hint="eastAsia" w:ascii="宋体" w:hAnsi="宋体" w:cs="宋体"/>
                <w:kern w:val="0"/>
                <w:sz w:val="24"/>
                <w:lang w:bidi="ar"/>
              </w:rPr>
              <w:t>数据库配置安全要求</w:t>
            </w:r>
          </w:p>
        </w:tc>
        <w:tc>
          <w:tcPr>
            <w:tcW w:w="9687" w:type="dxa"/>
            <w:tcBorders>
              <w:top w:val="single" w:color="000000" w:sz="4" w:space="0"/>
              <w:left w:val="single" w:color="000000" w:sz="4" w:space="0"/>
              <w:bottom w:val="single" w:color="000000" w:sz="4" w:space="0"/>
              <w:right w:val="single" w:color="000000" w:sz="4" w:space="0"/>
            </w:tcBorders>
            <w:vAlign w:val="center"/>
          </w:tcPr>
          <w:p w14:paraId="68D1C439">
            <w:pPr>
              <w:widowControl/>
              <w:textAlignment w:val="center"/>
              <w:rPr>
                <w:rFonts w:hint="eastAsia" w:ascii="宋体" w:hAnsi="宋体" w:cs="宋体"/>
                <w:sz w:val="24"/>
              </w:rPr>
            </w:pPr>
            <w:r>
              <w:rPr>
                <w:rStyle w:val="94"/>
                <w:rFonts w:hint="default"/>
                <w:color w:val="auto"/>
                <w:lang w:bidi="ar"/>
              </w:rPr>
              <w:t>数据库配置安全要求模块，在从权限、认证、网络、数据保护及自身加固等多个层面构建全面的数据库安全防护体系。</w:t>
            </w:r>
            <w:r>
              <w:rPr>
                <w:rStyle w:val="94"/>
                <w:rFonts w:hint="default"/>
                <w:color w:val="auto"/>
                <w:lang w:bidi="ar"/>
              </w:rPr>
              <w:br w:type="textWrapping"/>
            </w:r>
            <w:r>
              <w:rPr>
                <w:rStyle w:val="94"/>
                <w:rFonts w:hint="default"/>
                <w:color w:val="auto"/>
                <w:lang w:bidi="ar"/>
              </w:rPr>
              <w:t>首先严格遵循</w:t>
            </w:r>
            <w:r>
              <w:rPr>
                <w:rStyle w:val="192"/>
                <w:color w:val="auto"/>
                <w:lang w:bidi="ar"/>
              </w:rPr>
              <w:t>​​</w:t>
            </w:r>
            <w:r>
              <w:rPr>
                <w:rStyle w:val="94"/>
                <w:rFonts w:hint="default"/>
                <w:color w:val="auto"/>
                <w:lang w:bidi="ar"/>
              </w:rPr>
              <w:t>最小权限原则</w:t>
            </w:r>
            <w:r>
              <w:rPr>
                <w:rStyle w:val="192"/>
                <w:color w:val="auto"/>
                <w:lang w:bidi="ar"/>
              </w:rPr>
              <w:t>​​</w:t>
            </w:r>
            <w:r>
              <w:rPr>
                <w:rStyle w:val="94"/>
                <w:rFonts w:hint="default"/>
                <w:color w:val="auto"/>
                <w:lang w:bidi="ar"/>
              </w:rPr>
              <w:t>，规定DBA账号仅用于管理而禁止用于应用系统，并为外部接口需求创建的数据库账号授予其所需的最小权限。其次，实施</w:t>
            </w:r>
            <w:r>
              <w:rPr>
                <w:rStyle w:val="192"/>
                <w:color w:val="auto"/>
                <w:lang w:bidi="ar"/>
              </w:rPr>
              <w:t>​​</w:t>
            </w:r>
            <w:r>
              <w:rPr>
                <w:rStyle w:val="94"/>
                <w:rFonts w:hint="default"/>
                <w:color w:val="auto"/>
                <w:lang w:bidi="ar"/>
              </w:rPr>
              <w:t>强制认证机制</w:t>
            </w:r>
            <w:r>
              <w:rPr>
                <w:rStyle w:val="192"/>
                <w:color w:val="auto"/>
                <w:lang w:bidi="ar"/>
              </w:rPr>
              <w:t>​​</w:t>
            </w:r>
            <w:r>
              <w:rPr>
                <w:rStyle w:val="94"/>
                <w:rFonts w:hint="default"/>
                <w:color w:val="auto"/>
                <w:lang w:bidi="ar"/>
              </w:rPr>
              <w:t>，制定严格的数据库密码策略（如长度≥12位、需包含多种字符类型、90天强制更换等）。在网络层面，通过</w:t>
            </w:r>
            <w:r>
              <w:rPr>
                <w:rStyle w:val="192"/>
                <w:color w:val="auto"/>
                <w:lang w:bidi="ar"/>
              </w:rPr>
              <w:t>​​</w:t>
            </w:r>
            <w:r>
              <w:rPr>
                <w:rStyle w:val="94"/>
                <w:rFonts w:hint="default"/>
                <w:color w:val="auto"/>
                <w:lang w:bidi="ar"/>
              </w:rPr>
              <w:t>数据库网络隔离配置</w:t>
            </w:r>
            <w:r>
              <w:rPr>
                <w:rStyle w:val="192"/>
                <w:color w:val="auto"/>
                <w:lang w:bidi="ar"/>
              </w:rPr>
              <w:t>​​</w:t>
            </w:r>
            <w:r>
              <w:rPr>
                <w:rStyle w:val="94"/>
                <w:rFonts w:hint="default"/>
                <w:color w:val="auto"/>
                <w:lang w:bidi="ar"/>
              </w:rPr>
              <w:t>禁止公网直连，仅允许白名单IP（如应用服务器、运维终端）访问。在数据保护方面，要求对静态数据加密并对敏感字段进行应用层加密，同时在传输过程中</w:t>
            </w:r>
            <w:r>
              <w:rPr>
                <w:rStyle w:val="192"/>
                <w:color w:val="auto"/>
                <w:lang w:bidi="ar"/>
              </w:rPr>
              <w:t>​​</w:t>
            </w:r>
            <w:r>
              <w:rPr>
                <w:rStyle w:val="94"/>
                <w:rFonts w:hint="default"/>
                <w:color w:val="auto"/>
                <w:lang w:bidi="ar"/>
              </w:rPr>
              <w:t>强制使用TLS 1.2及以上版本并配置证书双向验证</w:t>
            </w:r>
            <w:r>
              <w:rPr>
                <w:rStyle w:val="192"/>
                <w:color w:val="auto"/>
                <w:lang w:bidi="ar"/>
              </w:rPr>
              <w:t>​​</w:t>
            </w:r>
            <w:r>
              <w:rPr>
                <w:rStyle w:val="94"/>
                <w:rFonts w:hint="default"/>
                <w:color w:val="auto"/>
                <w:lang w:bidi="ar"/>
              </w:rPr>
              <w:t>以保障数据传输安全。最后，模块还强调数据库自身的</w:t>
            </w:r>
            <w:r>
              <w:rPr>
                <w:rStyle w:val="192"/>
                <w:color w:val="auto"/>
                <w:lang w:bidi="ar"/>
              </w:rPr>
              <w:t>​​</w:t>
            </w:r>
            <w:r>
              <w:rPr>
                <w:rStyle w:val="94"/>
                <w:rFonts w:hint="default"/>
                <w:color w:val="auto"/>
                <w:lang w:bidi="ar"/>
              </w:rPr>
              <w:t>安全加固</w:t>
            </w:r>
            <w:r>
              <w:rPr>
                <w:rStyle w:val="192"/>
                <w:color w:val="auto"/>
                <w:lang w:bidi="ar"/>
              </w:rPr>
              <w:t>​​</w:t>
            </w:r>
            <w:r>
              <w:rPr>
                <w:rStyle w:val="94"/>
                <w:rFonts w:hint="default"/>
                <w:color w:val="auto"/>
                <w:lang w:bidi="ar"/>
              </w:rPr>
              <w:t>，包括删除不必要的默认用户、示例数据库及危险默认文件，并禁用高风险或不必要的存储过程，以最大限度地减少潜在攻击面。</w:t>
            </w:r>
          </w:p>
        </w:tc>
      </w:tr>
      <w:tr w14:paraId="20D19585">
        <w:tblPrEx>
          <w:tblCellMar>
            <w:top w:w="0" w:type="dxa"/>
            <w:left w:w="108" w:type="dxa"/>
            <w:bottom w:w="0" w:type="dxa"/>
            <w:right w:w="108" w:type="dxa"/>
          </w:tblCellMar>
        </w:tblPrEx>
        <w:trPr>
          <w:trHeight w:val="357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6B8726E">
            <w:pPr>
              <w:widowControl/>
              <w:jc w:val="center"/>
              <w:textAlignment w:val="center"/>
              <w:rPr>
                <w:rFonts w:hint="eastAsia" w:ascii="宋体" w:hAnsi="宋体" w:cs="宋体"/>
                <w:sz w:val="24"/>
              </w:rPr>
            </w:pPr>
            <w:r>
              <w:rPr>
                <w:rFonts w:hint="eastAsia" w:ascii="宋体" w:hAnsi="宋体" w:cs="宋体"/>
                <w:kern w:val="0"/>
                <w:sz w:val="24"/>
                <w:lang w:bidi="ar"/>
              </w:rPr>
              <w:t>482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0A977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A6272B9">
            <w:pPr>
              <w:widowControl/>
              <w:jc w:val="center"/>
              <w:textAlignment w:val="center"/>
              <w:rPr>
                <w:rFonts w:hint="eastAsia" w:ascii="宋体" w:hAnsi="宋体" w:cs="宋体"/>
                <w:sz w:val="24"/>
              </w:rPr>
            </w:pPr>
            <w:r>
              <w:rPr>
                <w:rFonts w:hint="eastAsia" w:ascii="宋体" w:hAnsi="宋体" w:cs="宋体"/>
                <w:kern w:val="0"/>
                <w:sz w:val="24"/>
                <w:lang w:bidi="ar"/>
              </w:rPr>
              <w:t>安全管理要求</w:t>
            </w:r>
          </w:p>
        </w:tc>
        <w:tc>
          <w:tcPr>
            <w:tcW w:w="9687" w:type="dxa"/>
            <w:tcBorders>
              <w:top w:val="single" w:color="000000" w:sz="4" w:space="0"/>
              <w:left w:val="single" w:color="000000" w:sz="4" w:space="0"/>
              <w:bottom w:val="single" w:color="000000" w:sz="4" w:space="0"/>
              <w:right w:val="single" w:color="000000" w:sz="4" w:space="0"/>
            </w:tcBorders>
            <w:vAlign w:val="center"/>
          </w:tcPr>
          <w:p w14:paraId="3DD7F4A8">
            <w:pPr>
              <w:widowControl/>
              <w:textAlignment w:val="center"/>
              <w:rPr>
                <w:rFonts w:hint="eastAsia" w:ascii="宋体" w:hAnsi="宋体" w:cs="宋体"/>
                <w:sz w:val="24"/>
              </w:rPr>
            </w:pPr>
            <w:r>
              <w:rPr>
                <w:rStyle w:val="94"/>
                <w:rFonts w:hint="default"/>
                <w:color w:val="auto"/>
                <w:lang w:bidi="ar"/>
              </w:rPr>
              <w:t>安全管理要求模块，通过建立规范的管理流程和技术手段来保障系统开发和运维过程的安全。</w:t>
            </w:r>
            <w:r>
              <w:rPr>
                <w:rStyle w:val="94"/>
                <w:rFonts w:hint="default"/>
                <w:color w:val="auto"/>
                <w:lang w:bidi="ar"/>
              </w:rPr>
              <w:br w:type="textWrapping"/>
            </w:r>
            <w:r>
              <w:rPr>
                <w:rStyle w:val="94"/>
                <w:rFonts w:hint="default"/>
                <w:color w:val="auto"/>
                <w:lang w:bidi="ar"/>
              </w:rPr>
              <w:t>首先实施</w:t>
            </w:r>
            <w:r>
              <w:rPr>
                <w:rStyle w:val="192"/>
                <w:color w:val="auto"/>
                <w:lang w:bidi="ar"/>
              </w:rPr>
              <w:t>​​</w:t>
            </w:r>
            <w:r>
              <w:rPr>
                <w:rStyle w:val="94"/>
                <w:rFonts w:hint="default"/>
                <w:color w:val="auto"/>
                <w:lang w:bidi="ar"/>
              </w:rPr>
              <w:t>开发环境安全管理机制</w:t>
            </w:r>
            <w:r>
              <w:rPr>
                <w:rStyle w:val="192"/>
                <w:color w:val="auto"/>
                <w:lang w:bidi="ar"/>
              </w:rPr>
              <w:t>​​</w:t>
            </w:r>
            <w:r>
              <w:rPr>
                <w:rStyle w:val="94"/>
                <w:rFonts w:hint="default"/>
                <w:color w:val="auto"/>
                <w:lang w:bidi="ar"/>
              </w:rPr>
              <w:t>，严格禁止将生产等环境的公共数据导入开发环境，从源头上防止数据泄露。其次，对系统代码和数据的操作进行严格管控，要求必须通过</w:t>
            </w:r>
            <w:r>
              <w:rPr>
                <w:rStyle w:val="192"/>
                <w:color w:val="auto"/>
                <w:lang w:bidi="ar"/>
              </w:rPr>
              <w:t>​​</w:t>
            </w:r>
            <w:r>
              <w:rPr>
                <w:rStyle w:val="94"/>
                <w:rFonts w:hint="default"/>
                <w:color w:val="auto"/>
                <w:lang w:bidi="ar"/>
              </w:rPr>
              <w:t>专用的开发和运维账号</w:t>
            </w:r>
            <w:r>
              <w:rPr>
                <w:rStyle w:val="192"/>
                <w:color w:val="auto"/>
                <w:lang w:bidi="ar"/>
              </w:rPr>
              <w:t>​​</w:t>
            </w:r>
            <w:r>
              <w:rPr>
                <w:rStyle w:val="94"/>
                <w:rFonts w:hint="default"/>
                <w:color w:val="auto"/>
                <w:lang w:bidi="ar"/>
              </w:rPr>
              <w:t>进行授权管理，实现权限分离与行为追溯。最后，建立完备的</w:t>
            </w:r>
            <w:r>
              <w:rPr>
                <w:rStyle w:val="192"/>
                <w:color w:val="auto"/>
                <w:lang w:bidi="ar"/>
              </w:rPr>
              <w:t>​​</w:t>
            </w:r>
            <w:r>
              <w:rPr>
                <w:rStyle w:val="94"/>
                <w:rFonts w:hint="default"/>
                <w:color w:val="auto"/>
                <w:lang w:bidi="ar"/>
              </w:rPr>
              <w:t>安全操作审计机制</w:t>
            </w:r>
            <w:r>
              <w:rPr>
                <w:rStyle w:val="192"/>
                <w:color w:val="auto"/>
                <w:lang w:bidi="ar"/>
              </w:rPr>
              <w:t>​​</w:t>
            </w:r>
            <w:r>
              <w:rPr>
                <w:rStyle w:val="94"/>
                <w:rFonts w:hint="default"/>
                <w:color w:val="auto"/>
                <w:lang w:bidi="ar"/>
              </w:rPr>
              <w:t>，全面记录系统管理员的关键操作日志，并支持对这些记录进行审查与分析，以监控内部风险并及时发现安全事件。</w:t>
            </w:r>
          </w:p>
        </w:tc>
      </w:tr>
      <w:tr w14:paraId="61AF4CFD">
        <w:tblPrEx>
          <w:tblCellMar>
            <w:top w:w="0" w:type="dxa"/>
            <w:left w:w="108" w:type="dxa"/>
            <w:bottom w:w="0" w:type="dxa"/>
            <w:right w:w="108" w:type="dxa"/>
          </w:tblCellMar>
        </w:tblPrEx>
        <w:trPr>
          <w:trHeight w:val="26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361C38B">
            <w:pPr>
              <w:widowControl/>
              <w:jc w:val="center"/>
              <w:textAlignment w:val="center"/>
              <w:rPr>
                <w:rFonts w:hint="eastAsia" w:ascii="宋体" w:hAnsi="宋体" w:cs="宋体"/>
                <w:sz w:val="24"/>
              </w:rPr>
            </w:pPr>
            <w:r>
              <w:rPr>
                <w:rFonts w:hint="eastAsia" w:ascii="宋体" w:hAnsi="宋体" w:cs="宋体"/>
                <w:kern w:val="0"/>
                <w:sz w:val="24"/>
                <w:lang w:bidi="ar"/>
              </w:rPr>
              <w:t>483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789776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59B802A">
            <w:pPr>
              <w:widowControl/>
              <w:jc w:val="center"/>
              <w:textAlignment w:val="center"/>
              <w:rPr>
                <w:rFonts w:hint="eastAsia" w:ascii="宋体" w:hAnsi="宋体" w:cs="宋体"/>
                <w:sz w:val="24"/>
              </w:rPr>
            </w:pPr>
            <w:r>
              <w:rPr>
                <w:rFonts w:hint="eastAsia" w:ascii="宋体" w:hAnsi="宋体" w:cs="宋体"/>
                <w:kern w:val="0"/>
                <w:sz w:val="24"/>
                <w:lang w:bidi="ar"/>
              </w:rPr>
              <w:t>开发环境安全</w:t>
            </w:r>
          </w:p>
        </w:tc>
        <w:tc>
          <w:tcPr>
            <w:tcW w:w="9687" w:type="dxa"/>
            <w:tcBorders>
              <w:top w:val="single" w:color="000000" w:sz="4" w:space="0"/>
              <w:left w:val="single" w:color="000000" w:sz="4" w:space="0"/>
              <w:bottom w:val="single" w:color="000000" w:sz="4" w:space="0"/>
              <w:right w:val="single" w:color="000000" w:sz="4" w:space="0"/>
            </w:tcBorders>
            <w:vAlign w:val="center"/>
          </w:tcPr>
          <w:p w14:paraId="1990C3AC">
            <w:pPr>
              <w:widowControl/>
              <w:textAlignment w:val="center"/>
              <w:rPr>
                <w:rFonts w:hint="eastAsia" w:ascii="宋体" w:hAnsi="宋体" w:cs="宋体"/>
                <w:sz w:val="24"/>
              </w:rPr>
            </w:pPr>
            <w:r>
              <w:rPr>
                <w:rStyle w:val="94"/>
                <w:rFonts w:hint="default"/>
                <w:color w:val="auto"/>
                <w:lang w:bidi="ar"/>
              </w:rPr>
              <w:t>开发环境安全模块，通过基础架构和终端管理来降低开发阶段的安全风险。</w:t>
            </w:r>
            <w:r>
              <w:rPr>
                <w:rStyle w:val="94"/>
                <w:rFonts w:hint="default"/>
                <w:color w:val="auto"/>
                <w:lang w:bidi="ar"/>
              </w:rPr>
              <w:br w:type="textWrapping"/>
            </w:r>
            <w:r>
              <w:rPr>
                <w:rStyle w:val="94"/>
                <w:rFonts w:hint="default"/>
                <w:color w:val="auto"/>
                <w:lang w:bidi="ar"/>
              </w:rPr>
              <w:t>首先实施</w:t>
            </w:r>
            <w:r>
              <w:rPr>
                <w:rStyle w:val="192"/>
                <w:color w:val="auto"/>
                <w:lang w:bidi="ar"/>
              </w:rPr>
              <w:t>​​</w:t>
            </w:r>
            <w:r>
              <w:rPr>
                <w:rStyle w:val="94"/>
                <w:rFonts w:hint="default"/>
                <w:color w:val="auto"/>
                <w:lang w:bidi="ar"/>
              </w:rPr>
              <w:t>生产环境与测试环境的网络隔离策略</w:t>
            </w:r>
            <w:r>
              <w:rPr>
                <w:rStyle w:val="192"/>
                <w:color w:val="auto"/>
                <w:lang w:bidi="ar"/>
              </w:rPr>
              <w:t>​​</w:t>
            </w:r>
            <w:r>
              <w:rPr>
                <w:rStyle w:val="94"/>
                <w:rFonts w:hint="default"/>
                <w:color w:val="auto"/>
                <w:lang w:bidi="ar"/>
              </w:rPr>
              <w:t>，从网络层面阻断未经授权的访问路径，防止相互干扰和数据泄露。其次，对开发环境中的</w:t>
            </w:r>
            <w:r>
              <w:rPr>
                <w:rStyle w:val="192"/>
                <w:color w:val="auto"/>
                <w:lang w:bidi="ar"/>
              </w:rPr>
              <w:t>​​</w:t>
            </w:r>
            <w:r>
              <w:rPr>
                <w:rStyle w:val="94"/>
                <w:rFonts w:hint="default"/>
                <w:color w:val="auto"/>
                <w:lang w:bidi="ar"/>
              </w:rPr>
              <w:t>开发用机进行统一的强制性安全配置管理</w:t>
            </w:r>
            <w:r>
              <w:rPr>
                <w:rStyle w:val="192"/>
                <w:color w:val="auto"/>
                <w:lang w:bidi="ar"/>
              </w:rPr>
              <w:t>​​</w:t>
            </w:r>
            <w:r>
              <w:rPr>
                <w:rStyle w:val="94"/>
                <w:rFonts w:hint="default"/>
                <w:color w:val="auto"/>
                <w:lang w:bidi="ar"/>
              </w:rPr>
              <w:t>，确保所有设备及时完成系统补丁升级和已知安全漏洞的修复，从而提升开发终端自身的安全基线。</w:t>
            </w:r>
          </w:p>
        </w:tc>
      </w:tr>
      <w:tr w14:paraId="0C26B6B5">
        <w:tblPrEx>
          <w:tblCellMar>
            <w:top w:w="0" w:type="dxa"/>
            <w:left w:w="108" w:type="dxa"/>
            <w:bottom w:w="0" w:type="dxa"/>
            <w:right w:w="108" w:type="dxa"/>
          </w:tblCellMar>
        </w:tblPrEx>
        <w:trPr>
          <w:trHeight w:val="20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D2965E5">
            <w:pPr>
              <w:widowControl/>
              <w:jc w:val="center"/>
              <w:textAlignment w:val="center"/>
              <w:rPr>
                <w:rFonts w:hint="eastAsia" w:ascii="宋体" w:hAnsi="宋体" w:cs="宋体"/>
                <w:sz w:val="24"/>
              </w:rPr>
            </w:pPr>
            <w:r>
              <w:rPr>
                <w:rFonts w:hint="eastAsia" w:ascii="宋体" w:hAnsi="宋体" w:cs="宋体"/>
                <w:kern w:val="0"/>
                <w:sz w:val="24"/>
                <w:lang w:bidi="ar"/>
              </w:rPr>
              <w:t>484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5836CFD1">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9CF65A8">
            <w:pPr>
              <w:widowControl/>
              <w:jc w:val="center"/>
              <w:textAlignment w:val="center"/>
              <w:rPr>
                <w:rFonts w:hint="eastAsia" w:ascii="宋体" w:hAnsi="宋体" w:cs="宋体"/>
                <w:sz w:val="24"/>
              </w:rPr>
            </w:pPr>
            <w:r>
              <w:rPr>
                <w:rFonts w:hint="eastAsia" w:ascii="宋体" w:hAnsi="宋体" w:cs="宋体"/>
                <w:kern w:val="0"/>
                <w:sz w:val="24"/>
                <w:lang w:bidi="ar"/>
              </w:rPr>
              <w:t>应用交付安全</w:t>
            </w:r>
          </w:p>
        </w:tc>
        <w:tc>
          <w:tcPr>
            <w:tcW w:w="9687" w:type="dxa"/>
            <w:tcBorders>
              <w:top w:val="single" w:color="000000" w:sz="4" w:space="0"/>
              <w:left w:val="single" w:color="000000" w:sz="4" w:space="0"/>
              <w:bottom w:val="single" w:color="000000" w:sz="4" w:space="0"/>
              <w:right w:val="single" w:color="000000" w:sz="4" w:space="0"/>
            </w:tcBorders>
            <w:vAlign w:val="center"/>
          </w:tcPr>
          <w:p w14:paraId="347BCAFA">
            <w:pPr>
              <w:widowControl/>
              <w:textAlignment w:val="center"/>
              <w:rPr>
                <w:rFonts w:hint="eastAsia" w:ascii="宋体" w:hAnsi="宋体" w:cs="宋体"/>
                <w:sz w:val="24"/>
              </w:rPr>
            </w:pPr>
            <w:r>
              <w:rPr>
                <w:rStyle w:val="94"/>
                <w:rFonts w:hint="default"/>
                <w:color w:val="auto"/>
                <w:lang w:bidi="ar"/>
              </w:rPr>
              <w:t>应用交付安全模块，聚焦于软件发布前的质量把控与数据保护，从源头上减少安全风险。</w:t>
            </w:r>
            <w:r>
              <w:rPr>
                <w:rStyle w:val="94"/>
                <w:rFonts w:hint="default"/>
                <w:color w:val="auto"/>
                <w:lang w:bidi="ar"/>
              </w:rPr>
              <w:br w:type="textWrapping"/>
            </w:r>
            <w:r>
              <w:rPr>
                <w:rStyle w:val="94"/>
                <w:rFonts w:hint="default"/>
                <w:color w:val="auto"/>
                <w:lang w:bidi="ar"/>
              </w:rPr>
              <w:t>首先通过建立</w:t>
            </w:r>
            <w:r>
              <w:rPr>
                <w:rStyle w:val="192"/>
                <w:color w:val="auto"/>
                <w:lang w:bidi="ar"/>
              </w:rPr>
              <w:t>​​</w:t>
            </w:r>
            <w:r>
              <w:rPr>
                <w:rStyle w:val="94"/>
                <w:rFonts w:hint="default"/>
                <w:color w:val="auto"/>
                <w:lang w:bidi="ar"/>
              </w:rPr>
              <w:t>定期的代码审核机制</w:t>
            </w:r>
            <w:r>
              <w:rPr>
                <w:rStyle w:val="192"/>
                <w:color w:val="auto"/>
                <w:lang w:bidi="ar"/>
              </w:rPr>
              <w:t>​​</w:t>
            </w:r>
            <w:r>
              <w:rPr>
                <w:rStyle w:val="94"/>
                <w:rFonts w:hint="default"/>
                <w:color w:val="auto"/>
                <w:lang w:bidi="ar"/>
              </w:rPr>
              <w:t>，系统性检查并消除程序代码中潜在的安全漏洞，确保交付产物的安全性。其次，严格规定</w:t>
            </w:r>
            <w:r>
              <w:rPr>
                <w:rStyle w:val="192"/>
                <w:color w:val="auto"/>
                <w:lang w:bidi="ar"/>
              </w:rPr>
              <w:t>​​</w:t>
            </w:r>
            <w:r>
              <w:rPr>
                <w:rStyle w:val="94"/>
                <w:rFonts w:hint="default"/>
                <w:color w:val="auto"/>
                <w:lang w:bidi="ar"/>
              </w:rPr>
              <w:t>禁止在互联网环境中存放任何生产数据</w:t>
            </w:r>
            <w:r>
              <w:rPr>
                <w:rStyle w:val="192"/>
                <w:color w:val="auto"/>
                <w:lang w:bidi="ar"/>
              </w:rPr>
              <w:t>​​</w:t>
            </w:r>
            <w:r>
              <w:rPr>
                <w:rStyle w:val="94"/>
                <w:rFonts w:hint="default"/>
                <w:color w:val="auto"/>
                <w:lang w:bidi="ar"/>
              </w:rPr>
              <w:t>，以防止敏感信息在交付过程中泄露。</w:t>
            </w:r>
          </w:p>
        </w:tc>
      </w:tr>
      <w:tr w14:paraId="25D39469">
        <w:tblPrEx>
          <w:tblCellMar>
            <w:top w:w="0" w:type="dxa"/>
            <w:left w:w="108" w:type="dxa"/>
            <w:bottom w:w="0" w:type="dxa"/>
            <w:right w:w="108" w:type="dxa"/>
          </w:tblCellMar>
        </w:tblPrEx>
        <w:trPr>
          <w:trHeight w:val="148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3C0815">
            <w:pPr>
              <w:widowControl/>
              <w:jc w:val="center"/>
              <w:textAlignment w:val="center"/>
              <w:rPr>
                <w:rFonts w:hint="eastAsia" w:ascii="宋体" w:hAnsi="宋体" w:cs="宋体"/>
                <w:sz w:val="24"/>
              </w:rPr>
            </w:pPr>
            <w:r>
              <w:rPr>
                <w:rFonts w:hint="eastAsia" w:ascii="宋体" w:hAnsi="宋体" w:cs="宋体"/>
                <w:kern w:val="0"/>
                <w:sz w:val="24"/>
                <w:lang w:bidi="ar"/>
              </w:rPr>
              <w:t>485</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E0EEEA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DE6ABDA">
            <w:pPr>
              <w:widowControl/>
              <w:jc w:val="center"/>
              <w:textAlignment w:val="center"/>
              <w:rPr>
                <w:rFonts w:hint="eastAsia" w:ascii="宋体" w:hAnsi="宋体" w:cs="宋体"/>
                <w:sz w:val="24"/>
              </w:rPr>
            </w:pPr>
            <w:r>
              <w:rPr>
                <w:rFonts w:hint="eastAsia" w:ascii="宋体" w:hAnsi="宋体" w:cs="宋体"/>
                <w:kern w:val="0"/>
                <w:sz w:val="24"/>
                <w:lang w:bidi="ar"/>
              </w:rPr>
              <w:t>敏感信息加密</w:t>
            </w:r>
          </w:p>
        </w:tc>
        <w:tc>
          <w:tcPr>
            <w:tcW w:w="9687" w:type="dxa"/>
            <w:tcBorders>
              <w:top w:val="single" w:color="000000" w:sz="4" w:space="0"/>
              <w:left w:val="single" w:color="000000" w:sz="4" w:space="0"/>
              <w:bottom w:val="single" w:color="000000" w:sz="4" w:space="0"/>
              <w:right w:val="single" w:color="000000" w:sz="4" w:space="0"/>
            </w:tcBorders>
            <w:vAlign w:val="center"/>
          </w:tcPr>
          <w:p w14:paraId="055B979A">
            <w:pPr>
              <w:widowControl/>
              <w:textAlignment w:val="center"/>
              <w:rPr>
                <w:rFonts w:hint="eastAsia" w:ascii="宋体" w:hAnsi="宋体" w:cs="宋体"/>
                <w:sz w:val="24"/>
              </w:rPr>
            </w:pPr>
            <w:r>
              <w:rPr>
                <w:rStyle w:val="94"/>
                <w:rFonts w:hint="default"/>
                <w:color w:val="auto"/>
                <w:lang w:bidi="ar"/>
              </w:rPr>
              <w:t>敏感信息加密模块，可以确保源代码中的关键敏感信息得到妥善保护。</w:t>
            </w:r>
            <w:r>
              <w:rPr>
                <w:rStyle w:val="192"/>
                <w:color w:val="auto"/>
                <w:lang w:bidi="ar"/>
              </w:rPr>
              <w:t>​​</w:t>
            </w:r>
            <w:r>
              <w:rPr>
                <w:rStyle w:val="94"/>
                <w:rFonts w:hint="default"/>
                <w:color w:val="auto"/>
                <w:lang w:bidi="ar"/>
              </w:rPr>
              <w:t>源代码中所有涉及连接数据库的密码都必须进行加密存储</w:t>
            </w:r>
            <w:r>
              <w:rPr>
                <w:rStyle w:val="192"/>
                <w:color w:val="auto"/>
                <w:lang w:bidi="ar"/>
              </w:rPr>
              <w:t>​​</w:t>
            </w:r>
            <w:r>
              <w:rPr>
                <w:rStyle w:val="94"/>
                <w:rFonts w:hint="default"/>
                <w:color w:val="auto"/>
                <w:lang w:bidi="ar"/>
              </w:rPr>
              <w:t>，严禁以明文形式出现，从而从根本上防止因代码泄露而导致数据库凭证被盗用的高风险情况。</w:t>
            </w:r>
          </w:p>
        </w:tc>
      </w:tr>
      <w:tr w14:paraId="3C45C37C">
        <w:tblPrEx>
          <w:tblCellMar>
            <w:top w:w="0" w:type="dxa"/>
            <w:left w:w="108" w:type="dxa"/>
            <w:bottom w:w="0" w:type="dxa"/>
            <w:right w:w="108" w:type="dxa"/>
          </w:tblCellMar>
        </w:tblPrEx>
        <w:trPr>
          <w:trHeight w:val="81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0F15317">
            <w:pPr>
              <w:widowControl/>
              <w:jc w:val="center"/>
              <w:textAlignment w:val="center"/>
              <w:rPr>
                <w:rFonts w:hint="eastAsia" w:ascii="宋体" w:hAnsi="宋体" w:cs="宋体"/>
                <w:sz w:val="24"/>
              </w:rPr>
            </w:pPr>
            <w:r>
              <w:rPr>
                <w:rFonts w:hint="eastAsia" w:ascii="宋体" w:hAnsi="宋体" w:cs="宋体"/>
                <w:kern w:val="0"/>
                <w:sz w:val="24"/>
                <w:lang w:bidi="ar"/>
              </w:rPr>
              <w:t>486</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50D761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07931CA">
            <w:pPr>
              <w:widowControl/>
              <w:jc w:val="center"/>
              <w:textAlignment w:val="center"/>
              <w:rPr>
                <w:rFonts w:hint="eastAsia" w:ascii="宋体" w:hAnsi="宋体" w:cs="宋体"/>
                <w:sz w:val="24"/>
              </w:rPr>
            </w:pPr>
            <w:r>
              <w:rPr>
                <w:rFonts w:hint="eastAsia" w:ascii="宋体" w:hAnsi="宋体" w:cs="宋体"/>
                <w:kern w:val="0"/>
                <w:sz w:val="24"/>
                <w:lang w:bidi="ar"/>
              </w:rPr>
              <w:t>其他安全要求</w:t>
            </w:r>
          </w:p>
        </w:tc>
        <w:tc>
          <w:tcPr>
            <w:tcW w:w="9687" w:type="dxa"/>
            <w:tcBorders>
              <w:top w:val="single" w:color="000000" w:sz="4" w:space="0"/>
              <w:left w:val="single" w:color="000000" w:sz="4" w:space="0"/>
              <w:bottom w:val="single" w:color="000000" w:sz="4" w:space="0"/>
              <w:right w:val="single" w:color="000000" w:sz="4" w:space="0"/>
            </w:tcBorders>
            <w:vAlign w:val="center"/>
          </w:tcPr>
          <w:p w14:paraId="74780ADD">
            <w:pPr>
              <w:widowControl/>
              <w:textAlignment w:val="center"/>
              <w:rPr>
                <w:rFonts w:hint="eastAsia" w:ascii="宋体" w:hAnsi="宋体" w:cs="宋体"/>
                <w:sz w:val="24"/>
              </w:rPr>
            </w:pPr>
            <w:r>
              <w:rPr>
                <w:rStyle w:val="94"/>
                <w:rFonts w:hint="default"/>
                <w:color w:val="auto"/>
                <w:lang w:bidi="ar"/>
              </w:rPr>
              <w:t>其他安全要求，要覆盖身份认证、权限管理、日志审计、输入校验及数据保护的全方位纵深防御体系。具体功能概述如下：</w:t>
            </w:r>
            <w:r>
              <w:rPr>
                <w:rStyle w:val="94"/>
                <w:rFonts w:hint="default"/>
                <w:color w:val="auto"/>
                <w:lang w:bidi="ar"/>
              </w:rPr>
              <w:br w:type="textWrapping"/>
            </w:r>
            <w:r>
              <w:rPr>
                <w:rStyle w:val="94"/>
                <w:rFonts w:hint="default"/>
                <w:color w:val="auto"/>
                <w:lang w:bidi="ar"/>
              </w:rPr>
              <w:t>在</w:t>
            </w:r>
            <w:r>
              <w:rPr>
                <w:rStyle w:val="192"/>
                <w:color w:val="auto"/>
                <w:lang w:bidi="ar"/>
              </w:rPr>
              <w:t>​​</w:t>
            </w:r>
            <w:r>
              <w:rPr>
                <w:rStyle w:val="94"/>
                <w:rFonts w:hint="default"/>
                <w:color w:val="auto"/>
                <w:lang w:bidi="ar"/>
              </w:rPr>
              <w:t>权限控制</w:t>
            </w:r>
            <w:r>
              <w:rPr>
                <w:rStyle w:val="192"/>
                <w:color w:val="auto"/>
                <w:lang w:bidi="ar"/>
              </w:rPr>
              <w:t>​​</w:t>
            </w:r>
            <w:r>
              <w:rPr>
                <w:rStyle w:val="94"/>
                <w:rFonts w:hint="default"/>
                <w:color w:val="auto"/>
                <w:lang w:bidi="ar"/>
              </w:rPr>
              <w:t>方面，系统提供完善的系统级和应用级权限控制。应用级权限可按机构和业务种类进行划分，并遵循最小颗粒度原则进行授权，确保用户只能访问其被允许的最小数据范围。所有权限校验必须在服务器端执行，而非仅依赖前端页面隐藏，并在后端接口调用前进行登录状态和用户身份验证，以及对具体资源ID的访问权限校验。</w:t>
            </w:r>
            <w:r>
              <w:rPr>
                <w:rStyle w:val="94"/>
                <w:rFonts w:hint="default"/>
                <w:color w:val="auto"/>
                <w:lang w:bidi="ar"/>
              </w:rPr>
              <w:br w:type="textWrapping"/>
            </w:r>
            <w:r>
              <w:rPr>
                <w:rStyle w:val="94"/>
                <w:rFonts w:hint="default"/>
                <w:color w:val="auto"/>
                <w:lang w:bidi="ar"/>
              </w:rPr>
              <w:t>在</w:t>
            </w:r>
            <w:r>
              <w:rPr>
                <w:rStyle w:val="192"/>
                <w:color w:val="auto"/>
                <w:lang w:bidi="ar"/>
              </w:rPr>
              <w:t>​​</w:t>
            </w:r>
            <w:r>
              <w:rPr>
                <w:rStyle w:val="94"/>
                <w:rFonts w:hint="default"/>
                <w:color w:val="auto"/>
                <w:lang w:bidi="ar"/>
              </w:rPr>
              <w:t>身份认证与登录安全</w:t>
            </w:r>
            <w:r>
              <w:rPr>
                <w:rStyle w:val="192"/>
                <w:color w:val="auto"/>
                <w:lang w:bidi="ar"/>
              </w:rPr>
              <w:t>​​</w:t>
            </w:r>
            <w:r>
              <w:rPr>
                <w:rStyle w:val="94"/>
                <w:rFonts w:hint="default"/>
                <w:color w:val="auto"/>
                <w:lang w:bidi="ar"/>
              </w:rPr>
              <w:t>方面，系统实施严格的登录安全策略。登录模块需设置图形验证码或类似方案，且只允许通过HTTP POST请求传输认证信息。系统具备账户锁定机制（如连续失败5次后锁定），且不提示具体失败原因以防止信息泄露。身份鉴别过程需具备抗重放攻击能力，并使用由服务器端生成的、带噪音的、长度至少4位的一次有效图形验证码，并对其调用频率进行限制。同时，密码需满足复杂度要求，包括长度8-20位、包含三种以上字符类型，并禁止使用简单连续字符、常见单词及姓名全拼。</w:t>
            </w:r>
            <w:r>
              <w:rPr>
                <w:rStyle w:val="94"/>
                <w:rFonts w:hint="default"/>
                <w:color w:val="auto"/>
                <w:lang w:bidi="ar"/>
              </w:rPr>
              <w:br w:type="textWrapping"/>
            </w:r>
            <w:r>
              <w:rPr>
                <w:rStyle w:val="94"/>
                <w:rFonts w:hint="default"/>
                <w:color w:val="auto"/>
                <w:lang w:bidi="ar"/>
              </w:rPr>
              <w:t>在</w:t>
            </w:r>
            <w:r>
              <w:rPr>
                <w:rStyle w:val="192"/>
                <w:color w:val="auto"/>
                <w:lang w:bidi="ar"/>
              </w:rPr>
              <w:t>​​</w:t>
            </w:r>
            <w:r>
              <w:rPr>
                <w:rStyle w:val="94"/>
                <w:rFonts w:hint="default"/>
                <w:color w:val="auto"/>
                <w:lang w:bidi="ar"/>
              </w:rPr>
              <w:t>安全审计</w:t>
            </w:r>
            <w:r>
              <w:rPr>
                <w:rStyle w:val="192"/>
                <w:color w:val="auto"/>
                <w:lang w:bidi="ar"/>
              </w:rPr>
              <w:t>​​</w:t>
            </w:r>
            <w:r>
              <w:rPr>
                <w:rStyle w:val="94"/>
                <w:rFonts w:hint="default"/>
                <w:color w:val="auto"/>
                <w:lang w:bidi="ar"/>
              </w:rPr>
              <w:t>方面，系统提供全面的业务日志与安全日志管理查询功能。安全日志需详细记录时间、用户ID、终端IP、操作结果等信息，内容不得包含任何认证数据，并对登录、敏感数据下载等重要操作进行重点记录。所有日志不得保存于Web目录下，并需支持对大容量日志的搜索查询。</w:t>
            </w:r>
            <w:r>
              <w:rPr>
                <w:rStyle w:val="94"/>
                <w:rFonts w:hint="default"/>
                <w:color w:val="auto"/>
                <w:lang w:bidi="ar"/>
              </w:rPr>
              <w:br w:type="textWrapping"/>
            </w:r>
            <w:r>
              <w:rPr>
                <w:rStyle w:val="94"/>
                <w:rFonts w:hint="default"/>
                <w:color w:val="auto"/>
                <w:lang w:bidi="ar"/>
              </w:rPr>
              <w:t>在</w:t>
            </w:r>
            <w:r>
              <w:rPr>
                <w:rStyle w:val="192"/>
                <w:color w:val="auto"/>
                <w:lang w:bidi="ar"/>
              </w:rPr>
              <w:t>​​</w:t>
            </w:r>
            <w:r>
              <w:rPr>
                <w:rStyle w:val="94"/>
                <w:rFonts w:hint="default"/>
                <w:color w:val="auto"/>
                <w:lang w:bidi="ar"/>
              </w:rPr>
              <w:t>应用层安全</w:t>
            </w:r>
            <w:r>
              <w:rPr>
                <w:rStyle w:val="192"/>
                <w:color w:val="auto"/>
                <w:lang w:bidi="ar"/>
              </w:rPr>
              <w:t>​​</w:t>
            </w:r>
            <w:r>
              <w:rPr>
                <w:rStyle w:val="94"/>
                <w:rFonts w:hint="default"/>
                <w:color w:val="auto"/>
                <w:lang w:bidi="ar"/>
              </w:rPr>
              <w:t>方面，系统对所有录入框实施严格的安全控制。需对输入数据中的特殊字符进行过滤或编码处理，并对用户名、密码、手机号等用户可控数据使用正则表达式进行白名单检查，验证其长度、字符集和格式。服务器端与客户端需同时对输入数据的范围、长度和类型进行校验，并使用预编译框架等措施防止SQL注入等攻击。</w:t>
            </w:r>
            <w:r>
              <w:rPr>
                <w:rStyle w:val="94"/>
                <w:rFonts w:hint="default"/>
                <w:color w:val="auto"/>
                <w:lang w:bidi="ar"/>
              </w:rPr>
              <w:br w:type="textWrapping"/>
            </w:r>
            <w:r>
              <w:rPr>
                <w:rStyle w:val="94"/>
                <w:rFonts w:hint="default"/>
                <w:color w:val="auto"/>
                <w:lang w:bidi="ar"/>
              </w:rPr>
              <w:t>最后，系统整体需满足患者隐私保护和个人信息保护的相关法规要求，确保敏感信息的安全性与合规性。</w:t>
            </w:r>
          </w:p>
        </w:tc>
      </w:tr>
      <w:tr w14:paraId="4BDF204D">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5B6947FC">
            <w:pPr>
              <w:widowControl/>
              <w:jc w:val="center"/>
              <w:textAlignment w:val="center"/>
              <w:rPr>
                <w:rFonts w:hint="eastAsia" w:ascii="宋体" w:hAnsi="宋体" w:cs="宋体"/>
                <w:sz w:val="24"/>
              </w:rPr>
            </w:pPr>
            <w:r>
              <w:rPr>
                <w:rFonts w:hint="eastAsia" w:ascii="宋体" w:hAnsi="宋体" w:cs="宋体"/>
                <w:kern w:val="0"/>
                <w:sz w:val="24"/>
                <w:lang w:bidi="ar"/>
              </w:rPr>
              <w:t>488</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0FB6383">
            <w:pPr>
              <w:widowControl/>
              <w:jc w:val="center"/>
              <w:textAlignment w:val="center"/>
              <w:rPr>
                <w:rFonts w:hint="eastAsia" w:ascii="宋体" w:hAnsi="宋体" w:cs="宋体"/>
                <w:sz w:val="24"/>
              </w:rPr>
            </w:pPr>
            <w:r>
              <w:rPr>
                <w:rFonts w:hint="eastAsia" w:ascii="宋体" w:hAnsi="宋体" w:cs="宋体"/>
                <w:kern w:val="0"/>
                <w:sz w:val="24"/>
                <w:lang w:bidi="ar"/>
              </w:rPr>
              <w:t>托育服务接口</w:t>
            </w:r>
          </w:p>
        </w:tc>
        <w:tc>
          <w:tcPr>
            <w:tcW w:w="1313" w:type="dxa"/>
            <w:tcBorders>
              <w:top w:val="single" w:color="000000" w:sz="4" w:space="0"/>
              <w:left w:val="single" w:color="000000" w:sz="4" w:space="0"/>
              <w:bottom w:val="single" w:color="000000" w:sz="4" w:space="0"/>
              <w:right w:val="single" w:color="000000" w:sz="4" w:space="0"/>
            </w:tcBorders>
            <w:vAlign w:val="center"/>
          </w:tcPr>
          <w:p w14:paraId="7725980A">
            <w:pPr>
              <w:widowControl/>
              <w:jc w:val="center"/>
              <w:textAlignment w:val="center"/>
              <w:rPr>
                <w:rFonts w:hint="eastAsia" w:ascii="宋体" w:hAnsi="宋体" w:cs="宋体"/>
                <w:sz w:val="24"/>
              </w:rPr>
            </w:pPr>
            <w:r>
              <w:rPr>
                <w:rFonts w:hint="eastAsia" w:ascii="宋体" w:hAnsi="宋体" w:cs="宋体"/>
                <w:kern w:val="0"/>
                <w:sz w:val="24"/>
                <w:lang w:bidi="ar"/>
              </w:rPr>
              <w:t>标准接口封装</w:t>
            </w:r>
          </w:p>
        </w:tc>
        <w:tc>
          <w:tcPr>
            <w:tcW w:w="9687" w:type="dxa"/>
            <w:tcBorders>
              <w:top w:val="single" w:color="000000" w:sz="4" w:space="0"/>
              <w:left w:val="single" w:color="000000" w:sz="4" w:space="0"/>
              <w:bottom w:val="single" w:color="000000" w:sz="4" w:space="0"/>
              <w:right w:val="single" w:color="000000" w:sz="4" w:space="0"/>
            </w:tcBorders>
            <w:vAlign w:val="center"/>
          </w:tcPr>
          <w:p w14:paraId="7846B6C8">
            <w:pPr>
              <w:widowControl/>
              <w:textAlignment w:val="center"/>
              <w:rPr>
                <w:rFonts w:hint="eastAsia" w:ascii="宋体" w:hAnsi="宋体" w:cs="宋体"/>
                <w:sz w:val="24"/>
              </w:rPr>
            </w:pPr>
            <w:r>
              <w:rPr>
                <w:rFonts w:hint="eastAsia" w:ascii="宋体" w:hAnsi="宋体" w:cs="宋体"/>
                <w:kern w:val="0"/>
                <w:sz w:val="24"/>
                <w:lang w:bidi="ar"/>
              </w:rPr>
              <w:t>实现对托育服务相关的API进行统一规范与标准化封装。核心实现功能包括：对接口的基础信息（如名称、路径、版本、方法及描述）进行集中管理；定义并处理接口的请求部分，包括请求查询参数等；规范并封装响应数据，涵盖响应头与响应体结构。在接口安全控制方面，将系统实现身份认证、权限控制以及数据加密机制，以全面保障接口访问与数据传输的安全性。</w:t>
            </w:r>
          </w:p>
        </w:tc>
      </w:tr>
      <w:tr w14:paraId="7E2B7441">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9E6F760">
            <w:pPr>
              <w:widowControl/>
              <w:jc w:val="center"/>
              <w:textAlignment w:val="center"/>
              <w:rPr>
                <w:rFonts w:hint="eastAsia" w:ascii="宋体" w:hAnsi="宋体" w:cs="宋体"/>
                <w:sz w:val="24"/>
              </w:rPr>
            </w:pPr>
            <w:r>
              <w:rPr>
                <w:rFonts w:hint="eastAsia" w:ascii="宋体" w:hAnsi="宋体" w:cs="宋体"/>
                <w:kern w:val="0"/>
                <w:sz w:val="24"/>
                <w:lang w:bidi="ar"/>
              </w:rPr>
              <w:t>489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CACE9B4">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08E7156">
            <w:pPr>
              <w:widowControl/>
              <w:jc w:val="center"/>
              <w:textAlignment w:val="center"/>
              <w:rPr>
                <w:rFonts w:hint="eastAsia" w:ascii="宋体" w:hAnsi="宋体" w:cs="宋体"/>
                <w:sz w:val="24"/>
              </w:rPr>
            </w:pPr>
            <w:r>
              <w:rPr>
                <w:rFonts w:hint="eastAsia" w:ascii="宋体" w:hAnsi="宋体" w:cs="宋体"/>
                <w:kern w:val="0"/>
                <w:sz w:val="24"/>
                <w:lang w:bidi="ar"/>
              </w:rPr>
              <w:t>托育服务信息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039ECD02">
            <w:pPr>
              <w:widowControl/>
              <w:textAlignment w:val="center"/>
              <w:rPr>
                <w:rFonts w:hint="eastAsia" w:ascii="宋体" w:hAnsi="宋体" w:cs="宋体"/>
                <w:sz w:val="24"/>
              </w:rPr>
            </w:pPr>
            <w:r>
              <w:rPr>
                <w:rFonts w:hint="eastAsia" w:ascii="宋体" w:hAnsi="宋体" w:cs="宋体"/>
                <w:kern w:val="0"/>
                <w:sz w:val="24"/>
                <w:lang w:bidi="ar"/>
              </w:rPr>
              <w:t>接口实现围绕儿童成长周期提供全面、结构化的信息管理服务。其核心功能是实现对儿童从出生到2岁期间关键信息的集中管理与查询，具体涵盖：儿童基本档案、出生疫苗接种信息、家庭信息；特别关注新生儿阶段的高危因素、访视记录及满月体检数据；并系统性地记录与追踪0-1岁及1-2岁两个年龄段儿童的定期保健信息及其相关的辅助检查结果，从而形成完整的儿童早期发展健康档案。</w:t>
            </w:r>
          </w:p>
        </w:tc>
      </w:tr>
      <w:tr w14:paraId="03983154">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417DA19">
            <w:pPr>
              <w:widowControl/>
              <w:jc w:val="center"/>
              <w:textAlignment w:val="center"/>
              <w:rPr>
                <w:rFonts w:hint="eastAsia" w:ascii="宋体" w:hAnsi="宋体" w:cs="宋体"/>
                <w:sz w:val="24"/>
              </w:rPr>
            </w:pPr>
            <w:r>
              <w:rPr>
                <w:rFonts w:hint="eastAsia" w:ascii="宋体" w:hAnsi="宋体" w:cs="宋体"/>
                <w:kern w:val="0"/>
                <w:sz w:val="24"/>
                <w:lang w:bidi="ar"/>
              </w:rPr>
              <w:t>490</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216CDEC">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FE68C3C">
            <w:pPr>
              <w:widowControl/>
              <w:jc w:val="center"/>
              <w:textAlignment w:val="center"/>
              <w:rPr>
                <w:rFonts w:hint="eastAsia" w:ascii="宋体" w:hAnsi="宋体" w:cs="宋体"/>
                <w:sz w:val="24"/>
              </w:rPr>
            </w:pPr>
            <w:r>
              <w:rPr>
                <w:rFonts w:hint="eastAsia" w:ascii="宋体" w:hAnsi="宋体" w:cs="宋体"/>
                <w:kern w:val="0"/>
                <w:sz w:val="24"/>
                <w:lang w:bidi="ar"/>
              </w:rPr>
              <w:t>接口日志</w:t>
            </w:r>
          </w:p>
        </w:tc>
        <w:tc>
          <w:tcPr>
            <w:tcW w:w="9687" w:type="dxa"/>
            <w:tcBorders>
              <w:top w:val="single" w:color="000000" w:sz="4" w:space="0"/>
              <w:left w:val="single" w:color="000000" w:sz="4" w:space="0"/>
              <w:bottom w:val="single" w:color="000000" w:sz="4" w:space="0"/>
              <w:right w:val="single" w:color="000000" w:sz="4" w:space="0"/>
            </w:tcBorders>
            <w:vAlign w:val="center"/>
          </w:tcPr>
          <w:p w14:paraId="0A9EA7CE">
            <w:pPr>
              <w:widowControl/>
              <w:textAlignment w:val="center"/>
              <w:rPr>
                <w:rFonts w:hint="eastAsia" w:ascii="宋体" w:hAnsi="宋体" w:cs="宋体"/>
                <w:sz w:val="24"/>
              </w:rPr>
            </w:pPr>
            <w:r>
              <w:rPr>
                <w:rFonts w:hint="eastAsia" w:ascii="宋体" w:hAnsi="宋体" w:cs="宋体"/>
                <w:kern w:val="0"/>
                <w:sz w:val="24"/>
                <w:lang w:bidi="ar"/>
              </w:rPr>
              <w:t>系统接口日期是保障接口的可追溯性与运行状态的透明化。通过记录和管理每一次接口调用的详细数据日志，实现对接口性能的实时监控与分析。同时，系统提供完善的日志查询功能，支持用户根据多种条件快速定位历史调用记录，并允许将查询结果进行导出，便于后续的审计、问题排查与数据分析。</w:t>
            </w:r>
          </w:p>
        </w:tc>
      </w:tr>
      <w:tr w14:paraId="3C84531F">
        <w:tblPrEx>
          <w:tblCellMar>
            <w:top w:w="0" w:type="dxa"/>
            <w:left w:w="108" w:type="dxa"/>
            <w:bottom w:w="0" w:type="dxa"/>
            <w:right w:w="108" w:type="dxa"/>
          </w:tblCellMar>
        </w:tblPrEx>
        <w:trPr>
          <w:trHeight w:val="256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0A90C6E">
            <w:pPr>
              <w:widowControl/>
              <w:jc w:val="center"/>
              <w:textAlignment w:val="center"/>
              <w:rPr>
                <w:rFonts w:hint="eastAsia" w:ascii="宋体" w:hAnsi="宋体" w:cs="宋体"/>
                <w:sz w:val="24"/>
              </w:rPr>
            </w:pPr>
            <w:r>
              <w:rPr>
                <w:rFonts w:hint="eastAsia" w:ascii="宋体" w:hAnsi="宋体" w:cs="宋体"/>
                <w:kern w:val="0"/>
                <w:sz w:val="24"/>
                <w:lang w:bidi="ar"/>
              </w:rPr>
              <w:t>492</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04E922D">
            <w:pPr>
              <w:widowControl/>
              <w:jc w:val="center"/>
              <w:textAlignment w:val="center"/>
              <w:rPr>
                <w:rFonts w:hint="eastAsia" w:ascii="宋体" w:hAnsi="宋体" w:cs="宋体"/>
                <w:sz w:val="24"/>
              </w:rPr>
            </w:pPr>
            <w:r>
              <w:rPr>
                <w:rFonts w:hint="eastAsia" w:ascii="宋体" w:hAnsi="宋体" w:cs="宋体"/>
                <w:kern w:val="0"/>
                <w:sz w:val="24"/>
                <w:lang w:bidi="ar"/>
              </w:rPr>
              <w:t>互联网医院对接管理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114ACDB9">
            <w:pPr>
              <w:widowControl/>
              <w:jc w:val="center"/>
              <w:textAlignment w:val="center"/>
              <w:rPr>
                <w:rFonts w:hint="eastAsia" w:ascii="宋体" w:hAnsi="宋体" w:cs="宋体"/>
                <w:sz w:val="24"/>
              </w:rPr>
            </w:pPr>
            <w:r>
              <w:rPr>
                <w:rFonts w:hint="eastAsia" w:ascii="宋体" w:hAnsi="宋体" w:cs="宋体"/>
                <w:kern w:val="0"/>
                <w:sz w:val="24"/>
                <w:lang w:bidi="ar"/>
              </w:rPr>
              <w:t>推送服务链接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7DC2FD82">
            <w:pPr>
              <w:widowControl/>
              <w:textAlignment w:val="center"/>
              <w:rPr>
                <w:rFonts w:hint="eastAsia" w:ascii="宋体" w:hAnsi="宋体" w:cs="宋体"/>
                <w:sz w:val="24"/>
              </w:rPr>
            </w:pPr>
            <w:r>
              <w:rPr>
                <w:rFonts w:hint="eastAsia" w:ascii="宋体" w:hAnsi="宋体" w:cs="宋体"/>
                <w:kern w:val="0"/>
                <w:sz w:val="24"/>
                <w:lang w:bidi="ar"/>
              </w:rPr>
              <w:t>系统实现与互联网医院系统的推送服务对接。通过标准接口，向互联网医院平台推送一系列孕产妇及新生儿筛查服务的自助申请链接，具体包括：孕产妇相关的早孕筛查、产前筛查、无创DNA筛查、耳聋基因筛查、SMA筛查，以及新生儿相关的疾病筛查、耳聋基因筛查、串联质谱筛查、SCID筛查和SMA筛查。该功能使服务对象能够通过互联网医院入口，直接发起并完成指定筛查项目的线上自助申请。</w:t>
            </w:r>
          </w:p>
        </w:tc>
      </w:tr>
      <w:tr w14:paraId="7A2B5773">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B759F82">
            <w:pPr>
              <w:widowControl/>
              <w:jc w:val="center"/>
              <w:textAlignment w:val="center"/>
              <w:rPr>
                <w:rFonts w:hint="eastAsia" w:ascii="宋体" w:hAnsi="宋体" w:cs="宋体"/>
                <w:sz w:val="24"/>
              </w:rPr>
            </w:pPr>
            <w:r>
              <w:rPr>
                <w:rFonts w:hint="eastAsia" w:ascii="宋体" w:hAnsi="宋体" w:cs="宋体"/>
                <w:kern w:val="0"/>
                <w:sz w:val="24"/>
                <w:lang w:bidi="ar"/>
              </w:rPr>
              <w:t>493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A751080">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806C2E8">
            <w:pPr>
              <w:widowControl/>
              <w:jc w:val="center"/>
              <w:textAlignment w:val="center"/>
              <w:rPr>
                <w:rFonts w:hint="eastAsia" w:ascii="宋体" w:hAnsi="宋体" w:cs="宋体"/>
                <w:sz w:val="24"/>
              </w:rPr>
            </w:pPr>
            <w:r>
              <w:rPr>
                <w:rFonts w:hint="eastAsia" w:ascii="宋体" w:hAnsi="宋体" w:cs="宋体"/>
                <w:kern w:val="0"/>
                <w:sz w:val="24"/>
                <w:lang w:bidi="ar"/>
              </w:rPr>
              <w:t>在线支付</w:t>
            </w:r>
          </w:p>
        </w:tc>
        <w:tc>
          <w:tcPr>
            <w:tcW w:w="9687" w:type="dxa"/>
            <w:tcBorders>
              <w:top w:val="single" w:color="000000" w:sz="4" w:space="0"/>
              <w:left w:val="single" w:color="000000" w:sz="4" w:space="0"/>
              <w:bottom w:val="single" w:color="000000" w:sz="4" w:space="0"/>
              <w:right w:val="single" w:color="000000" w:sz="4" w:space="0"/>
            </w:tcBorders>
            <w:vAlign w:val="center"/>
          </w:tcPr>
          <w:p w14:paraId="66703843">
            <w:pPr>
              <w:widowControl/>
              <w:textAlignment w:val="center"/>
              <w:rPr>
                <w:rFonts w:hint="eastAsia" w:ascii="宋体" w:hAnsi="宋体" w:cs="宋体"/>
                <w:sz w:val="24"/>
              </w:rPr>
            </w:pPr>
            <w:r>
              <w:rPr>
                <w:rFonts w:hint="eastAsia" w:ascii="宋体" w:hAnsi="宋体" w:cs="宋体"/>
                <w:kern w:val="0"/>
                <w:sz w:val="24"/>
                <w:lang w:bidi="ar"/>
              </w:rPr>
              <w:t>系统实现与互联网医院系统的在线支付对接。通过标准接口，对接孕产妇及新生儿筛查服务的自助缴费功能，具体涵盖孕产妇相关的早孕筛查、产前筛查、无创DNA筛查、耳聋基因筛查、SMA筛查，以及新生儿相关的疾病筛查、耳聋基因筛查、串联质谱筛查、SCID筛查和SMA筛查。用户提交筛查申请后，可直接在线完成对应服务的费用支付。</w:t>
            </w:r>
          </w:p>
        </w:tc>
      </w:tr>
      <w:tr w14:paraId="331E9FFB">
        <w:tblPrEx>
          <w:tblCellMar>
            <w:top w:w="0" w:type="dxa"/>
            <w:left w:w="108" w:type="dxa"/>
            <w:bottom w:w="0" w:type="dxa"/>
            <w:right w:w="108" w:type="dxa"/>
          </w:tblCellMar>
        </w:tblPrEx>
        <w:trPr>
          <w:trHeight w:val="22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BC6D34E">
            <w:pPr>
              <w:widowControl/>
              <w:jc w:val="center"/>
              <w:textAlignment w:val="center"/>
              <w:rPr>
                <w:rFonts w:hint="eastAsia" w:ascii="宋体" w:hAnsi="宋体" w:cs="宋体"/>
                <w:sz w:val="24"/>
              </w:rPr>
            </w:pPr>
            <w:r>
              <w:rPr>
                <w:rFonts w:hint="eastAsia" w:ascii="宋体" w:hAnsi="宋体" w:cs="宋体"/>
                <w:kern w:val="0"/>
                <w:sz w:val="24"/>
                <w:lang w:bidi="ar"/>
              </w:rPr>
              <w:t>494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5A5535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27B221E">
            <w:pPr>
              <w:widowControl/>
              <w:jc w:val="center"/>
              <w:textAlignment w:val="center"/>
              <w:rPr>
                <w:rFonts w:hint="eastAsia" w:ascii="宋体" w:hAnsi="宋体" w:cs="宋体"/>
                <w:sz w:val="24"/>
              </w:rPr>
            </w:pPr>
            <w:r>
              <w:rPr>
                <w:rFonts w:hint="eastAsia" w:ascii="宋体" w:hAnsi="宋体" w:cs="宋体"/>
                <w:kern w:val="0"/>
                <w:sz w:val="24"/>
                <w:lang w:bidi="ar"/>
              </w:rPr>
              <w:t>电子发票</w:t>
            </w:r>
          </w:p>
        </w:tc>
        <w:tc>
          <w:tcPr>
            <w:tcW w:w="9687" w:type="dxa"/>
            <w:tcBorders>
              <w:top w:val="single" w:color="000000" w:sz="4" w:space="0"/>
              <w:left w:val="single" w:color="000000" w:sz="4" w:space="0"/>
              <w:bottom w:val="single" w:color="000000" w:sz="4" w:space="0"/>
              <w:right w:val="single" w:color="000000" w:sz="4" w:space="0"/>
            </w:tcBorders>
            <w:vAlign w:val="center"/>
          </w:tcPr>
          <w:p w14:paraId="78D8E037">
            <w:pPr>
              <w:widowControl/>
              <w:textAlignment w:val="center"/>
              <w:rPr>
                <w:rFonts w:hint="eastAsia" w:ascii="宋体" w:hAnsi="宋体" w:cs="宋体"/>
                <w:sz w:val="24"/>
              </w:rPr>
            </w:pPr>
            <w:r>
              <w:rPr>
                <w:rFonts w:hint="eastAsia" w:ascii="宋体" w:hAnsi="宋体" w:cs="宋体"/>
                <w:kern w:val="0"/>
                <w:sz w:val="24"/>
                <w:lang w:bidi="ar"/>
              </w:rPr>
              <w:t>系统实现与互联网医院系统的电子发票服务对接。通过标准接口，对接孕产妇及新生儿系列筛查项目的电子发票自助打印功能。具体服务范围包括孕产妇相关的早孕筛查、产前筛查、无创DNA筛查、耳聋基因筛查、SMA筛查，以及新生儿相关的疾病筛查、耳聋基因筛查、串联质谱筛查、SCID筛查和SMA筛查。用户完成筛查项目缴费后，可通过该功能自助申请和获取电子发票。</w:t>
            </w:r>
          </w:p>
        </w:tc>
      </w:tr>
      <w:tr w14:paraId="700807A3">
        <w:tblPrEx>
          <w:tblCellMar>
            <w:top w:w="0" w:type="dxa"/>
            <w:left w:w="108" w:type="dxa"/>
            <w:bottom w:w="0" w:type="dxa"/>
            <w:right w:w="108" w:type="dxa"/>
          </w:tblCellMar>
        </w:tblPrEx>
        <w:trPr>
          <w:trHeight w:val="43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38EC3FB8">
            <w:pPr>
              <w:widowControl/>
              <w:jc w:val="center"/>
              <w:textAlignment w:val="center"/>
              <w:rPr>
                <w:rFonts w:hint="eastAsia" w:ascii="宋体" w:hAnsi="宋体" w:cs="宋体"/>
                <w:sz w:val="24"/>
              </w:rPr>
            </w:pPr>
            <w:r>
              <w:rPr>
                <w:rFonts w:hint="eastAsia" w:ascii="宋体" w:hAnsi="宋体" w:cs="宋体"/>
                <w:kern w:val="0"/>
                <w:sz w:val="24"/>
                <w:lang w:bidi="ar"/>
              </w:rPr>
              <w:t>496</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5A554005">
            <w:pPr>
              <w:widowControl/>
              <w:jc w:val="center"/>
              <w:textAlignment w:val="center"/>
              <w:rPr>
                <w:rFonts w:hint="eastAsia" w:ascii="宋体" w:hAnsi="宋体" w:cs="宋体"/>
                <w:sz w:val="24"/>
              </w:rPr>
            </w:pPr>
            <w:r>
              <w:rPr>
                <w:rFonts w:hint="eastAsia" w:ascii="宋体" w:hAnsi="宋体" w:cs="宋体"/>
                <w:kern w:val="0"/>
                <w:sz w:val="24"/>
                <w:lang w:bidi="ar"/>
              </w:rPr>
              <w:t>市级助产机构院内系统对接管理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1385F947">
            <w:pPr>
              <w:widowControl/>
              <w:jc w:val="center"/>
              <w:textAlignment w:val="center"/>
              <w:rPr>
                <w:rFonts w:hint="eastAsia" w:ascii="宋体" w:hAnsi="宋体" w:cs="宋体"/>
                <w:sz w:val="24"/>
              </w:rPr>
            </w:pPr>
            <w:r>
              <w:rPr>
                <w:rFonts w:hint="eastAsia" w:ascii="宋体" w:hAnsi="宋体" w:cs="宋体"/>
                <w:kern w:val="0"/>
                <w:sz w:val="24"/>
                <w:lang w:bidi="ar"/>
              </w:rPr>
              <w:t>与HIS系统对接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15B8DD21">
            <w:pPr>
              <w:widowControl/>
              <w:textAlignment w:val="center"/>
              <w:rPr>
                <w:rFonts w:hint="eastAsia" w:ascii="宋体" w:hAnsi="宋体" w:cs="宋体"/>
                <w:sz w:val="24"/>
              </w:rPr>
            </w:pPr>
            <w:r>
              <w:rPr>
                <w:rFonts w:hint="eastAsia" w:ascii="宋体" w:hAnsi="宋体" w:cs="宋体"/>
                <w:kern w:val="0"/>
                <w:sz w:val="24"/>
                <w:lang w:bidi="ar"/>
              </w:rPr>
              <w:t>通过标准化的数据接口，与医院信息系统（HIS）实现深度对接，以确保核心基础数据的同源性与一致性。具体实现两大核心功能：一是自动从HIS系统中同步获取并更新病人的基本信息，该信息以HIS系统（如建档或挂号处）为唯一权威来源；二是自动获取HIS中的医院基础字典，并传递至本系统。</w:t>
            </w:r>
            <w:r>
              <w:rPr>
                <w:rFonts w:hint="eastAsia" w:ascii="宋体" w:hAnsi="宋体" w:cs="宋体"/>
                <w:kern w:val="0"/>
                <w:sz w:val="24"/>
                <w:lang w:bidi="ar"/>
              </w:rPr>
              <w:br w:type="textWrapping"/>
            </w:r>
            <w:r>
              <w:rPr>
                <w:rFonts w:hint="eastAsia" w:ascii="宋体" w:hAnsi="宋体" w:cs="宋体"/>
                <w:kern w:val="0"/>
                <w:sz w:val="24"/>
                <w:lang w:bidi="ar"/>
              </w:rPr>
              <w:t>通过这两项对接，确保了本系统与HIS在主数据和基础字典上保持严格一致，为业务流程的顺畅运行奠定坚实的数据基础。</w:t>
            </w:r>
          </w:p>
        </w:tc>
      </w:tr>
      <w:tr w14:paraId="2ECBF809">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F19F172">
            <w:pPr>
              <w:widowControl/>
              <w:jc w:val="center"/>
              <w:textAlignment w:val="center"/>
              <w:rPr>
                <w:rFonts w:hint="eastAsia" w:ascii="宋体" w:hAnsi="宋体" w:cs="宋体"/>
                <w:sz w:val="24"/>
              </w:rPr>
            </w:pPr>
            <w:r>
              <w:rPr>
                <w:rFonts w:hint="eastAsia" w:ascii="宋体" w:hAnsi="宋体" w:cs="宋体"/>
                <w:kern w:val="0"/>
                <w:sz w:val="24"/>
                <w:lang w:bidi="ar"/>
              </w:rPr>
              <w:t>497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1509EB9">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CE5DFDF">
            <w:pPr>
              <w:widowControl/>
              <w:jc w:val="center"/>
              <w:textAlignment w:val="center"/>
              <w:rPr>
                <w:rFonts w:hint="eastAsia" w:ascii="宋体" w:hAnsi="宋体" w:cs="宋体"/>
                <w:sz w:val="24"/>
              </w:rPr>
            </w:pPr>
            <w:r>
              <w:rPr>
                <w:rFonts w:hint="eastAsia" w:ascii="宋体" w:hAnsi="宋体" w:cs="宋体"/>
                <w:kern w:val="0"/>
                <w:sz w:val="24"/>
                <w:lang w:bidi="ar"/>
              </w:rPr>
              <w:t>与实验室管理信息系统对接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09CA3E7D">
            <w:pPr>
              <w:widowControl/>
              <w:textAlignment w:val="center"/>
              <w:rPr>
                <w:rFonts w:hint="eastAsia" w:ascii="宋体" w:hAnsi="宋体" w:cs="宋体"/>
                <w:sz w:val="24"/>
              </w:rPr>
            </w:pPr>
            <w:r>
              <w:rPr>
                <w:rFonts w:hint="eastAsia" w:ascii="宋体" w:hAnsi="宋体" w:cs="宋体"/>
                <w:kern w:val="0"/>
                <w:sz w:val="24"/>
                <w:lang w:bidi="ar"/>
              </w:rPr>
              <w:t>通过标准化的数据接口，与实验室管理信息系统（LIS）实现无缝对接。其核心功能是自动从LIS系统中获取完整的检验报告数据，并将其准确的导入本系统。用户无需切换至LIS系统，即可直接在本系统内方便地查阅所有导入的检验报告，从而在一个统一的平台上完成信息的获取与浏览，有效提升工作效率和数据整合度。</w:t>
            </w:r>
          </w:p>
        </w:tc>
      </w:tr>
      <w:tr w14:paraId="6E15593A">
        <w:tblPrEx>
          <w:tblCellMar>
            <w:top w:w="0" w:type="dxa"/>
            <w:left w:w="108" w:type="dxa"/>
            <w:bottom w:w="0" w:type="dxa"/>
            <w:right w:w="108" w:type="dxa"/>
          </w:tblCellMar>
        </w:tblPrEx>
        <w:trPr>
          <w:trHeight w:val="607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1F734B4">
            <w:pPr>
              <w:widowControl/>
              <w:jc w:val="center"/>
              <w:textAlignment w:val="center"/>
              <w:rPr>
                <w:rFonts w:hint="eastAsia" w:ascii="宋体" w:hAnsi="宋体" w:cs="宋体"/>
                <w:sz w:val="24"/>
              </w:rPr>
            </w:pPr>
            <w:r>
              <w:rPr>
                <w:rFonts w:hint="eastAsia" w:ascii="宋体" w:hAnsi="宋体" w:cs="宋体"/>
                <w:kern w:val="0"/>
                <w:sz w:val="24"/>
                <w:lang w:bidi="ar"/>
              </w:rPr>
              <w:t>498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3ADC98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D18848D">
            <w:pPr>
              <w:widowControl/>
              <w:jc w:val="center"/>
              <w:textAlignment w:val="center"/>
              <w:rPr>
                <w:rFonts w:hint="eastAsia" w:ascii="宋体" w:hAnsi="宋体" w:cs="宋体"/>
                <w:sz w:val="24"/>
              </w:rPr>
            </w:pPr>
            <w:r>
              <w:rPr>
                <w:rFonts w:hint="eastAsia" w:ascii="宋体" w:hAnsi="宋体" w:cs="宋体"/>
                <w:kern w:val="0"/>
                <w:sz w:val="24"/>
                <w:lang w:bidi="ar"/>
              </w:rPr>
              <w:t>与电子病历系统对接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50A1E685">
            <w:pPr>
              <w:widowControl/>
              <w:textAlignment w:val="center"/>
              <w:rPr>
                <w:rFonts w:hint="eastAsia" w:ascii="宋体" w:hAnsi="宋体" w:cs="宋体"/>
                <w:sz w:val="24"/>
              </w:rPr>
            </w:pPr>
            <w:r>
              <w:rPr>
                <w:rStyle w:val="94"/>
                <w:rFonts w:hint="default"/>
                <w:color w:val="auto"/>
                <w:lang w:bidi="ar"/>
              </w:rPr>
              <w:t>通过标准化的数据接口，实现与县区级助产机构院内电子病历系统全面对接。以自动获取孕产妇及儿童在全生命周期健康管理中的关键病历数据。具体实现的功能包括：</w:t>
            </w:r>
            <w:r>
              <w:rPr>
                <w:rStyle w:val="94"/>
                <w:rFonts w:hint="default"/>
                <w:color w:val="auto"/>
                <w:lang w:bidi="ar"/>
              </w:rPr>
              <w:br w:type="textWrapping"/>
            </w:r>
            <w:r>
              <w:rPr>
                <w:rStyle w:val="192"/>
                <w:color w:val="auto"/>
                <w:lang w:bidi="ar"/>
              </w:rPr>
              <w:t>​​</w:t>
            </w:r>
            <w:r>
              <w:rPr>
                <w:rStyle w:val="94"/>
                <w:rFonts w:hint="default"/>
                <w:color w:val="auto"/>
                <w:lang w:bidi="ar"/>
              </w:rPr>
              <w:t>产科门诊数据获取：系统对接能够自动获取产科门诊电子病历中的完整信息流，涵盖从孕产妇初次建档、建册、初诊（含辅助检查）到后续的系列复诊（含辅助检查），直至产后的访视和42天健康检查（含辅助检查）的全部记录。</w:t>
            </w:r>
            <w:r>
              <w:rPr>
                <w:rStyle w:val="94"/>
                <w:rFonts w:hint="default"/>
                <w:color w:val="auto"/>
                <w:lang w:bidi="ar"/>
              </w:rPr>
              <w:br w:type="textWrapping"/>
            </w:r>
            <w:r>
              <w:rPr>
                <w:rStyle w:val="192"/>
                <w:color w:val="auto"/>
                <w:lang w:bidi="ar"/>
              </w:rPr>
              <w:t>​​</w:t>
            </w:r>
            <w:r>
              <w:rPr>
                <w:rStyle w:val="94"/>
                <w:rFonts w:hint="default"/>
                <w:color w:val="auto"/>
                <w:lang w:bidi="ar"/>
              </w:rPr>
              <w:t>产房数据获取：系统对接能够自动获取产房电子病历中的分娩全过程信息，包括详细的产时记录、产时辅助检查结果，以及产后的产妇信息和新生儿基本信息。</w:t>
            </w:r>
            <w:r>
              <w:rPr>
                <w:rStyle w:val="94"/>
                <w:rFonts w:hint="default"/>
                <w:color w:val="auto"/>
                <w:lang w:bidi="ar"/>
              </w:rPr>
              <w:br w:type="textWrapping"/>
            </w:r>
            <w:r>
              <w:rPr>
                <w:rStyle w:val="192"/>
                <w:color w:val="auto"/>
                <w:lang w:bidi="ar"/>
              </w:rPr>
              <w:t>​​</w:t>
            </w:r>
            <w:r>
              <w:rPr>
                <w:rStyle w:val="94"/>
                <w:rFonts w:hint="default"/>
                <w:color w:val="auto"/>
                <w:lang w:bidi="ar"/>
              </w:rPr>
              <w:t>儿童保健数据获取：系统能够自动获取儿保科门诊电子病历中儿童从新生儿期至学龄前的连续健康档案，具体包括新生儿访视、满月体检，以及0-1岁、1-2岁、3-6岁各年龄段的定期健康体检记录和相应的辅助检查结果。</w:t>
            </w:r>
            <w:r>
              <w:rPr>
                <w:rStyle w:val="94"/>
                <w:rFonts w:hint="default"/>
                <w:color w:val="auto"/>
                <w:lang w:bidi="ar"/>
              </w:rPr>
              <w:br w:type="textWrapping"/>
            </w:r>
            <w:r>
              <w:rPr>
                <w:rStyle w:val="94"/>
                <w:rFonts w:hint="default"/>
                <w:color w:val="auto"/>
                <w:lang w:bidi="ar"/>
              </w:rPr>
              <w:t>此外，系统会为所有通过接口获取的数据记录相应标识，从而清晰地区分自动化对接的数据与人工录入的数据，确保数据来源的可追溯性。</w:t>
            </w:r>
          </w:p>
        </w:tc>
      </w:tr>
      <w:tr w14:paraId="453F1F67">
        <w:tblPrEx>
          <w:tblCellMar>
            <w:top w:w="0" w:type="dxa"/>
            <w:left w:w="108" w:type="dxa"/>
            <w:bottom w:w="0" w:type="dxa"/>
            <w:right w:w="108" w:type="dxa"/>
          </w:tblCellMar>
        </w:tblPrEx>
        <w:trPr>
          <w:trHeight w:val="54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40CE8E7">
            <w:pPr>
              <w:widowControl/>
              <w:jc w:val="center"/>
              <w:textAlignment w:val="center"/>
              <w:rPr>
                <w:rFonts w:hint="eastAsia" w:ascii="宋体" w:hAnsi="宋体" w:cs="宋体"/>
                <w:sz w:val="24"/>
              </w:rPr>
            </w:pPr>
            <w:r>
              <w:rPr>
                <w:rFonts w:hint="eastAsia" w:ascii="宋体" w:hAnsi="宋体" w:cs="宋体"/>
                <w:kern w:val="0"/>
                <w:sz w:val="24"/>
                <w:lang w:bidi="ar"/>
              </w:rPr>
              <w:t>499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E4FAFD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21AE292">
            <w:pPr>
              <w:widowControl/>
              <w:jc w:val="center"/>
              <w:textAlignment w:val="center"/>
              <w:rPr>
                <w:rFonts w:hint="eastAsia" w:ascii="宋体" w:hAnsi="宋体" w:cs="宋体"/>
                <w:sz w:val="24"/>
              </w:rPr>
            </w:pPr>
            <w:r>
              <w:rPr>
                <w:rFonts w:hint="eastAsia" w:ascii="宋体" w:hAnsi="宋体" w:cs="宋体"/>
                <w:kern w:val="0"/>
                <w:sz w:val="24"/>
                <w:lang w:bidi="ar"/>
              </w:rPr>
              <w:t>从“健苗工程”系统获取病历信息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2C72A560">
            <w:pPr>
              <w:widowControl/>
              <w:textAlignment w:val="center"/>
              <w:rPr>
                <w:rFonts w:hint="eastAsia" w:ascii="宋体" w:hAnsi="宋体" w:cs="宋体"/>
                <w:sz w:val="24"/>
              </w:rPr>
            </w:pPr>
            <w:r>
              <w:rPr>
                <w:rFonts w:hint="eastAsia" w:ascii="宋体" w:hAnsi="宋体" w:cs="宋体"/>
                <w:kern w:val="0"/>
                <w:sz w:val="24"/>
                <w:lang w:bidi="ar"/>
              </w:rPr>
              <w:t>提供孕产妇全息档案联接标准接口，授权用户可通过标准接口，直接链接访问指定孕产妇本次孕期的完整电子档案。这包括其个人及丈夫基本信息、建册信息、全面的风险筛查与评估、历次体检数据（含宫高图、腹围曲线图、血压图等动态指标）、随访记录、辅助检查结果，并延伸至分娩信息、新生儿信息、产后访视及42天健康检查等产后管理全流程数据。</w:t>
            </w:r>
            <w:r>
              <w:rPr>
                <w:rFonts w:hint="eastAsia" w:ascii="宋体" w:hAnsi="宋体" w:cs="宋体"/>
                <w:kern w:val="0"/>
                <w:sz w:val="24"/>
                <w:lang w:bidi="ar"/>
              </w:rPr>
              <w:br w:type="textWrapping"/>
            </w:r>
            <w:r>
              <w:rPr>
                <w:rFonts w:hint="eastAsia" w:ascii="宋体" w:hAnsi="宋体" w:cs="宋体"/>
                <w:kern w:val="0"/>
                <w:sz w:val="24"/>
                <w:lang w:bidi="ar"/>
              </w:rPr>
              <w:t>提供儿童全息档案链接标准接口，授权用户可通过标准接口，直接链接访问儿童从出生到成长的完整健康档案。覆盖内容从新生儿访视开始，贯穿各年龄段的健康体检（1岁内、1-2岁、3-6岁及7岁以上），包含辅助检查、生长发育百分比评估（WHO2006）、视力听力筛查记录、专项评测等。同时，系统也提供对高危儿/体弱儿个案管理信息主卡及其医疗流转记录的链接访问。</w:t>
            </w:r>
            <w:r>
              <w:rPr>
                <w:rFonts w:hint="eastAsia" w:ascii="宋体" w:hAnsi="宋体" w:cs="宋体"/>
                <w:kern w:val="0"/>
                <w:sz w:val="24"/>
                <w:lang w:bidi="ar"/>
              </w:rPr>
              <w:br w:type="textWrapping"/>
            </w:r>
            <w:r>
              <w:rPr>
                <w:rFonts w:hint="eastAsia" w:ascii="宋体" w:hAnsi="宋体" w:cs="宋体"/>
                <w:kern w:val="0"/>
                <w:sz w:val="24"/>
                <w:lang w:bidi="ar"/>
              </w:rPr>
              <w:t>通过以上接口，授权用户无需切换系统即可深度、无缝地查阅“健苗工程”系统中的详尽的孕产妇与儿童健康病历信息。</w:t>
            </w:r>
          </w:p>
        </w:tc>
      </w:tr>
      <w:tr w14:paraId="6381C04A">
        <w:tblPrEx>
          <w:tblCellMar>
            <w:top w:w="0" w:type="dxa"/>
            <w:left w:w="108" w:type="dxa"/>
            <w:bottom w:w="0" w:type="dxa"/>
            <w:right w:w="108" w:type="dxa"/>
          </w:tblCellMar>
        </w:tblPrEx>
        <w:trPr>
          <w:trHeight w:val="411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1A48FDB">
            <w:pPr>
              <w:widowControl/>
              <w:jc w:val="center"/>
              <w:textAlignment w:val="center"/>
              <w:rPr>
                <w:rFonts w:hint="eastAsia" w:ascii="宋体" w:hAnsi="宋体" w:cs="宋体"/>
                <w:sz w:val="24"/>
              </w:rPr>
            </w:pPr>
            <w:r>
              <w:rPr>
                <w:rFonts w:hint="eastAsia" w:ascii="宋体" w:hAnsi="宋体" w:cs="宋体"/>
                <w:kern w:val="0"/>
                <w:sz w:val="24"/>
                <w:lang w:bidi="ar"/>
              </w:rPr>
              <w:t>501</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12F8B71">
            <w:pPr>
              <w:widowControl/>
              <w:jc w:val="center"/>
              <w:textAlignment w:val="center"/>
              <w:rPr>
                <w:rFonts w:hint="eastAsia" w:ascii="宋体" w:hAnsi="宋体" w:cs="宋体"/>
                <w:sz w:val="24"/>
              </w:rPr>
            </w:pPr>
            <w:r>
              <w:rPr>
                <w:rFonts w:hint="eastAsia" w:ascii="宋体" w:hAnsi="宋体" w:cs="宋体"/>
                <w:kern w:val="0"/>
                <w:sz w:val="24"/>
                <w:lang w:bidi="ar"/>
              </w:rPr>
              <w:t>县区级助产机构院内系统对接管理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58054172">
            <w:pPr>
              <w:widowControl/>
              <w:jc w:val="center"/>
              <w:textAlignment w:val="center"/>
              <w:rPr>
                <w:rFonts w:hint="eastAsia" w:ascii="宋体" w:hAnsi="宋体" w:cs="宋体"/>
                <w:sz w:val="24"/>
              </w:rPr>
            </w:pPr>
            <w:r>
              <w:rPr>
                <w:rFonts w:hint="eastAsia" w:ascii="宋体" w:hAnsi="宋体" w:cs="宋体"/>
                <w:kern w:val="0"/>
                <w:sz w:val="24"/>
                <w:lang w:bidi="ar"/>
              </w:rPr>
              <w:t>与HIS系统对接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5CAC929F">
            <w:pPr>
              <w:widowControl/>
              <w:textAlignment w:val="center"/>
              <w:rPr>
                <w:rFonts w:hint="eastAsia" w:ascii="宋体" w:hAnsi="宋体" w:cs="宋体"/>
                <w:sz w:val="24"/>
              </w:rPr>
            </w:pPr>
            <w:r>
              <w:rPr>
                <w:rFonts w:hint="eastAsia" w:ascii="宋体" w:hAnsi="宋体" w:cs="宋体"/>
                <w:kern w:val="0"/>
                <w:sz w:val="24"/>
                <w:lang w:bidi="ar"/>
              </w:rPr>
              <w:t>通过标准化的数据接口，与基层医院信息系统（HIS）进行对接。其核心功能是自动从基层HIS系统中获取病人基本信息，并以该系统作为病人信息的唯一权威来源，通过接口交互方式将数据实时、准确地传递至本系统，确保患者主数据在不同系统间的一致性与准确性。</w:t>
            </w:r>
          </w:p>
        </w:tc>
      </w:tr>
      <w:tr w14:paraId="724A57B8">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3BAD19F">
            <w:pPr>
              <w:widowControl/>
              <w:jc w:val="center"/>
              <w:textAlignment w:val="center"/>
              <w:rPr>
                <w:rFonts w:hint="eastAsia" w:ascii="宋体" w:hAnsi="宋体" w:cs="宋体"/>
                <w:sz w:val="24"/>
              </w:rPr>
            </w:pPr>
            <w:r>
              <w:rPr>
                <w:rFonts w:hint="eastAsia" w:ascii="宋体" w:hAnsi="宋体" w:cs="宋体"/>
                <w:kern w:val="0"/>
                <w:sz w:val="24"/>
                <w:lang w:bidi="ar"/>
              </w:rPr>
              <w:t>502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108621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9A87921">
            <w:pPr>
              <w:widowControl/>
              <w:jc w:val="center"/>
              <w:textAlignment w:val="center"/>
              <w:rPr>
                <w:rFonts w:hint="eastAsia" w:ascii="宋体" w:hAnsi="宋体" w:cs="宋体"/>
                <w:sz w:val="24"/>
              </w:rPr>
            </w:pPr>
            <w:r>
              <w:rPr>
                <w:rFonts w:hint="eastAsia" w:ascii="宋体" w:hAnsi="宋体" w:cs="宋体"/>
                <w:kern w:val="0"/>
                <w:sz w:val="24"/>
                <w:lang w:bidi="ar"/>
              </w:rPr>
              <w:t>与实验室管理信息系统对接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3F3BC03A">
            <w:pPr>
              <w:widowControl/>
              <w:textAlignment w:val="center"/>
              <w:rPr>
                <w:rFonts w:hint="eastAsia" w:ascii="宋体" w:hAnsi="宋体" w:cs="宋体"/>
                <w:sz w:val="24"/>
              </w:rPr>
            </w:pPr>
            <w:r>
              <w:rPr>
                <w:rFonts w:hint="eastAsia" w:ascii="宋体" w:hAnsi="宋体" w:cs="宋体"/>
                <w:kern w:val="0"/>
                <w:sz w:val="24"/>
                <w:lang w:bidi="ar"/>
              </w:rPr>
              <w:t>通过标准化的数据接口，与实验室管理信息系统（LIS）实现无缝对接。其核心功能是自动从LIS系统中获取完整的检验报告数据，并将其准确的导入本系统。用户无需切换至LIS系统，即可直接在本系统内方便地查阅所有导入的检验报告，从而在一个统一的平台上完成信息的获取与浏览，有效提升工作效率和数据整合度。</w:t>
            </w:r>
          </w:p>
        </w:tc>
      </w:tr>
      <w:tr w14:paraId="2E1F6BFE">
        <w:tblPrEx>
          <w:tblCellMar>
            <w:top w:w="0" w:type="dxa"/>
            <w:left w:w="108" w:type="dxa"/>
            <w:bottom w:w="0" w:type="dxa"/>
            <w:right w:w="108" w:type="dxa"/>
          </w:tblCellMar>
        </w:tblPrEx>
        <w:trPr>
          <w:trHeight w:val="607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9142834">
            <w:pPr>
              <w:widowControl/>
              <w:jc w:val="center"/>
              <w:textAlignment w:val="center"/>
              <w:rPr>
                <w:rFonts w:hint="eastAsia" w:ascii="宋体" w:hAnsi="宋体" w:cs="宋体"/>
                <w:sz w:val="24"/>
              </w:rPr>
            </w:pPr>
            <w:r>
              <w:rPr>
                <w:rFonts w:hint="eastAsia" w:ascii="宋体" w:hAnsi="宋体" w:cs="宋体"/>
                <w:kern w:val="0"/>
                <w:sz w:val="24"/>
                <w:lang w:bidi="ar"/>
              </w:rPr>
              <w:t>503</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05571E33">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A2E2CB1">
            <w:pPr>
              <w:widowControl/>
              <w:jc w:val="center"/>
              <w:textAlignment w:val="center"/>
              <w:rPr>
                <w:rFonts w:hint="eastAsia" w:ascii="宋体" w:hAnsi="宋体" w:cs="宋体"/>
                <w:sz w:val="24"/>
              </w:rPr>
            </w:pPr>
            <w:r>
              <w:rPr>
                <w:rFonts w:hint="eastAsia" w:ascii="宋体" w:hAnsi="宋体" w:cs="宋体"/>
                <w:kern w:val="0"/>
                <w:sz w:val="24"/>
                <w:lang w:bidi="ar"/>
              </w:rPr>
              <w:t>与电子病历系统对接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58757BE9">
            <w:pPr>
              <w:widowControl/>
              <w:textAlignment w:val="center"/>
              <w:rPr>
                <w:rFonts w:hint="eastAsia" w:ascii="宋体" w:hAnsi="宋体" w:cs="宋体"/>
                <w:sz w:val="24"/>
              </w:rPr>
            </w:pPr>
            <w:r>
              <w:rPr>
                <w:rStyle w:val="94"/>
                <w:rFonts w:hint="default"/>
                <w:color w:val="auto"/>
                <w:lang w:bidi="ar"/>
              </w:rPr>
              <w:t>通过标准化的数据接口，实现与乡镇卫生院（社区卫生服务中心）院内电子病历系统全面对接。以自动获取孕产妇及儿童在全生命周期健康管理中的关键病历数据。具体实现的功能包括：</w:t>
            </w:r>
            <w:r>
              <w:rPr>
                <w:rStyle w:val="94"/>
                <w:rFonts w:hint="default"/>
                <w:color w:val="auto"/>
                <w:lang w:bidi="ar"/>
              </w:rPr>
              <w:br w:type="textWrapping"/>
            </w:r>
            <w:r>
              <w:rPr>
                <w:rStyle w:val="192"/>
                <w:color w:val="auto"/>
                <w:lang w:bidi="ar"/>
              </w:rPr>
              <w:t>​​</w:t>
            </w:r>
            <w:r>
              <w:rPr>
                <w:rStyle w:val="94"/>
                <w:rFonts w:hint="default"/>
                <w:color w:val="auto"/>
                <w:lang w:bidi="ar"/>
              </w:rPr>
              <w:t>产科门诊数据获取：系统对接能够自动获取产科门诊电子病历中的完整信息流，涵盖从孕产妇初次建档、建册、初诊（含辅助检查）到后续的系列复诊（含辅助检查），直至产后的访视和42天健康检查（含辅助检查）的全部记录。</w:t>
            </w:r>
            <w:r>
              <w:rPr>
                <w:rStyle w:val="94"/>
                <w:rFonts w:hint="default"/>
                <w:color w:val="auto"/>
                <w:lang w:bidi="ar"/>
              </w:rPr>
              <w:br w:type="textWrapping"/>
            </w:r>
            <w:r>
              <w:rPr>
                <w:rStyle w:val="192"/>
                <w:color w:val="auto"/>
                <w:lang w:bidi="ar"/>
              </w:rPr>
              <w:t>​​</w:t>
            </w:r>
            <w:r>
              <w:rPr>
                <w:rStyle w:val="94"/>
                <w:rFonts w:hint="default"/>
                <w:color w:val="auto"/>
                <w:lang w:bidi="ar"/>
              </w:rPr>
              <w:t>产房数据获取：系统对接能够自动获取产房电子病历中的分娩全过程信息，包括详细的产时记录、产时辅助检查结果，以及产后的产妇信息和新生儿基本信息。</w:t>
            </w:r>
            <w:r>
              <w:rPr>
                <w:rStyle w:val="94"/>
                <w:rFonts w:hint="default"/>
                <w:color w:val="auto"/>
                <w:lang w:bidi="ar"/>
              </w:rPr>
              <w:br w:type="textWrapping"/>
            </w:r>
            <w:r>
              <w:rPr>
                <w:rStyle w:val="192"/>
                <w:color w:val="auto"/>
                <w:lang w:bidi="ar"/>
              </w:rPr>
              <w:t>​​</w:t>
            </w:r>
            <w:r>
              <w:rPr>
                <w:rStyle w:val="94"/>
                <w:rFonts w:hint="default"/>
                <w:color w:val="auto"/>
                <w:lang w:bidi="ar"/>
              </w:rPr>
              <w:t>儿童保健数据获取：系统能够自动获取儿保科门诊电子病历中儿童从新生儿期至学龄前的连续健康档案，具体包括新生儿访视、满月体检，以及0-1岁、1-2岁、3-6岁各年龄段的定期健康体检记录和相应的辅助检查结果。</w:t>
            </w:r>
            <w:r>
              <w:rPr>
                <w:rStyle w:val="94"/>
                <w:rFonts w:hint="default"/>
                <w:color w:val="auto"/>
                <w:lang w:bidi="ar"/>
              </w:rPr>
              <w:br w:type="textWrapping"/>
            </w:r>
            <w:r>
              <w:rPr>
                <w:rStyle w:val="94"/>
                <w:rFonts w:hint="default"/>
                <w:color w:val="auto"/>
                <w:lang w:bidi="ar"/>
              </w:rPr>
              <w:t>此外，系统会为所有通过接口获取的数据记录相应标识，从而清晰地区分自动化对接的数据与人工录入的数据，确保数据来源的可追溯性。</w:t>
            </w:r>
          </w:p>
        </w:tc>
      </w:tr>
      <w:tr w14:paraId="5B9ECC28">
        <w:tblPrEx>
          <w:tblCellMar>
            <w:top w:w="0" w:type="dxa"/>
            <w:left w:w="108" w:type="dxa"/>
            <w:bottom w:w="0" w:type="dxa"/>
            <w:right w:w="108" w:type="dxa"/>
          </w:tblCellMar>
        </w:tblPrEx>
        <w:trPr>
          <w:trHeight w:val="54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067EBAA8">
            <w:pPr>
              <w:widowControl/>
              <w:jc w:val="center"/>
              <w:textAlignment w:val="center"/>
              <w:rPr>
                <w:rFonts w:hint="eastAsia" w:ascii="宋体" w:hAnsi="宋体" w:cs="宋体"/>
                <w:sz w:val="24"/>
              </w:rPr>
            </w:pPr>
            <w:r>
              <w:rPr>
                <w:rFonts w:hint="eastAsia" w:ascii="宋体" w:hAnsi="宋体" w:cs="宋体"/>
                <w:kern w:val="0"/>
                <w:sz w:val="24"/>
                <w:lang w:bidi="ar"/>
              </w:rPr>
              <w:t>504</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6CB682B">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46808C0">
            <w:pPr>
              <w:widowControl/>
              <w:jc w:val="center"/>
              <w:textAlignment w:val="center"/>
              <w:rPr>
                <w:rFonts w:hint="eastAsia" w:ascii="宋体" w:hAnsi="宋体" w:cs="宋体"/>
                <w:sz w:val="24"/>
              </w:rPr>
            </w:pPr>
            <w:r>
              <w:rPr>
                <w:rFonts w:hint="eastAsia" w:ascii="宋体" w:hAnsi="宋体" w:cs="宋体"/>
                <w:kern w:val="0"/>
                <w:sz w:val="24"/>
                <w:lang w:bidi="ar"/>
              </w:rPr>
              <w:t>从“健苗工程”系统获取病历信息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26245A09">
            <w:pPr>
              <w:widowControl/>
              <w:textAlignment w:val="center"/>
              <w:rPr>
                <w:rFonts w:hint="eastAsia" w:ascii="宋体" w:hAnsi="宋体" w:cs="宋体"/>
                <w:sz w:val="24"/>
              </w:rPr>
            </w:pPr>
            <w:r>
              <w:rPr>
                <w:rFonts w:hint="eastAsia" w:ascii="宋体" w:hAnsi="宋体" w:cs="宋体"/>
                <w:kern w:val="0"/>
                <w:sz w:val="24"/>
                <w:lang w:bidi="ar"/>
              </w:rPr>
              <w:t>提供孕产妇全息档案联接标准接口，授权用户可通过标准接口，直接链接访问指定孕产妇本次孕期的完整电子档案。这包括其个人及丈夫基本信息、建册信息、全面的风险筛查与评估、历次体检数据（含宫高图、腹围曲线图、血压图等动态指标）、随访记录、辅助检查结果，并延伸至分娩信息、新生儿信息、产后访视及42天健康检查等产后管理全流程数据。</w:t>
            </w:r>
            <w:r>
              <w:rPr>
                <w:rFonts w:hint="eastAsia" w:ascii="宋体" w:hAnsi="宋体" w:cs="宋体"/>
                <w:kern w:val="0"/>
                <w:sz w:val="24"/>
                <w:lang w:bidi="ar"/>
              </w:rPr>
              <w:br w:type="textWrapping"/>
            </w:r>
            <w:r>
              <w:rPr>
                <w:rFonts w:hint="eastAsia" w:ascii="宋体" w:hAnsi="宋体" w:cs="宋体"/>
                <w:kern w:val="0"/>
                <w:sz w:val="24"/>
                <w:lang w:bidi="ar"/>
              </w:rPr>
              <w:t>提供儿童全息档案链接标准接口，授权用户可通过标准接口，直接链接访问儿童从出生到成长的完整健康档案。覆盖内容从新生儿访视开始，贯穿各年龄段的健康体检（1岁内、1-2岁、3-6岁及7岁以上），包含辅助检查、生长发育百分比评估（WHO2006）、视力听力筛查记录、专项评测等。同时，系统也提供对高危儿/体弱儿个案管理信息主卡及其医疗流转记录的链接访问。</w:t>
            </w:r>
            <w:r>
              <w:rPr>
                <w:rFonts w:hint="eastAsia" w:ascii="宋体" w:hAnsi="宋体" w:cs="宋体"/>
                <w:kern w:val="0"/>
                <w:sz w:val="24"/>
                <w:lang w:bidi="ar"/>
              </w:rPr>
              <w:br w:type="textWrapping"/>
            </w:r>
            <w:r>
              <w:rPr>
                <w:rFonts w:hint="eastAsia" w:ascii="宋体" w:hAnsi="宋体" w:cs="宋体"/>
                <w:kern w:val="0"/>
                <w:sz w:val="24"/>
                <w:lang w:bidi="ar"/>
              </w:rPr>
              <w:t>通过以上接口，授权用户无需切换系统即可深度、无缝地查阅“健苗工程”系统中的详尽的孕产妇与儿童健康病历信息。</w:t>
            </w:r>
          </w:p>
        </w:tc>
      </w:tr>
      <w:tr w14:paraId="07B99816">
        <w:tblPrEx>
          <w:tblCellMar>
            <w:top w:w="0" w:type="dxa"/>
            <w:left w:w="108" w:type="dxa"/>
            <w:bottom w:w="0" w:type="dxa"/>
            <w:right w:w="108" w:type="dxa"/>
          </w:tblCellMar>
        </w:tblPrEx>
        <w:trPr>
          <w:trHeight w:val="408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60AFFE8">
            <w:pPr>
              <w:widowControl/>
              <w:jc w:val="center"/>
              <w:textAlignment w:val="center"/>
              <w:rPr>
                <w:rFonts w:hint="eastAsia" w:ascii="宋体" w:hAnsi="宋体" w:cs="宋体"/>
                <w:sz w:val="24"/>
              </w:rPr>
            </w:pPr>
            <w:r>
              <w:rPr>
                <w:rFonts w:hint="eastAsia" w:ascii="宋体" w:hAnsi="宋体" w:cs="宋体"/>
                <w:kern w:val="0"/>
                <w:sz w:val="24"/>
                <w:lang w:bidi="ar"/>
              </w:rPr>
              <w:t>506</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1F085E45">
            <w:pPr>
              <w:widowControl/>
              <w:jc w:val="center"/>
              <w:textAlignment w:val="center"/>
              <w:rPr>
                <w:rFonts w:hint="eastAsia" w:ascii="宋体" w:hAnsi="宋体" w:cs="宋体"/>
                <w:sz w:val="24"/>
              </w:rPr>
            </w:pPr>
            <w:r>
              <w:rPr>
                <w:rFonts w:hint="eastAsia" w:ascii="宋体" w:hAnsi="宋体" w:cs="宋体"/>
                <w:kern w:val="0"/>
                <w:sz w:val="24"/>
                <w:lang w:bidi="ar"/>
              </w:rPr>
              <w:t>乡镇卫生院（社区卫生服务中心）院内系统对接</w:t>
            </w:r>
          </w:p>
        </w:tc>
        <w:tc>
          <w:tcPr>
            <w:tcW w:w="1313" w:type="dxa"/>
            <w:tcBorders>
              <w:top w:val="single" w:color="000000" w:sz="4" w:space="0"/>
              <w:left w:val="single" w:color="000000" w:sz="4" w:space="0"/>
              <w:bottom w:val="single" w:color="000000" w:sz="4" w:space="0"/>
              <w:right w:val="single" w:color="000000" w:sz="4" w:space="0"/>
            </w:tcBorders>
            <w:vAlign w:val="center"/>
          </w:tcPr>
          <w:p w14:paraId="1F1541A1">
            <w:pPr>
              <w:widowControl/>
              <w:jc w:val="center"/>
              <w:textAlignment w:val="center"/>
              <w:rPr>
                <w:rFonts w:hint="eastAsia" w:ascii="宋体" w:hAnsi="宋体" w:cs="宋体"/>
                <w:sz w:val="24"/>
              </w:rPr>
            </w:pPr>
            <w:r>
              <w:rPr>
                <w:rFonts w:hint="eastAsia" w:ascii="宋体" w:hAnsi="宋体" w:cs="宋体"/>
                <w:kern w:val="0"/>
                <w:sz w:val="24"/>
                <w:lang w:bidi="ar"/>
              </w:rPr>
              <w:t>与HIS系统对接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0D8378AF">
            <w:pPr>
              <w:widowControl/>
              <w:textAlignment w:val="center"/>
              <w:rPr>
                <w:rFonts w:hint="eastAsia" w:ascii="宋体" w:hAnsi="宋体" w:cs="宋体"/>
                <w:sz w:val="24"/>
              </w:rPr>
            </w:pPr>
            <w:r>
              <w:rPr>
                <w:rFonts w:hint="eastAsia" w:ascii="宋体" w:hAnsi="宋体" w:cs="宋体"/>
                <w:kern w:val="0"/>
                <w:sz w:val="24"/>
                <w:lang w:bidi="ar"/>
              </w:rPr>
              <w:t>通过标准化的数据接口，与基层医院信息系统（HIS）进行对接。其核心功能是自动从基层HIS系统中获取病人基本信息，并以该系统作为病人信息的唯一权威来源，通过接口交互方式将数据实时、准确地传递至本系统，确保患者主数据在不同系统间的一致性与准确性。</w:t>
            </w:r>
          </w:p>
        </w:tc>
      </w:tr>
      <w:tr w14:paraId="41647A51">
        <w:tblPrEx>
          <w:tblCellMar>
            <w:top w:w="0" w:type="dxa"/>
            <w:left w:w="108" w:type="dxa"/>
            <w:bottom w:w="0" w:type="dxa"/>
            <w:right w:w="108" w:type="dxa"/>
          </w:tblCellMar>
        </w:tblPrEx>
        <w:trPr>
          <w:trHeight w:val="199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760C348B">
            <w:pPr>
              <w:widowControl/>
              <w:jc w:val="center"/>
              <w:textAlignment w:val="center"/>
              <w:rPr>
                <w:rFonts w:hint="eastAsia" w:ascii="宋体" w:hAnsi="宋体" w:cs="宋体"/>
                <w:sz w:val="24"/>
              </w:rPr>
            </w:pPr>
            <w:r>
              <w:rPr>
                <w:rFonts w:hint="eastAsia" w:ascii="宋体" w:hAnsi="宋体" w:cs="宋体"/>
                <w:kern w:val="0"/>
                <w:sz w:val="24"/>
                <w:lang w:bidi="ar"/>
              </w:rPr>
              <w:t>507</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D48AD4F">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82D906E">
            <w:pPr>
              <w:widowControl/>
              <w:jc w:val="center"/>
              <w:textAlignment w:val="center"/>
              <w:rPr>
                <w:rFonts w:hint="eastAsia" w:ascii="宋体" w:hAnsi="宋体" w:cs="宋体"/>
                <w:sz w:val="24"/>
              </w:rPr>
            </w:pPr>
            <w:r>
              <w:rPr>
                <w:rFonts w:hint="eastAsia" w:ascii="宋体" w:hAnsi="宋体" w:cs="宋体"/>
                <w:kern w:val="0"/>
                <w:sz w:val="24"/>
                <w:lang w:bidi="ar"/>
              </w:rPr>
              <w:t>与实验室管理信息系统对接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070AB8E9">
            <w:pPr>
              <w:widowControl/>
              <w:textAlignment w:val="center"/>
              <w:rPr>
                <w:rFonts w:hint="eastAsia" w:ascii="宋体" w:hAnsi="宋体" w:cs="宋体"/>
                <w:sz w:val="24"/>
              </w:rPr>
            </w:pPr>
            <w:r>
              <w:rPr>
                <w:rFonts w:hint="eastAsia" w:ascii="宋体" w:hAnsi="宋体" w:cs="宋体"/>
                <w:kern w:val="0"/>
                <w:sz w:val="24"/>
                <w:lang w:bidi="ar"/>
              </w:rPr>
              <w:t>通过标准化的数据接口，与实验室管理信息系统（LIS）实现无缝对接。其核心功能是自动从LIS系统中获取完整的检验报告数据，并将其准确的导入本系统。用户无需切换至LIS系统，即可直接在本系统内方便地查阅所有导入的检验报告，从而在一个统一的平台上完成信息的获取与浏览，有效提升工作效率和数据整合度。</w:t>
            </w:r>
          </w:p>
        </w:tc>
      </w:tr>
      <w:tr w14:paraId="2C8CB677">
        <w:tblPrEx>
          <w:tblCellMar>
            <w:top w:w="0" w:type="dxa"/>
            <w:left w:w="108" w:type="dxa"/>
            <w:bottom w:w="0" w:type="dxa"/>
            <w:right w:w="108" w:type="dxa"/>
          </w:tblCellMar>
        </w:tblPrEx>
        <w:trPr>
          <w:trHeight w:val="607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46B54DB1">
            <w:pPr>
              <w:widowControl/>
              <w:jc w:val="center"/>
              <w:textAlignment w:val="center"/>
              <w:rPr>
                <w:rFonts w:hint="eastAsia" w:ascii="宋体" w:hAnsi="宋体" w:cs="宋体"/>
                <w:sz w:val="24"/>
              </w:rPr>
            </w:pPr>
            <w:r>
              <w:rPr>
                <w:rFonts w:hint="eastAsia" w:ascii="宋体" w:hAnsi="宋体" w:cs="宋体"/>
                <w:kern w:val="0"/>
                <w:sz w:val="24"/>
                <w:lang w:bidi="ar"/>
              </w:rPr>
              <w:t>508</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34725818">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1AA4D90">
            <w:pPr>
              <w:widowControl/>
              <w:jc w:val="center"/>
              <w:textAlignment w:val="center"/>
              <w:rPr>
                <w:rFonts w:hint="eastAsia" w:ascii="宋体" w:hAnsi="宋体" w:cs="宋体"/>
                <w:sz w:val="24"/>
              </w:rPr>
            </w:pPr>
            <w:r>
              <w:rPr>
                <w:rFonts w:hint="eastAsia" w:ascii="宋体" w:hAnsi="宋体" w:cs="宋体"/>
                <w:kern w:val="0"/>
                <w:sz w:val="24"/>
                <w:lang w:bidi="ar"/>
              </w:rPr>
              <w:t>与电子病历系统对接</w:t>
            </w:r>
          </w:p>
        </w:tc>
        <w:tc>
          <w:tcPr>
            <w:tcW w:w="9687" w:type="dxa"/>
            <w:tcBorders>
              <w:top w:val="single" w:color="000000" w:sz="4" w:space="0"/>
              <w:left w:val="single" w:color="000000" w:sz="4" w:space="0"/>
              <w:bottom w:val="single" w:color="000000" w:sz="4" w:space="0"/>
              <w:right w:val="single" w:color="000000" w:sz="4" w:space="0"/>
            </w:tcBorders>
            <w:vAlign w:val="center"/>
          </w:tcPr>
          <w:p w14:paraId="1D6E53AC">
            <w:pPr>
              <w:widowControl/>
              <w:textAlignment w:val="center"/>
              <w:rPr>
                <w:rFonts w:hint="eastAsia" w:ascii="宋体" w:hAnsi="宋体" w:cs="宋体"/>
                <w:sz w:val="24"/>
              </w:rPr>
            </w:pPr>
            <w:r>
              <w:rPr>
                <w:rStyle w:val="94"/>
                <w:rFonts w:hint="default"/>
                <w:color w:val="auto"/>
                <w:lang w:bidi="ar"/>
              </w:rPr>
              <w:t>通过标准化的数据接口，实现与乡镇卫生院（社区卫生服务中心）院内电子病历系统全面对接。以自动获取孕产妇及儿童在全生命周期健康管理中的关键病历数据。具体实现的功能包括：</w:t>
            </w:r>
            <w:r>
              <w:rPr>
                <w:rStyle w:val="94"/>
                <w:rFonts w:hint="default"/>
                <w:color w:val="auto"/>
                <w:lang w:bidi="ar"/>
              </w:rPr>
              <w:br w:type="textWrapping"/>
            </w:r>
            <w:r>
              <w:rPr>
                <w:rStyle w:val="192"/>
                <w:color w:val="auto"/>
                <w:lang w:bidi="ar"/>
              </w:rPr>
              <w:t>​​</w:t>
            </w:r>
            <w:r>
              <w:rPr>
                <w:rStyle w:val="94"/>
                <w:rFonts w:hint="default"/>
                <w:color w:val="auto"/>
                <w:lang w:bidi="ar"/>
              </w:rPr>
              <w:t>产科门诊数据获取</w:t>
            </w:r>
            <w:r>
              <w:rPr>
                <w:rStyle w:val="192"/>
                <w:color w:val="auto"/>
                <w:lang w:bidi="ar"/>
              </w:rPr>
              <w:t>​​</w:t>
            </w:r>
            <w:r>
              <w:rPr>
                <w:rStyle w:val="94"/>
                <w:rFonts w:hint="default"/>
                <w:color w:val="auto"/>
                <w:lang w:bidi="ar"/>
              </w:rPr>
              <w:t>：系统对接能够自动获取产科门诊电子病历中的完整信息流，涵盖从孕产妇初次建档、建册、初诊（含辅助检查）到后续的系列复诊（含辅助检查），直至产后的访视和42天健康检查（含辅助检查）的全部记录。</w:t>
            </w:r>
            <w:r>
              <w:rPr>
                <w:rStyle w:val="94"/>
                <w:rFonts w:hint="default"/>
                <w:color w:val="auto"/>
                <w:lang w:bidi="ar"/>
              </w:rPr>
              <w:br w:type="textWrapping"/>
            </w:r>
            <w:r>
              <w:rPr>
                <w:rStyle w:val="192"/>
                <w:color w:val="auto"/>
                <w:lang w:bidi="ar"/>
              </w:rPr>
              <w:t>​​</w:t>
            </w:r>
            <w:r>
              <w:rPr>
                <w:rStyle w:val="94"/>
                <w:rFonts w:hint="default"/>
                <w:color w:val="auto"/>
                <w:lang w:bidi="ar"/>
              </w:rPr>
              <w:t>产房数据获取</w:t>
            </w:r>
            <w:r>
              <w:rPr>
                <w:rStyle w:val="192"/>
                <w:color w:val="auto"/>
                <w:lang w:bidi="ar"/>
              </w:rPr>
              <w:t>​​</w:t>
            </w:r>
            <w:r>
              <w:rPr>
                <w:rStyle w:val="94"/>
                <w:rFonts w:hint="default"/>
                <w:color w:val="auto"/>
                <w:lang w:bidi="ar"/>
              </w:rPr>
              <w:t>：系统对接能够自动获取产房电子病历中的分娩全过程信息，包括详细的产时记录、产时辅助检查结果，以及产后的产妇信息和新生儿基本信息。</w:t>
            </w:r>
            <w:r>
              <w:rPr>
                <w:rStyle w:val="94"/>
                <w:rFonts w:hint="default"/>
                <w:color w:val="auto"/>
                <w:lang w:bidi="ar"/>
              </w:rPr>
              <w:br w:type="textWrapping"/>
            </w:r>
            <w:r>
              <w:rPr>
                <w:rStyle w:val="192"/>
                <w:color w:val="auto"/>
                <w:lang w:bidi="ar"/>
              </w:rPr>
              <w:t>​​</w:t>
            </w:r>
            <w:r>
              <w:rPr>
                <w:rStyle w:val="94"/>
                <w:rFonts w:hint="default"/>
                <w:color w:val="auto"/>
                <w:lang w:bidi="ar"/>
              </w:rPr>
              <w:t>儿童保健数据获取</w:t>
            </w:r>
            <w:r>
              <w:rPr>
                <w:rStyle w:val="192"/>
                <w:color w:val="auto"/>
                <w:lang w:bidi="ar"/>
              </w:rPr>
              <w:t>​​</w:t>
            </w:r>
            <w:r>
              <w:rPr>
                <w:rStyle w:val="94"/>
                <w:rFonts w:hint="default"/>
                <w:color w:val="auto"/>
                <w:lang w:bidi="ar"/>
              </w:rPr>
              <w:t>：系统能够自动获取儿保科门诊电子病历中儿童从新生儿期至学龄前的连续健康档案，具体包括新生儿访视、满月体检，以及0-1岁、1-2岁、3-6岁各年龄段的定期健康体检记录和相应的辅助检查结果。</w:t>
            </w:r>
            <w:r>
              <w:rPr>
                <w:rStyle w:val="94"/>
                <w:rFonts w:hint="default"/>
                <w:color w:val="auto"/>
                <w:lang w:bidi="ar"/>
              </w:rPr>
              <w:br w:type="textWrapping"/>
            </w:r>
            <w:r>
              <w:rPr>
                <w:rStyle w:val="94"/>
                <w:rFonts w:hint="default"/>
                <w:color w:val="auto"/>
                <w:lang w:bidi="ar"/>
              </w:rPr>
              <w:t>此外，系统会为所有通过接口获取的数据记录相应标识，从而清晰地区分自动化对接的数据与人工录入的数据，确保数据来源的可追溯性。</w:t>
            </w:r>
          </w:p>
        </w:tc>
      </w:tr>
      <w:tr w14:paraId="699AA30B">
        <w:tblPrEx>
          <w:tblCellMar>
            <w:top w:w="0" w:type="dxa"/>
            <w:left w:w="108" w:type="dxa"/>
            <w:bottom w:w="0" w:type="dxa"/>
            <w:right w:w="108" w:type="dxa"/>
          </w:tblCellMar>
        </w:tblPrEx>
        <w:trPr>
          <w:trHeight w:val="5415"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2D40C9ED">
            <w:pPr>
              <w:widowControl/>
              <w:jc w:val="center"/>
              <w:textAlignment w:val="center"/>
              <w:rPr>
                <w:rFonts w:hint="eastAsia" w:ascii="宋体" w:hAnsi="宋体" w:cs="宋体"/>
                <w:sz w:val="24"/>
              </w:rPr>
            </w:pPr>
            <w:r>
              <w:rPr>
                <w:rFonts w:hint="eastAsia" w:ascii="宋体" w:hAnsi="宋体" w:cs="宋体"/>
                <w:kern w:val="0"/>
                <w:sz w:val="24"/>
                <w:lang w:bidi="ar"/>
              </w:rPr>
              <w:t>509</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98F42A5">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7FC7A98">
            <w:pPr>
              <w:widowControl/>
              <w:jc w:val="center"/>
              <w:textAlignment w:val="center"/>
              <w:rPr>
                <w:rFonts w:hint="eastAsia" w:ascii="宋体" w:hAnsi="宋体" w:cs="宋体"/>
                <w:sz w:val="24"/>
              </w:rPr>
            </w:pPr>
            <w:r>
              <w:rPr>
                <w:rFonts w:hint="eastAsia" w:ascii="宋体" w:hAnsi="宋体" w:cs="宋体"/>
                <w:kern w:val="0"/>
                <w:sz w:val="24"/>
                <w:lang w:bidi="ar"/>
              </w:rPr>
              <w:t>从“健苗工程”系统获取病历信息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2BF82470">
            <w:pPr>
              <w:widowControl/>
              <w:textAlignment w:val="center"/>
              <w:rPr>
                <w:rFonts w:hint="eastAsia" w:ascii="宋体" w:hAnsi="宋体" w:cs="宋体"/>
                <w:sz w:val="24"/>
              </w:rPr>
            </w:pPr>
            <w:r>
              <w:rPr>
                <w:rFonts w:hint="eastAsia" w:ascii="宋体" w:hAnsi="宋体" w:cs="宋体"/>
                <w:kern w:val="0"/>
                <w:sz w:val="24"/>
                <w:lang w:bidi="ar"/>
              </w:rPr>
              <w:t>提供孕产妇全息档案联接标准接口，授权用户可通过标准接口，直接链接访问指定孕产妇本次孕期的完整电子档案。这包括其个人及丈夫基本信息、建册信息、全面的风险筛查与评估、历次体检数据（含宫高图、腹围曲线图、血压图等动态指标）、随访记录、辅助检查结果，并延伸至分娩信息、新生儿信息、产后访视及42天健康检查等产后管理全流程数据。</w:t>
            </w:r>
            <w:r>
              <w:rPr>
                <w:rFonts w:hint="eastAsia" w:ascii="宋体" w:hAnsi="宋体" w:cs="宋体"/>
                <w:kern w:val="0"/>
                <w:sz w:val="24"/>
                <w:lang w:bidi="ar"/>
              </w:rPr>
              <w:br w:type="textWrapping"/>
            </w:r>
            <w:r>
              <w:rPr>
                <w:rFonts w:hint="eastAsia" w:ascii="宋体" w:hAnsi="宋体" w:cs="宋体"/>
                <w:kern w:val="0"/>
                <w:sz w:val="24"/>
                <w:lang w:bidi="ar"/>
              </w:rPr>
              <w:t>提供儿童全息档案链接标准接口，授权用户可通过标准接口，直接链接访问儿童从出生到成长的完整健康档案。覆盖内容从新生儿访视开始，贯穿各年龄段的健康体检（1岁内、1-2岁、3-6岁及7岁以上），包含辅助检查、生长发育百分比评估（WHO2006）、视力听力筛查记录、专项评测等。同时，系统也提供对高危儿/体弱儿个案管理信息主卡及其医疗流转记录的链接访问。</w:t>
            </w:r>
            <w:r>
              <w:rPr>
                <w:rFonts w:hint="eastAsia" w:ascii="宋体" w:hAnsi="宋体" w:cs="宋体"/>
                <w:kern w:val="0"/>
                <w:sz w:val="24"/>
                <w:lang w:bidi="ar"/>
              </w:rPr>
              <w:br w:type="textWrapping"/>
            </w:r>
            <w:r>
              <w:rPr>
                <w:rFonts w:hint="eastAsia" w:ascii="宋体" w:hAnsi="宋体" w:cs="宋体"/>
                <w:kern w:val="0"/>
                <w:sz w:val="24"/>
                <w:lang w:bidi="ar"/>
              </w:rPr>
              <w:t>通过以上接口，授权用户无需切换系统即可深度、无缝地查阅“健苗工程”系统中的详尽的孕产妇与儿童健康病历信息。</w:t>
            </w:r>
          </w:p>
        </w:tc>
      </w:tr>
      <w:tr w14:paraId="7CCE8A33">
        <w:tblPrEx>
          <w:tblCellMar>
            <w:top w:w="0" w:type="dxa"/>
            <w:left w:w="108" w:type="dxa"/>
            <w:bottom w:w="0" w:type="dxa"/>
            <w:right w:w="108" w:type="dxa"/>
          </w:tblCellMar>
        </w:tblPrEx>
        <w:trPr>
          <w:trHeight w:val="819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6C6DCC56">
            <w:pPr>
              <w:widowControl/>
              <w:jc w:val="center"/>
              <w:textAlignment w:val="center"/>
              <w:rPr>
                <w:rFonts w:hint="eastAsia" w:ascii="宋体" w:hAnsi="宋体" w:cs="宋体"/>
                <w:sz w:val="24"/>
              </w:rPr>
            </w:pPr>
            <w:r>
              <w:rPr>
                <w:rFonts w:hint="eastAsia" w:ascii="宋体" w:hAnsi="宋体" w:cs="宋体"/>
                <w:kern w:val="0"/>
                <w:sz w:val="24"/>
                <w:lang w:bidi="ar"/>
              </w:rPr>
              <w:t>511</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4B44FC4C">
            <w:pPr>
              <w:widowControl/>
              <w:jc w:val="center"/>
              <w:textAlignment w:val="center"/>
              <w:rPr>
                <w:rFonts w:hint="eastAsia" w:ascii="宋体" w:hAnsi="宋体" w:cs="宋体"/>
                <w:sz w:val="24"/>
              </w:rPr>
            </w:pPr>
            <w:r>
              <w:rPr>
                <w:rFonts w:hint="eastAsia" w:ascii="宋体" w:hAnsi="宋体" w:cs="宋体"/>
                <w:kern w:val="0"/>
                <w:sz w:val="24"/>
                <w:lang w:bidi="ar"/>
              </w:rPr>
              <w:t>区域数据交换管理</w:t>
            </w:r>
          </w:p>
        </w:tc>
        <w:tc>
          <w:tcPr>
            <w:tcW w:w="1313" w:type="dxa"/>
            <w:tcBorders>
              <w:top w:val="single" w:color="000000" w:sz="4" w:space="0"/>
              <w:left w:val="single" w:color="000000" w:sz="4" w:space="0"/>
              <w:bottom w:val="single" w:color="000000" w:sz="4" w:space="0"/>
              <w:right w:val="single" w:color="000000" w:sz="4" w:space="0"/>
            </w:tcBorders>
            <w:vAlign w:val="center"/>
          </w:tcPr>
          <w:p w14:paraId="308FCF98">
            <w:pPr>
              <w:widowControl/>
              <w:jc w:val="center"/>
              <w:textAlignment w:val="center"/>
              <w:rPr>
                <w:rFonts w:hint="eastAsia" w:ascii="宋体" w:hAnsi="宋体" w:cs="宋体"/>
                <w:sz w:val="24"/>
              </w:rPr>
            </w:pPr>
            <w:r>
              <w:rPr>
                <w:rFonts w:hint="eastAsia" w:ascii="宋体" w:hAnsi="宋体" w:cs="宋体"/>
                <w:kern w:val="0"/>
                <w:sz w:val="24"/>
                <w:lang w:bidi="ar"/>
              </w:rPr>
              <w:t>孕产妇管理信息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181BC7D9">
            <w:pPr>
              <w:widowControl/>
              <w:textAlignment w:val="center"/>
              <w:rPr>
                <w:rFonts w:hint="eastAsia" w:ascii="宋体" w:hAnsi="宋体" w:cs="宋体"/>
                <w:sz w:val="24"/>
              </w:rPr>
            </w:pPr>
            <w:r>
              <w:rPr>
                <w:rFonts w:hint="eastAsia" w:ascii="宋体" w:hAnsi="宋体" w:cs="宋体"/>
                <w:kern w:val="0"/>
                <w:sz w:val="24"/>
                <w:lang w:bidi="ar"/>
              </w:rPr>
              <w:t>实现孕产妇档案信息与区域系统的数据交互。</w:t>
            </w:r>
            <w:r>
              <w:rPr>
                <w:rFonts w:hint="eastAsia" w:ascii="宋体" w:hAnsi="宋体" w:cs="宋体"/>
                <w:kern w:val="0"/>
                <w:sz w:val="24"/>
                <w:lang w:bidi="ar"/>
              </w:rPr>
              <w:br w:type="textWrapping"/>
            </w:r>
            <w:r>
              <w:rPr>
                <w:rFonts w:hint="eastAsia" w:ascii="宋体" w:hAnsi="宋体" w:cs="宋体"/>
                <w:kern w:val="0"/>
                <w:sz w:val="24"/>
                <w:lang w:bidi="ar"/>
              </w:rPr>
              <w:t>支持孕产妇基本信息对接、孕产妇档案信息对接、孕产妇第1次产检检查信息对接、孕产妇第2~5次产前随访信息对接、孕产妇分娩产时信息对接、孕产妇分娩产后信息对接、孕产妇分娩新生儿信息对接、孕产妇产后访视信息对接、孕产妇产后42天健康检查信息对接、孕产妇第1次产检辅助检查信息对接、孕产妇第2~5次产检辅助检查信息对接。</w:t>
            </w:r>
            <w:r>
              <w:rPr>
                <w:rFonts w:hint="eastAsia" w:ascii="宋体" w:hAnsi="宋体" w:cs="宋体"/>
                <w:kern w:val="0"/>
                <w:sz w:val="24"/>
                <w:lang w:bidi="ar"/>
              </w:rPr>
              <w:br w:type="textWrapping"/>
            </w:r>
            <w:r>
              <w:rPr>
                <w:rFonts w:hint="eastAsia" w:ascii="宋体" w:hAnsi="宋体" w:cs="宋体"/>
                <w:kern w:val="0"/>
                <w:sz w:val="24"/>
                <w:lang w:bidi="ar"/>
              </w:rPr>
              <w:t>所有数据对接交换均采用标准化接口，确保数据实时性和准确性。</w:t>
            </w:r>
          </w:p>
        </w:tc>
      </w:tr>
      <w:tr w14:paraId="6B09F4AE">
        <w:tblPrEx>
          <w:tblCellMar>
            <w:top w:w="0" w:type="dxa"/>
            <w:left w:w="108" w:type="dxa"/>
            <w:bottom w:w="0" w:type="dxa"/>
            <w:right w:w="108" w:type="dxa"/>
          </w:tblCellMar>
        </w:tblPrEx>
        <w:trPr>
          <w:trHeight w:val="8100" w:hRule="atLeast"/>
        </w:trPr>
        <w:tc>
          <w:tcPr>
            <w:tcW w:w="1071" w:type="dxa"/>
            <w:tcBorders>
              <w:top w:val="single" w:color="000000" w:sz="4" w:space="0"/>
              <w:left w:val="single" w:color="000000" w:sz="4" w:space="0"/>
              <w:bottom w:val="single" w:color="000000" w:sz="4" w:space="0"/>
              <w:right w:val="single" w:color="000000" w:sz="4" w:space="0"/>
            </w:tcBorders>
            <w:vAlign w:val="center"/>
          </w:tcPr>
          <w:p w14:paraId="1A98B37A">
            <w:pPr>
              <w:widowControl/>
              <w:jc w:val="center"/>
              <w:textAlignment w:val="center"/>
              <w:rPr>
                <w:rFonts w:hint="eastAsia" w:ascii="宋体" w:hAnsi="宋体" w:cs="宋体"/>
                <w:sz w:val="24"/>
              </w:rPr>
            </w:pPr>
            <w:r>
              <w:rPr>
                <w:rFonts w:hint="eastAsia" w:ascii="宋体" w:hAnsi="宋体" w:cs="宋体"/>
                <w:kern w:val="0"/>
                <w:sz w:val="24"/>
                <w:lang w:bidi="ar"/>
              </w:rPr>
              <w:t>512</w:t>
            </w: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F2A06FD">
            <w:pPr>
              <w:widowControl/>
              <w:jc w:val="center"/>
              <w:rPr>
                <w:rFonts w:hint="eastAsia" w:ascii="宋体" w:hAnsi="宋体" w:cs="宋体"/>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A5B168A">
            <w:pPr>
              <w:widowControl/>
              <w:jc w:val="center"/>
              <w:textAlignment w:val="center"/>
              <w:rPr>
                <w:rFonts w:hint="eastAsia" w:ascii="宋体" w:hAnsi="宋体" w:cs="宋体"/>
                <w:sz w:val="24"/>
              </w:rPr>
            </w:pPr>
            <w:r>
              <w:rPr>
                <w:rFonts w:hint="eastAsia" w:ascii="宋体" w:hAnsi="宋体" w:cs="宋体"/>
                <w:kern w:val="0"/>
                <w:sz w:val="24"/>
                <w:lang w:bidi="ar"/>
              </w:rPr>
              <w:t>儿童管理信息</w:t>
            </w:r>
          </w:p>
        </w:tc>
        <w:tc>
          <w:tcPr>
            <w:tcW w:w="9687" w:type="dxa"/>
            <w:tcBorders>
              <w:top w:val="single" w:color="000000" w:sz="4" w:space="0"/>
              <w:left w:val="single" w:color="000000" w:sz="4" w:space="0"/>
              <w:bottom w:val="single" w:color="000000" w:sz="4" w:space="0"/>
              <w:right w:val="single" w:color="000000" w:sz="4" w:space="0"/>
            </w:tcBorders>
            <w:vAlign w:val="center"/>
          </w:tcPr>
          <w:p w14:paraId="537C8512">
            <w:pPr>
              <w:widowControl/>
              <w:textAlignment w:val="center"/>
              <w:rPr>
                <w:rFonts w:hint="eastAsia" w:ascii="宋体" w:hAnsi="宋体" w:cs="宋体"/>
                <w:sz w:val="24"/>
              </w:rPr>
            </w:pPr>
            <w:r>
              <w:rPr>
                <w:rFonts w:hint="eastAsia" w:ascii="宋体" w:hAnsi="宋体" w:cs="宋体"/>
                <w:kern w:val="0"/>
                <w:sz w:val="24"/>
                <w:lang w:bidi="ar"/>
              </w:rPr>
              <w:t>实现儿童档案信息与区域系统的数据交互。</w:t>
            </w:r>
            <w:r>
              <w:rPr>
                <w:rFonts w:hint="eastAsia" w:ascii="宋体" w:hAnsi="宋体" w:cs="宋体"/>
                <w:kern w:val="0"/>
                <w:sz w:val="24"/>
                <w:lang w:bidi="ar"/>
              </w:rPr>
              <w:br w:type="textWrapping"/>
            </w:r>
            <w:r>
              <w:rPr>
                <w:rFonts w:hint="eastAsia" w:ascii="宋体" w:hAnsi="宋体" w:cs="宋体"/>
                <w:kern w:val="0"/>
                <w:sz w:val="24"/>
                <w:lang w:bidi="ar"/>
              </w:rPr>
              <w:t>支持儿童档案信息对接、新生儿家庭访视信息对接、1~8月龄儿童健康检查信息对接、12~30月龄儿童健康检查信息对接、3~6岁儿童健康检查信息对接。</w:t>
            </w:r>
            <w:r>
              <w:rPr>
                <w:rFonts w:hint="eastAsia" w:ascii="宋体" w:hAnsi="宋体" w:cs="宋体"/>
                <w:kern w:val="0"/>
                <w:sz w:val="24"/>
                <w:lang w:bidi="ar"/>
              </w:rPr>
              <w:br w:type="textWrapping"/>
            </w:r>
            <w:r>
              <w:rPr>
                <w:rFonts w:hint="eastAsia" w:ascii="宋体" w:hAnsi="宋体" w:cs="宋体"/>
                <w:kern w:val="0"/>
                <w:sz w:val="24"/>
                <w:lang w:bidi="ar"/>
              </w:rPr>
              <w:t>所有数据对接交换均采用标准化接口，确保数据实时性和准确性。</w:t>
            </w:r>
          </w:p>
        </w:tc>
      </w:tr>
    </w:tbl>
    <w:p w14:paraId="77FC9BB0">
      <w:r>
        <w:rPr>
          <w:rFonts w:ascii="宋体" w:hAnsi="宋体" w:cs="宋体"/>
          <w:spacing w:val="-11"/>
          <w:sz w:val="28"/>
          <w:szCs w:val="28"/>
        </w:rPr>
        <w:br w:type="page"/>
      </w:r>
      <w:r>
        <w:rPr>
          <w:rFonts w:hint="eastAsia"/>
        </w:rPr>
        <w:t xml:space="preserve">     </w:t>
      </w:r>
    </w:p>
    <w:tbl>
      <w:tblPr>
        <w:tblStyle w:val="39"/>
        <w:tblW w:w="0" w:type="auto"/>
        <w:tblInd w:w="91" w:type="dxa"/>
        <w:tblLayout w:type="fixed"/>
        <w:tblCellMar>
          <w:top w:w="0" w:type="dxa"/>
          <w:left w:w="108" w:type="dxa"/>
          <w:bottom w:w="0" w:type="dxa"/>
          <w:right w:w="108" w:type="dxa"/>
        </w:tblCellMar>
      </w:tblPr>
      <w:tblGrid>
        <w:gridCol w:w="738"/>
        <w:gridCol w:w="1436"/>
        <w:gridCol w:w="6734"/>
        <w:gridCol w:w="1388"/>
        <w:gridCol w:w="1556"/>
      </w:tblGrid>
      <w:tr w14:paraId="65A55298">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000000" w:sz="4" w:space="0"/>
            </w:tcBorders>
            <w:vAlign w:val="center"/>
          </w:tcPr>
          <w:p w14:paraId="30ED9F1B">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1436" w:type="dxa"/>
            <w:tcBorders>
              <w:top w:val="single" w:color="auto" w:sz="4" w:space="0"/>
              <w:left w:val="single" w:color="000000" w:sz="4" w:space="0"/>
              <w:bottom w:val="single" w:color="auto" w:sz="4" w:space="0"/>
              <w:right w:val="single" w:color="000000" w:sz="4" w:space="0"/>
            </w:tcBorders>
            <w:vAlign w:val="center"/>
          </w:tcPr>
          <w:p w14:paraId="26FDA581">
            <w:pPr>
              <w:widowControl/>
              <w:jc w:val="center"/>
              <w:textAlignment w:val="center"/>
              <w:rPr>
                <w:rFonts w:hint="eastAsia" w:ascii="宋体" w:hAnsi="宋体" w:cs="宋体"/>
                <w:b/>
                <w:bCs/>
                <w:sz w:val="24"/>
              </w:rPr>
            </w:pPr>
            <w:r>
              <w:rPr>
                <w:rFonts w:hint="eastAsia" w:ascii="宋体" w:hAnsi="宋体" w:cs="宋体"/>
                <w:b/>
                <w:bCs/>
                <w:kern w:val="0"/>
                <w:sz w:val="24"/>
                <w:lang w:bidi="ar"/>
              </w:rPr>
              <w:t>设备名称</w:t>
            </w:r>
          </w:p>
        </w:tc>
        <w:tc>
          <w:tcPr>
            <w:tcW w:w="6734" w:type="dxa"/>
            <w:tcBorders>
              <w:top w:val="single" w:color="auto" w:sz="4" w:space="0"/>
              <w:left w:val="single" w:color="000000" w:sz="4" w:space="0"/>
              <w:bottom w:val="single" w:color="auto" w:sz="4" w:space="0"/>
              <w:right w:val="single" w:color="000000" w:sz="4" w:space="0"/>
            </w:tcBorders>
            <w:vAlign w:val="center"/>
          </w:tcPr>
          <w:p w14:paraId="6BC2FF68">
            <w:pPr>
              <w:widowControl/>
              <w:jc w:val="center"/>
              <w:textAlignment w:val="center"/>
              <w:rPr>
                <w:rFonts w:hint="eastAsia" w:ascii="宋体" w:hAnsi="宋体" w:cs="宋体"/>
                <w:b/>
                <w:bCs/>
                <w:sz w:val="24"/>
              </w:rPr>
            </w:pPr>
            <w:r>
              <w:rPr>
                <w:rFonts w:hint="eastAsia" w:ascii="宋体" w:hAnsi="宋体" w:cs="宋体"/>
                <w:b/>
                <w:bCs/>
                <w:kern w:val="0"/>
                <w:sz w:val="24"/>
                <w:lang w:bidi="ar"/>
              </w:rPr>
              <w:t>技术参数</w:t>
            </w:r>
          </w:p>
        </w:tc>
        <w:tc>
          <w:tcPr>
            <w:tcW w:w="1388" w:type="dxa"/>
            <w:tcBorders>
              <w:top w:val="single" w:color="auto" w:sz="4" w:space="0"/>
              <w:left w:val="single" w:color="000000" w:sz="4" w:space="0"/>
              <w:bottom w:val="single" w:color="auto" w:sz="4" w:space="0"/>
              <w:right w:val="single" w:color="000000" w:sz="4" w:space="0"/>
            </w:tcBorders>
            <w:vAlign w:val="center"/>
          </w:tcPr>
          <w:p w14:paraId="32CD25CE">
            <w:pPr>
              <w:widowControl/>
              <w:jc w:val="center"/>
              <w:textAlignment w:val="center"/>
              <w:rPr>
                <w:rFonts w:hint="eastAsia" w:ascii="宋体" w:hAnsi="宋体" w:cs="宋体"/>
                <w:b/>
                <w:bCs/>
                <w:sz w:val="24"/>
              </w:rPr>
            </w:pPr>
            <w:r>
              <w:rPr>
                <w:rFonts w:hint="eastAsia" w:ascii="宋体" w:hAnsi="宋体" w:cs="宋体"/>
                <w:b/>
                <w:bCs/>
                <w:kern w:val="0"/>
                <w:sz w:val="24"/>
                <w:lang w:bidi="ar"/>
              </w:rPr>
              <w:t>单位</w:t>
            </w:r>
          </w:p>
        </w:tc>
        <w:tc>
          <w:tcPr>
            <w:tcW w:w="1556" w:type="dxa"/>
            <w:tcBorders>
              <w:top w:val="single" w:color="auto" w:sz="4" w:space="0"/>
              <w:left w:val="single" w:color="000000" w:sz="4" w:space="0"/>
              <w:bottom w:val="single" w:color="auto" w:sz="4" w:space="0"/>
              <w:right w:val="single" w:color="000000" w:sz="4" w:space="0"/>
            </w:tcBorders>
            <w:vAlign w:val="center"/>
          </w:tcPr>
          <w:p w14:paraId="03300E68">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r>
      <w:tr w14:paraId="3DDB41BE">
        <w:tblPrEx>
          <w:tblCellMar>
            <w:top w:w="0" w:type="dxa"/>
            <w:left w:w="108" w:type="dxa"/>
            <w:bottom w:w="0" w:type="dxa"/>
            <w:right w:w="108" w:type="dxa"/>
          </w:tblCellMar>
        </w:tblPrEx>
        <w:tc>
          <w:tcPr>
            <w:tcW w:w="738" w:type="dxa"/>
            <w:tcBorders>
              <w:top w:val="single" w:color="auto" w:sz="4" w:space="0"/>
              <w:left w:val="single" w:color="000000" w:sz="4" w:space="0"/>
              <w:bottom w:val="single" w:color="000000" w:sz="4" w:space="0"/>
              <w:right w:val="single" w:color="000000" w:sz="4" w:space="0"/>
            </w:tcBorders>
            <w:noWrap/>
            <w:vAlign w:val="center"/>
          </w:tcPr>
          <w:p w14:paraId="125E6E83">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1436" w:type="dxa"/>
            <w:tcBorders>
              <w:top w:val="single" w:color="auto" w:sz="4" w:space="0"/>
              <w:left w:val="single" w:color="000000" w:sz="4" w:space="0"/>
              <w:bottom w:val="single" w:color="000000" w:sz="4" w:space="0"/>
              <w:right w:val="single" w:color="000000" w:sz="4" w:space="0"/>
            </w:tcBorders>
            <w:noWrap/>
            <w:vAlign w:val="center"/>
          </w:tcPr>
          <w:p w14:paraId="4BC2412D">
            <w:pPr>
              <w:widowControl/>
              <w:jc w:val="center"/>
              <w:textAlignment w:val="center"/>
              <w:rPr>
                <w:rFonts w:hint="eastAsia" w:ascii="宋体" w:hAnsi="宋体" w:cs="宋体"/>
                <w:sz w:val="24"/>
              </w:rPr>
            </w:pPr>
            <w:r>
              <w:rPr>
                <w:rFonts w:hint="eastAsia" w:ascii="宋体" w:hAnsi="宋体" w:cs="宋体"/>
                <w:kern w:val="0"/>
                <w:sz w:val="24"/>
                <w:lang w:bidi="ar"/>
              </w:rPr>
              <w:t>身高体重测量仪</w:t>
            </w:r>
          </w:p>
        </w:tc>
        <w:tc>
          <w:tcPr>
            <w:tcW w:w="6734" w:type="dxa"/>
            <w:tcBorders>
              <w:top w:val="single" w:color="auto" w:sz="4" w:space="0"/>
              <w:left w:val="single" w:color="000000" w:sz="4" w:space="0"/>
              <w:bottom w:val="single" w:color="000000" w:sz="4" w:space="0"/>
              <w:right w:val="single" w:color="000000" w:sz="4" w:space="0"/>
            </w:tcBorders>
            <w:vAlign w:val="center"/>
          </w:tcPr>
          <w:p w14:paraId="764B2DEA">
            <w:pPr>
              <w:widowControl/>
              <w:jc w:val="left"/>
              <w:textAlignment w:val="center"/>
              <w:rPr>
                <w:rFonts w:hint="eastAsia" w:ascii="宋体" w:hAnsi="宋体" w:cs="宋体"/>
                <w:sz w:val="24"/>
              </w:rPr>
            </w:pPr>
            <w:r>
              <w:rPr>
                <w:rFonts w:hint="eastAsia" w:ascii="宋体" w:hAnsi="宋体" w:cs="宋体"/>
                <w:kern w:val="0"/>
                <w:sz w:val="24"/>
                <w:lang w:bidi="ar"/>
              </w:rPr>
              <w:t>1)身高检测：</w:t>
            </w:r>
            <w:r>
              <w:rPr>
                <w:rFonts w:hint="eastAsia" w:ascii="宋体" w:hAnsi="宋体" w:cs="宋体"/>
                <w:kern w:val="0"/>
                <w:sz w:val="24"/>
                <w:lang w:bidi="ar"/>
              </w:rPr>
              <w:br w:type="textWrapping"/>
            </w:r>
            <w:r>
              <w:rPr>
                <w:rFonts w:hint="eastAsia" w:ascii="宋体" w:hAnsi="宋体" w:cs="宋体"/>
                <w:kern w:val="0"/>
                <w:sz w:val="24"/>
                <w:lang w:bidi="ar"/>
              </w:rPr>
              <w:t>测量范围;70～200cm</w:t>
            </w:r>
            <w:r>
              <w:rPr>
                <w:rFonts w:hint="eastAsia" w:ascii="宋体" w:hAnsi="宋体" w:cs="宋体"/>
                <w:kern w:val="0"/>
                <w:sz w:val="24"/>
                <w:lang w:bidi="ar"/>
              </w:rPr>
              <w:br w:type="textWrapping"/>
            </w:r>
            <w:r>
              <w:rPr>
                <w:rFonts w:hint="eastAsia" w:ascii="宋体" w:hAnsi="宋体" w:cs="宋体"/>
                <w:kern w:val="0"/>
                <w:sz w:val="24"/>
                <w:lang w:bidi="ar"/>
              </w:rPr>
              <w:t>检定精度:±0.5cm</w:t>
            </w:r>
            <w:r>
              <w:rPr>
                <w:rFonts w:hint="eastAsia" w:ascii="宋体" w:hAnsi="宋体" w:cs="宋体"/>
                <w:kern w:val="0"/>
                <w:sz w:val="24"/>
                <w:lang w:bidi="ar"/>
              </w:rPr>
              <w:br w:type="textWrapping"/>
            </w:r>
            <w:r>
              <w:rPr>
                <w:rFonts w:hint="eastAsia" w:ascii="宋体" w:hAnsi="宋体" w:cs="宋体"/>
                <w:kern w:val="0"/>
                <w:sz w:val="24"/>
                <w:lang w:bidi="ar"/>
              </w:rPr>
              <w:t>2)体重检测：</w:t>
            </w:r>
            <w:r>
              <w:rPr>
                <w:rFonts w:hint="eastAsia" w:ascii="宋体" w:hAnsi="宋体" w:cs="宋体"/>
                <w:kern w:val="0"/>
                <w:sz w:val="24"/>
                <w:lang w:bidi="ar"/>
              </w:rPr>
              <w:br w:type="textWrapping"/>
            </w:r>
            <w:r>
              <w:rPr>
                <w:rFonts w:hint="eastAsia" w:ascii="宋体" w:hAnsi="宋体" w:cs="宋体"/>
                <w:kern w:val="0"/>
                <w:sz w:val="24"/>
                <w:lang w:bidi="ar"/>
              </w:rPr>
              <w:t>测量系统采用电阻应变式</w:t>
            </w:r>
            <w:r>
              <w:rPr>
                <w:rFonts w:hint="eastAsia" w:ascii="宋体" w:hAnsi="宋体" w:cs="宋体"/>
                <w:kern w:val="0"/>
                <w:sz w:val="24"/>
                <w:lang w:bidi="ar"/>
              </w:rPr>
              <w:br w:type="textWrapping"/>
            </w:r>
            <w:r>
              <w:rPr>
                <w:rFonts w:hint="eastAsia" w:ascii="宋体" w:hAnsi="宋体" w:cs="宋体"/>
                <w:kern w:val="0"/>
                <w:sz w:val="24"/>
                <w:lang w:bidi="ar"/>
              </w:rPr>
              <w:t>测量范围:5～200kg</w:t>
            </w:r>
            <w:r>
              <w:rPr>
                <w:rFonts w:hint="eastAsia" w:ascii="宋体" w:hAnsi="宋体" w:cs="宋体"/>
                <w:kern w:val="0"/>
                <w:sz w:val="24"/>
                <w:lang w:bidi="ar"/>
              </w:rPr>
              <w:br w:type="textWrapping"/>
            </w:r>
            <w:r>
              <w:rPr>
                <w:rFonts w:hint="eastAsia" w:ascii="宋体" w:hAnsi="宋体" w:cs="宋体"/>
                <w:kern w:val="0"/>
                <w:sz w:val="24"/>
                <w:lang w:bidi="ar"/>
              </w:rPr>
              <w:t>检定精度:±0.1kg，准确度III级</w:t>
            </w:r>
            <w:r>
              <w:rPr>
                <w:rFonts w:hint="eastAsia" w:ascii="宋体" w:hAnsi="宋体" w:cs="宋体"/>
                <w:kern w:val="0"/>
                <w:sz w:val="24"/>
                <w:lang w:bidi="ar"/>
              </w:rPr>
              <w:br w:type="textWrapping"/>
            </w:r>
            <w:r>
              <w:rPr>
                <w:rFonts w:hint="eastAsia" w:ascii="宋体" w:hAnsi="宋体" w:cs="宋体"/>
                <w:kern w:val="0"/>
                <w:sz w:val="24"/>
                <w:lang w:bidi="ar"/>
              </w:rPr>
              <w:t>3)体温检测：</w:t>
            </w:r>
            <w:r>
              <w:rPr>
                <w:rFonts w:hint="eastAsia" w:ascii="宋体" w:hAnsi="宋体" w:cs="宋体"/>
                <w:kern w:val="0"/>
                <w:sz w:val="24"/>
                <w:lang w:bidi="ar"/>
              </w:rPr>
              <w:br w:type="textWrapping"/>
            </w:r>
            <w:r>
              <w:rPr>
                <w:rFonts w:hint="eastAsia" w:ascii="宋体" w:hAnsi="宋体" w:cs="宋体"/>
                <w:kern w:val="0"/>
                <w:sz w:val="24"/>
                <w:lang w:bidi="ar"/>
              </w:rPr>
              <w:t>显示精确位数：0.1 ℃</w:t>
            </w:r>
            <w:r>
              <w:rPr>
                <w:rFonts w:hint="eastAsia" w:ascii="宋体" w:hAnsi="宋体" w:cs="宋体"/>
                <w:kern w:val="0"/>
                <w:sz w:val="24"/>
                <w:lang w:bidi="ar"/>
              </w:rPr>
              <w:br w:type="textWrapping"/>
            </w:r>
            <w:r>
              <w:rPr>
                <w:rFonts w:hint="eastAsia" w:ascii="宋体" w:hAnsi="宋体" w:cs="宋体"/>
                <w:kern w:val="0"/>
                <w:sz w:val="24"/>
                <w:lang w:bidi="ar"/>
              </w:rPr>
              <w:t>人体测温模式：32.0～42.5℃</w:t>
            </w:r>
            <w:r>
              <w:rPr>
                <w:rFonts w:hint="eastAsia" w:ascii="宋体" w:hAnsi="宋体" w:cs="宋体"/>
                <w:kern w:val="0"/>
                <w:sz w:val="24"/>
                <w:lang w:bidi="ar"/>
              </w:rPr>
              <w:br w:type="textWrapping"/>
            </w:r>
            <w:r>
              <w:rPr>
                <w:rFonts w:hint="eastAsia" w:ascii="宋体" w:hAnsi="宋体" w:cs="宋体"/>
                <w:kern w:val="0"/>
                <w:sz w:val="24"/>
                <w:lang w:bidi="ar"/>
              </w:rPr>
              <w:t>最大允许误差：32℃-34.9℃和42.1℃-42.5℃区间内，≤±0.3℃</w:t>
            </w:r>
            <w:r>
              <w:rPr>
                <w:rFonts w:hint="eastAsia" w:ascii="宋体" w:hAnsi="宋体" w:cs="宋体"/>
                <w:kern w:val="0"/>
                <w:sz w:val="24"/>
                <w:lang w:bidi="ar"/>
              </w:rPr>
              <w:br w:type="textWrapping"/>
            </w:r>
            <w:r>
              <w:rPr>
                <w:rFonts w:hint="eastAsia" w:ascii="宋体" w:hAnsi="宋体" w:cs="宋体"/>
                <w:kern w:val="0"/>
                <w:sz w:val="24"/>
                <w:lang w:bidi="ar"/>
              </w:rPr>
              <w:t>35℃-42℃区间内，≤±0.2℃</w:t>
            </w:r>
            <w:r>
              <w:rPr>
                <w:rFonts w:hint="eastAsia" w:ascii="宋体" w:hAnsi="宋体" w:cs="宋体"/>
                <w:kern w:val="0"/>
                <w:sz w:val="24"/>
                <w:lang w:bidi="ar"/>
              </w:rPr>
              <w:br w:type="textWrapping"/>
            </w:r>
            <w:r>
              <w:rPr>
                <w:rFonts w:hint="eastAsia" w:ascii="宋体" w:hAnsi="宋体" w:cs="宋体"/>
                <w:kern w:val="0"/>
                <w:sz w:val="24"/>
                <w:lang w:bidi="ar"/>
              </w:rPr>
              <w:t>测量距离：5-8厘米</w:t>
            </w:r>
            <w:r>
              <w:rPr>
                <w:rFonts w:hint="eastAsia" w:ascii="宋体" w:hAnsi="宋体" w:cs="宋体"/>
                <w:kern w:val="0"/>
                <w:sz w:val="24"/>
                <w:lang w:bidi="ar"/>
              </w:rPr>
              <w:br w:type="textWrapping"/>
            </w:r>
            <w:r>
              <w:rPr>
                <w:rFonts w:hint="eastAsia" w:ascii="宋体" w:hAnsi="宋体" w:cs="宋体"/>
                <w:kern w:val="0"/>
                <w:sz w:val="24"/>
                <w:lang w:bidi="ar"/>
              </w:rPr>
              <w:t xml:space="preserve">4)血压检测： </w:t>
            </w:r>
            <w:r>
              <w:rPr>
                <w:rFonts w:hint="eastAsia" w:ascii="宋体" w:hAnsi="宋体" w:cs="宋体"/>
                <w:kern w:val="0"/>
                <w:sz w:val="24"/>
                <w:lang w:bidi="ar"/>
              </w:rPr>
              <w:br w:type="textWrapping"/>
            </w:r>
            <w:r>
              <w:rPr>
                <w:rFonts w:hint="eastAsia" w:ascii="宋体" w:hAnsi="宋体" w:cs="宋体"/>
                <w:kern w:val="0"/>
                <w:sz w:val="24"/>
                <w:lang w:bidi="ar"/>
              </w:rPr>
              <w:t>压力：（0～300）mmHg,[（0～40)Kpa]；</w:t>
            </w:r>
            <w:r>
              <w:rPr>
                <w:rFonts w:hint="eastAsia" w:ascii="宋体" w:hAnsi="宋体" w:cs="宋体"/>
                <w:kern w:val="0"/>
                <w:sz w:val="24"/>
                <w:lang w:bidi="ar"/>
              </w:rPr>
              <w:br w:type="textWrapping"/>
            </w:r>
            <w:r>
              <w:rPr>
                <w:rFonts w:hint="eastAsia" w:ascii="宋体" w:hAnsi="宋体" w:cs="宋体"/>
                <w:kern w:val="0"/>
                <w:sz w:val="24"/>
                <w:lang w:bidi="ar"/>
              </w:rPr>
              <w:t>脉率数：40次/分～180次/分</w:t>
            </w:r>
            <w:r>
              <w:rPr>
                <w:rFonts w:hint="eastAsia" w:ascii="宋体" w:hAnsi="宋体" w:cs="宋体"/>
                <w:kern w:val="0"/>
                <w:sz w:val="24"/>
                <w:lang w:bidi="ar"/>
              </w:rPr>
              <w:br w:type="textWrapping"/>
            </w:r>
            <w:r>
              <w:rPr>
                <w:rFonts w:hint="eastAsia" w:ascii="宋体" w:hAnsi="宋体" w:cs="宋体"/>
                <w:kern w:val="0"/>
                <w:sz w:val="24"/>
                <w:lang w:bidi="ar"/>
              </w:rPr>
              <w:t>压力误差：±2mmHg（±0.267kpa）以内</w:t>
            </w:r>
            <w:r>
              <w:rPr>
                <w:rFonts w:hint="eastAsia" w:ascii="宋体" w:hAnsi="宋体" w:cs="宋体"/>
                <w:kern w:val="0"/>
                <w:sz w:val="24"/>
                <w:lang w:bidi="ar"/>
              </w:rPr>
              <w:br w:type="textWrapping"/>
            </w:r>
            <w:r>
              <w:rPr>
                <w:rFonts w:hint="eastAsia" w:ascii="宋体" w:hAnsi="宋体" w:cs="宋体"/>
                <w:kern w:val="0"/>
                <w:sz w:val="24"/>
                <w:lang w:bidi="ar"/>
              </w:rPr>
              <w:t>脉率数：±2%以内</w:t>
            </w:r>
            <w:r>
              <w:rPr>
                <w:rFonts w:hint="eastAsia" w:ascii="宋体" w:hAnsi="宋体" w:cs="宋体"/>
                <w:kern w:val="0"/>
                <w:sz w:val="24"/>
                <w:lang w:bidi="ar"/>
              </w:rPr>
              <w:br w:type="textWrapping"/>
            </w:r>
            <w:r>
              <w:rPr>
                <w:rFonts w:hint="eastAsia" w:ascii="宋体" w:hAnsi="宋体" w:cs="宋体"/>
                <w:kern w:val="0"/>
                <w:sz w:val="24"/>
                <w:lang w:bidi="ar"/>
              </w:rPr>
              <w:t>可存储≥100组测量数据</w:t>
            </w:r>
            <w:r>
              <w:rPr>
                <w:rFonts w:hint="eastAsia" w:ascii="宋体" w:hAnsi="宋体" w:cs="宋体"/>
                <w:kern w:val="0"/>
                <w:sz w:val="24"/>
                <w:lang w:bidi="ar"/>
              </w:rPr>
              <w:br w:type="textWrapping"/>
            </w:r>
            <w:r>
              <w:rPr>
                <w:rFonts w:hint="eastAsia" w:ascii="宋体" w:hAnsi="宋体" w:cs="宋体"/>
                <w:kern w:val="0"/>
                <w:sz w:val="24"/>
                <w:lang w:bidi="ar"/>
              </w:rPr>
              <w:t>5)测量平台配置</w:t>
            </w:r>
            <w:r>
              <w:rPr>
                <w:rFonts w:hint="eastAsia" w:ascii="宋体" w:hAnsi="宋体" w:cs="宋体"/>
                <w:kern w:val="0"/>
                <w:sz w:val="24"/>
                <w:lang w:bidi="ar"/>
              </w:rPr>
              <w:br w:type="textWrapping"/>
            </w:r>
            <w:r>
              <w:rPr>
                <w:rFonts w:hint="eastAsia" w:ascii="宋体" w:hAnsi="宋体" w:cs="宋体"/>
                <w:kern w:val="0"/>
                <w:sz w:val="24"/>
                <w:lang w:bidi="ar"/>
              </w:rPr>
              <w:t>CPU: 四核或以上，频率≥1.8GHz</w:t>
            </w:r>
            <w:r>
              <w:rPr>
                <w:rFonts w:hint="eastAsia" w:ascii="宋体" w:hAnsi="宋体" w:cs="宋体"/>
                <w:kern w:val="0"/>
                <w:sz w:val="24"/>
                <w:lang w:bidi="ar"/>
              </w:rPr>
              <w:br w:type="textWrapping"/>
            </w:r>
            <w:r>
              <w:rPr>
                <w:rFonts w:hint="eastAsia" w:ascii="宋体" w:hAnsi="宋体" w:cs="宋体"/>
                <w:kern w:val="0"/>
                <w:sz w:val="24"/>
                <w:lang w:bidi="ar"/>
              </w:rPr>
              <w:t>内存：≥2GB，最高支持4GB</w:t>
            </w:r>
            <w:r>
              <w:rPr>
                <w:rFonts w:hint="eastAsia" w:ascii="宋体" w:hAnsi="宋体" w:cs="宋体"/>
                <w:kern w:val="0"/>
                <w:sz w:val="24"/>
                <w:lang w:bidi="ar"/>
              </w:rPr>
              <w:br w:type="textWrapping"/>
            </w:r>
            <w:r>
              <w:rPr>
                <w:rFonts w:hint="eastAsia" w:ascii="宋体" w:hAnsi="宋体" w:cs="宋体"/>
                <w:kern w:val="0"/>
                <w:sz w:val="24"/>
                <w:lang w:bidi="ar"/>
              </w:rPr>
              <w:t>显示屏：≥10.1寸电容触摸屏</w:t>
            </w:r>
            <w:r>
              <w:rPr>
                <w:rFonts w:hint="eastAsia" w:ascii="宋体" w:hAnsi="宋体" w:cs="宋体"/>
                <w:kern w:val="0"/>
                <w:sz w:val="24"/>
                <w:lang w:bidi="ar"/>
              </w:rPr>
              <w:br w:type="textWrapping"/>
            </w:r>
            <w:r>
              <w:rPr>
                <w:rFonts w:hint="eastAsia" w:ascii="宋体" w:hAnsi="宋体" w:cs="宋体"/>
                <w:kern w:val="0"/>
                <w:sz w:val="24"/>
                <w:lang w:bidi="ar"/>
              </w:rPr>
              <w:t>数据输出接口：支持LAN网络接口和WiFi及4G</w:t>
            </w:r>
            <w:r>
              <w:rPr>
                <w:rFonts w:hint="eastAsia" w:ascii="宋体" w:hAnsi="宋体" w:cs="宋体"/>
                <w:kern w:val="0"/>
                <w:sz w:val="24"/>
                <w:lang w:bidi="ar"/>
              </w:rPr>
              <w:br w:type="textWrapping"/>
            </w:r>
            <w:r>
              <w:rPr>
                <w:rFonts w:hint="eastAsia" w:ascii="宋体" w:hAnsi="宋体" w:cs="宋体"/>
                <w:kern w:val="0"/>
                <w:sz w:val="24"/>
                <w:lang w:bidi="ar"/>
              </w:rPr>
              <w:t>额定功率/额定电流：≤33W/10A</w:t>
            </w:r>
            <w:r>
              <w:rPr>
                <w:rFonts w:hint="eastAsia" w:ascii="宋体" w:hAnsi="宋体" w:cs="宋体"/>
                <w:kern w:val="0"/>
                <w:sz w:val="24"/>
                <w:lang w:bidi="ar"/>
              </w:rPr>
              <w:br w:type="textWrapping"/>
            </w:r>
            <w:r>
              <w:rPr>
                <w:rFonts w:hint="eastAsia" w:ascii="宋体" w:hAnsi="宋体" w:cs="宋体"/>
                <w:kern w:val="0"/>
                <w:sz w:val="24"/>
                <w:lang w:bidi="ar"/>
              </w:rPr>
              <w:t>支持热敏打印机</w:t>
            </w:r>
            <w:r>
              <w:rPr>
                <w:rFonts w:hint="eastAsia" w:ascii="宋体" w:hAnsi="宋体" w:cs="宋体"/>
                <w:kern w:val="0"/>
                <w:sz w:val="24"/>
                <w:lang w:bidi="ar"/>
              </w:rPr>
              <w:br w:type="textWrapping"/>
            </w:r>
            <w:r>
              <w:rPr>
                <w:rFonts w:hint="eastAsia" w:ascii="宋体" w:hAnsi="宋体" w:cs="宋体"/>
                <w:kern w:val="0"/>
                <w:sz w:val="24"/>
                <w:lang w:bidi="ar"/>
              </w:rPr>
              <w:t>支持安卓操作系统：</w:t>
            </w:r>
            <w:r>
              <w:rPr>
                <w:rFonts w:hint="eastAsia" w:ascii="宋体" w:hAnsi="宋体" w:cs="宋体"/>
                <w:kern w:val="0"/>
                <w:sz w:val="24"/>
                <w:lang w:bidi="ar"/>
              </w:rPr>
              <w:br w:type="textWrapping"/>
            </w:r>
            <w:r>
              <w:rPr>
                <w:rFonts w:hint="eastAsia" w:ascii="宋体" w:hAnsi="宋体" w:cs="宋体"/>
                <w:kern w:val="0"/>
                <w:sz w:val="24"/>
                <w:lang w:bidi="ar"/>
              </w:rPr>
              <w:t>6)接口方式</w:t>
            </w:r>
            <w:r>
              <w:rPr>
                <w:rFonts w:hint="eastAsia" w:ascii="宋体" w:hAnsi="宋体" w:cs="宋体"/>
                <w:kern w:val="0"/>
                <w:sz w:val="24"/>
                <w:lang w:bidi="ar"/>
              </w:rPr>
              <w:br w:type="textWrapping"/>
            </w:r>
            <w:r>
              <w:rPr>
                <w:rFonts w:hint="eastAsia" w:ascii="宋体" w:hAnsi="宋体" w:cs="宋体"/>
                <w:kern w:val="0"/>
                <w:sz w:val="24"/>
                <w:lang w:bidi="ar"/>
              </w:rPr>
              <w:t>支持RS-232、USB等主流通讯接口等主流通讯接口</w:t>
            </w:r>
          </w:p>
        </w:tc>
        <w:tc>
          <w:tcPr>
            <w:tcW w:w="1388" w:type="dxa"/>
            <w:tcBorders>
              <w:top w:val="single" w:color="auto" w:sz="4" w:space="0"/>
              <w:left w:val="single" w:color="000000" w:sz="4" w:space="0"/>
              <w:bottom w:val="single" w:color="000000" w:sz="4" w:space="0"/>
              <w:right w:val="single" w:color="000000" w:sz="4" w:space="0"/>
            </w:tcBorders>
            <w:noWrap/>
            <w:vAlign w:val="center"/>
          </w:tcPr>
          <w:p w14:paraId="3D2D70A8">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556" w:type="dxa"/>
            <w:tcBorders>
              <w:top w:val="single" w:color="auto" w:sz="4" w:space="0"/>
              <w:left w:val="single" w:color="000000" w:sz="4" w:space="0"/>
              <w:bottom w:val="single" w:color="000000" w:sz="4" w:space="0"/>
              <w:right w:val="single" w:color="000000" w:sz="4" w:space="0"/>
            </w:tcBorders>
            <w:noWrap/>
            <w:vAlign w:val="center"/>
          </w:tcPr>
          <w:p w14:paraId="1347A03F">
            <w:pPr>
              <w:widowControl/>
              <w:jc w:val="center"/>
              <w:textAlignment w:val="center"/>
              <w:rPr>
                <w:rFonts w:hint="eastAsia" w:ascii="宋体" w:hAnsi="宋体" w:cs="宋体"/>
                <w:sz w:val="24"/>
              </w:rPr>
            </w:pPr>
            <w:r>
              <w:rPr>
                <w:rFonts w:hint="eastAsia" w:ascii="宋体" w:hAnsi="宋体" w:cs="宋体"/>
                <w:kern w:val="0"/>
                <w:sz w:val="24"/>
                <w:lang w:bidi="ar"/>
              </w:rPr>
              <w:t>3</w:t>
            </w:r>
          </w:p>
        </w:tc>
      </w:tr>
    </w:tbl>
    <w:p w14:paraId="1F75D9FC">
      <w:pPr>
        <w:sectPr>
          <w:footerReference r:id="rId7" w:type="default"/>
          <w:pgSz w:w="16838" w:h="11906" w:orient="landscape"/>
          <w:pgMar w:top="1800" w:right="1440" w:bottom="1800" w:left="1440" w:header="851" w:footer="992" w:gutter="0"/>
          <w:cols w:space="720" w:num="1"/>
          <w:docGrid w:type="lines" w:linePitch="312" w:charSpace="0"/>
        </w:sectPr>
      </w:pPr>
      <w:r>
        <w:rPr>
          <w:rFonts w:hint="eastAsia"/>
        </w:rPr>
        <w:t xml:space="preserve">                             </w:t>
      </w:r>
    </w:p>
    <w:tbl>
      <w:tblPr>
        <w:tblStyle w:val="39"/>
        <w:tblW w:w="14140" w:type="dxa"/>
        <w:tblInd w:w="93" w:type="dxa"/>
        <w:tblLayout w:type="fixed"/>
        <w:tblCellMar>
          <w:top w:w="0" w:type="dxa"/>
          <w:left w:w="108" w:type="dxa"/>
          <w:bottom w:w="0" w:type="dxa"/>
          <w:right w:w="108" w:type="dxa"/>
        </w:tblCellMar>
      </w:tblPr>
      <w:tblGrid>
        <w:gridCol w:w="2626"/>
        <w:gridCol w:w="2856"/>
        <w:gridCol w:w="3258"/>
        <w:gridCol w:w="1181"/>
        <w:gridCol w:w="1294"/>
        <w:gridCol w:w="1556"/>
        <w:gridCol w:w="1369"/>
      </w:tblGrid>
      <w:tr w14:paraId="1A164253">
        <w:tblPrEx>
          <w:tblCellMar>
            <w:top w:w="0" w:type="dxa"/>
            <w:left w:w="108" w:type="dxa"/>
            <w:bottom w:w="0" w:type="dxa"/>
            <w:right w:w="108" w:type="dxa"/>
          </w:tblCellMar>
        </w:tblPrEx>
        <w:trPr>
          <w:trHeight w:val="360" w:hRule="atLeast"/>
        </w:trPr>
        <w:tc>
          <w:tcPr>
            <w:tcW w:w="14140" w:type="dxa"/>
            <w:gridSpan w:val="7"/>
            <w:tcBorders>
              <w:top w:val="single" w:color="000000" w:sz="4" w:space="0"/>
              <w:left w:val="single" w:color="000000" w:sz="4" w:space="0"/>
              <w:bottom w:val="single" w:color="000000" w:sz="4" w:space="0"/>
              <w:right w:val="single" w:color="000000" w:sz="4" w:space="0"/>
            </w:tcBorders>
            <w:noWrap/>
            <w:vAlign w:val="center"/>
          </w:tcPr>
          <w:p w14:paraId="073868B9">
            <w:pPr>
              <w:widowControl/>
              <w:jc w:val="center"/>
              <w:textAlignment w:val="center"/>
              <w:rPr>
                <w:rFonts w:hint="eastAsia" w:ascii="宋体" w:hAnsi="宋体" w:cs="宋体"/>
                <w:b/>
                <w:bCs/>
                <w:sz w:val="24"/>
              </w:rPr>
            </w:pPr>
            <w:r>
              <w:rPr>
                <w:rFonts w:hint="eastAsia" w:ascii="宋体" w:hAnsi="宋体" w:cs="宋体"/>
                <w:b/>
                <w:bCs/>
                <w:kern w:val="0"/>
                <w:sz w:val="28"/>
                <w:szCs w:val="28"/>
                <w:lang w:bidi="ar"/>
              </w:rPr>
              <w:t>云资源租赁及专线租赁</w:t>
            </w:r>
          </w:p>
        </w:tc>
      </w:tr>
      <w:tr w14:paraId="13A970C5">
        <w:tblPrEx>
          <w:tblCellMar>
            <w:top w:w="0" w:type="dxa"/>
            <w:left w:w="108" w:type="dxa"/>
            <w:bottom w:w="0" w:type="dxa"/>
            <w:right w:w="108" w:type="dxa"/>
          </w:tblCellMar>
        </w:tblPrEx>
        <w:trPr>
          <w:trHeight w:val="300" w:hRule="atLeast"/>
        </w:trPr>
        <w:tc>
          <w:tcPr>
            <w:tcW w:w="2626" w:type="dxa"/>
            <w:tcBorders>
              <w:top w:val="single" w:color="000000" w:sz="4" w:space="0"/>
              <w:left w:val="single" w:color="000000" w:sz="4" w:space="0"/>
              <w:bottom w:val="single" w:color="000000" w:sz="4" w:space="0"/>
              <w:right w:val="single" w:color="000000" w:sz="4" w:space="0"/>
            </w:tcBorders>
            <w:vAlign w:val="center"/>
          </w:tcPr>
          <w:p w14:paraId="62FB17B5">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856" w:type="dxa"/>
            <w:tcBorders>
              <w:top w:val="single" w:color="000000" w:sz="4" w:space="0"/>
              <w:left w:val="single" w:color="000000" w:sz="4" w:space="0"/>
              <w:bottom w:val="single" w:color="000000" w:sz="4" w:space="0"/>
              <w:right w:val="single" w:color="000000" w:sz="4" w:space="0"/>
            </w:tcBorders>
            <w:vAlign w:val="center"/>
          </w:tcPr>
          <w:p w14:paraId="55C96560">
            <w:pPr>
              <w:widowControl/>
              <w:jc w:val="center"/>
              <w:textAlignment w:val="center"/>
              <w:rPr>
                <w:rFonts w:hint="eastAsia" w:ascii="宋体" w:hAnsi="宋体" w:cs="宋体"/>
                <w:b/>
                <w:bCs/>
                <w:sz w:val="24"/>
              </w:rPr>
            </w:pPr>
            <w:r>
              <w:rPr>
                <w:rFonts w:hint="eastAsia" w:ascii="宋体" w:hAnsi="宋体" w:cs="宋体"/>
                <w:b/>
                <w:bCs/>
                <w:kern w:val="0"/>
                <w:sz w:val="24"/>
                <w:lang w:bidi="ar"/>
              </w:rPr>
              <w:t>设备名称</w:t>
            </w:r>
          </w:p>
        </w:tc>
        <w:tc>
          <w:tcPr>
            <w:tcW w:w="3258" w:type="dxa"/>
            <w:tcBorders>
              <w:top w:val="single" w:color="000000" w:sz="4" w:space="0"/>
              <w:left w:val="single" w:color="000000" w:sz="4" w:space="0"/>
              <w:bottom w:val="single" w:color="000000" w:sz="4" w:space="0"/>
              <w:right w:val="single" w:color="000000" w:sz="4" w:space="0"/>
            </w:tcBorders>
            <w:vAlign w:val="center"/>
          </w:tcPr>
          <w:p w14:paraId="2A42FFEC">
            <w:pPr>
              <w:widowControl/>
              <w:jc w:val="center"/>
              <w:textAlignment w:val="center"/>
              <w:rPr>
                <w:rFonts w:hint="eastAsia" w:ascii="宋体" w:hAnsi="宋体" w:cs="宋体"/>
                <w:b/>
                <w:bCs/>
                <w:sz w:val="24"/>
              </w:rPr>
            </w:pPr>
            <w:r>
              <w:rPr>
                <w:rFonts w:hint="eastAsia" w:ascii="宋体" w:hAnsi="宋体" w:cs="宋体"/>
                <w:b/>
                <w:bCs/>
                <w:kern w:val="0"/>
                <w:sz w:val="24"/>
                <w:lang w:bidi="ar"/>
              </w:rPr>
              <w:t>技术参数</w:t>
            </w:r>
          </w:p>
        </w:tc>
        <w:tc>
          <w:tcPr>
            <w:tcW w:w="1181" w:type="dxa"/>
            <w:tcBorders>
              <w:top w:val="single" w:color="000000" w:sz="4" w:space="0"/>
              <w:left w:val="single" w:color="000000" w:sz="4" w:space="0"/>
              <w:bottom w:val="single" w:color="000000" w:sz="4" w:space="0"/>
              <w:right w:val="single" w:color="000000" w:sz="4" w:space="0"/>
            </w:tcBorders>
            <w:vAlign w:val="center"/>
          </w:tcPr>
          <w:p w14:paraId="6760D7B9">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940CFFE">
            <w:pPr>
              <w:widowControl/>
              <w:jc w:val="center"/>
              <w:textAlignment w:val="center"/>
              <w:rPr>
                <w:rFonts w:hint="eastAsia" w:ascii="宋体" w:hAnsi="宋体" w:cs="宋体"/>
                <w:b/>
                <w:bCs/>
                <w:sz w:val="24"/>
              </w:rPr>
            </w:pPr>
            <w:r>
              <w:rPr>
                <w:rFonts w:hint="eastAsia" w:ascii="宋体" w:hAnsi="宋体" w:cs="宋体"/>
                <w:b/>
                <w:bCs/>
                <w:kern w:val="0"/>
                <w:sz w:val="24"/>
                <w:lang w:bidi="ar"/>
              </w:rPr>
              <w:t>单位</w:t>
            </w:r>
          </w:p>
        </w:tc>
        <w:tc>
          <w:tcPr>
            <w:tcW w:w="1369" w:type="dxa"/>
            <w:tcBorders>
              <w:top w:val="single" w:color="000000" w:sz="4" w:space="0"/>
              <w:left w:val="single" w:color="000000" w:sz="4" w:space="0"/>
              <w:bottom w:val="single" w:color="000000" w:sz="4" w:space="0"/>
              <w:right w:val="single" w:color="000000" w:sz="4" w:space="0"/>
            </w:tcBorders>
            <w:vAlign w:val="center"/>
          </w:tcPr>
          <w:p w14:paraId="1677F973">
            <w:pPr>
              <w:widowControl/>
              <w:jc w:val="center"/>
              <w:textAlignment w:val="center"/>
              <w:rPr>
                <w:rFonts w:hint="eastAsia" w:ascii="宋体" w:hAnsi="宋体" w:cs="宋体"/>
                <w:b/>
                <w:bCs/>
                <w:sz w:val="24"/>
              </w:rPr>
            </w:pPr>
            <w:r>
              <w:rPr>
                <w:rFonts w:hint="eastAsia" w:ascii="宋体" w:hAnsi="宋体" w:cs="宋体"/>
                <w:b/>
                <w:bCs/>
                <w:kern w:val="0"/>
                <w:sz w:val="24"/>
                <w:lang w:bidi="ar"/>
              </w:rPr>
              <w:t>备注</w:t>
            </w:r>
          </w:p>
        </w:tc>
      </w:tr>
      <w:tr w14:paraId="3D7F43E6">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6657EDB0">
            <w:pPr>
              <w:widowControl/>
              <w:jc w:val="center"/>
              <w:textAlignment w:val="center"/>
              <w:rPr>
                <w:rFonts w:hint="eastAsia" w:ascii="宋体" w:hAnsi="宋体" w:cs="宋体"/>
                <w:b/>
                <w:bCs/>
                <w:sz w:val="24"/>
              </w:rPr>
            </w:pPr>
            <w:r>
              <w:rPr>
                <w:rFonts w:hint="eastAsia" w:ascii="宋体" w:hAnsi="宋体" w:cs="宋体"/>
                <w:b/>
                <w:bCs/>
                <w:kern w:val="0"/>
                <w:sz w:val="24"/>
                <w:lang w:bidi="ar"/>
              </w:rPr>
              <w:t>一</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564654A6">
            <w:pPr>
              <w:widowControl/>
              <w:jc w:val="center"/>
              <w:textAlignment w:val="center"/>
              <w:rPr>
                <w:rFonts w:hint="eastAsia" w:ascii="宋体" w:hAnsi="宋体" w:cs="宋体"/>
                <w:b/>
                <w:bCs/>
                <w:sz w:val="24"/>
              </w:rPr>
            </w:pPr>
            <w:r>
              <w:rPr>
                <w:rFonts w:hint="eastAsia" w:ascii="宋体" w:hAnsi="宋体" w:cs="宋体"/>
                <w:b/>
                <w:bCs/>
                <w:kern w:val="0"/>
                <w:sz w:val="24"/>
                <w:lang w:bidi="ar"/>
              </w:rPr>
              <w:t>专线租赁</w:t>
            </w:r>
          </w:p>
        </w:tc>
        <w:tc>
          <w:tcPr>
            <w:tcW w:w="3258" w:type="dxa"/>
            <w:tcBorders>
              <w:top w:val="single" w:color="000000" w:sz="4" w:space="0"/>
              <w:left w:val="single" w:color="000000" w:sz="4" w:space="0"/>
              <w:bottom w:val="single" w:color="000000" w:sz="4" w:space="0"/>
              <w:right w:val="single" w:color="000000" w:sz="4" w:space="0"/>
            </w:tcBorders>
            <w:noWrap/>
            <w:vAlign w:val="center"/>
          </w:tcPr>
          <w:p w14:paraId="632A4ABB">
            <w:pPr>
              <w:jc w:val="center"/>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881CD62">
            <w:pPr>
              <w:jc w:val="center"/>
              <w:rPr>
                <w:rFonts w:hint="eastAsia" w:ascii="宋体" w:hAnsi="宋体" w:cs="宋体"/>
                <w:sz w:val="24"/>
              </w:rPr>
            </w:pP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6B1268E">
            <w:pPr>
              <w:jc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520FC63">
            <w:pPr>
              <w:jc w:val="center"/>
              <w:rPr>
                <w:rFonts w:hint="eastAsia" w:ascii="宋体" w:hAnsi="宋体" w:cs="宋体"/>
                <w:sz w:val="24"/>
              </w:rPr>
            </w:pPr>
          </w:p>
        </w:tc>
      </w:tr>
      <w:tr w14:paraId="3871B201">
        <w:tblPrEx>
          <w:tblCellMar>
            <w:top w:w="0" w:type="dxa"/>
            <w:left w:w="108" w:type="dxa"/>
            <w:bottom w:w="0" w:type="dxa"/>
            <w:right w:w="108" w:type="dxa"/>
          </w:tblCellMar>
        </w:tblPrEx>
        <w:trPr>
          <w:trHeight w:val="6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565C918A">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384843CF">
            <w:pPr>
              <w:widowControl/>
              <w:jc w:val="center"/>
              <w:textAlignment w:val="center"/>
              <w:rPr>
                <w:rFonts w:hint="eastAsia" w:ascii="宋体" w:hAnsi="宋体" w:cs="宋体"/>
                <w:sz w:val="24"/>
              </w:rPr>
            </w:pPr>
            <w:r>
              <w:rPr>
                <w:rFonts w:hint="eastAsia" w:ascii="宋体" w:hAnsi="宋体" w:cs="宋体"/>
                <w:kern w:val="0"/>
                <w:sz w:val="24"/>
                <w:lang w:bidi="ar"/>
              </w:rPr>
              <w:t>10M备用网络</w:t>
            </w:r>
          </w:p>
        </w:tc>
        <w:tc>
          <w:tcPr>
            <w:tcW w:w="3258" w:type="dxa"/>
            <w:tcBorders>
              <w:top w:val="single" w:color="000000" w:sz="4" w:space="0"/>
              <w:left w:val="single" w:color="000000" w:sz="4" w:space="0"/>
              <w:bottom w:val="single" w:color="000000" w:sz="4" w:space="0"/>
              <w:right w:val="single" w:color="000000" w:sz="4" w:space="0"/>
            </w:tcBorders>
            <w:vAlign w:val="center"/>
          </w:tcPr>
          <w:p w14:paraId="475E2C86">
            <w:pPr>
              <w:widowControl/>
              <w:jc w:val="center"/>
              <w:textAlignment w:val="center"/>
              <w:rPr>
                <w:rFonts w:hint="eastAsia" w:ascii="宋体" w:hAnsi="宋体" w:cs="宋体"/>
                <w:sz w:val="24"/>
              </w:rPr>
            </w:pPr>
            <w:r>
              <w:rPr>
                <w:rFonts w:hint="eastAsia" w:ascii="宋体" w:hAnsi="宋体" w:cs="宋体"/>
                <w:kern w:val="0"/>
                <w:sz w:val="24"/>
                <w:lang w:bidi="ar"/>
              </w:rPr>
              <w:t>10M带</w:t>
            </w:r>
            <w:r>
              <w:rPr>
                <w:rFonts w:hint="eastAsia" w:ascii="宋体" w:hAnsi="宋体" w:cs="宋体"/>
                <w:kern w:val="0"/>
                <w:sz w:val="24"/>
                <w:lang w:val="en-US" w:eastAsia="zh-CN" w:bidi="ar"/>
              </w:rPr>
              <w:t>宽</w:t>
            </w:r>
            <w:r>
              <w:rPr>
                <w:rFonts w:hint="eastAsia" w:ascii="宋体" w:hAnsi="宋体" w:cs="宋体"/>
                <w:kern w:val="0"/>
                <w:sz w:val="24"/>
                <w:lang w:bidi="ar"/>
              </w:rPr>
              <w:t>专线备用网络一套（17条一年）</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02DEDFBC">
            <w:pPr>
              <w:widowControl/>
              <w:jc w:val="center"/>
              <w:textAlignment w:val="center"/>
              <w:rPr>
                <w:rFonts w:hint="eastAsia" w:ascii="宋体" w:hAnsi="宋体" w:cs="宋体"/>
                <w:sz w:val="24"/>
              </w:rPr>
            </w:pPr>
            <w:r>
              <w:rPr>
                <w:rFonts w:hint="eastAsia" w:ascii="宋体" w:hAnsi="宋体" w:cs="宋体"/>
                <w:sz w:val="24"/>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B39D49D">
            <w:pPr>
              <w:widowControl/>
              <w:jc w:val="center"/>
              <w:textAlignment w:val="center"/>
              <w:rPr>
                <w:rFonts w:hint="eastAsia" w:ascii="宋体" w:hAnsi="宋体" w:cs="宋体"/>
                <w:b/>
                <w:bCs/>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49E500C">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1E151752">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7CC69B70">
            <w:pPr>
              <w:jc w:val="center"/>
              <w:rPr>
                <w:rFonts w:hint="eastAsia" w:ascii="宋体" w:hAnsi="宋体" w:cs="宋体"/>
                <w:sz w:val="24"/>
              </w:rPr>
            </w:pPr>
          </w:p>
        </w:tc>
        <w:tc>
          <w:tcPr>
            <w:tcW w:w="11514" w:type="dxa"/>
            <w:gridSpan w:val="6"/>
            <w:tcBorders>
              <w:top w:val="single" w:color="000000" w:sz="4" w:space="0"/>
              <w:left w:val="single" w:color="000000" w:sz="4" w:space="0"/>
              <w:bottom w:val="single" w:color="000000" w:sz="4" w:space="0"/>
              <w:right w:val="single" w:color="000000" w:sz="4" w:space="0"/>
            </w:tcBorders>
            <w:noWrap/>
            <w:vAlign w:val="center"/>
          </w:tcPr>
          <w:p w14:paraId="6A46180A">
            <w:pPr>
              <w:widowControl/>
              <w:jc w:val="left"/>
              <w:textAlignment w:val="center"/>
              <w:rPr>
                <w:rFonts w:hint="eastAsia" w:ascii="宋体" w:hAnsi="宋体" w:cs="宋体"/>
                <w:sz w:val="24"/>
              </w:rPr>
            </w:pPr>
            <w:r>
              <w:rPr>
                <w:rFonts w:hint="eastAsia" w:ascii="宋体" w:hAnsi="宋体" w:cs="宋体"/>
                <w:kern w:val="0"/>
                <w:sz w:val="24"/>
                <w:lang w:bidi="ar"/>
              </w:rPr>
              <w:t>县妇幼11，三级医院（儿童医院）6个二级医院、社区卫生中心、乡镇卫生院专线利旧</w:t>
            </w:r>
          </w:p>
        </w:tc>
      </w:tr>
      <w:tr w14:paraId="0CC97FA4">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2A2C568B">
            <w:pPr>
              <w:widowControl/>
              <w:jc w:val="left"/>
              <w:textAlignment w:val="center"/>
              <w:rPr>
                <w:rFonts w:hint="eastAsia" w:ascii="宋体" w:hAnsi="宋体" w:cs="宋体"/>
                <w:b/>
                <w:bCs/>
                <w:sz w:val="24"/>
              </w:rPr>
            </w:pPr>
            <w:r>
              <w:rPr>
                <w:rFonts w:hint="eastAsia" w:ascii="宋体" w:hAnsi="宋体" w:cs="宋体"/>
                <w:b/>
                <w:bCs/>
                <w:kern w:val="0"/>
                <w:sz w:val="24"/>
                <w:lang w:bidi="ar"/>
              </w:rPr>
              <w:t>二、云资源租赁</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0200DD5B">
            <w:pPr>
              <w:jc w:val="left"/>
              <w:rPr>
                <w:rFonts w:hint="eastAsia" w:ascii="宋体" w:hAnsi="宋体" w:cs="宋体"/>
                <w:b/>
                <w:bCs/>
                <w:sz w:val="24"/>
              </w:rPr>
            </w:pPr>
          </w:p>
        </w:tc>
        <w:tc>
          <w:tcPr>
            <w:tcW w:w="3258" w:type="dxa"/>
            <w:tcBorders>
              <w:top w:val="single" w:color="000000" w:sz="4" w:space="0"/>
              <w:left w:val="single" w:color="000000" w:sz="4" w:space="0"/>
              <w:bottom w:val="single" w:color="000000" w:sz="4" w:space="0"/>
              <w:right w:val="single" w:color="000000" w:sz="4" w:space="0"/>
            </w:tcBorders>
            <w:noWrap/>
            <w:vAlign w:val="center"/>
          </w:tcPr>
          <w:p w14:paraId="76388AC7">
            <w:pPr>
              <w:jc w:val="left"/>
              <w:rPr>
                <w:rFonts w:hint="eastAsia" w:ascii="宋体" w:hAnsi="宋体" w:cs="宋体"/>
                <w:b/>
                <w:bCs/>
                <w:sz w:val="24"/>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7230E044">
            <w:pPr>
              <w:jc w:val="left"/>
              <w:rPr>
                <w:rFonts w:hint="eastAsia" w:ascii="宋体" w:hAnsi="宋体" w:cs="宋体"/>
                <w:b/>
                <w:bCs/>
                <w:sz w:val="24"/>
              </w:rPr>
            </w:pP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81877BA">
            <w:pPr>
              <w:widowControl/>
              <w:jc w:val="center"/>
              <w:textAlignment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DB6117B">
            <w:pPr>
              <w:rPr>
                <w:rFonts w:hint="eastAsia" w:ascii="宋体" w:hAnsi="宋体" w:cs="宋体"/>
                <w:b/>
                <w:bCs/>
                <w:sz w:val="24"/>
              </w:rPr>
            </w:pPr>
          </w:p>
        </w:tc>
      </w:tr>
      <w:tr w14:paraId="5FFF5C04">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293275E5">
            <w:pPr>
              <w:widowControl/>
              <w:jc w:val="left"/>
              <w:textAlignment w:val="center"/>
              <w:rPr>
                <w:rFonts w:hint="eastAsia" w:ascii="宋体" w:hAnsi="宋体" w:cs="宋体"/>
                <w:b/>
                <w:bCs/>
                <w:sz w:val="24"/>
              </w:rPr>
            </w:pPr>
            <w:r>
              <w:rPr>
                <w:rFonts w:hint="eastAsia" w:ascii="宋体" w:hAnsi="宋体" w:cs="宋体"/>
                <w:b/>
                <w:bCs/>
                <w:kern w:val="0"/>
                <w:sz w:val="24"/>
                <w:lang w:bidi="ar"/>
              </w:rPr>
              <w:t>（一）、计算资源</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0FE19854">
            <w:pPr>
              <w:jc w:val="left"/>
              <w:rPr>
                <w:rFonts w:hint="eastAsia" w:ascii="宋体" w:hAnsi="宋体" w:cs="宋体"/>
                <w:b/>
                <w:bCs/>
                <w:sz w:val="24"/>
              </w:rPr>
            </w:pPr>
          </w:p>
        </w:tc>
        <w:tc>
          <w:tcPr>
            <w:tcW w:w="3258" w:type="dxa"/>
            <w:tcBorders>
              <w:top w:val="single" w:color="000000" w:sz="4" w:space="0"/>
              <w:left w:val="single" w:color="000000" w:sz="4" w:space="0"/>
              <w:bottom w:val="single" w:color="000000" w:sz="4" w:space="0"/>
              <w:right w:val="single" w:color="000000" w:sz="4" w:space="0"/>
            </w:tcBorders>
            <w:noWrap/>
            <w:vAlign w:val="center"/>
          </w:tcPr>
          <w:p w14:paraId="5C9D8297">
            <w:pPr>
              <w:jc w:val="left"/>
              <w:rPr>
                <w:rFonts w:hint="eastAsia" w:ascii="宋体" w:hAnsi="宋体" w:cs="宋体"/>
                <w:b/>
                <w:bCs/>
                <w:sz w:val="24"/>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21A7BDEA">
            <w:pPr>
              <w:jc w:val="left"/>
              <w:rPr>
                <w:rFonts w:hint="eastAsia" w:ascii="宋体" w:hAnsi="宋体" w:cs="宋体"/>
                <w:b/>
                <w:bCs/>
                <w:sz w:val="24"/>
              </w:rPr>
            </w:pP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B2D726E">
            <w:pPr>
              <w:widowControl/>
              <w:jc w:val="center"/>
              <w:textAlignment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98BB72F">
            <w:pPr>
              <w:rPr>
                <w:rFonts w:hint="eastAsia" w:ascii="宋体" w:hAnsi="宋体" w:cs="宋体"/>
                <w:b/>
                <w:bCs/>
                <w:sz w:val="24"/>
              </w:rPr>
            </w:pPr>
          </w:p>
        </w:tc>
      </w:tr>
      <w:tr w14:paraId="384D219A">
        <w:tblPrEx>
          <w:tblCellMar>
            <w:top w:w="0" w:type="dxa"/>
            <w:left w:w="108" w:type="dxa"/>
            <w:bottom w:w="0" w:type="dxa"/>
            <w:right w:w="108" w:type="dxa"/>
          </w:tblCellMar>
        </w:tblPrEx>
        <w:trPr>
          <w:trHeight w:val="140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6279EC67">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7A6F1B48">
            <w:pPr>
              <w:widowControl/>
              <w:jc w:val="center"/>
              <w:textAlignment w:val="center"/>
              <w:rPr>
                <w:rFonts w:hint="eastAsia" w:ascii="宋体" w:hAnsi="宋体" w:cs="宋体"/>
                <w:sz w:val="24"/>
              </w:rPr>
            </w:pPr>
            <w:r>
              <w:rPr>
                <w:rFonts w:hint="eastAsia" w:ascii="宋体" w:hAnsi="宋体" w:cs="宋体"/>
                <w:kern w:val="0"/>
                <w:sz w:val="24"/>
                <w:lang w:bidi="ar"/>
              </w:rPr>
              <w:t>云主机</w:t>
            </w:r>
          </w:p>
        </w:tc>
        <w:tc>
          <w:tcPr>
            <w:tcW w:w="3258" w:type="dxa"/>
            <w:tcBorders>
              <w:top w:val="single" w:color="000000" w:sz="4" w:space="0"/>
              <w:left w:val="single" w:color="000000" w:sz="4" w:space="0"/>
              <w:bottom w:val="single" w:color="000000" w:sz="4" w:space="0"/>
              <w:right w:val="single" w:color="000000" w:sz="4" w:space="0"/>
            </w:tcBorders>
            <w:vAlign w:val="center"/>
          </w:tcPr>
          <w:p w14:paraId="1376A0A1">
            <w:pPr>
              <w:widowControl/>
              <w:jc w:val="center"/>
              <w:textAlignment w:val="center"/>
              <w:rPr>
                <w:rFonts w:hint="eastAsia" w:ascii="宋体" w:hAnsi="宋体" w:cs="宋体"/>
                <w:sz w:val="24"/>
              </w:rPr>
            </w:pPr>
            <w:r>
              <w:rPr>
                <w:rFonts w:hint="eastAsia" w:ascii="宋体" w:hAnsi="宋体" w:cs="宋体"/>
                <w:kern w:val="0"/>
                <w:sz w:val="24"/>
                <w:lang w:bidi="ar"/>
              </w:rPr>
              <w:t>5台主机16 核 256G 内存（2台应用+2台数据库+1台备份），硬盘 600G,存储要求：8 核 64G 内存，其中储存不低于15TB。</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48FD038D">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2D7E0181">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60C7E10">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21E10F6A">
        <w:tblPrEx>
          <w:tblCellMar>
            <w:top w:w="0" w:type="dxa"/>
            <w:left w:w="108" w:type="dxa"/>
            <w:bottom w:w="0" w:type="dxa"/>
            <w:right w:w="108" w:type="dxa"/>
          </w:tblCellMar>
        </w:tblPrEx>
        <w:trPr>
          <w:trHeight w:val="72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020ED91B">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0EAB9137">
            <w:pPr>
              <w:widowControl/>
              <w:jc w:val="center"/>
              <w:textAlignment w:val="center"/>
              <w:rPr>
                <w:rFonts w:hint="eastAsia" w:ascii="宋体" w:hAnsi="宋体" w:cs="宋体"/>
                <w:sz w:val="24"/>
              </w:rPr>
            </w:pPr>
            <w:r>
              <w:rPr>
                <w:rFonts w:hint="eastAsia" w:ascii="宋体" w:hAnsi="宋体" w:cs="宋体"/>
                <w:kern w:val="0"/>
                <w:sz w:val="24"/>
                <w:lang w:bidi="ar"/>
              </w:rPr>
              <w:t>数据备份</w:t>
            </w:r>
          </w:p>
        </w:tc>
        <w:tc>
          <w:tcPr>
            <w:tcW w:w="3258" w:type="dxa"/>
            <w:tcBorders>
              <w:top w:val="single" w:color="000000" w:sz="4" w:space="0"/>
              <w:left w:val="single" w:color="000000" w:sz="4" w:space="0"/>
              <w:bottom w:val="single" w:color="000000" w:sz="4" w:space="0"/>
              <w:right w:val="single" w:color="000000" w:sz="4" w:space="0"/>
            </w:tcBorders>
            <w:vAlign w:val="center"/>
          </w:tcPr>
          <w:p w14:paraId="66EEAB7E">
            <w:pPr>
              <w:widowControl/>
              <w:jc w:val="center"/>
              <w:textAlignment w:val="center"/>
              <w:rPr>
                <w:rFonts w:hint="eastAsia" w:ascii="宋体" w:hAnsi="宋体" w:cs="宋体"/>
                <w:sz w:val="24"/>
              </w:rPr>
            </w:pPr>
            <w:r>
              <w:rPr>
                <w:rFonts w:hint="eastAsia" w:ascii="宋体" w:hAnsi="宋体" w:cs="宋体"/>
                <w:kern w:val="0"/>
                <w:sz w:val="24"/>
                <w:lang w:bidi="ar"/>
              </w:rPr>
              <w:t>不少于15天小时级增量数据备份，同时满足等保2.0三级异地备份要求。</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D3600AC">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4BC4C902">
            <w:pPr>
              <w:widowControl/>
              <w:jc w:val="center"/>
              <w:textAlignment w:val="center"/>
              <w:rPr>
                <w:rFonts w:hint="eastAsia" w:ascii="宋体" w:hAnsi="宋体" w:cs="宋体"/>
                <w:b/>
                <w:bCs/>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7603BC0">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491366F2">
        <w:tblPrEx>
          <w:tblCellMar>
            <w:top w:w="0" w:type="dxa"/>
            <w:left w:w="108" w:type="dxa"/>
            <w:bottom w:w="0" w:type="dxa"/>
            <w:right w:w="108" w:type="dxa"/>
          </w:tblCellMar>
        </w:tblPrEx>
        <w:trPr>
          <w:trHeight w:val="100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5219271B">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29FE093B">
            <w:pPr>
              <w:widowControl/>
              <w:jc w:val="center"/>
              <w:textAlignment w:val="center"/>
              <w:rPr>
                <w:rFonts w:hint="eastAsia" w:ascii="宋体" w:hAnsi="宋体" w:cs="宋体"/>
                <w:sz w:val="24"/>
              </w:rPr>
            </w:pPr>
            <w:r>
              <w:rPr>
                <w:rFonts w:hint="eastAsia" w:ascii="宋体" w:hAnsi="宋体" w:cs="宋体"/>
                <w:kern w:val="0"/>
                <w:sz w:val="24"/>
                <w:lang w:bidi="ar"/>
              </w:rPr>
              <w:t>云安全</w:t>
            </w:r>
          </w:p>
        </w:tc>
        <w:tc>
          <w:tcPr>
            <w:tcW w:w="3258" w:type="dxa"/>
            <w:tcBorders>
              <w:top w:val="single" w:color="000000" w:sz="4" w:space="0"/>
              <w:left w:val="single" w:color="000000" w:sz="4" w:space="0"/>
              <w:bottom w:val="single" w:color="000000" w:sz="4" w:space="0"/>
              <w:right w:val="single" w:color="000000" w:sz="4" w:space="0"/>
            </w:tcBorders>
            <w:vAlign w:val="center"/>
          </w:tcPr>
          <w:p w14:paraId="11B4EEC8">
            <w:pPr>
              <w:widowControl/>
              <w:jc w:val="center"/>
              <w:textAlignment w:val="center"/>
              <w:rPr>
                <w:rFonts w:hint="eastAsia" w:ascii="宋体" w:hAnsi="宋体" w:cs="宋体"/>
                <w:sz w:val="24"/>
              </w:rPr>
            </w:pPr>
            <w:r>
              <w:rPr>
                <w:rFonts w:hint="eastAsia" w:ascii="宋体" w:hAnsi="宋体" w:cs="宋体"/>
                <w:kern w:val="0"/>
                <w:sz w:val="24"/>
                <w:lang w:bidi="ar"/>
              </w:rPr>
              <w:t>waf 防护，终端安全服务，数据库安全审计，日志审计，云漏洞扫描waf 防护，终端安全服务，数据库安全审计，日志审计，云漏洞扫描。</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5393A08">
            <w:pPr>
              <w:widowControl/>
              <w:jc w:val="center"/>
              <w:textAlignment w:val="center"/>
              <w:rPr>
                <w:rFonts w:hint="eastAsia" w:ascii="宋体" w:hAnsi="宋体" w:cs="宋体"/>
                <w:sz w:val="24"/>
              </w:rPr>
            </w:pPr>
            <w:r>
              <w:rPr>
                <w:rFonts w:hint="eastAsia" w:ascii="宋体" w:hAnsi="宋体" w:cs="宋体"/>
                <w:sz w:val="24"/>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F743AC4">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8FF66B2">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07A479BF">
        <w:tblPrEx>
          <w:tblCellMar>
            <w:top w:w="0" w:type="dxa"/>
            <w:left w:w="108" w:type="dxa"/>
            <w:bottom w:w="0" w:type="dxa"/>
            <w:right w:w="108" w:type="dxa"/>
          </w:tblCellMar>
        </w:tblPrEx>
        <w:trPr>
          <w:trHeight w:val="82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0861392B">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14DAE5A4">
            <w:pPr>
              <w:widowControl/>
              <w:jc w:val="center"/>
              <w:textAlignment w:val="center"/>
              <w:rPr>
                <w:rFonts w:hint="eastAsia" w:ascii="宋体" w:hAnsi="宋体" w:cs="宋体"/>
                <w:sz w:val="24"/>
              </w:rPr>
            </w:pPr>
            <w:r>
              <w:rPr>
                <w:rFonts w:hint="eastAsia" w:ascii="宋体" w:hAnsi="宋体" w:cs="宋体"/>
                <w:kern w:val="0"/>
                <w:sz w:val="24"/>
                <w:lang w:bidi="ar"/>
              </w:rPr>
              <w:t>VPN服务</w:t>
            </w:r>
          </w:p>
        </w:tc>
        <w:tc>
          <w:tcPr>
            <w:tcW w:w="3258" w:type="dxa"/>
            <w:tcBorders>
              <w:top w:val="single" w:color="000000" w:sz="4" w:space="0"/>
              <w:left w:val="single" w:color="000000" w:sz="4" w:space="0"/>
              <w:bottom w:val="single" w:color="000000" w:sz="4" w:space="0"/>
              <w:right w:val="single" w:color="000000" w:sz="4" w:space="0"/>
            </w:tcBorders>
            <w:vAlign w:val="center"/>
          </w:tcPr>
          <w:p w14:paraId="2CA86ED7">
            <w:pPr>
              <w:widowControl/>
              <w:jc w:val="center"/>
              <w:textAlignment w:val="center"/>
              <w:rPr>
                <w:rFonts w:hint="eastAsia" w:ascii="宋体" w:hAnsi="宋体" w:cs="宋体"/>
                <w:sz w:val="24"/>
              </w:rPr>
            </w:pPr>
            <w:r>
              <w:rPr>
                <w:rFonts w:hint="eastAsia" w:ascii="宋体" w:hAnsi="宋体" w:cs="宋体"/>
                <w:kern w:val="0"/>
                <w:sz w:val="24"/>
                <w:lang w:bidi="ar"/>
              </w:rPr>
              <w:t>保留原IP地址，提供VPN登陆服务，接入用户数不低于400。</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54B0F2AA">
            <w:pPr>
              <w:widowControl/>
              <w:jc w:val="center"/>
              <w:textAlignment w:val="center"/>
              <w:rPr>
                <w:rFonts w:hint="eastAsia" w:ascii="宋体" w:hAnsi="宋体" w:cs="宋体"/>
                <w:sz w:val="24"/>
              </w:rPr>
            </w:pPr>
            <w:r>
              <w:rPr>
                <w:rFonts w:hint="eastAsia" w:ascii="宋体" w:hAnsi="宋体" w:cs="宋体"/>
                <w:sz w:val="24"/>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235A4551">
            <w:pPr>
              <w:widowControl/>
              <w:jc w:val="center"/>
              <w:textAlignment w:val="center"/>
              <w:rPr>
                <w:rFonts w:hint="eastAsia" w:ascii="宋体" w:hAnsi="宋体" w:cs="宋体"/>
                <w:b/>
                <w:bCs/>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921FAEF">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5C838559">
        <w:tblPrEx>
          <w:tblCellMar>
            <w:top w:w="0" w:type="dxa"/>
            <w:left w:w="108" w:type="dxa"/>
            <w:bottom w:w="0" w:type="dxa"/>
            <w:right w:w="108" w:type="dxa"/>
          </w:tblCellMar>
        </w:tblPrEx>
        <w:trPr>
          <w:trHeight w:val="68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4BDF3C79">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4E1FCE9D">
            <w:pPr>
              <w:widowControl/>
              <w:jc w:val="center"/>
              <w:textAlignment w:val="center"/>
              <w:rPr>
                <w:rFonts w:hint="eastAsia" w:ascii="宋体" w:hAnsi="宋体" w:cs="宋体"/>
                <w:sz w:val="24"/>
              </w:rPr>
            </w:pPr>
            <w:r>
              <w:rPr>
                <w:rFonts w:hint="eastAsia" w:ascii="宋体" w:hAnsi="宋体" w:cs="宋体"/>
                <w:kern w:val="0"/>
                <w:sz w:val="24"/>
                <w:lang w:bidi="ar"/>
              </w:rPr>
              <w:t>云资源网络</w:t>
            </w:r>
          </w:p>
        </w:tc>
        <w:tc>
          <w:tcPr>
            <w:tcW w:w="3258" w:type="dxa"/>
            <w:tcBorders>
              <w:top w:val="single" w:color="000000" w:sz="4" w:space="0"/>
              <w:left w:val="single" w:color="000000" w:sz="4" w:space="0"/>
              <w:bottom w:val="single" w:color="000000" w:sz="4" w:space="0"/>
              <w:right w:val="single" w:color="000000" w:sz="4" w:space="0"/>
            </w:tcBorders>
            <w:vAlign w:val="center"/>
          </w:tcPr>
          <w:p w14:paraId="35464303">
            <w:pPr>
              <w:widowControl/>
              <w:jc w:val="center"/>
              <w:textAlignment w:val="center"/>
              <w:rPr>
                <w:rFonts w:hint="eastAsia" w:ascii="宋体" w:hAnsi="宋体" w:cs="宋体"/>
                <w:sz w:val="24"/>
              </w:rPr>
            </w:pPr>
            <w:r>
              <w:rPr>
                <w:rFonts w:hint="eastAsia" w:ascii="宋体" w:hAnsi="宋体" w:cs="宋体"/>
                <w:kern w:val="0"/>
                <w:sz w:val="24"/>
                <w:lang w:bidi="ar"/>
              </w:rPr>
              <w:t>需提供不低于100M线路保障云资源间数据交互；需提供备用链路一套。</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385AC18">
            <w:pPr>
              <w:widowControl/>
              <w:jc w:val="center"/>
              <w:textAlignment w:val="center"/>
              <w:rPr>
                <w:rFonts w:hint="eastAsia" w:ascii="宋体" w:hAnsi="宋体" w:cs="宋体"/>
                <w:sz w:val="24"/>
              </w:rPr>
            </w:pPr>
            <w:r>
              <w:rPr>
                <w:rFonts w:hint="eastAsia" w:ascii="宋体" w:hAnsi="宋体" w:cs="宋体"/>
                <w:sz w:val="24"/>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1A28050A">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C560ED4">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313B5733">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3C9F9939">
            <w:pPr>
              <w:widowControl/>
              <w:jc w:val="left"/>
              <w:textAlignment w:val="center"/>
              <w:rPr>
                <w:rFonts w:hint="eastAsia" w:ascii="宋体" w:hAnsi="宋体" w:cs="宋体"/>
                <w:b/>
                <w:bCs/>
                <w:sz w:val="24"/>
              </w:rPr>
            </w:pPr>
            <w:r>
              <w:rPr>
                <w:rFonts w:hint="eastAsia" w:ascii="宋体" w:hAnsi="宋体" w:cs="宋体"/>
                <w:b/>
                <w:bCs/>
                <w:kern w:val="0"/>
                <w:sz w:val="24"/>
                <w:lang w:bidi="ar"/>
              </w:rPr>
              <w:t>（二）、CA认证</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51C5FD24">
            <w:pPr>
              <w:jc w:val="left"/>
              <w:rPr>
                <w:rFonts w:hint="eastAsia" w:ascii="宋体" w:hAnsi="宋体" w:cs="宋体"/>
                <w:b/>
                <w:bCs/>
                <w:sz w:val="24"/>
              </w:rPr>
            </w:pPr>
          </w:p>
        </w:tc>
        <w:tc>
          <w:tcPr>
            <w:tcW w:w="3258" w:type="dxa"/>
            <w:tcBorders>
              <w:top w:val="single" w:color="000000" w:sz="4" w:space="0"/>
              <w:left w:val="single" w:color="000000" w:sz="4" w:space="0"/>
              <w:bottom w:val="single" w:color="000000" w:sz="4" w:space="0"/>
              <w:right w:val="single" w:color="000000" w:sz="4" w:space="0"/>
            </w:tcBorders>
            <w:noWrap/>
            <w:vAlign w:val="center"/>
          </w:tcPr>
          <w:p w14:paraId="338D3B53">
            <w:pPr>
              <w:jc w:val="left"/>
              <w:rPr>
                <w:rFonts w:hint="eastAsia" w:ascii="宋体" w:hAnsi="宋体" w:cs="宋体"/>
                <w:b/>
                <w:bCs/>
                <w:sz w:val="24"/>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4C29B28C">
            <w:pPr>
              <w:jc w:val="left"/>
              <w:rPr>
                <w:rFonts w:hint="eastAsia" w:ascii="宋体" w:hAnsi="宋体" w:cs="宋体"/>
                <w:b/>
                <w:bCs/>
                <w:sz w:val="24"/>
              </w:rPr>
            </w:pP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76B38510">
            <w:pPr>
              <w:widowControl/>
              <w:jc w:val="center"/>
              <w:textAlignment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004BFB4">
            <w:pPr>
              <w:rPr>
                <w:rFonts w:hint="eastAsia" w:ascii="宋体" w:hAnsi="宋体" w:cs="宋体"/>
                <w:b/>
                <w:bCs/>
                <w:sz w:val="24"/>
              </w:rPr>
            </w:pPr>
          </w:p>
        </w:tc>
      </w:tr>
      <w:tr w14:paraId="3CFECB27">
        <w:tblPrEx>
          <w:tblCellMar>
            <w:top w:w="0" w:type="dxa"/>
            <w:left w:w="108" w:type="dxa"/>
            <w:bottom w:w="0" w:type="dxa"/>
            <w:right w:w="108" w:type="dxa"/>
          </w:tblCellMar>
        </w:tblPrEx>
        <w:trPr>
          <w:trHeight w:val="68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4C8D0E34">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5A66B017">
            <w:pPr>
              <w:widowControl/>
              <w:jc w:val="center"/>
              <w:textAlignment w:val="center"/>
              <w:rPr>
                <w:rFonts w:hint="eastAsia" w:ascii="宋体" w:hAnsi="宋体" w:cs="宋体"/>
                <w:sz w:val="24"/>
              </w:rPr>
            </w:pPr>
            <w:r>
              <w:rPr>
                <w:rFonts w:hint="eastAsia" w:ascii="宋体" w:hAnsi="宋体" w:cs="宋体"/>
                <w:kern w:val="0"/>
                <w:sz w:val="24"/>
                <w:lang w:bidi="ar"/>
              </w:rPr>
              <w:t>签名证书</w:t>
            </w:r>
          </w:p>
        </w:tc>
        <w:tc>
          <w:tcPr>
            <w:tcW w:w="3258" w:type="dxa"/>
            <w:tcBorders>
              <w:top w:val="single" w:color="000000" w:sz="4" w:space="0"/>
              <w:left w:val="single" w:color="000000" w:sz="4" w:space="0"/>
              <w:bottom w:val="single" w:color="000000" w:sz="4" w:space="0"/>
              <w:right w:val="single" w:color="000000" w:sz="4" w:space="0"/>
            </w:tcBorders>
            <w:vAlign w:val="center"/>
          </w:tcPr>
          <w:p w14:paraId="307E3BF9">
            <w:pPr>
              <w:widowControl/>
              <w:jc w:val="center"/>
              <w:textAlignment w:val="center"/>
              <w:rPr>
                <w:rFonts w:hint="eastAsia" w:ascii="宋体" w:hAnsi="宋体" w:cs="宋体"/>
                <w:sz w:val="24"/>
              </w:rPr>
            </w:pPr>
            <w:r>
              <w:rPr>
                <w:rFonts w:hint="eastAsia" w:ascii="宋体" w:hAnsi="宋体" w:cs="宋体"/>
                <w:kern w:val="0"/>
                <w:sz w:val="24"/>
                <w:lang w:bidi="ar"/>
              </w:rPr>
              <w:t>提供医生用户签名、证书管理服务及相关辅助服务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75CF7C39">
            <w:pPr>
              <w:widowControl/>
              <w:jc w:val="center"/>
              <w:textAlignment w:val="center"/>
              <w:rPr>
                <w:rFonts w:hint="eastAsia" w:ascii="宋体" w:hAnsi="宋体" w:cs="宋体"/>
                <w:sz w:val="24"/>
              </w:rPr>
            </w:pPr>
            <w:r>
              <w:rPr>
                <w:rFonts w:hint="eastAsia" w:ascii="宋体" w:hAnsi="宋体" w:cs="宋体"/>
                <w:kern w:val="0"/>
                <w:sz w:val="24"/>
                <w:lang w:bidi="ar"/>
              </w:rPr>
              <w:t>500</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3DD7C76">
            <w:pPr>
              <w:widowControl/>
              <w:jc w:val="center"/>
              <w:textAlignment w:val="center"/>
              <w:rPr>
                <w:rFonts w:hint="eastAsia" w:ascii="宋体" w:hAnsi="宋体" w:cs="宋体"/>
                <w:sz w:val="24"/>
              </w:rPr>
            </w:pPr>
            <w:r>
              <w:rPr>
                <w:rFonts w:hint="eastAsia" w:ascii="宋体" w:hAnsi="宋体" w:cs="宋体"/>
                <w:kern w:val="0"/>
                <w:sz w:val="24"/>
                <w:lang w:bidi="ar"/>
              </w:rPr>
              <w:t>个</w:t>
            </w:r>
          </w:p>
        </w:tc>
        <w:tc>
          <w:tcPr>
            <w:tcW w:w="1369" w:type="dxa"/>
            <w:tcBorders>
              <w:top w:val="single" w:color="000000" w:sz="4" w:space="0"/>
              <w:left w:val="single" w:color="000000" w:sz="4" w:space="0"/>
              <w:bottom w:val="single" w:color="000000" w:sz="4" w:space="0"/>
              <w:right w:val="single" w:color="000000" w:sz="4" w:space="0"/>
            </w:tcBorders>
            <w:vAlign w:val="center"/>
          </w:tcPr>
          <w:p w14:paraId="52FC881E">
            <w:pPr>
              <w:widowControl/>
              <w:jc w:val="center"/>
              <w:textAlignment w:val="center"/>
              <w:rPr>
                <w:rFonts w:hint="eastAsia" w:ascii="宋体" w:hAnsi="宋体" w:cs="宋体"/>
                <w:sz w:val="24"/>
              </w:rPr>
            </w:pPr>
            <w:r>
              <w:rPr>
                <w:rFonts w:hint="eastAsia" w:ascii="宋体" w:hAnsi="宋体" w:cs="宋体"/>
                <w:kern w:val="0"/>
                <w:sz w:val="24"/>
                <w:lang w:bidi="ar"/>
              </w:rPr>
              <w:t>预计每年500个</w:t>
            </w:r>
          </w:p>
        </w:tc>
      </w:tr>
      <w:tr w14:paraId="5D533438">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15C4725C">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2C63E912">
            <w:pPr>
              <w:widowControl/>
              <w:jc w:val="center"/>
              <w:textAlignment w:val="center"/>
              <w:rPr>
                <w:rFonts w:hint="eastAsia" w:ascii="宋体" w:hAnsi="宋体" w:cs="宋体"/>
                <w:sz w:val="24"/>
              </w:rPr>
            </w:pPr>
            <w:r>
              <w:rPr>
                <w:rFonts w:hint="eastAsia" w:ascii="宋体" w:hAnsi="宋体" w:cs="宋体"/>
                <w:kern w:val="0"/>
                <w:sz w:val="24"/>
                <w:lang w:bidi="ar"/>
              </w:rPr>
              <w:t>通信平台</w:t>
            </w:r>
          </w:p>
        </w:tc>
        <w:tc>
          <w:tcPr>
            <w:tcW w:w="3258" w:type="dxa"/>
            <w:tcBorders>
              <w:top w:val="single" w:color="000000" w:sz="4" w:space="0"/>
              <w:left w:val="single" w:color="000000" w:sz="4" w:space="0"/>
              <w:bottom w:val="single" w:color="000000" w:sz="4" w:space="0"/>
              <w:right w:val="single" w:color="000000" w:sz="4" w:space="0"/>
            </w:tcBorders>
            <w:vAlign w:val="center"/>
          </w:tcPr>
          <w:p w14:paraId="0FF1337B">
            <w:pPr>
              <w:widowControl/>
              <w:jc w:val="center"/>
              <w:textAlignment w:val="center"/>
              <w:rPr>
                <w:rFonts w:hint="eastAsia" w:ascii="宋体" w:hAnsi="宋体" w:cs="宋体"/>
                <w:sz w:val="24"/>
              </w:rPr>
            </w:pPr>
            <w:r>
              <w:rPr>
                <w:rFonts w:hint="eastAsia" w:ascii="宋体" w:hAnsi="宋体" w:cs="宋体"/>
                <w:kern w:val="0"/>
                <w:sz w:val="24"/>
                <w:lang w:bidi="ar"/>
              </w:rPr>
              <w:t>内外网签名数据的摆渡等服务；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3350A44A">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7BB83F9">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vAlign w:val="center"/>
          </w:tcPr>
          <w:p w14:paraId="2FC2C02C">
            <w:pPr>
              <w:jc w:val="center"/>
              <w:rPr>
                <w:rFonts w:hint="eastAsia" w:ascii="宋体" w:hAnsi="宋体" w:cs="宋体"/>
                <w:sz w:val="24"/>
              </w:rPr>
            </w:pPr>
          </w:p>
        </w:tc>
      </w:tr>
      <w:tr w14:paraId="4498FE41">
        <w:tblPrEx>
          <w:tblCellMar>
            <w:top w:w="0" w:type="dxa"/>
            <w:left w:w="108" w:type="dxa"/>
            <w:bottom w:w="0" w:type="dxa"/>
            <w:right w:w="108" w:type="dxa"/>
          </w:tblCellMar>
        </w:tblPrEx>
        <w:trPr>
          <w:trHeight w:val="74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5C07392F">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1C29AF0C">
            <w:pPr>
              <w:widowControl/>
              <w:jc w:val="center"/>
              <w:textAlignment w:val="center"/>
              <w:rPr>
                <w:rFonts w:hint="eastAsia" w:ascii="宋体" w:hAnsi="宋体" w:cs="宋体"/>
                <w:sz w:val="24"/>
              </w:rPr>
            </w:pPr>
            <w:r>
              <w:rPr>
                <w:rFonts w:hint="eastAsia" w:ascii="宋体" w:hAnsi="宋体" w:cs="宋体"/>
                <w:kern w:val="0"/>
                <w:sz w:val="24"/>
                <w:lang w:bidi="ar"/>
              </w:rPr>
              <w:t>内控平台</w:t>
            </w:r>
          </w:p>
        </w:tc>
        <w:tc>
          <w:tcPr>
            <w:tcW w:w="3258" w:type="dxa"/>
            <w:tcBorders>
              <w:top w:val="single" w:color="000000" w:sz="4" w:space="0"/>
              <w:left w:val="single" w:color="000000" w:sz="4" w:space="0"/>
              <w:bottom w:val="single" w:color="000000" w:sz="4" w:space="0"/>
              <w:right w:val="single" w:color="000000" w:sz="4" w:space="0"/>
            </w:tcBorders>
            <w:vAlign w:val="center"/>
          </w:tcPr>
          <w:p w14:paraId="062D1337">
            <w:pPr>
              <w:widowControl/>
              <w:jc w:val="center"/>
              <w:textAlignment w:val="center"/>
              <w:rPr>
                <w:rFonts w:hint="eastAsia" w:ascii="宋体" w:hAnsi="宋体" w:cs="宋体"/>
                <w:sz w:val="24"/>
              </w:rPr>
            </w:pPr>
            <w:r>
              <w:rPr>
                <w:rFonts w:hint="eastAsia" w:ascii="宋体" w:hAnsi="宋体" w:cs="宋体"/>
                <w:kern w:val="0"/>
                <w:sz w:val="24"/>
                <w:lang w:bidi="ar"/>
              </w:rPr>
              <w:t>提供院内签名的统一管理、授权；签名数据的统计与管理；</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0A46CCC5">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92A6659">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vAlign w:val="center"/>
          </w:tcPr>
          <w:p w14:paraId="4AA55ACB">
            <w:pPr>
              <w:jc w:val="center"/>
              <w:rPr>
                <w:rFonts w:hint="eastAsia" w:ascii="宋体" w:hAnsi="宋体" w:cs="宋体"/>
                <w:sz w:val="24"/>
              </w:rPr>
            </w:pPr>
          </w:p>
        </w:tc>
      </w:tr>
      <w:tr w14:paraId="1856E4DF">
        <w:tblPrEx>
          <w:tblCellMar>
            <w:top w:w="0" w:type="dxa"/>
            <w:left w:w="108" w:type="dxa"/>
            <w:bottom w:w="0" w:type="dxa"/>
            <w:right w:w="108" w:type="dxa"/>
          </w:tblCellMar>
        </w:tblPrEx>
        <w:trPr>
          <w:trHeight w:val="16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3C5EDBA8">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1E1D7FEB">
            <w:pPr>
              <w:widowControl/>
              <w:jc w:val="center"/>
              <w:textAlignment w:val="center"/>
              <w:rPr>
                <w:rFonts w:hint="eastAsia" w:ascii="宋体" w:hAnsi="宋体" w:cs="宋体"/>
                <w:sz w:val="24"/>
              </w:rPr>
            </w:pPr>
            <w:r>
              <w:rPr>
                <w:rFonts w:hint="eastAsia" w:ascii="宋体" w:hAnsi="宋体" w:cs="宋体"/>
                <w:kern w:val="0"/>
                <w:sz w:val="24"/>
                <w:lang w:bidi="ar"/>
              </w:rPr>
              <w:t>签名文档管理平台</w:t>
            </w:r>
          </w:p>
        </w:tc>
        <w:tc>
          <w:tcPr>
            <w:tcW w:w="3258" w:type="dxa"/>
            <w:tcBorders>
              <w:top w:val="single" w:color="000000" w:sz="4" w:space="0"/>
              <w:left w:val="single" w:color="000000" w:sz="4" w:space="0"/>
              <w:bottom w:val="single" w:color="000000" w:sz="4" w:space="0"/>
              <w:right w:val="single" w:color="000000" w:sz="4" w:space="0"/>
            </w:tcBorders>
            <w:vAlign w:val="center"/>
          </w:tcPr>
          <w:p w14:paraId="6CC12393">
            <w:pPr>
              <w:widowControl/>
              <w:jc w:val="center"/>
              <w:textAlignment w:val="center"/>
              <w:rPr>
                <w:rFonts w:hint="eastAsia" w:ascii="宋体" w:hAnsi="宋体" w:cs="宋体"/>
                <w:sz w:val="24"/>
              </w:rPr>
            </w:pPr>
            <w:r>
              <w:rPr>
                <w:rFonts w:hint="eastAsia" w:ascii="宋体" w:hAnsi="宋体" w:cs="宋体"/>
                <w:kern w:val="0"/>
                <w:sz w:val="24"/>
                <w:lang w:bidi="ar"/>
              </w:rPr>
              <w:t>签名文档管理平台。为移动端提供底层支持服务，支持以APP硬件载体，实现知情同意书查看，编辑，意见勾选，意见录入，拍照，指纹录取、录音等功能；支持OFD/PDF 等格式的文档阅读和加工处理；实现患者管理、签署管理、设备管理、科室管理、数据存证取证等功能。</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487EAA00">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E4C958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vAlign w:val="center"/>
          </w:tcPr>
          <w:p w14:paraId="1B11E3A5">
            <w:pPr>
              <w:jc w:val="center"/>
              <w:rPr>
                <w:rFonts w:hint="eastAsia" w:ascii="宋体" w:hAnsi="宋体" w:cs="宋体"/>
                <w:sz w:val="24"/>
              </w:rPr>
            </w:pPr>
          </w:p>
        </w:tc>
      </w:tr>
      <w:tr w14:paraId="446BFCB9">
        <w:tblPrEx>
          <w:tblCellMar>
            <w:top w:w="0" w:type="dxa"/>
            <w:left w:w="108" w:type="dxa"/>
            <w:bottom w:w="0" w:type="dxa"/>
            <w:right w:w="108" w:type="dxa"/>
          </w:tblCellMar>
        </w:tblPrEx>
        <w:trPr>
          <w:trHeight w:val="7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5896EDC4">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312C5F3B">
            <w:pPr>
              <w:widowControl/>
              <w:jc w:val="center"/>
              <w:textAlignment w:val="center"/>
              <w:rPr>
                <w:rFonts w:hint="eastAsia" w:ascii="宋体" w:hAnsi="宋体" w:cs="宋体"/>
                <w:sz w:val="24"/>
              </w:rPr>
            </w:pPr>
            <w:r>
              <w:rPr>
                <w:rFonts w:hint="eastAsia" w:ascii="宋体" w:hAnsi="宋体" w:cs="宋体"/>
                <w:kern w:val="0"/>
                <w:sz w:val="24"/>
                <w:lang w:bidi="ar"/>
              </w:rPr>
              <w:t>患者签名服务</w:t>
            </w:r>
          </w:p>
        </w:tc>
        <w:tc>
          <w:tcPr>
            <w:tcW w:w="3258" w:type="dxa"/>
            <w:tcBorders>
              <w:top w:val="single" w:color="000000" w:sz="4" w:space="0"/>
              <w:left w:val="single" w:color="000000" w:sz="4" w:space="0"/>
              <w:bottom w:val="single" w:color="000000" w:sz="4" w:space="0"/>
              <w:right w:val="single" w:color="000000" w:sz="4" w:space="0"/>
            </w:tcBorders>
            <w:vAlign w:val="center"/>
          </w:tcPr>
          <w:p w14:paraId="0E4E2AE9">
            <w:pPr>
              <w:widowControl/>
              <w:jc w:val="center"/>
              <w:textAlignment w:val="center"/>
              <w:rPr>
                <w:rFonts w:hint="eastAsia" w:ascii="宋体" w:hAnsi="宋体" w:cs="宋体"/>
                <w:sz w:val="24"/>
              </w:rPr>
            </w:pPr>
            <w:r>
              <w:rPr>
                <w:rFonts w:hint="eastAsia" w:ascii="宋体" w:hAnsi="宋体" w:cs="宋体"/>
                <w:kern w:val="0"/>
                <w:sz w:val="24"/>
                <w:lang w:bidi="ar"/>
              </w:rPr>
              <w:t>为电子化医患沟通文书提供可靠的医生和患者的电子签名服务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7D0E344">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3AB918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年</w:t>
            </w:r>
          </w:p>
        </w:tc>
        <w:tc>
          <w:tcPr>
            <w:tcW w:w="1369" w:type="dxa"/>
            <w:tcBorders>
              <w:top w:val="single" w:color="000000" w:sz="4" w:space="0"/>
              <w:left w:val="single" w:color="000000" w:sz="4" w:space="0"/>
              <w:bottom w:val="single" w:color="000000" w:sz="4" w:space="0"/>
              <w:right w:val="single" w:color="000000" w:sz="4" w:space="0"/>
            </w:tcBorders>
            <w:vAlign w:val="center"/>
          </w:tcPr>
          <w:p w14:paraId="77F9C79E">
            <w:pPr>
              <w:widowControl/>
              <w:jc w:val="center"/>
              <w:textAlignment w:val="center"/>
              <w:rPr>
                <w:rFonts w:hint="eastAsia" w:ascii="宋体" w:hAnsi="宋体" w:cs="宋体"/>
                <w:sz w:val="24"/>
              </w:rPr>
            </w:pPr>
            <w:r>
              <w:rPr>
                <w:rFonts w:hint="eastAsia" w:ascii="宋体" w:hAnsi="宋体" w:cs="宋体"/>
                <w:kern w:val="0"/>
                <w:sz w:val="24"/>
                <w:lang w:bidi="ar"/>
              </w:rPr>
              <w:t>按年收取,不限使用人数</w:t>
            </w:r>
          </w:p>
        </w:tc>
      </w:tr>
      <w:tr w14:paraId="30ECDFF1">
        <w:tblPrEx>
          <w:tblCellMar>
            <w:top w:w="0" w:type="dxa"/>
            <w:left w:w="108" w:type="dxa"/>
            <w:bottom w:w="0" w:type="dxa"/>
            <w:right w:w="108" w:type="dxa"/>
          </w:tblCellMar>
        </w:tblPrEx>
        <w:trPr>
          <w:trHeight w:val="360" w:hRule="atLeast"/>
        </w:trPr>
        <w:tc>
          <w:tcPr>
            <w:tcW w:w="11215" w:type="dxa"/>
            <w:gridSpan w:val="5"/>
            <w:tcBorders>
              <w:top w:val="single" w:color="000000" w:sz="4" w:space="0"/>
              <w:left w:val="single" w:color="000000" w:sz="4" w:space="0"/>
              <w:bottom w:val="single" w:color="000000" w:sz="4" w:space="0"/>
              <w:right w:val="single" w:color="000000" w:sz="4" w:space="0"/>
            </w:tcBorders>
            <w:noWrap/>
            <w:vAlign w:val="center"/>
          </w:tcPr>
          <w:p w14:paraId="7DCB16A7">
            <w:pPr>
              <w:widowControl/>
              <w:jc w:val="left"/>
              <w:textAlignment w:val="center"/>
              <w:rPr>
                <w:rFonts w:hint="eastAsia" w:ascii="宋体" w:hAnsi="宋体" w:cs="宋体"/>
                <w:b/>
                <w:bCs/>
                <w:sz w:val="24"/>
              </w:rPr>
            </w:pPr>
            <w:r>
              <w:rPr>
                <w:rFonts w:hint="eastAsia" w:ascii="宋体" w:hAnsi="宋体" w:cs="宋体"/>
                <w:b/>
                <w:bCs/>
                <w:kern w:val="0"/>
                <w:sz w:val="24"/>
                <w:lang w:bidi="ar"/>
              </w:rPr>
              <w:t>（三）、密码管理</w:t>
            </w:r>
          </w:p>
        </w:tc>
        <w:tc>
          <w:tcPr>
            <w:tcW w:w="1556" w:type="dxa"/>
            <w:tcBorders>
              <w:top w:val="single" w:color="000000" w:sz="4" w:space="0"/>
              <w:left w:val="single" w:color="000000" w:sz="4" w:space="0"/>
              <w:bottom w:val="single" w:color="000000" w:sz="4" w:space="0"/>
              <w:right w:val="single" w:color="000000" w:sz="4" w:space="0"/>
            </w:tcBorders>
            <w:vAlign w:val="center"/>
          </w:tcPr>
          <w:p w14:paraId="7330EF83">
            <w:pPr>
              <w:widowControl/>
              <w:jc w:val="center"/>
              <w:textAlignment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76175B1">
            <w:pPr>
              <w:rPr>
                <w:rFonts w:hint="eastAsia" w:ascii="宋体" w:hAnsi="宋体" w:cs="宋体"/>
                <w:b/>
                <w:bCs/>
                <w:sz w:val="24"/>
              </w:rPr>
            </w:pPr>
          </w:p>
        </w:tc>
      </w:tr>
      <w:tr w14:paraId="1BDDF298">
        <w:tblPrEx>
          <w:tblCellMar>
            <w:top w:w="0" w:type="dxa"/>
            <w:left w:w="108" w:type="dxa"/>
            <w:bottom w:w="0" w:type="dxa"/>
            <w:right w:w="108" w:type="dxa"/>
          </w:tblCellMar>
        </w:tblPrEx>
        <w:trPr>
          <w:trHeight w:val="20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0A57F5D3">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6B7E47E3">
            <w:pPr>
              <w:widowControl/>
              <w:jc w:val="center"/>
              <w:textAlignment w:val="center"/>
              <w:rPr>
                <w:rFonts w:hint="eastAsia" w:ascii="宋体" w:hAnsi="宋体" w:cs="宋体"/>
                <w:sz w:val="24"/>
              </w:rPr>
            </w:pPr>
            <w:r>
              <w:rPr>
                <w:rFonts w:hint="eastAsia" w:ascii="宋体" w:hAnsi="宋体" w:cs="宋体"/>
                <w:kern w:val="0"/>
                <w:sz w:val="24"/>
                <w:lang w:bidi="ar"/>
              </w:rPr>
              <w:t>签名验签服务器</w:t>
            </w:r>
          </w:p>
        </w:tc>
        <w:tc>
          <w:tcPr>
            <w:tcW w:w="3258" w:type="dxa"/>
            <w:tcBorders>
              <w:top w:val="single" w:color="000000" w:sz="4" w:space="0"/>
              <w:left w:val="single" w:color="000000" w:sz="4" w:space="0"/>
              <w:bottom w:val="single" w:color="000000" w:sz="4" w:space="0"/>
              <w:right w:val="single" w:color="000000" w:sz="4" w:space="0"/>
            </w:tcBorders>
            <w:vAlign w:val="center"/>
          </w:tcPr>
          <w:p w14:paraId="6698BE0F">
            <w:pPr>
              <w:widowControl/>
              <w:jc w:val="center"/>
              <w:textAlignment w:val="center"/>
              <w:rPr>
                <w:rFonts w:hint="eastAsia" w:ascii="宋体" w:hAnsi="宋体" w:cs="宋体"/>
                <w:sz w:val="24"/>
              </w:rPr>
            </w:pPr>
            <w:r>
              <w:rPr>
                <w:rFonts w:hint="eastAsia" w:ascii="宋体" w:hAnsi="宋体" w:cs="宋体"/>
                <w:kern w:val="0"/>
                <w:sz w:val="24"/>
                <w:lang w:bidi="ar"/>
              </w:rPr>
              <w:t>一体式设备，标准机架高度≤2U，冗余电源网络：配置≥2个，100/1000M自适应网口。提供基于数字证书的身份认证、数据签名、验证签名、数字信封等密码服务；支持国密SM2、SM3、SM4算法。提供基于数字证书的身份认证、数据签名、验证签名、数字信封等密码服务；支持国密SM2、SM3、SM4算法。</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0CC02330">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4212A4D4">
            <w:pPr>
              <w:widowControl/>
              <w:jc w:val="center"/>
              <w:textAlignment w:val="center"/>
              <w:rPr>
                <w:rFonts w:hint="eastAsia" w:ascii="宋体" w:hAnsi="宋体" w:cs="宋体"/>
                <w:sz w:val="24"/>
              </w:rPr>
            </w:pPr>
            <w:r>
              <w:rPr>
                <w:rFonts w:hint="eastAsia" w:ascii="宋体" w:hAnsi="宋体" w:cs="宋体"/>
                <w:kern w:val="0"/>
                <w:sz w:val="24"/>
                <w:lang w:bidi="ar"/>
              </w:rPr>
              <w:t>台</w:t>
            </w:r>
          </w:p>
        </w:tc>
        <w:tc>
          <w:tcPr>
            <w:tcW w:w="1369" w:type="dxa"/>
            <w:tcBorders>
              <w:top w:val="single" w:color="000000" w:sz="4" w:space="0"/>
              <w:left w:val="single" w:color="000000" w:sz="4" w:space="0"/>
              <w:bottom w:val="single" w:color="000000" w:sz="4" w:space="0"/>
              <w:right w:val="single" w:color="000000" w:sz="4" w:space="0"/>
            </w:tcBorders>
            <w:vAlign w:val="center"/>
          </w:tcPr>
          <w:p w14:paraId="604A424A">
            <w:pPr>
              <w:rPr>
                <w:rFonts w:hint="eastAsia" w:ascii="宋体" w:hAnsi="宋体" w:cs="宋体"/>
                <w:sz w:val="24"/>
              </w:rPr>
            </w:pPr>
          </w:p>
        </w:tc>
      </w:tr>
      <w:tr w14:paraId="65845260">
        <w:tblPrEx>
          <w:tblCellMar>
            <w:top w:w="0" w:type="dxa"/>
            <w:left w:w="108" w:type="dxa"/>
            <w:bottom w:w="0" w:type="dxa"/>
            <w:right w:w="108" w:type="dxa"/>
          </w:tblCellMar>
        </w:tblPrEx>
        <w:trPr>
          <w:trHeight w:val="15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2CB05F4D">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0544DBA7">
            <w:pPr>
              <w:widowControl/>
              <w:jc w:val="center"/>
              <w:textAlignment w:val="center"/>
              <w:rPr>
                <w:rFonts w:hint="eastAsia" w:ascii="宋体" w:hAnsi="宋体" w:cs="宋体"/>
                <w:sz w:val="24"/>
              </w:rPr>
            </w:pPr>
            <w:r>
              <w:rPr>
                <w:rFonts w:hint="eastAsia" w:ascii="宋体" w:hAnsi="宋体" w:cs="宋体"/>
                <w:kern w:val="0"/>
                <w:sz w:val="24"/>
                <w:lang w:bidi="ar"/>
              </w:rPr>
              <w:t>安全认证网关</w:t>
            </w:r>
          </w:p>
        </w:tc>
        <w:tc>
          <w:tcPr>
            <w:tcW w:w="3258" w:type="dxa"/>
            <w:tcBorders>
              <w:top w:val="single" w:color="000000" w:sz="4" w:space="0"/>
              <w:left w:val="single" w:color="000000" w:sz="4" w:space="0"/>
              <w:bottom w:val="single" w:color="000000" w:sz="4" w:space="0"/>
              <w:right w:val="single" w:color="000000" w:sz="4" w:space="0"/>
            </w:tcBorders>
            <w:vAlign w:val="center"/>
          </w:tcPr>
          <w:p w14:paraId="3DAB3E81">
            <w:pPr>
              <w:widowControl/>
              <w:jc w:val="center"/>
              <w:textAlignment w:val="center"/>
              <w:rPr>
                <w:rFonts w:hint="eastAsia" w:ascii="宋体" w:hAnsi="宋体" w:cs="宋体"/>
                <w:sz w:val="24"/>
              </w:rPr>
            </w:pPr>
            <w:r>
              <w:rPr>
                <w:rFonts w:hint="eastAsia" w:ascii="宋体" w:hAnsi="宋体" w:cs="宋体"/>
                <w:kern w:val="0"/>
                <w:sz w:val="24"/>
                <w:lang w:bidi="ar"/>
              </w:rPr>
              <w:t>具备商用密码产品认证证书。提供传输加密、身份认证、访问控制等功能，适配PC、移动设备；支持UKEY、移动协同签名等多因子认证方式；支持硬件特征码和基于角色授权访问控制，支持国密SSL卸载。</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D89B47A">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6DD8F73">
            <w:pPr>
              <w:widowControl/>
              <w:jc w:val="center"/>
              <w:textAlignment w:val="center"/>
              <w:rPr>
                <w:rFonts w:hint="eastAsia" w:ascii="宋体" w:hAnsi="宋体" w:cs="宋体"/>
                <w:sz w:val="24"/>
              </w:rPr>
            </w:pPr>
            <w:r>
              <w:rPr>
                <w:rFonts w:hint="eastAsia" w:ascii="宋体" w:hAnsi="宋体" w:cs="宋体"/>
                <w:kern w:val="0"/>
                <w:sz w:val="24"/>
                <w:lang w:bidi="ar"/>
              </w:rPr>
              <w:t>台</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CD5149C">
            <w:pPr>
              <w:rPr>
                <w:rFonts w:hint="eastAsia" w:ascii="宋体" w:hAnsi="宋体" w:cs="宋体"/>
                <w:sz w:val="24"/>
              </w:rPr>
            </w:pPr>
          </w:p>
        </w:tc>
      </w:tr>
      <w:tr w14:paraId="1A481F72">
        <w:tblPrEx>
          <w:tblCellMar>
            <w:top w:w="0" w:type="dxa"/>
            <w:left w:w="108" w:type="dxa"/>
            <w:bottom w:w="0" w:type="dxa"/>
            <w:right w:w="108" w:type="dxa"/>
          </w:tblCellMar>
        </w:tblPrEx>
        <w:trPr>
          <w:trHeight w:val="20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20592570">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16FDF722">
            <w:pPr>
              <w:widowControl/>
              <w:jc w:val="center"/>
              <w:textAlignment w:val="center"/>
              <w:rPr>
                <w:rFonts w:hint="eastAsia" w:ascii="宋体" w:hAnsi="宋体" w:cs="宋体"/>
                <w:sz w:val="24"/>
              </w:rPr>
            </w:pPr>
            <w:r>
              <w:rPr>
                <w:rFonts w:hint="eastAsia" w:ascii="宋体" w:hAnsi="宋体" w:cs="宋体"/>
                <w:kern w:val="0"/>
                <w:sz w:val="24"/>
                <w:lang w:bidi="ar"/>
              </w:rPr>
              <w:t>加密机</w:t>
            </w:r>
          </w:p>
        </w:tc>
        <w:tc>
          <w:tcPr>
            <w:tcW w:w="3258" w:type="dxa"/>
            <w:tcBorders>
              <w:top w:val="single" w:color="000000" w:sz="4" w:space="0"/>
              <w:left w:val="single" w:color="000000" w:sz="4" w:space="0"/>
              <w:bottom w:val="single" w:color="000000" w:sz="4" w:space="0"/>
              <w:right w:val="single" w:color="000000" w:sz="4" w:space="0"/>
            </w:tcBorders>
            <w:vAlign w:val="center"/>
          </w:tcPr>
          <w:p w14:paraId="27FE84BB">
            <w:pPr>
              <w:widowControl/>
              <w:jc w:val="center"/>
              <w:textAlignment w:val="center"/>
              <w:rPr>
                <w:rFonts w:hint="eastAsia" w:ascii="宋体" w:hAnsi="宋体" w:cs="宋体"/>
                <w:sz w:val="24"/>
              </w:rPr>
            </w:pPr>
            <w:r>
              <w:rPr>
                <w:rFonts w:hint="eastAsia" w:ascii="宋体" w:hAnsi="宋体" w:cs="宋体"/>
                <w:kern w:val="0"/>
                <w:sz w:val="24"/>
                <w:lang w:bidi="ar"/>
              </w:rPr>
              <w:t>软硬一体化专用密码设备，具备商用密码产品认证证书，提供密码运算，密钥存储等功能，支持FPE保留格式加密和数据脱敏，支持国密算法SM2、SM3、SM4。符合GM/T 0028-2014《密码模块安全技术要求》第二级要求；防止来自于业务系统内部的高权限用户的数据窃取，数据库文件泄露等安全问题，有效保障数据的机密性、完整性</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A36C84E">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2AF5863">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BDEB811">
            <w:pPr>
              <w:rPr>
                <w:rFonts w:hint="eastAsia" w:ascii="宋体" w:hAnsi="宋体" w:cs="宋体"/>
                <w:sz w:val="24"/>
              </w:rPr>
            </w:pPr>
          </w:p>
        </w:tc>
      </w:tr>
      <w:tr w14:paraId="5204E71B">
        <w:tblPrEx>
          <w:tblCellMar>
            <w:top w:w="0" w:type="dxa"/>
            <w:left w:w="108" w:type="dxa"/>
            <w:bottom w:w="0" w:type="dxa"/>
            <w:right w:w="108" w:type="dxa"/>
          </w:tblCellMar>
        </w:tblPrEx>
        <w:trPr>
          <w:trHeight w:val="10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5BEB25E3">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67196E9F">
            <w:pPr>
              <w:widowControl/>
              <w:jc w:val="center"/>
              <w:textAlignment w:val="center"/>
              <w:rPr>
                <w:rFonts w:hint="eastAsia" w:ascii="宋体" w:hAnsi="宋体" w:cs="宋体"/>
                <w:sz w:val="24"/>
              </w:rPr>
            </w:pPr>
            <w:r>
              <w:rPr>
                <w:rFonts w:hint="eastAsia" w:ascii="宋体" w:hAnsi="宋体" w:cs="宋体"/>
                <w:kern w:val="0"/>
                <w:sz w:val="24"/>
                <w:lang w:bidi="ar"/>
              </w:rPr>
              <w:t>介质Ukey</w:t>
            </w:r>
          </w:p>
        </w:tc>
        <w:tc>
          <w:tcPr>
            <w:tcW w:w="3258" w:type="dxa"/>
            <w:tcBorders>
              <w:top w:val="single" w:color="000000" w:sz="4" w:space="0"/>
              <w:left w:val="single" w:color="000000" w:sz="4" w:space="0"/>
              <w:bottom w:val="single" w:color="000000" w:sz="4" w:space="0"/>
              <w:right w:val="single" w:color="000000" w:sz="4" w:space="0"/>
            </w:tcBorders>
            <w:vAlign w:val="center"/>
          </w:tcPr>
          <w:p w14:paraId="55B5BEF3">
            <w:pPr>
              <w:widowControl/>
              <w:jc w:val="center"/>
              <w:textAlignment w:val="center"/>
              <w:rPr>
                <w:rFonts w:hint="eastAsia" w:ascii="宋体" w:hAnsi="宋体" w:cs="宋体"/>
                <w:sz w:val="24"/>
              </w:rPr>
            </w:pPr>
            <w:r>
              <w:rPr>
                <w:rFonts w:hint="eastAsia" w:ascii="宋体" w:hAnsi="宋体" w:cs="宋体"/>
                <w:kern w:val="0"/>
                <w:sz w:val="24"/>
                <w:lang w:bidi="ar"/>
              </w:rPr>
              <w:t>用于运维人员身份鉴别。专用密码设备，具备商用密码产品认证证书，数字证书介质，支持国密算法。</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386B4D6A">
            <w:pPr>
              <w:widowControl/>
              <w:jc w:val="center"/>
              <w:textAlignment w:val="center"/>
              <w:rPr>
                <w:rFonts w:hint="eastAsia" w:ascii="宋体" w:hAnsi="宋体" w:cs="宋体"/>
                <w:sz w:val="24"/>
              </w:rPr>
            </w:pPr>
            <w:r>
              <w:rPr>
                <w:rFonts w:hint="eastAsia" w:ascii="宋体" w:hAnsi="宋体" w:cs="宋体"/>
                <w:kern w:val="0"/>
                <w:sz w:val="24"/>
                <w:lang w:bidi="ar"/>
              </w:rPr>
              <w:t>50</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0785ACE2">
            <w:pPr>
              <w:widowControl/>
              <w:jc w:val="center"/>
              <w:textAlignment w:val="center"/>
              <w:rPr>
                <w:rFonts w:hint="eastAsia" w:ascii="宋体" w:hAnsi="宋体" w:cs="宋体"/>
                <w:sz w:val="24"/>
              </w:rPr>
            </w:pPr>
            <w:r>
              <w:rPr>
                <w:rFonts w:hint="eastAsia" w:ascii="宋体" w:hAnsi="宋体" w:cs="宋体"/>
                <w:kern w:val="0"/>
                <w:sz w:val="24"/>
                <w:lang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E46179E">
            <w:pPr>
              <w:rPr>
                <w:rFonts w:hint="eastAsia" w:ascii="宋体" w:hAnsi="宋体" w:cs="宋体"/>
                <w:sz w:val="24"/>
              </w:rPr>
            </w:pPr>
          </w:p>
        </w:tc>
      </w:tr>
      <w:tr w14:paraId="08A2776A">
        <w:tblPrEx>
          <w:tblCellMar>
            <w:top w:w="0" w:type="dxa"/>
            <w:left w:w="108" w:type="dxa"/>
            <w:bottom w:w="0" w:type="dxa"/>
            <w:right w:w="108" w:type="dxa"/>
          </w:tblCellMar>
        </w:tblPrEx>
        <w:trPr>
          <w:trHeight w:val="94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2122E76E">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53151AA9">
            <w:pPr>
              <w:widowControl/>
              <w:jc w:val="center"/>
              <w:textAlignment w:val="center"/>
              <w:rPr>
                <w:rFonts w:hint="eastAsia" w:ascii="宋体" w:hAnsi="宋体" w:cs="宋体"/>
                <w:sz w:val="24"/>
              </w:rPr>
            </w:pPr>
            <w:r>
              <w:rPr>
                <w:rFonts w:hint="eastAsia" w:ascii="宋体" w:hAnsi="宋体" w:cs="宋体"/>
                <w:kern w:val="0"/>
                <w:sz w:val="24"/>
                <w:lang w:bidi="ar"/>
              </w:rPr>
              <w:t>第三方数字证书（个人）</w:t>
            </w:r>
          </w:p>
        </w:tc>
        <w:tc>
          <w:tcPr>
            <w:tcW w:w="3258" w:type="dxa"/>
            <w:tcBorders>
              <w:top w:val="single" w:color="000000" w:sz="4" w:space="0"/>
              <w:left w:val="single" w:color="000000" w:sz="4" w:space="0"/>
              <w:bottom w:val="single" w:color="000000" w:sz="4" w:space="0"/>
              <w:right w:val="single" w:color="000000" w:sz="4" w:space="0"/>
            </w:tcBorders>
            <w:vAlign w:val="center"/>
          </w:tcPr>
          <w:p w14:paraId="6BACABF8">
            <w:pPr>
              <w:widowControl/>
              <w:jc w:val="center"/>
              <w:textAlignment w:val="center"/>
              <w:rPr>
                <w:rFonts w:hint="eastAsia" w:ascii="宋体" w:hAnsi="宋体" w:cs="宋体"/>
                <w:sz w:val="24"/>
              </w:rPr>
            </w:pPr>
            <w:r>
              <w:rPr>
                <w:rFonts w:hint="eastAsia" w:ascii="宋体" w:hAnsi="宋体" w:cs="宋体"/>
                <w:kern w:val="0"/>
                <w:sz w:val="24"/>
                <w:lang w:bidi="ar"/>
              </w:rPr>
              <w:t>用于运维人员身份鉴别。证书颁发机构具有电子认证服务资质，证书支持国密算法，支持USBKey和手机，代表个人网络身份（1年）。</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5A4E3C7B">
            <w:pPr>
              <w:widowControl/>
              <w:jc w:val="center"/>
              <w:textAlignment w:val="center"/>
              <w:rPr>
                <w:rFonts w:hint="eastAsia" w:ascii="宋体" w:hAnsi="宋体" w:cs="宋体"/>
                <w:sz w:val="24"/>
              </w:rPr>
            </w:pPr>
            <w:r>
              <w:rPr>
                <w:rFonts w:hint="eastAsia" w:ascii="宋体" w:hAnsi="宋体" w:cs="宋体"/>
                <w:kern w:val="0"/>
                <w:sz w:val="24"/>
                <w:lang w:bidi="ar"/>
              </w:rPr>
              <w:t>50</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06733066">
            <w:pPr>
              <w:widowControl/>
              <w:jc w:val="center"/>
              <w:textAlignment w:val="center"/>
              <w:rPr>
                <w:rFonts w:hint="eastAsia" w:ascii="宋体" w:hAnsi="宋体" w:cs="宋体"/>
                <w:sz w:val="24"/>
              </w:rPr>
            </w:pPr>
            <w:r>
              <w:rPr>
                <w:rFonts w:hint="eastAsia" w:ascii="宋体" w:hAnsi="宋体" w:cs="宋体"/>
                <w:kern w:val="0"/>
                <w:sz w:val="24"/>
                <w:lang w:bidi="ar"/>
              </w:rPr>
              <w:t>张</w:t>
            </w:r>
          </w:p>
        </w:tc>
        <w:tc>
          <w:tcPr>
            <w:tcW w:w="1369" w:type="dxa"/>
            <w:tcBorders>
              <w:top w:val="single" w:color="000000" w:sz="4" w:space="0"/>
              <w:left w:val="single" w:color="000000" w:sz="4" w:space="0"/>
              <w:bottom w:val="single" w:color="000000" w:sz="4" w:space="0"/>
              <w:right w:val="single" w:color="000000" w:sz="4" w:space="0"/>
            </w:tcBorders>
            <w:vAlign w:val="center"/>
          </w:tcPr>
          <w:p w14:paraId="0C147A3F">
            <w:pPr>
              <w:widowControl/>
              <w:jc w:val="center"/>
              <w:textAlignment w:val="center"/>
              <w:rPr>
                <w:rFonts w:hint="eastAsia" w:ascii="宋体" w:hAnsi="宋体" w:cs="宋体"/>
                <w:sz w:val="24"/>
              </w:rPr>
            </w:pPr>
            <w:r>
              <w:rPr>
                <w:rFonts w:hint="eastAsia" w:ascii="宋体" w:hAnsi="宋体" w:cs="宋体"/>
                <w:kern w:val="0"/>
                <w:sz w:val="24"/>
                <w:lang w:bidi="ar"/>
              </w:rPr>
              <w:t>每年50张</w:t>
            </w:r>
          </w:p>
        </w:tc>
      </w:tr>
      <w:tr w14:paraId="60260AF5">
        <w:tblPrEx>
          <w:tblCellMar>
            <w:top w:w="0" w:type="dxa"/>
            <w:left w:w="108" w:type="dxa"/>
            <w:bottom w:w="0" w:type="dxa"/>
            <w:right w:w="108" w:type="dxa"/>
          </w:tblCellMar>
        </w:tblPrEx>
        <w:trPr>
          <w:trHeight w:val="130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5BCBDDA5">
            <w:pPr>
              <w:widowControl/>
              <w:jc w:val="center"/>
              <w:textAlignment w:val="center"/>
              <w:rPr>
                <w:rFonts w:hint="eastAsia" w:ascii="宋体" w:hAnsi="宋体" w:cs="宋体"/>
                <w:sz w:val="24"/>
              </w:rPr>
            </w:pPr>
            <w:r>
              <w:rPr>
                <w:rFonts w:hint="eastAsia" w:ascii="宋体" w:hAnsi="宋体" w:cs="宋体"/>
                <w:kern w:val="0"/>
                <w:sz w:val="24"/>
                <w:lang w:bidi="ar"/>
              </w:rPr>
              <w:t>6</w:t>
            </w:r>
          </w:p>
        </w:tc>
        <w:tc>
          <w:tcPr>
            <w:tcW w:w="2856" w:type="dxa"/>
            <w:tcBorders>
              <w:top w:val="single" w:color="000000" w:sz="4" w:space="0"/>
              <w:left w:val="single" w:color="000000" w:sz="4" w:space="0"/>
              <w:bottom w:val="single" w:color="000000" w:sz="4" w:space="0"/>
              <w:right w:val="single" w:color="000000" w:sz="4" w:space="0"/>
            </w:tcBorders>
            <w:vAlign w:val="center"/>
          </w:tcPr>
          <w:p w14:paraId="3702EF5D">
            <w:pPr>
              <w:widowControl/>
              <w:jc w:val="center"/>
              <w:textAlignment w:val="center"/>
              <w:rPr>
                <w:rFonts w:hint="eastAsia" w:ascii="宋体" w:hAnsi="宋体" w:cs="宋体"/>
                <w:sz w:val="24"/>
              </w:rPr>
            </w:pPr>
            <w:r>
              <w:rPr>
                <w:rFonts w:hint="eastAsia" w:ascii="宋体" w:hAnsi="宋体" w:cs="宋体"/>
                <w:kern w:val="0"/>
                <w:sz w:val="24"/>
                <w:lang w:bidi="ar"/>
              </w:rPr>
              <w:t>安全认证网关客户端（国密VPN客户端）</w:t>
            </w:r>
          </w:p>
        </w:tc>
        <w:tc>
          <w:tcPr>
            <w:tcW w:w="3258" w:type="dxa"/>
            <w:tcBorders>
              <w:top w:val="single" w:color="000000" w:sz="4" w:space="0"/>
              <w:left w:val="single" w:color="000000" w:sz="4" w:space="0"/>
              <w:bottom w:val="single" w:color="000000" w:sz="4" w:space="0"/>
              <w:right w:val="single" w:color="000000" w:sz="4" w:space="0"/>
            </w:tcBorders>
            <w:vAlign w:val="center"/>
          </w:tcPr>
          <w:p w14:paraId="06A59642">
            <w:pPr>
              <w:widowControl/>
              <w:jc w:val="center"/>
              <w:textAlignment w:val="center"/>
              <w:rPr>
                <w:rFonts w:hint="eastAsia" w:ascii="宋体" w:hAnsi="宋体" w:cs="宋体"/>
                <w:sz w:val="24"/>
              </w:rPr>
            </w:pPr>
            <w:r>
              <w:rPr>
                <w:rFonts w:hint="eastAsia" w:ascii="宋体" w:hAnsi="宋体" w:cs="宋体"/>
                <w:kern w:val="0"/>
                <w:sz w:val="24"/>
                <w:lang w:bidi="ar"/>
              </w:rPr>
              <w:t>为系统用户、系统管理员、运维人员客户端提供安全接入通道，100个客户端。</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198222CB">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07D7DCB">
            <w:pPr>
              <w:widowControl/>
              <w:jc w:val="center"/>
              <w:textAlignment w:val="center"/>
              <w:rPr>
                <w:rFonts w:hint="eastAsia" w:ascii="宋体" w:hAnsi="宋体" w:cs="宋体"/>
                <w:sz w:val="24"/>
              </w:rPr>
            </w:pPr>
            <w:r>
              <w:rPr>
                <w:rFonts w:hint="eastAsia" w:ascii="宋体" w:hAnsi="宋体" w:cs="宋体"/>
                <w:kern w:val="0"/>
                <w:sz w:val="24"/>
                <w:lang w:bidi="ar"/>
              </w:rPr>
              <w:t>套</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94FA97D">
            <w:pPr>
              <w:rPr>
                <w:rFonts w:hint="eastAsia" w:ascii="宋体" w:hAnsi="宋体" w:cs="宋体"/>
                <w:sz w:val="24"/>
              </w:rPr>
            </w:pPr>
          </w:p>
        </w:tc>
      </w:tr>
      <w:tr w14:paraId="37EF1682">
        <w:tblPrEx>
          <w:tblCellMar>
            <w:top w:w="0" w:type="dxa"/>
            <w:left w:w="108" w:type="dxa"/>
            <w:bottom w:w="0" w:type="dxa"/>
            <w:right w:w="108" w:type="dxa"/>
          </w:tblCellMar>
        </w:tblPrEx>
        <w:trPr>
          <w:trHeight w:val="220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2E7F3E15">
            <w:pPr>
              <w:widowControl/>
              <w:jc w:val="center"/>
              <w:textAlignment w:val="center"/>
              <w:rPr>
                <w:rFonts w:hint="eastAsia" w:ascii="宋体" w:hAnsi="宋体" w:cs="宋体"/>
                <w:sz w:val="24"/>
              </w:rPr>
            </w:pPr>
            <w:r>
              <w:rPr>
                <w:rFonts w:hint="eastAsia" w:ascii="宋体" w:hAnsi="宋体" w:cs="宋体"/>
                <w:kern w:val="0"/>
                <w:sz w:val="24"/>
                <w:lang w:bidi="ar"/>
              </w:rPr>
              <w:t>7</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627D86BD">
            <w:pPr>
              <w:widowControl/>
              <w:jc w:val="center"/>
              <w:textAlignment w:val="center"/>
              <w:rPr>
                <w:rFonts w:hint="eastAsia" w:ascii="宋体" w:hAnsi="宋体" w:cs="宋体"/>
                <w:sz w:val="24"/>
              </w:rPr>
            </w:pPr>
            <w:r>
              <w:rPr>
                <w:rFonts w:hint="eastAsia" w:ascii="宋体" w:hAnsi="宋体" w:cs="宋体"/>
                <w:kern w:val="0"/>
                <w:sz w:val="24"/>
                <w:lang w:bidi="ar"/>
              </w:rPr>
              <w:t>国密SSL证书</w:t>
            </w:r>
          </w:p>
        </w:tc>
        <w:tc>
          <w:tcPr>
            <w:tcW w:w="3258" w:type="dxa"/>
            <w:tcBorders>
              <w:top w:val="single" w:color="000000" w:sz="4" w:space="0"/>
              <w:left w:val="single" w:color="000000" w:sz="4" w:space="0"/>
              <w:bottom w:val="single" w:color="000000" w:sz="4" w:space="0"/>
              <w:right w:val="single" w:color="000000" w:sz="4" w:space="0"/>
            </w:tcBorders>
            <w:vAlign w:val="center"/>
          </w:tcPr>
          <w:p w14:paraId="04A6FC12">
            <w:pPr>
              <w:widowControl/>
              <w:jc w:val="center"/>
              <w:textAlignment w:val="center"/>
              <w:rPr>
                <w:rFonts w:hint="eastAsia" w:ascii="宋体" w:hAnsi="宋体" w:cs="宋体"/>
                <w:sz w:val="24"/>
              </w:rPr>
            </w:pPr>
            <w:r>
              <w:rPr>
                <w:rFonts w:hint="eastAsia" w:ascii="宋体" w:hAnsi="宋体" w:cs="宋体"/>
                <w:kern w:val="0"/>
                <w:sz w:val="24"/>
                <w:lang w:bidi="ar"/>
              </w:rPr>
              <w:t>OV SSL证书是指验证网站所有单位的真实身份的标准型SSL证书，通过证书颁发机构审查网站企业身份和单域名或多域名的所有权以证明申请单位是一个合法存在的真实实体。 该产品含SM2/RSA双证书： 1、SM2 SSL证书支持360、奇安信等国密浏览器； 2、RSA SSL证书支持谷歌、火狐、IE等全球主流浏览器。</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1520F83D">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2CDFEA64">
            <w:pPr>
              <w:widowControl/>
              <w:jc w:val="center"/>
              <w:textAlignment w:val="center"/>
              <w:rPr>
                <w:rFonts w:hint="eastAsia" w:ascii="宋体" w:hAnsi="宋体" w:cs="宋体"/>
                <w:sz w:val="24"/>
              </w:rPr>
            </w:pPr>
            <w:r>
              <w:rPr>
                <w:rFonts w:hint="eastAsia" w:ascii="宋体" w:hAnsi="宋体" w:cs="宋体"/>
                <w:kern w:val="0"/>
                <w:sz w:val="24"/>
                <w:lang w:bidi="ar"/>
              </w:rPr>
              <w:t>个</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52FDAF1">
            <w:pPr>
              <w:rPr>
                <w:rFonts w:hint="eastAsia" w:ascii="宋体" w:hAnsi="宋体" w:cs="宋体"/>
                <w:sz w:val="24"/>
              </w:rPr>
            </w:pPr>
          </w:p>
        </w:tc>
      </w:tr>
      <w:tr w14:paraId="10E635FD">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6A3F5396">
            <w:pPr>
              <w:widowControl/>
              <w:jc w:val="center"/>
              <w:textAlignment w:val="center"/>
              <w:rPr>
                <w:rFonts w:hint="eastAsia" w:ascii="宋体" w:hAnsi="宋体" w:cs="宋体"/>
                <w:sz w:val="24"/>
              </w:rPr>
            </w:pPr>
            <w:r>
              <w:rPr>
                <w:rFonts w:hint="eastAsia" w:ascii="宋体" w:hAnsi="宋体" w:cs="宋体"/>
                <w:kern w:val="0"/>
                <w:sz w:val="24"/>
                <w:lang w:bidi="ar"/>
              </w:rPr>
              <w:t>8</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1A76A3F2">
            <w:pPr>
              <w:widowControl/>
              <w:jc w:val="center"/>
              <w:textAlignment w:val="center"/>
              <w:rPr>
                <w:rFonts w:hint="eastAsia" w:ascii="宋体" w:hAnsi="宋体" w:cs="宋体"/>
                <w:sz w:val="24"/>
              </w:rPr>
            </w:pPr>
            <w:r>
              <w:rPr>
                <w:rFonts w:hint="eastAsia" w:ascii="宋体" w:hAnsi="宋体" w:cs="宋体"/>
                <w:kern w:val="0"/>
                <w:sz w:val="24"/>
                <w:lang w:bidi="ar"/>
              </w:rPr>
              <w:t>专业服务器设备证书</w:t>
            </w:r>
          </w:p>
        </w:tc>
        <w:tc>
          <w:tcPr>
            <w:tcW w:w="3258" w:type="dxa"/>
            <w:tcBorders>
              <w:top w:val="single" w:color="000000" w:sz="4" w:space="0"/>
              <w:left w:val="single" w:color="000000" w:sz="4" w:space="0"/>
              <w:bottom w:val="single" w:color="000000" w:sz="4" w:space="0"/>
              <w:right w:val="single" w:color="000000" w:sz="4" w:space="0"/>
            </w:tcBorders>
            <w:vAlign w:val="center"/>
          </w:tcPr>
          <w:p w14:paraId="547C3775">
            <w:pPr>
              <w:widowControl/>
              <w:jc w:val="center"/>
              <w:textAlignment w:val="center"/>
              <w:rPr>
                <w:rFonts w:hint="eastAsia" w:ascii="宋体" w:hAnsi="宋体" w:cs="宋体"/>
                <w:sz w:val="24"/>
              </w:rPr>
            </w:pPr>
            <w:r>
              <w:rPr>
                <w:rFonts w:hint="eastAsia" w:ascii="宋体" w:hAnsi="宋体" w:cs="宋体"/>
                <w:kern w:val="0"/>
                <w:sz w:val="24"/>
                <w:lang w:bidi="ar"/>
              </w:rPr>
              <w:t>标识CA服务器设备网上身份，（1年）</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3C68545A">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0978DA2A">
            <w:pPr>
              <w:widowControl/>
              <w:jc w:val="center"/>
              <w:textAlignment w:val="center"/>
              <w:rPr>
                <w:rFonts w:hint="eastAsia" w:ascii="宋体" w:hAnsi="宋体" w:cs="宋体"/>
                <w:sz w:val="24"/>
              </w:rPr>
            </w:pPr>
            <w:r>
              <w:rPr>
                <w:rFonts w:hint="eastAsia" w:ascii="宋体" w:hAnsi="宋体" w:cs="宋体"/>
                <w:kern w:val="0"/>
                <w:sz w:val="24"/>
                <w:lang w:bidi="ar"/>
              </w:rPr>
              <w:t>张</w:t>
            </w:r>
          </w:p>
        </w:tc>
        <w:tc>
          <w:tcPr>
            <w:tcW w:w="1369" w:type="dxa"/>
            <w:tcBorders>
              <w:top w:val="single" w:color="000000" w:sz="4" w:space="0"/>
              <w:left w:val="single" w:color="000000" w:sz="4" w:space="0"/>
              <w:bottom w:val="single" w:color="000000" w:sz="4" w:space="0"/>
              <w:right w:val="single" w:color="000000" w:sz="4" w:space="0"/>
            </w:tcBorders>
            <w:vAlign w:val="center"/>
          </w:tcPr>
          <w:p w14:paraId="7C562C16">
            <w:pPr>
              <w:jc w:val="center"/>
              <w:rPr>
                <w:rFonts w:hint="eastAsia" w:ascii="宋体" w:hAnsi="宋体" w:cs="宋体"/>
                <w:sz w:val="24"/>
              </w:rPr>
            </w:pPr>
          </w:p>
        </w:tc>
      </w:tr>
      <w:tr w14:paraId="283A6332">
        <w:tblPrEx>
          <w:tblCellMar>
            <w:top w:w="0" w:type="dxa"/>
            <w:left w:w="108" w:type="dxa"/>
            <w:bottom w:w="0" w:type="dxa"/>
            <w:right w:w="108" w:type="dxa"/>
          </w:tblCellMar>
        </w:tblPrEx>
        <w:trPr>
          <w:trHeight w:val="3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6AB1F743">
            <w:pPr>
              <w:widowControl/>
              <w:jc w:val="left"/>
              <w:textAlignment w:val="center"/>
              <w:rPr>
                <w:rFonts w:hint="eastAsia" w:ascii="宋体" w:hAnsi="宋体" w:cs="宋体"/>
                <w:b/>
                <w:bCs/>
                <w:sz w:val="24"/>
              </w:rPr>
            </w:pPr>
            <w:r>
              <w:rPr>
                <w:rFonts w:hint="eastAsia" w:ascii="宋体" w:hAnsi="宋体" w:cs="宋体"/>
                <w:b/>
                <w:bCs/>
                <w:kern w:val="0"/>
                <w:sz w:val="24"/>
                <w:lang w:bidi="ar"/>
              </w:rPr>
              <w:t>（四）、主动安全服务</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4867A2B3">
            <w:pPr>
              <w:jc w:val="left"/>
              <w:rPr>
                <w:rFonts w:hint="eastAsia" w:ascii="宋体" w:hAnsi="宋体" w:cs="宋体"/>
                <w:b/>
                <w:bCs/>
                <w:sz w:val="24"/>
              </w:rPr>
            </w:pPr>
          </w:p>
        </w:tc>
        <w:tc>
          <w:tcPr>
            <w:tcW w:w="3258" w:type="dxa"/>
            <w:tcBorders>
              <w:top w:val="single" w:color="000000" w:sz="4" w:space="0"/>
              <w:left w:val="single" w:color="000000" w:sz="4" w:space="0"/>
              <w:bottom w:val="single" w:color="000000" w:sz="4" w:space="0"/>
              <w:right w:val="single" w:color="000000" w:sz="4" w:space="0"/>
            </w:tcBorders>
            <w:noWrap/>
            <w:vAlign w:val="center"/>
          </w:tcPr>
          <w:p w14:paraId="4AD9934E">
            <w:pPr>
              <w:jc w:val="left"/>
              <w:rPr>
                <w:rFonts w:hint="eastAsia" w:ascii="宋体" w:hAnsi="宋体" w:cs="宋体"/>
                <w:b/>
                <w:bCs/>
                <w:sz w:val="24"/>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17F4EEDB">
            <w:pPr>
              <w:jc w:val="left"/>
              <w:rPr>
                <w:rFonts w:hint="eastAsia" w:ascii="宋体" w:hAnsi="宋体" w:cs="宋体"/>
                <w:b/>
                <w:bCs/>
                <w:sz w:val="24"/>
              </w:rPr>
            </w:pP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2A7C0108">
            <w:pPr>
              <w:widowControl/>
              <w:jc w:val="center"/>
              <w:textAlignment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2404F98">
            <w:pPr>
              <w:rPr>
                <w:rFonts w:hint="eastAsia" w:ascii="宋体" w:hAnsi="宋体" w:cs="宋体"/>
                <w:b/>
                <w:bCs/>
                <w:sz w:val="24"/>
              </w:rPr>
            </w:pPr>
          </w:p>
        </w:tc>
      </w:tr>
      <w:tr w14:paraId="32B22F88">
        <w:tblPrEx>
          <w:tblCellMar>
            <w:top w:w="0" w:type="dxa"/>
            <w:left w:w="108" w:type="dxa"/>
            <w:bottom w:w="0" w:type="dxa"/>
            <w:right w:w="108" w:type="dxa"/>
          </w:tblCellMar>
        </w:tblPrEx>
        <w:trPr>
          <w:trHeight w:val="116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62FC3B12">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01730D71">
            <w:pPr>
              <w:widowControl/>
              <w:jc w:val="center"/>
              <w:textAlignment w:val="center"/>
              <w:rPr>
                <w:rFonts w:hint="eastAsia" w:ascii="宋体" w:hAnsi="宋体" w:cs="宋体"/>
                <w:sz w:val="24"/>
              </w:rPr>
            </w:pPr>
            <w:r>
              <w:rPr>
                <w:rFonts w:hint="eastAsia" w:ascii="宋体" w:hAnsi="宋体" w:cs="宋体"/>
                <w:kern w:val="0"/>
                <w:sz w:val="24"/>
                <w:lang w:bidi="ar"/>
              </w:rPr>
              <w:t>渗透测试</w:t>
            </w:r>
          </w:p>
        </w:tc>
        <w:tc>
          <w:tcPr>
            <w:tcW w:w="3258" w:type="dxa"/>
            <w:tcBorders>
              <w:top w:val="single" w:color="000000" w:sz="4" w:space="0"/>
              <w:left w:val="single" w:color="000000" w:sz="4" w:space="0"/>
              <w:bottom w:val="single" w:color="000000" w:sz="4" w:space="0"/>
              <w:right w:val="single" w:color="000000" w:sz="4" w:space="0"/>
            </w:tcBorders>
            <w:vAlign w:val="center"/>
          </w:tcPr>
          <w:p w14:paraId="35D74ABE">
            <w:pPr>
              <w:widowControl/>
              <w:jc w:val="left"/>
              <w:textAlignment w:val="center"/>
              <w:rPr>
                <w:rFonts w:hint="eastAsia" w:ascii="宋体" w:hAnsi="宋体" w:cs="宋体"/>
                <w:sz w:val="24"/>
              </w:rPr>
            </w:pPr>
            <w:r>
              <w:rPr>
                <w:rFonts w:hint="eastAsia" w:ascii="宋体" w:hAnsi="宋体" w:cs="宋体"/>
                <w:kern w:val="0"/>
                <w:sz w:val="24"/>
                <w:lang w:bidi="ar"/>
              </w:rPr>
              <w:t>在业务系统上线前及每年定期（每半年），由资深渗透测试工程师通过人工+工具的方式，模拟真实黑客攻击，从不同接入点对系统进行深度测试，挖掘潜在安全风险。每年2次。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1F5B38B0">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099A78D4">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61A1C09">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754B5F44">
        <w:tblPrEx>
          <w:tblCellMar>
            <w:top w:w="0" w:type="dxa"/>
            <w:left w:w="108" w:type="dxa"/>
            <w:bottom w:w="0" w:type="dxa"/>
            <w:right w:w="108" w:type="dxa"/>
          </w:tblCellMar>
        </w:tblPrEx>
        <w:trPr>
          <w:trHeight w:val="108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78D638F6">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4D543D49">
            <w:pPr>
              <w:widowControl/>
              <w:jc w:val="center"/>
              <w:textAlignment w:val="center"/>
              <w:rPr>
                <w:rFonts w:hint="eastAsia" w:ascii="宋体" w:hAnsi="宋体" w:cs="宋体"/>
                <w:sz w:val="24"/>
              </w:rPr>
            </w:pPr>
            <w:r>
              <w:rPr>
                <w:rFonts w:hint="eastAsia" w:ascii="宋体" w:hAnsi="宋体" w:cs="宋体"/>
                <w:kern w:val="0"/>
                <w:sz w:val="24"/>
                <w:lang w:bidi="ar"/>
              </w:rPr>
              <w:t>漏洞扫描</w:t>
            </w:r>
          </w:p>
        </w:tc>
        <w:tc>
          <w:tcPr>
            <w:tcW w:w="3258" w:type="dxa"/>
            <w:tcBorders>
              <w:top w:val="single" w:color="000000" w:sz="4" w:space="0"/>
              <w:left w:val="single" w:color="000000" w:sz="4" w:space="0"/>
              <w:bottom w:val="single" w:color="000000" w:sz="4" w:space="0"/>
              <w:right w:val="single" w:color="000000" w:sz="4" w:space="0"/>
            </w:tcBorders>
            <w:vAlign w:val="center"/>
          </w:tcPr>
          <w:p w14:paraId="33C0068B">
            <w:pPr>
              <w:widowControl/>
              <w:jc w:val="left"/>
              <w:textAlignment w:val="center"/>
              <w:rPr>
                <w:rFonts w:hint="eastAsia" w:ascii="宋体" w:hAnsi="宋体" w:cs="宋体"/>
                <w:sz w:val="24"/>
              </w:rPr>
            </w:pPr>
            <w:r>
              <w:rPr>
                <w:rFonts w:hint="eastAsia" w:ascii="宋体" w:hAnsi="宋体" w:cs="宋体"/>
                <w:kern w:val="0"/>
                <w:sz w:val="24"/>
                <w:lang w:bidi="ar"/>
              </w:rPr>
              <w:t>每季度对业务系统的应用、服务器、网络设备等进行脆弱性扫描，并对扫描出的高、中危漏洞进行人工核查与分析，出具详细的漏洞分析报告。每季度1次。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8C7C0FC">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243701E">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031104F">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00BF8F58">
        <w:tblPrEx>
          <w:tblCellMar>
            <w:top w:w="0" w:type="dxa"/>
            <w:left w:w="108" w:type="dxa"/>
            <w:bottom w:w="0" w:type="dxa"/>
            <w:right w:w="108" w:type="dxa"/>
          </w:tblCellMar>
        </w:tblPrEx>
        <w:trPr>
          <w:trHeight w:val="130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6792B93A">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02D8C229">
            <w:pPr>
              <w:widowControl/>
              <w:jc w:val="center"/>
              <w:textAlignment w:val="center"/>
              <w:rPr>
                <w:rFonts w:hint="eastAsia" w:ascii="宋体" w:hAnsi="宋体" w:cs="宋体"/>
                <w:sz w:val="24"/>
              </w:rPr>
            </w:pPr>
            <w:r>
              <w:rPr>
                <w:rFonts w:hint="eastAsia" w:ascii="宋体" w:hAnsi="宋体" w:cs="宋体"/>
                <w:kern w:val="0"/>
                <w:sz w:val="24"/>
                <w:lang w:bidi="ar"/>
              </w:rPr>
              <w:t>供应链安全检测</w:t>
            </w:r>
          </w:p>
        </w:tc>
        <w:tc>
          <w:tcPr>
            <w:tcW w:w="3258" w:type="dxa"/>
            <w:tcBorders>
              <w:top w:val="single" w:color="000000" w:sz="4" w:space="0"/>
              <w:left w:val="single" w:color="000000" w:sz="4" w:space="0"/>
              <w:bottom w:val="single" w:color="000000" w:sz="4" w:space="0"/>
              <w:right w:val="single" w:color="000000" w:sz="4" w:space="0"/>
            </w:tcBorders>
            <w:vAlign w:val="center"/>
          </w:tcPr>
          <w:p w14:paraId="509D5B70">
            <w:pPr>
              <w:widowControl/>
              <w:jc w:val="left"/>
              <w:textAlignment w:val="center"/>
              <w:rPr>
                <w:rFonts w:hint="eastAsia" w:ascii="宋体" w:hAnsi="宋体" w:cs="宋体"/>
                <w:sz w:val="24"/>
              </w:rPr>
            </w:pPr>
            <w:r>
              <w:rPr>
                <w:rFonts w:hint="eastAsia" w:ascii="宋体" w:hAnsi="宋体" w:cs="宋体"/>
                <w:kern w:val="0"/>
                <w:sz w:val="24"/>
                <w:lang w:bidi="ar"/>
              </w:rPr>
              <w:t>对业务系统中使用的关键第三方软件/组件，通过软件成分分析（SCA）、二进制分析、动态/静态应用安全测试（DAST/SAST）等手段，分析其开源组件安全风险、后门风险、源代码安全风险等。</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3FC9A88A">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653803D">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C6B704A">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7CF9C514">
        <w:tblPrEx>
          <w:tblCellMar>
            <w:top w:w="0" w:type="dxa"/>
            <w:left w:w="108" w:type="dxa"/>
            <w:bottom w:w="0" w:type="dxa"/>
            <w:right w:w="108" w:type="dxa"/>
          </w:tblCellMar>
        </w:tblPrEx>
        <w:trPr>
          <w:trHeight w:val="142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4FEAC8E2">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7D295C7E">
            <w:pPr>
              <w:widowControl/>
              <w:jc w:val="center"/>
              <w:textAlignment w:val="center"/>
              <w:rPr>
                <w:rFonts w:hint="eastAsia" w:ascii="宋体" w:hAnsi="宋体" w:cs="宋体"/>
                <w:sz w:val="24"/>
              </w:rPr>
            </w:pPr>
            <w:r>
              <w:rPr>
                <w:rFonts w:hint="eastAsia" w:ascii="宋体" w:hAnsi="宋体" w:cs="宋体"/>
                <w:kern w:val="0"/>
                <w:sz w:val="24"/>
                <w:lang w:bidi="ar"/>
              </w:rPr>
              <w:t>风险评估</w:t>
            </w:r>
          </w:p>
        </w:tc>
        <w:tc>
          <w:tcPr>
            <w:tcW w:w="3258" w:type="dxa"/>
            <w:tcBorders>
              <w:top w:val="single" w:color="000000" w:sz="4" w:space="0"/>
              <w:left w:val="single" w:color="000000" w:sz="4" w:space="0"/>
              <w:bottom w:val="single" w:color="000000" w:sz="4" w:space="0"/>
              <w:right w:val="single" w:color="000000" w:sz="4" w:space="0"/>
            </w:tcBorders>
            <w:vAlign w:val="center"/>
          </w:tcPr>
          <w:p w14:paraId="36CE43A3">
            <w:pPr>
              <w:widowControl/>
              <w:jc w:val="left"/>
              <w:textAlignment w:val="center"/>
              <w:rPr>
                <w:rFonts w:hint="eastAsia" w:ascii="宋体" w:hAnsi="宋体" w:cs="宋体"/>
                <w:sz w:val="24"/>
              </w:rPr>
            </w:pPr>
            <w:r>
              <w:rPr>
                <w:rFonts w:hint="eastAsia" w:ascii="宋体" w:hAnsi="宋体" w:cs="宋体"/>
                <w:kern w:val="0"/>
                <w:sz w:val="24"/>
                <w:lang w:bidi="ar"/>
              </w:rPr>
              <w:t>对业务系统开展全面的风险评估，包括资产统计、威胁分析、脆弱性核查、安全措施评估、风险计算等，并提出针对性的安全整改建议，形成《风险评估报告》。每年1次。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2205936B">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4AF5231F">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9513F65">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0A390C5C">
        <w:tblPrEx>
          <w:tblCellMar>
            <w:top w:w="0" w:type="dxa"/>
            <w:left w:w="108" w:type="dxa"/>
            <w:bottom w:w="0" w:type="dxa"/>
            <w:right w:w="108" w:type="dxa"/>
          </w:tblCellMar>
        </w:tblPrEx>
        <w:trPr>
          <w:trHeight w:val="132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150A83BC">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4F6C7353">
            <w:pPr>
              <w:widowControl/>
              <w:jc w:val="center"/>
              <w:textAlignment w:val="center"/>
              <w:rPr>
                <w:rFonts w:hint="eastAsia" w:ascii="宋体" w:hAnsi="宋体" w:cs="宋体"/>
                <w:sz w:val="24"/>
              </w:rPr>
            </w:pPr>
            <w:r>
              <w:rPr>
                <w:rFonts w:hint="eastAsia" w:ascii="宋体" w:hAnsi="宋体" w:cs="宋体"/>
                <w:kern w:val="0"/>
                <w:sz w:val="24"/>
                <w:lang w:bidi="ar"/>
              </w:rPr>
              <w:t>应急演练</w:t>
            </w:r>
          </w:p>
        </w:tc>
        <w:tc>
          <w:tcPr>
            <w:tcW w:w="3258" w:type="dxa"/>
            <w:tcBorders>
              <w:top w:val="single" w:color="000000" w:sz="4" w:space="0"/>
              <w:left w:val="single" w:color="000000" w:sz="4" w:space="0"/>
              <w:bottom w:val="single" w:color="000000" w:sz="4" w:space="0"/>
              <w:right w:val="single" w:color="000000" w:sz="4" w:space="0"/>
            </w:tcBorders>
            <w:vAlign w:val="center"/>
          </w:tcPr>
          <w:p w14:paraId="0E91218E">
            <w:pPr>
              <w:widowControl/>
              <w:jc w:val="left"/>
              <w:textAlignment w:val="center"/>
              <w:rPr>
                <w:rFonts w:hint="eastAsia" w:ascii="宋体" w:hAnsi="宋体" w:cs="宋体"/>
                <w:sz w:val="24"/>
              </w:rPr>
            </w:pPr>
            <w:r>
              <w:rPr>
                <w:rFonts w:hint="eastAsia" w:ascii="宋体" w:hAnsi="宋体" w:cs="宋体"/>
                <w:kern w:val="0"/>
                <w:sz w:val="24"/>
                <w:lang w:bidi="ar"/>
              </w:rPr>
              <w:t>根据业务系统实际情况，制定信息安全应急演练预案，并组织一次有计划、受控制的实战化或桌面推演演练。演练后出具总结报告，评估演练效果，提出改进建议。每年1次。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70C0F55D">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3591D424">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6843D86">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318DD0FA">
        <w:tblPrEx>
          <w:tblCellMar>
            <w:top w:w="0" w:type="dxa"/>
            <w:left w:w="108" w:type="dxa"/>
            <w:bottom w:w="0" w:type="dxa"/>
            <w:right w:w="108" w:type="dxa"/>
          </w:tblCellMar>
        </w:tblPrEx>
        <w:trPr>
          <w:trHeight w:val="102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499BCE42">
            <w:pPr>
              <w:widowControl/>
              <w:jc w:val="center"/>
              <w:textAlignment w:val="center"/>
              <w:rPr>
                <w:rFonts w:hint="eastAsia" w:ascii="宋体" w:hAnsi="宋体" w:cs="宋体"/>
                <w:sz w:val="24"/>
              </w:rPr>
            </w:pPr>
            <w:r>
              <w:rPr>
                <w:rFonts w:hint="eastAsia" w:ascii="宋体" w:hAnsi="宋体" w:cs="宋体"/>
                <w:kern w:val="0"/>
                <w:sz w:val="24"/>
                <w:lang w:bidi="ar"/>
              </w:rPr>
              <w:t>6</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79449396">
            <w:pPr>
              <w:widowControl/>
              <w:jc w:val="center"/>
              <w:textAlignment w:val="center"/>
              <w:rPr>
                <w:rFonts w:hint="eastAsia" w:ascii="宋体" w:hAnsi="宋体" w:cs="宋体"/>
                <w:sz w:val="24"/>
              </w:rPr>
            </w:pPr>
            <w:r>
              <w:rPr>
                <w:rFonts w:hint="eastAsia" w:ascii="宋体" w:hAnsi="宋体" w:cs="宋体"/>
                <w:kern w:val="0"/>
                <w:sz w:val="24"/>
                <w:lang w:bidi="ar"/>
              </w:rPr>
              <w:t>日志分析与异常检测</w:t>
            </w:r>
          </w:p>
        </w:tc>
        <w:tc>
          <w:tcPr>
            <w:tcW w:w="3258" w:type="dxa"/>
            <w:tcBorders>
              <w:top w:val="single" w:color="000000" w:sz="4" w:space="0"/>
              <w:left w:val="single" w:color="000000" w:sz="4" w:space="0"/>
              <w:bottom w:val="single" w:color="000000" w:sz="4" w:space="0"/>
              <w:right w:val="single" w:color="000000" w:sz="4" w:space="0"/>
            </w:tcBorders>
            <w:vAlign w:val="center"/>
          </w:tcPr>
          <w:p w14:paraId="56DEEAFC">
            <w:pPr>
              <w:widowControl/>
              <w:jc w:val="left"/>
              <w:textAlignment w:val="center"/>
              <w:rPr>
                <w:rFonts w:hint="eastAsia" w:ascii="宋体" w:hAnsi="宋体" w:cs="宋体"/>
                <w:sz w:val="24"/>
              </w:rPr>
            </w:pPr>
            <w:r>
              <w:rPr>
                <w:rFonts w:hint="eastAsia" w:ascii="宋体" w:hAnsi="宋体" w:cs="宋体"/>
                <w:kern w:val="0"/>
                <w:sz w:val="24"/>
                <w:lang w:bidi="ar"/>
              </w:rPr>
              <w:t>由中级及以上实施工程师对安全设备（防火墙、IDS/IPS等）的攻击告警日志、系统审计日志进行深度分析，通过交叉分析发现潜在攻击。每月1次。</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40E9AB60">
            <w:pPr>
              <w:widowControl/>
              <w:jc w:val="center"/>
              <w:textAlignment w:val="center"/>
              <w:rPr>
                <w:rFonts w:hint="eastAsia" w:ascii="宋体" w:hAnsi="宋体" w:cs="宋体"/>
                <w:sz w:val="24"/>
              </w:rPr>
            </w:pPr>
            <w:r>
              <w:rPr>
                <w:rFonts w:hint="eastAsia" w:ascii="宋体" w:hAnsi="宋体" w:cs="宋体"/>
                <w:kern w:val="0"/>
                <w:sz w:val="24"/>
                <w:lang w:bidi="ar"/>
              </w:rPr>
              <w:t>12</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5F6055F1">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DCDF71D">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3B95E139">
        <w:tblPrEx>
          <w:tblCellMar>
            <w:top w:w="0" w:type="dxa"/>
            <w:left w:w="108" w:type="dxa"/>
            <w:bottom w:w="0" w:type="dxa"/>
            <w:right w:w="108" w:type="dxa"/>
          </w:tblCellMar>
        </w:tblPrEx>
        <w:trPr>
          <w:trHeight w:val="360" w:hRule="atLeast"/>
        </w:trPr>
        <w:tc>
          <w:tcPr>
            <w:tcW w:w="11215" w:type="dxa"/>
            <w:gridSpan w:val="5"/>
            <w:tcBorders>
              <w:top w:val="single" w:color="000000" w:sz="4" w:space="0"/>
              <w:left w:val="single" w:color="000000" w:sz="4" w:space="0"/>
              <w:bottom w:val="single" w:color="000000" w:sz="4" w:space="0"/>
              <w:right w:val="single" w:color="000000" w:sz="4" w:space="0"/>
            </w:tcBorders>
            <w:noWrap/>
            <w:vAlign w:val="center"/>
          </w:tcPr>
          <w:p w14:paraId="2896DE90">
            <w:pPr>
              <w:widowControl/>
              <w:jc w:val="left"/>
              <w:textAlignment w:val="center"/>
              <w:rPr>
                <w:rFonts w:hint="eastAsia" w:ascii="宋体" w:hAnsi="宋体" w:cs="宋体"/>
                <w:b/>
                <w:bCs/>
                <w:sz w:val="24"/>
              </w:rPr>
            </w:pPr>
            <w:r>
              <w:rPr>
                <w:rFonts w:hint="eastAsia" w:ascii="宋体" w:hAnsi="宋体" w:cs="宋体"/>
                <w:b/>
                <w:bCs/>
                <w:kern w:val="0"/>
                <w:sz w:val="24"/>
                <w:lang w:bidi="ar"/>
              </w:rPr>
              <w:t>（五）、总体安全服务</w:t>
            </w:r>
          </w:p>
        </w:tc>
        <w:tc>
          <w:tcPr>
            <w:tcW w:w="1556" w:type="dxa"/>
            <w:tcBorders>
              <w:top w:val="single" w:color="000000" w:sz="4" w:space="0"/>
              <w:left w:val="single" w:color="000000" w:sz="4" w:space="0"/>
              <w:bottom w:val="single" w:color="000000" w:sz="4" w:space="0"/>
              <w:right w:val="single" w:color="000000" w:sz="4" w:space="0"/>
            </w:tcBorders>
            <w:vAlign w:val="center"/>
          </w:tcPr>
          <w:p w14:paraId="3EE508B0">
            <w:pPr>
              <w:widowControl/>
              <w:jc w:val="center"/>
              <w:textAlignment w:val="center"/>
              <w:rPr>
                <w:rFonts w:hint="eastAsia" w:ascii="宋体" w:hAnsi="宋体" w:cs="宋体"/>
                <w:b/>
                <w:bCs/>
                <w:sz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38B21A0">
            <w:pPr>
              <w:rPr>
                <w:rFonts w:hint="eastAsia" w:ascii="宋体" w:hAnsi="宋体" w:cs="宋体"/>
                <w:b/>
                <w:bCs/>
                <w:sz w:val="24"/>
              </w:rPr>
            </w:pPr>
          </w:p>
        </w:tc>
      </w:tr>
      <w:tr w14:paraId="3413DDAA">
        <w:tblPrEx>
          <w:tblCellMar>
            <w:top w:w="0" w:type="dxa"/>
            <w:left w:w="108" w:type="dxa"/>
            <w:bottom w:w="0" w:type="dxa"/>
            <w:right w:w="108" w:type="dxa"/>
          </w:tblCellMar>
        </w:tblPrEx>
        <w:trPr>
          <w:trHeight w:val="68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7FEE2956">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6" w:type="dxa"/>
            <w:tcBorders>
              <w:top w:val="single" w:color="000000" w:sz="4" w:space="0"/>
              <w:left w:val="single" w:color="000000" w:sz="4" w:space="0"/>
              <w:bottom w:val="single" w:color="000000" w:sz="4" w:space="0"/>
              <w:right w:val="single" w:color="000000" w:sz="4" w:space="0"/>
            </w:tcBorders>
            <w:noWrap/>
            <w:vAlign w:val="center"/>
          </w:tcPr>
          <w:p w14:paraId="6EB4BC14">
            <w:pPr>
              <w:widowControl/>
              <w:jc w:val="center"/>
              <w:textAlignment w:val="center"/>
              <w:rPr>
                <w:rFonts w:hint="eastAsia" w:ascii="宋体" w:hAnsi="宋体" w:cs="宋体"/>
                <w:sz w:val="24"/>
              </w:rPr>
            </w:pPr>
            <w:r>
              <w:rPr>
                <w:rFonts w:hint="eastAsia" w:ascii="宋体" w:hAnsi="宋体" w:cs="宋体"/>
                <w:kern w:val="0"/>
                <w:sz w:val="24"/>
                <w:lang w:bidi="ar"/>
              </w:rPr>
              <w:t>三级等保测评</w:t>
            </w:r>
          </w:p>
        </w:tc>
        <w:tc>
          <w:tcPr>
            <w:tcW w:w="3258" w:type="dxa"/>
            <w:tcBorders>
              <w:top w:val="single" w:color="000000" w:sz="4" w:space="0"/>
              <w:left w:val="single" w:color="000000" w:sz="4" w:space="0"/>
              <w:bottom w:val="single" w:color="000000" w:sz="4" w:space="0"/>
              <w:right w:val="single" w:color="000000" w:sz="4" w:space="0"/>
            </w:tcBorders>
            <w:vAlign w:val="center"/>
          </w:tcPr>
          <w:p w14:paraId="26A04494">
            <w:pPr>
              <w:widowControl/>
              <w:jc w:val="center"/>
              <w:textAlignment w:val="center"/>
              <w:rPr>
                <w:rFonts w:hint="eastAsia" w:ascii="宋体" w:hAnsi="宋体" w:cs="宋体"/>
                <w:sz w:val="24"/>
              </w:rPr>
            </w:pPr>
            <w:r>
              <w:rPr>
                <w:rFonts w:hint="eastAsia" w:ascii="宋体" w:hAnsi="宋体" w:cs="宋体"/>
                <w:kern w:val="0"/>
                <w:sz w:val="24"/>
                <w:lang w:bidi="ar"/>
              </w:rPr>
              <w:t>完成《信息安全等级保护》第三级测评工作，每年提供相关测评报告。</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D73983C">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06A43807">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5060C54">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r w14:paraId="13D1E30B">
        <w:tblPrEx>
          <w:tblCellMar>
            <w:top w:w="0" w:type="dxa"/>
            <w:left w:w="108" w:type="dxa"/>
            <w:bottom w:w="0" w:type="dxa"/>
            <w:right w:w="108" w:type="dxa"/>
          </w:tblCellMar>
        </w:tblPrEx>
        <w:trPr>
          <w:trHeight w:val="740" w:hRule="atLeast"/>
        </w:trPr>
        <w:tc>
          <w:tcPr>
            <w:tcW w:w="2626" w:type="dxa"/>
            <w:tcBorders>
              <w:top w:val="single" w:color="000000" w:sz="4" w:space="0"/>
              <w:left w:val="single" w:color="000000" w:sz="4" w:space="0"/>
              <w:bottom w:val="single" w:color="000000" w:sz="4" w:space="0"/>
              <w:right w:val="single" w:color="000000" w:sz="4" w:space="0"/>
            </w:tcBorders>
            <w:noWrap/>
            <w:vAlign w:val="center"/>
          </w:tcPr>
          <w:p w14:paraId="792B92DA">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856" w:type="dxa"/>
            <w:tcBorders>
              <w:top w:val="single" w:color="000000" w:sz="4" w:space="0"/>
              <w:left w:val="single" w:color="000000" w:sz="4" w:space="0"/>
              <w:bottom w:val="single" w:color="000000" w:sz="4" w:space="0"/>
              <w:right w:val="single" w:color="000000" w:sz="4" w:space="0"/>
            </w:tcBorders>
            <w:vAlign w:val="center"/>
          </w:tcPr>
          <w:p w14:paraId="17ADBC12">
            <w:pPr>
              <w:widowControl/>
              <w:jc w:val="center"/>
              <w:textAlignment w:val="center"/>
              <w:rPr>
                <w:rFonts w:hint="eastAsia" w:ascii="宋体" w:hAnsi="宋体" w:cs="宋体"/>
                <w:sz w:val="24"/>
              </w:rPr>
            </w:pPr>
            <w:r>
              <w:rPr>
                <w:rFonts w:hint="eastAsia" w:ascii="宋体" w:hAnsi="宋体" w:cs="宋体"/>
                <w:kern w:val="0"/>
                <w:sz w:val="24"/>
                <w:lang w:bidi="ar"/>
              </w:rPr>
              <w:t>商用密码应用安全性评估测评</w:t>
            </w:r>
          </w:p>
        </w:tc>
        <w:tc>
          <w:tcPr>
            <w:tcW w:w="3258" w:type="dxa"/>
            <w:tcBorders>
              <w:top w:val="single" w:color="000000" w:sz="4" w:space="0"/>
              <w:left w:val="single" w:color="000000" w:sz="4" w:space="0"/>
              <w:bottom w:val="single" w:color="000000" w:sz="4" w:space="0"/>
              <w:right w:val="single" w:color="000000" w:sz="4" w:space="0"/>
            </w:tcBorders>
            <w:vAlign w:val="center"/>
          </w:tcPr>
          <w:p w14:paraId="7F14B037">
            <w:pPr>
              <w:widowControl/>
              <w:jc w:val="center"/>
              <w:textAlignment w:val="center"/>
              <w:rPr>
                <w:rFonts w:hint="eastAsia" w:ascii="宋体" w:hAnsi="宋体" w:cs="宋体"/>
                <w:sz w:val="24"/>
              </w:rPr>
            </w:pPr>
            <w:r>
              <w:rPr>
                <w:rFonts w:hint="eastAsia" w:ascii="宋体" w:hAnsi="宋体" w:cs="宋体"/>
                <w:kern w:val="0"/>
                <w:sz w:val="24"/>
                <w:lang w:bidi="ar"/>
              </w:rPr>
              <w:t>完成《商用密码应用安全性评估》第三级测评工作，每年提供相关测评报告。</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57B9183A">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850" w:type="dxa"/>
            <w:gridSpan w:val="2"/>
            <w:tcBorders>
              <w:top w:val="single" w:color="000000" w:sz="4" w:space="0"/>
              <w:left w:val="single" w:color="000000" w:sz="4" w:space="0"/>
              <w:bottom w:val="single" w:color="000000" w:sz="4" w:space="0"/>
              <w:right w:val="single" w:color="000000" w:sz="4" w:space="0"/>
            </w:tcBorders>
            <w:noWrap/>
            <w:vAlign w:val="center"/>
          </w:tcPr>
          <w:p w14:paraId="72E358C9">
            <w:pPr>
              <w:widowControl/>
              <w:jc w:val="center"/>
              <w:textAlignment w:val="center"/>
              <w:rPr>
                <w:rFonts w:hint="eastAsia" w:ascii="宋体" w:hAnsi="宋体" w:cs="宋体"/>
                <w:sz w:val="24"/>
              </w:rPr>
            </w:pPr>
            <w:r>
              <w:rPr>
                <w:rFonts w:hint="eastAsia" w:ascii="宋体" w:hAnsi="宋体" w:cs="宋体"/>
                <w:kern w:val="0"/>
                <w:sz w:val="24"/>
                <w:lang w:bidi="ar"/>
              </w:rPr>
              <w:t>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6D2108E">
            <w:pPr>
              <w:widowControl/>
              <w:jc w:val="center"/>
              <w:textAlignment w:val="center"/>
              <w:rPr>
                <w:rFonts w:hint="eastAsia" w:ascii="宋体" w:hAnsi="宋体" w:cs="宋体"/>
                <w:sz w:val="24"/>
              </w:rPr>
            </w:pPr>
            <w:r>
              <w:rPr>
                <w:rFonts w:hint="eastAsia" w:ascii="宋体" w:hAnsi="宋体" w:cs="宋体"/>
                <w:kern w:val="0"/>
                <w:sz w:val="24"/>
                <w:lang w:bidi="ar"/>
              </w:rPr>
              <w:t>3年服务</w:t>
            </w:r>
          </w:p>
        </w:tc>
      </w:tr>
    </w:tbl>
    <w:p w14:paraId="75FFCD19">
      <w:pPr>
        <w:pStyle w:val="20"/>
        <w:ind w:left="429"/>
      </w:pPr>
    </w:p>
    <w:p w14:paraId="716C2972">
      <w:pPr>
        <w:pStyle w:val="20"/>
        <w:ind w:left="429"/>
      </w:pPr>
    </w:p>
    <w:tbl>
      <w:tblPr>
        <w:tblStyle w:val="39"/>
        <w:tblpPr w:leftFromText="180" w:rightFromText="180" w:vertAnchor="text" w:horzAnchor="page" w:tblpX="1251" w:tblpY="881"/>
        <w:tblOverlap w:val="never"/>
        <w:tblW w:w="1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22"/>
        <w:gridCol w:w="1025"/>
        <w:gridCol w:w="6939"/>
        <w:gridCol w:w="1548"/>
        <w:gridCol w:w="1122"/>
        <w:gridCol w:w="842"/>
        <w:gridCol w:w="1585"/>
      </w:tblGrid>
      <w:tr w14:paraId="6943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822" w:type="dxa"/>
            <w:shd w:val="clear" w:color="auto" w:fill="FFFFFF"/>
            <w:noWrap/>
            <w:vAlign w:val="center"/>
          </w:tcPr>
          <w:p w14:paraId="5D7EF3DF">
            <w:pPr>
              <w:snapToGrid w:val="0"/>
              <w:jc w:val="center"/>
              <w:rPr>
                <w:rFonts w:hint="eastAsia" w:ascii="宋体" w:hAnsi="宋体" w:cs="宋体"/>
                <w:sz w:val="24"/>
              </w:rPr>
            </w:pPr>
            <w:r>
              <w:rPr>
                <w:rFonts w:hint="eastAsia" w:ascii="宋体" w:hAnsi="宋体" w:cs="宋体"/>
                <w:sz w:val="24"/>
              </w:rPr>
              <w:t>序号</w:t>
            </w:r>
          </w:p>
        </w:tc>
        <w:tc>
          <w:tcPr>
            <w:tcW w:w="1025" w:type="dxa"/>
            <w:shd w:val="clear" w:color="auto" w:fill="FFFFFF"/>
            <w:noWrap/>
            <w:vAlign w:val="center"/>
          </w:tcPr>
          <w:p w14:paraId="6A5E9CC8">
            <w:pPr>
              <w:snapToGrid w:val="0"/>
              <w:jc w:val="center"/>
              <w:rPr>
                <w:rFonts w:hint="eastAsia" w:ascii="宋体" w:hAnsi="宋体" w:cs="宋体"/>
                <w:sz w:val="24"/>
              </w:rPr>
            </w:pPr>
            <w:r>
              <w:rPr>
                <w:rFonts w:hint="eastAsia" w:ascii="宋体" w:hAnsi="宋体" w:cs="宋体"/>
                <w:sz w:val="24"/>
              </w:rPr>
              <w:t>服务器名称</w:t>
            </w:r>
          </w:p>
        </w:tc>
        <w:tc>
          <w:tcPr>
            <w:tcW w:w="6939" w:type="dxa"/>
            <w:shd w:val="clear" w:color="auto" w:fill="FFFFFF"/>
            <w:noWrap/>
            <w:vAlign w:val="center"/>
          </w:tcPr>
          <w:p w14:paraId="4AB19EA4">
            <w:pPr>
              <w:snapToGrid w:val="0"/>
              <w:jc w:val="center"/>
              <w:rPr>
                <w:rFonts w:hint="eastAsia" w:ascii="宋体" w:hAnsi="宋体" w:cs="宋体"/>
                <w:sz w:val="24"/>
              </w:rPr>
            </w:pPr>
            <w:r>
              <w:rPr>
                <w:rFonts w:hint="eastAsia" w:ascii="宋体" w:hAnsi="宋体" w:cs="宋体"/>
                <w:sz w:val="24"/>
              </w:rPr>
              <w:t>其他需求</w:t>
            </w:r>
          </w:p>
        </w:tc>
        <w:tc>
          <w:tcPr>
            <w:tcW w:w="1548" w:type="dxa"/>
            <w:shd w:val="clear" w:color="auto" w:fill="FFFFFF"/>
            <w:noWrap/>
            <w:vAlign w:val="center"/>
          </w:tcPr>
          <w:p w14:paraId="1B1FC855">
            <w:pPr>
              <w:snapToGrid w:val="0"/>
              <w:jc w:val="center"/>
              <w:rPr>
                <w:rFonts w:hint="eastAsia" w:ascii="宋体" w:hAnsi="宋体" w:cs="宋体"/>
                <w:sz w:val="24"/>
              </w:rPr>
            </w:pPr>
            <w:r>
              <w:rPr>
                <w:rFonts w:hint="eastAsia" w:ascii="宋体" w:hAnsi="宋体" w:cs="宋体"/>
                <w:sz w:val="24"/>
              </w:rPr>
              <w:t>CPU（核）</w:t>
            </w:r>
          </w:p>
        </w:tc>
        <w:tc>
          <w:tcPr>
            <w:tcW w:w="1122" w:type="dxa"/>
            <w:shd w:val="clear" w:color="auto" w:fill="FFFFFF"/>
            <w:noWrap/>
            <w:vAlign w:val="center"/>
          </w:tcPr>
          <w:p w14:paraId="2D5514AF">
            <w:pPr>
              <w:snapToGrid w:val="0"/>
              <w:jc w:val="center"/>
              <w:rPr>
                <w:rFonts w:hint="eastAsia" w:ascii="宋体" w:hAnsi="宋体" w:cs="宋体"/>
                <w:sz w:val="24"/>
              </w:rPr>
            </w:pPr>
            <w:r>
              <w:rPr>
                <w:rFonts w:hint="eastAsia" w:ascii="宋体" w:hAnsi="宋体" w:cs="宋体"/>
                <w:sz w:val="24"/>
              </w:rPr>
              <w:t>内存(GB)</w:t>
            </w:r>
          </w:p>
        </w:tc>
        <w:tc>
          <w:tcPr>
            <w:tcW w:w="842" w:type="dxa"/>
            <w:shd w:val="clear" w:color="auto" w:fill="FFFFFF"/>
            <w:noWrap/>
            <w:vAlign w:val="center"/>
          </w:tcPr>
          <w:p w14:paraId="34075312">
            <w:pPr>
              <w:snapToGrid w:val="0"/>
              <w:jc w:val="center"/>
              <w:rPr>
                <w:rFonts w:hint="eastAsia" w:ascii="宋体" w:hAnsi="宋体" w:cs="宋体"/>
                <w:sz w:val="24"/>
              </w:rPr>
            </w:pPr>
            <w:r>
              <w:rPr>
                <w:rFonts w:hint="eastAsia" w:ascii="宋体" w:hAnsi="宋体" w:cs="宋体"/>
                <w:sz w:val="24"/>
              </w:rPr>
              <w:t>数量（台）</w:t>
            </w:r>
          </w:p>
        </w:tc>
        <w:tc>
          <w:tcPr>
            <w:tcW w:w="1585" w:type="dxa"/>
            <w:shd w:val="clear" w:color="auto" w:fill="FFFFFF"/>
            <w:noWrap/>
            <w:vAlign w:val="center"/>
          </w:tcPr>
          <w:p w14:paraId="180A96AF">
            <w:pPr>
              <w:snapToGrid w:val="0"/>
              <w:jc w:val="center"/>
              <w:rPr>
                <w:rFonts w:hint="eastAsia" w:ascii="宋体" w:hAnsi="宋体" w:cs="宋体"/>
                <w:sz w:val="24"/>
              </w:rPr>
            </w:pPr>
            <w:r>
              <w:rPr>
                <w:rFonts w:hint="eastAsia" w:ascii="宋体" w:hAnsi="宋体" w:cs="宋体"/>
                <w:sz w:val="24"/>
              </w:rPr>
              <w:t>角色和用途</w:t>
            </w:r>
          </w:p>
        </w:tc>
      </w:tr>
      <w:tr w14:paraId="0E92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22" w:type="dxa"/>
            <w:shd w:val="clear" w:color="auto" w:fill="FFFFFF"/>
            <w:noWrap/>
            <w:vAlign w:val="center"/>
          </w:tcPr>
          <w:p w14:paraId="5BB094E9">
            <w:pPr>
              <w:snapToGrid w:val="0"/>
              <w:jc w:val="center"/>
              <w:rPr>
                <w:rFonts w:hint="eastAsia" w:ascii="仿宋" w:hAnsi="仿宋" w:eastAsia="仿宋" w:cs="仿宋"/>
                <w:sz w:val="24"/>
              </w:rPr>
            </w:pPr>
          </w:p>
        </w:tc>
        <w:tc>
          <w:tcPr>
            <w:tcW w:w="1025" w:type="dxa"/>
            <w:shd w:val="clear" w:color="auto" w:fill="FFFFFF"/>
            <w:noWrap/>
            <w:vAlign w:val="center"/>
          </w:tcPr>
          <w:p w14:paraId="204D86D6">
            <w:pPr>
              <w:snapToGrid w:val="0"/>
              <w:jc w:val="center"/>
              <w:rPr>
                <w:rFonts w:hint="eastAsia" w:ascii="仿宋" w:hAnsi="仿宋" w:eastAsia="仿宋" w:cs="仿宋"/>
                <w:sz w:val="24"/>
              </w:rPr>
            </w:pPr>
            <w:r>
              <w:rPr>
                <w:rFonts w:hint="eastAsia" w:ascii="仿宋" w:hAnsi="仿宋" w:eastAsia="仿宋" w:cs="仿宋"/>
                <w:sz w:val="24"/>
              </w:rPr>
              <w:t>综合防控平台院内接口服务器</w:t>
            </w:r>
          </w:p>
        </w:tc>
        <w:tc>
          <w:tcPr>
            <w:tcW w:w="6939" w:type="dxa"/>
            <w:shd w:val="clear" w:color="auto" w:fill="FFFFFF"/>
            <w:noWrap/>
            <w:vAlign w:val="center"/>
          </w:tcPr>
          <w:p w14:paraId="593A9190">
            <w:pPr>
              <w:snapToGrid w:val="0"/>
              <w:jc w:val="left"/>
              <w:rPr>
                <w:rFonts w:hint="eastAsia" w:ascii="仿宋" w:hAnsi="仿宋" w:eastAsia="仿宋" w:cs="仿宋"/>
                <w:sz w:val="24"/>
              </w:rPr>
            </w:pPr>
            <w:r>
              <w:rPr>
                <w:rFonts w:hint="eastAsia" w:ascii="仿宋" w:hAnsi="仿宋" w:eastAsia="仿宋" w:cs="仿宋"/>
                <w:sz w:val="24"/>
              </w:rPr>
              <w:t>CPU:≥4颗 16核 2.3GHz。</w:t>
            </w:r>
          </w:p>
          <w:p w14:paraId="36EF28A4">
            <w:pPr>
              <w:snapToGrid w:val="0"/>
              <w:jc w:val="left"/>
              <w:rPr>
                <w:rFonts w:hint="eastAsia" w:ascii="仿宋" w:hAnsi="仿宋" w:eastAsia="仿宋" w:cs="仿宋"/>
                <w:sz w:val="24"/>
              </w:rPr>
            </w:pPr>
            <w:r>
              <w:rPr>
                <w:rFonts w:hint="eastAsia" w:ascii="仿宋" w:hAnsi="仿宋" w:eastAsia="仿宋" w:cs="仿宋"/>
                <w:sz w:val="24"/>
              </w:rPr>
              <w:t>主板规格：主板内存槽数量≥4；主板存储接口至少支持 SATA、SAS、M.2、U.2 等存储接口中的 1 种；PCIe 插槽接口符合 PCIe3.0 或以上的高速串行计算机扩展总线标准，PCIe 的接口速率与位宽需保证向下兼容；主板 PCIe 插槽数量及规格： 高度大于 44.45mm 双路或以上服务器 PCIe 插槽或接口应不少于 5个；单路服务器 PCIe 插槽或接口应不少于 4 个，可通过扩展卡进行插槽扩展；支持RAID 0/1/5/10;网卡:≥2个双口万兆网卡含模块;HBA:≥16GB单口HBA卡*2:</w:t>
            </w:r>
          </w:p>
          <w:p w14:paraId="0FF6E190">
            <w:pPr>
              <w:snapToGrid w:val="0"/>
              <w:jc w:val="left"/>
              <w:rPr>
                <w:rFonts w:hint="eastAsia" w:ascii="仿宋" w:hAnsi="仿宋" w:eastAsia="仿宋" w:cs="仿宋"/>
                <w:sz w:val="24"/>
              </w:rPr>
            </w:pPr>
            <w:r>
              <w:rPr>
                <w:rFonts w:hint="eastAsia" w:ascii="仿宋" w:hAnsi="仿宋" w:eastAsia="仿宋" w:cs="仿宋"/>
                <w:sz w:val="24"/>
              </w:rPr>
              <w:t>内存规格：≥512GB；≥DDR4；支持多个内存接口通道，每个通道可支持 1DPC 或 2DPC，当支持 2DPC时，印制电路板上应具备插槽的序号标识；</w:t>
            </w:r>
          </w:p>
          <w:p w14:paraId="0D381DD1">
            <w:pPr>
              <w:snapToGrid w:val="0"/>
              <w:jc w:val="left"/>
              <w:rPr>
                <w:rFonts w:hint="eastAsia" w:ascii="仿宋" w:hAnsi="仿宋" w:eastAsia="仿宋" w:cs="仿宋"/>
                <w:sz w:val="24"/>
              </w:rPr>
            </w:pPr>
            <w:r>
              <w:rPr>
                <w:rFonts w:hint="eastAsia" w:ascii="仿宋" w:hAnsi="仿宋" w:eastAsia="仿宋" w:cs="仿宋"/>
                <w:sz w:val="24"/>
              </w:rPr>
              <w:t>储存规格：:≥2块600GB热插拔硬盘;若配备硬磁盘，应提供 SAS 3.0或 SATA 3.0 及以上接口；若配备固态盘，应提供至少 1 种类型固态盘接口，如 UFS、SATA、PCIe 等。</w:t>
            </w:r>
          </w:p>
          <w:p w14:paraId="3CDC9FDC">
            <w:pPr>
              <w:snapToGrid w:val="0"/>
              <w:jc w:val="left"/>
              <w:rPr>
                <w:rFonts w:hint="eastAsia" w:ascii="仿宋" w:hAnsi="仿宋" w:eastAsia="仿宋" w:cs="仿宋"/>
                <w:sz w:val="24"/>
              </w:rPr>
            </w:pPr>
            <w:r>
              <w:rPr>
                <w:rFonts w:hint="eastAsia" w:ascii="仿宋" w:hAnsi="仿宋" w:eastAsia="仿宋" w:cs="仿宋"/>
                <w:sz w:val="24"/>
              </w:rPr>
              <w:t>网络规格：配备网口数量不少于 1 个，且网口速率不少于 1GE。</w:t>
            </w:r>
          </w:p>
          <w:p w14:paraId="76ED98F4">
            <w:pPr>
              <w:snapToGrid w:val="0"/>
              <w:jc w:val="left"/>
              <w:rPr>
                <w:rFonts w:hint="eastAsia" w:ascii="仿宋" w:hAnsi="仿宋" w:eastAsia="仿宋" w:cs="仿宋"/>
                <w:sz w:val="24"/>
              </w:rPr>
            </w:pPr>
            <w:r>
              <w:rPr>
                <w:rFonts w:hint="eastAsia" w:ascii="仿宋" w:hAnsi="仿宋" w:eastAsia="仿宋" w:cs="仿宋"/>
                <w:sz w:val="24"/>
              </w:rPr>
              <w:t>外部接口规格：显示接口类型应不少于 1 种，如：VGA、DP、HDMI 等；配备 USB 接口，如 USB2.0、USB3.0等</w:t>
            </w:r>
          </w:p>
          <w:p w14:paraId="1411C746">
            <w:pPr>
              <w:snapToGrid w:val="0"/>
              <w:jc w:val="left"/>
              <w:rPr>
                <w:rFonts w:hint="eastAsia" w:ascii="仿宋" w:hAnsi="仿宋" w:eastAsia="仿宋" w:cs="仿宋"/>
                <w:sz w:val="24"/>
              </w:rPr>
            </w:pPr>
            <w:r>
              <w:rPr>
                <w:rFonts w:hint="eastAsia" w:ascii="仿宋" w:hAnsi="仿宋" w:eastAsia="仿宋" w:cs="仿宋"/>
                <w:sz w:val="24"/>
              </w:rPr>
              <w:t>电源规格：冗余电源模块≥2块；电源功率：应有一定冗余，满足处理器满载时的需求。</w:t>
            </w:r>
          </w:p>
          <w:p w14:paraId="09167B03">
            <w:pPr>
              <w:snapToGrid w:val="0"/>
              <w:jc w:val="left"/>
              <w:rPr>
                <w:rFonts w:hint="eastAsia" w:ascii="仿宋" w:hAnsi="仿宋" w:eastAsia="仿宋" w:cs="仿宋"/>
                <w:sz w:val="24"/>
              </w:rPr>
            </w:pPr>
            <w:r>
              <w:rPr>
                <w:rFonts w:hint="eastAsia" w:ascii="仿宋" w:hAnsi="仿宋" w:eastAsia="仿宋" w:cs="仿宋"/>
                <w:sz w:val="24"/>
              </w:rPr>
              <w:t>整机规格：机架式服务器≥4U，标配原厂轨道;服务器的零部件应紧固无松动，可插拔部件应可靠连接，开关、按钮和其它控制部件应灵活可靠，布局应方便使用；产品表面不应有明显的凹痕、划伤、裂缝、变形和污染等。表面涂层均匀，不应起泡、龟裂、脱落和磨损，金属零部件无锈蚀及其它机械损伤； 产品表面说明功能的文字、符号和标志应清晰、端正且牢固； 应在服务器的显著位置提供运行状态的指示功能，并在随机文件中明确具体含义； 机架、机箱的尺寸应符合通用机柜的安装要求，插入总线插座的电路板接口外形尺寸应符合有关总线标准的规定，将机箱固定在机柜上，机箱底面最大下垂变形不得干涉相邻机体；气候环境适应性应符合 GB/T9813.3 的有关规定。机械环境适应性应符合 GB/T9813.3 的有关规定；噪声符合 GB/T 9813.3 的有关规定；</w:t>
            </w:r>
          </w:p>
          <w:p w14:paraId="3E79C681">
            <w:pPr>
              <w:snapToGrid w:val="0"/>
              <w:jc w:val="left"/>
              <w:rPr>
                <w:rFonts w:hint="eastAsia" w:ascii="仿宋" w:hAnsi="仿宋" w:eastAsia="仿宋" w:cs="仿宋"/>
                <w:sz w:val="24"/>
              </w:rPr>
            </w:pPr>
            <w:r>
              <w:rPr>
                <w:rFonts w:hint="eastAsia" w:ascii="仿宋" w:hAnsi="仿宋" w:eastAsia="仿宋" w:cs="仿宋"/>
                <w:sz w:val="24"/>
              </w:rPr>
              <w:t>服务：提供原厂质保三年。</w:t>
            </w:r>
          </w:p>
        </w:tc>
        <w:tc>
          <w:tcPr>
            <w:tcW w:w="1548" w:type="dxa"/>
            <w:shd w:val="clear" w:color="auto" w:fill="FFFFFF"/>
            <w:noWrap/>
            <w:vAlign w:val="center"/>
          </w:tcPr>
          <w:p w14:paraId="60C12757">
            <w:pPr>
              <w:snapToGrid w:val="0"/>
              <w:jc w:val="center"/>
              <w:rPr>
                <w:rFonts w:hint="eastAsia" w:ascii="仿宋" w:hAnsi="仿宋" w:eastAsia="仿宋" w:cs="仿宋"/>
                <w:sz w:val="24"/>
              </w:rPr>
            </w:pPr>
            <w:r>
              <w:rPr>
                <w:rFonts w:hint="eastAsia" w:ascii="仿宋" w:hAnsi="仿宋" w:eastAsia="仿宋" w:cs="仿宋"/>
                <w:sz w:val="24"/>
              </w:rPr>
              <w:t>≥4颗 16核 2.3GHz。</w:t>
            </w:r>
          </w:p>
          <w:p w14:paraId="6D0F24B2">
            <w:pPr>
              <w:snapToGrid w:val="0"/>
              <w:jc w:val="center"/>
              <w:rPr>
                <w:rFonts w:hint="eastAsia" w:ascii="仿宋" w:hAnsi="仿宋" w:eastAsia="仿宋" w:cs="仿宋"/>
                <w:sz w:val="24"/>
              </w:rPr>
            </w:pPr>
          </w:p>
        </w:tc>
        <w:tc>
          <w:tcPr>
            <w:tcW w:w="1122" w:type="dxa"/>
            <w:shd w:val="clear" w:color="auto" w:fill="FFFFFF"/>
            <w:noWrap/>
            <w:vAlign w:val="center"/>
          </w:tcPr>
          <w:p w14:paraId="78FFB6AC">
            <w:pPr>
              <w:snapToGrid w:val="0"/>
              <w:jc w:val="center"/>
              <w:rPr>
                <w:rFonts w:hint="eastAsia" w:ascii="仿宋" w:hAnsi="仿宋" w:eastAsia="仿宋" w:cs="仿宋"/>
                <w:sz w:val="24"/>
              </w:rPr>
            </w:pPr>
            <w:r>
              <w:rPr>
                <w:rFonts w:hint="eastAsia" w:ascii="仿宋" w:hAnsi="仿宋" w:eastAsia="仿宋" w:cs="仿宋"/>
                <w:sz w:val="24"/>
              </w:rPr>
              <w:t>内存：≥512GB；</w:t>
            </w:r>
          </w:p>
        </w:tc>
        <w:tc>
          <w:tcPr>
            <w:tcW w:w="842" w:type="dxa"/>
            <w:shd w:val="clear" w:color="auto" w:fill="FFFFFF"/>
            <w:noWrap/>
            <w:vAlign w:val="center"/>
          </w:tcPr>
          <w:p w14:paraId="050FE7FD">
            <w:pPr>
              <w:snapToGrid w:val="0"/>
              <w:jc w:val="center"/>
              <w:rPr>
                <w:rFonts w:hint="eastAsia" w:ascii="宋体" w:hAnsi="宋体" w:cs="宋体"/>
                <w:sz w:val="24"/>
              </w:rPr>
            </w:pPr>
            <w:r>
              <w:rPr>
                <w:rFonts w:hint="eastAsia" w:ascii="宋体" w:hAnsi="宋体" w:cs="宋体"/>
                <w:sz w:val="24"/>
              </w:rPr>
              <w:t>2</w:t>
            </w:r>
          </w:p>
        </w:tc>
        <w:tc>
          <w:tcPr>
            <w:tcW w:w="1585" w:type="dxa"/>
            <w:shd w:val="clear" w:color="auto" w:fill="FFFFFF"/>
            <w:noWrap/>
            <w:vAlign w:val="center"/>
          </w:tcPr>
          <w:p w14:paraId="4E437FFE">
            <w:pPr>
              <w:snapToGrid w:val="0"/>
              <w:jc w:val="left"/>
              <w:rPr>
                <w:rFonts w:hint="eastAsia" w:ascii="宋体" w:hAnsi="宋体" w:cs="宋体"/>
                <w:sz w:val="24"/>
              </w:rPr>
            </w:pPr>
            <w:r>
              <w:rPr>
                <w:rFonts w:hint="eastAsia" w:ascii="宋体" w:hAnsi="宋体" w:cs="宋体"/>
                <w:sz w:val="24"/>
              </w:rPr>
              <w:t>院内his系统与出生缺陷平台对接，需支持并入院内虚拟化服务器集群</w:t>
            </w:r>
          </w:p>
        </w:tc>
      </w:tr>
    </w:tbl>
    <w:p w14:paraId="169A65DA">
      <w:pPr>
        <w:pStyle w:val="20"/>
        <w:ind w:left="429"/>
      </w:pPr>
    </w:p>
    <w:p w14:paraId="3C4226D3">
      <w:pPr>
        <w:rPr>
          <w:rFonts w:hint="eastAsia" w:ascii="仿宋" w:hAnsi="仿宋" w:eastAsia="仿宋"/>
          <w:b/>
          <w:bCs/>
          <w:kern w:val="0"/>
          <w:szCs w:val="21"/>
          <w:highlight w:val="yellow"/>
        </w:rPr>
      </w:pPr>
    </w:p>
    <w:p w14:paraId="50D84332">
      <w:pPr>
        <w:pStyle w:val="20"/>
        <w:ind w:left="429"/>
        <w:rPr>
          <w:rFonts w:hint="eastAsia" w:ascii="仿宋" w:hAnsi="仿宋" w:eastAsia="仿宋" w:cs="仿宋"/>
          <w:sz w:val="32"/>
          <w:szCs w:val="32"/>
        </w:rPr>
      </w:pPr>
    </w:p>
    <w:p w14:paraId="1396A723">
      <w:pPr>
        <w:pStyle w:val="20"/>
        <w:ind w:left="429"/>
        <w:rPr>
          <w:rFonts w:hint="eastAsia" w:ascii="仿宋" w:hAnsi="仿宋" w:eastAsia="仿宋" w:cs="仿宋"/>
          <w:sz w:val="32"/>
          <w:szCs w:val="32"/>
        </w:rPr>
      </w:pPr>
    </w:p>
    <w:p w14:paraId="1596B89E">
      <w:pPr>
        <w:pStyle w:val="20"/>
        <w:ind w:left="429"/>
        <w:rPr>
          <w:rFonts w:hint="eastAsia" w:ascii="仿宋" w:hAnsi="仿宋" w:eastAsia="仿宋" w:cs="仿宋"/>
          <w:sz w:val="32"/>
          <w:szCs w:val="32"/>
        </w:rPr>
      </w:pPr>
    </w:p>
    <w:p w14:paraId="52354323">
      <w:pPr>
        <w:pStyle w:val="20"/>
        <w:ind w:left="429"/>
        <w:rPr>
          <w:rFonts w:hint="eastAsia" w:ascii="仿宋" w:hAnsi="仿宋" w:eastAsia="仿宋" w:cs="仿宋"/>
          <w:sz w:val="32"/>
          <w:szCs w:val="32"/>
        </w:rPr>
      </w:pPr>
    </w:p>
    <w:p w14:paraId="605D8954">
      <w:pPr>
        <w:pStyle w:val="20"/>
        <w:ind w:left="429"/>
        <w:rPr>
          <w:rFonts w:hint="eastAsia" w:ascii="仿宋" w:hAnsi="仿宋" w:eastAsia="仿宋" w:cs="仿宋"/>
          <w:sz w:val="32"/>
          <w:szCs w:val="32"/>
        </w:rPr>
      </w:pPr>
    </w:p>
    <w:p w14:paraId="7F6A3FC4">
      <w:pPr>
        <w:pStyle w:val="20"/>
        <w:ind w:left="429"/>
        <w:rPr>
          <w:rFonts w:hint="eastAsia" w:ascii="仿宋" w:hAnsi="仿宋" w:eastAsia="仿宋" w:cs="仿宋"/>
          <w:sz w:val="32"/>
          <w:szCs w:val="32"/>
        </w:rPr>
      </w:pPr>
    </w:p>
    <w:p w14:paraId="2A1D43C1">
      <w:pPr>
        <w:pStyle w:val="20"/>
        <w:ind w:left="429" w:firstLine="648" w:firstLineChars="200"/>
      </w:pPr>
      <w:r>
        <w:rPr>
          <w:rFonts w:hint="eastAsia" w:ascii="仿宋" w:hAnsi="仿宋" w:eastAsia="仿宋" w:cs="仿宋"/>
          <w:sz w:val="32"/>
          <w:szCs w:val="32"/>
        </w:rPr>
        <w:t>投标人所投综合防控平台院内接口服务器产品，除需满足上表所列全部参数要求外，还应符合财政部、工业和信息化部印发的《通用服务器政府采购需求标准（2023 年版）》中带 * 的指标要求。投标人在投标文件中应提供满足上表所列全部参数及《通用服务器政府采购需求标准（2023 年版）》中带 * 的指标要求的承诺函，即视为该产品符合要求。采购人应加强履约验收管理，按照采购合同约定对投标人提供的通用服务器进行验收，必要时委托依法取得检测、认证资质的机构进行检测、认证。对于投标人未按合同约定提供通用服务器的，采购人应当依法追究其违约责任。</w:t>
      </w:r>
    </w:p>
    <w:p w14:paraId="3FBD1F33">
      <w:pPr>
        <w:pStyle w:val="20"/>
        <w:ind w:left="429"/>
      </w:pPr>
    </w:p>
    <w:p w14:paraId="5562CA6F">
      <w:pPr>
        <w:pStyle w:val="74"/>
        <w:ind w:firstLine="0" w:firstLineChars="0"/>
        <w:rPr>
          <w:rFonts w:hint="eastAsia" w:cs="华文中宋"/>
        </w:rPr>
      </w:pPr>
    </w:p>
    <w:sectPr>
      <w:headerReference r:id="rId8" w:type="default"/>
      <w:footerReference r:id="rId9" w:type="default"/>
      <w:pgSz w:w="16838" w:h="11906" w:orient="landscape"/>
      <w:pgMar w:top="1531" w:right="1134" w:bottom="1361" w:left="1020" w:header="851" w:footer="992" w:gutter="0"/>
      <w:cols w:space="0" w:num="1"/>
      <w:docGrid w:type="linesAndChars" w:linePitch="312" w:charSpace="9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AE3F">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562C66">
                          <w:pPr>
                            <w:pStyle w:val="2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264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562C66">
                    <w:pPr>
                      <w:pStyle w:val="2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264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C02F">
    <w:pPr>
      <w:pStyle w:val="28"/>
      <w:jc w:val="center"/>
    </w:pPr>
    <w:r>
      <w:fldChar w:fldCharType="begin"/>
    </w:r>
    <w:r>
      <w:instrText xml:space="preserve">PAGE   \* MERGEFORMAT</w:instrText>
    </w:r>
    <w:r>
      <w:fldChar w:fldCharType="separate"/>
    </w:r>
    <w:r>
      <w:rPr>
        <w:lang w:val="zh-CN"/>
      </w:rPr>
      <w:t>122</w:t>
    </w:r>
    <w:r>
      <w:fldChar w:fldCharType="end"/>
    </w:r>
  </w:p>
  <w:p w14:paraId="715DCA99">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4CA3">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9D9D18">
                          <w:pPr>
                            <w:pStyle w:val="28"/>
                          </w:pPr>
                          <w:r>
                            <w:t xml:space="preserve">第 </w:t>
                          </w:r>
                          <w:r>
                            <w:fldChar w:fldCharType="begin"/>
                          </w:r>
                          <w:r>
                            <w:instrText xml:space="preserve"> PAGE  \* MERGEFORMAT </w:instrText>
                          </w:r>
                          <w:r>
                            <w:fldChar w:fldCharType="separate"/>
                          </w:r>
                          <w:r>
                            <w:t>256</w:t>
                          </w:r>
                          <w:r>
                            <w:fldChar w:fldCharType="end"/>
                          </w:r>
                          <w:r>
                            <w:t xml:space="preserve"> 页 共 </w:t>
                          </w:r>
                          <w:r>
                            <w:fldChar w:fldCharType="begin"/>
                          </w:r>
                          <w:r>
                            <w:instrText xml:space="preserve"> NUMPAGES  \* MERGEFORMAT </w:instrText>
                          </w:r>
                          <w:r>
                            <w:fldChar w:fldCharType="separate"/>
                          </w:r>
                          <w:r>
                            <w:t>264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E9D9D18">
                    <w:pPr>
                      <w:pStyle w:val="28"/>
                    </w:pPr>
                    <w:r>
                      <w:t xml:space="preserve">第 </w:t>
                    </w:r>
                    <w:r>
                      <w:fldChar w:fldCharType="begin"/>
                    </w:r>
                    <w:r>
                      <w:instrText xml:space="preserve"> PAGE  \* MERGEFORMAT </w:instrText>
                    </w:r>
                    <w:r>
                      <w:fldChar w:fldCharType="separate"/>
                    </w:r>
                    <w:r>
                      <w:t>256</w:t>
                    </w:r>
                    <w:r>
                      <w:fldChar w:fldCharType="end"/>
                    </w:r>
                    <w:r>
                      <w:t xml:space="preserve"> 页 共 </w:t>
                    </w:r>
                    <w:r>
                      <w:fldChar w:fldCharType="begin"/>
                    </w:r>
                    <w:r>
                      <w:instrText xml:space="preserve"> NUMPAGES  \* MERGEFORMAT </w:instrText>
                    </w:r>
                    <w:r>
                      <w:fldChar w:fldCharType="separate"/>
                    </w:r>
                    <w:r>
                      <w:t>264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3E10">
    <w:pPr>
      <w:pStyle w:val="29"/>
    </w:pPr>
    <w:r>
      <w:rPr>
        <w:rFonts w:hint="eastAsia" w:ascii="隶书" w:hAnsi="华文中宋" w:eastAsia="隶书" w:cs="仿宋"/>
        <w:sz w:val="21"/>
        <w:szCs w:val="21"/>
      </w:rPr>
      <w:t>长治市公共资源交易中心（长治市政府采购中心）公开招标文件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6E91">
    <w:pPr>
      <w:pStyle w:val="29"/>
    </w:pPr>
    <w:r>
      <w:rPr>
        <w:rFonts w:hint="eastAsia" w:ascii="隶书" w:hAnsi="华文中宋" w:eastAsia="隶书" w:cs="仿宋"/>
        <w:sz w:val="21"/>
        <w:szCs w:val="21"/>
      </w:rPr>
      <w:t>长治市公共资源交易中心（长治市政府采购中心）公开招标文件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69D6">
    <w:pPr>
      <w:pStyle w:val="29"/>
    </w:pPr>
    <w:r>
      <w:rPr>
        <w:rFonts w:hint="eastAsia" w:ascii="隶书" w:hAnsi="华文中宋" w:eastAsia="隶书" w:cs="仿宋"/>
        <w:sz w:val="21"/>
        <w:szCs w:val="21"/>
      </w:rPr>
      <w:t>长治市公共资源交易中心（长治市政府采购中心）公开招标文件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996C">
    <w:pPr>
      <w:pStyle w:val="29"/>
    </w:pPr>
    <w:r>
      <w:rPr>
        <w:rFonts w:hint="eastAsia" w:ascii="隶书" w:hAnsi="华文中宋" w:eastAsia="隶书" w:cs="仿宋"/>
        <w:sz w:val="21"/>
        <w:szCs w:val="21"/>
      </w:rPr>
      <w:t>长治市公共资源交易中心（长治市政府采购中心）公开招标文件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
    <w:nsid w:val="2086A4E3"/>
    <w:multiLevelType w:val="singleLevel"/>
    <w:tmpl w:val="2086A4E3"/>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hideSpellingErrors/>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kODNhNWNkMDdhMjI4NjNkMTE3OTE1NzU3MDgwMzYifQ=="/>
  </w:docVars>
  <w:rsids>
    <w:rsidRoot w:val="00172A27"/>
    <w:rsid w:val="000017B5"/>
    <w:rsid w:val="00001943"/>
    <w:rsid w:val="000021AB"/>
    <w:rsid w:val="00002249"/>
    <w:rsid w:val="00004521"/>
    <w:rsid w:val="0000518B"/>
    <w:rsid w:val="0000757D"/>
    <w:rsid w:val="00010F5D"/>
    <w:rsid w:val="0001262D"/>
    <w:rsid w:val="00014C9A"/>
    <w:rsid w:val="00015BD9"/>
    <w:rsid w:val="00016D62"/>
    <w:rsid w:val="0001771F"/>
    <w:rsid w:val="00021878"/>
    <w:rsid w:val="00021E53"/>
    <w:rsid w:val="0002324D"/>
    <w:rsid w:val="000242F9"/>
    <w:rsid w:val="0002578D"/>
    <w:rsid w:val="00025E82"/>
    <w:rsid w:val="00025EF4"/>
    <w:rsid w:val="00034BDD"/>
    <w:rsid w:val="00035EEC"/>
    <w:rsid w:val="0003676A"/>
    <w:rsid w:val="00036AAB"/>
    <w:rsid w:val="00040F10"/>
    <w:rsid w:val="00042BAF"/>
    <w:rsid w:val="00043544"/>
    <w:rsid w:val="0004425E"/>
    <w:rsid w:val="00045D42"/>
    <w:rsid w:val="000510A9"/>
    <w:rsid w:val="00051E6F"/>
    <w:rsid w:val="000530F3"/>
    <w:rsid w:val="000532D0"/>
    <w:rsid w:val="00054CAA"/>
    <w:rsid w:val="00054F8E"/>
    <w:rsid w:val="00055699"/>
    <w:rsid w:val="00055A31"/>
    <w:rsid w:val="00055B9C"/>
    <w:rsid w:val="000569FA"/>
    <w:rsid w:val="0005761C"/>
    <w:rsid w:val="000579FB"/>
    <w:rsid w:val="0006086F"/>
    <w:rsid w:val="00061E04"/>
    <w:rsid w:val="000638DD"/>
    <w:rsid w:val="00063F4E"/>
    <w:rsid w:val="00064F40"/>
    <w:rsid w:val="000652D9"/>
    <w:rsid w:val="00065F48"/>
    <w:rsid w:val="00066EA6"/>
    <w:rsid w:val="00067737"/>
    <w:rsid w:val="00071561"/>
    <w:rsid w:val="00071DD4"/>
    <w:rsid w:val="00072B7F"/>
    <w:rsid w:val="00072C1D"/>
    <w:rsid w:val="00073824"/>
    <w:rsid w:val="00073AE2"/>
    <w:rsid w:val="00075CCF"/>
    <w:rsid w:val="00077411"/>
    <w:rsid w:val="00077C09"/>
    <w:rsid w:val="00077C44"/>
    <w:rsid w:val="00081AE5"/>
    <w:rsid w:val="00083A5B"/>
    <w:rsid w:val="000841EC"/>
    <w:rsid w:val="00085903"/>
    <w:rsid w:val="000873B5"/>
    <w:rsid w:val="000920C0"/>
    <w:rsid w:val="000920E0"/>
    <w:rsid w:val="000924A1"/>
    <w:rsid w:val="00093B83"/>
    <w:rsid w:val="000949AF"/>
    <w:rsid w:val="00095203"/>
    <w:rsid w:val="0009676A"/>
    <w:rsid w:val="00097970"/>
    <w:rsid w:val="000A0AD7"/>
    <w:rsid w:val="000A13C6"/>
    <w:rsid w:val="000A28AA"/>
    <w:rsid w:val="000A3A51"/>
    <w:rsid w:val="000A3B6E"/>
    <w:rsid w:val="000A42DF"/>
    <w:rsid w:val="000A4792"/>
    <w:rsid w:val="000A543F"/>
    <w:rsid w:val="000A56BF"/>
    <w:rsid w:val="000A6CFF"/>
    <w:rsid w:val="000A6D30"/>
    <w:rsid w:val="000A79B7"/>
    <w:rsid w:val="000B0ED7"/>
    <w:rsid w:val="000B1210"/>
    <w:rsid w:val="000B341C"/>
    <w:rsid w:val="000B3AA1"/>
    <w:rsid w:val="000B4B61"/>
    <w:rsid w:val="000B4CC1"/>
    <w:rsid w:val="000B4D83"/>
    <w:rsid w:val="000B5357"/>
    <w:rsid w:val="000B593B"/>
    <w:rsid w:val="000B6812"/>
    <w:rsid w:val="000B6D3F"/>
    <w:rsid w:val="000B75B7"/>
    <w:rsid w:val="000B7612"/>
    <w:rsid w:val="000C151F"/>
    <w:rsid w:val="000C1D23"/>
    <w:rsid w:val="000C2766"/>
    <w:rsid w:val="000C3DDC"/>
    <w:rsid w:val="000C5165"/>
    <w:rsid w:val="000C578B"/>
    <w:rsid w:val="000C6CDD"/>
    <w:rsid w:val="000C7318"/>
    <w:rsid w:val="000C7818"/>
    <w:rsid w:val="000D1227"/>
    <w:rsid w:val="000D3B50"/>
    <w:rsid w:val="000D6D37"/>
    <w:rsid w:val="000E04BE"/>
    <w:rsid w:val="000E07E0"/>
    <w:rsid w:val="000E09A4"/>
    <w:rsid w:val="000E1DB4"/>
    <w:rsid w:val="000E396B"/>
    <w:rsid w:val="000E3EF4"/>
    <w:rsid w:val="000E5051"/>
    <w:rsid w:val="000E706C"/>
    <w:rsid w:val="000F1C99"/>
    <w:rsid w:val="000F2EEF"/>
    <w:rsid w:val="000F3A4A"/>
    <w:rsid w:val="000F5846"/>
    <w:rsid w:val="000F63DD"/>
    <w:rsid w:val="000F6622"/>
    <w:rsid w:val="000F7540"/>
    <w:rsid w:val="001004EB"/>
    <w:rsid w:val="001029D5"/>
    <w:rsid w:val="001056E3"/>
    <w:rsid w:val="0010796A"/>
    <w:rsid w:val="00112B96"/>
    <w:rsid w:val="00112CEF"/>
    <w:rsid w:val="00113684"/>
    <w:rsid w:val="00114A63"/>
    <w:rsid w:val="001157F1"/>
    <w:rsid w:val="00115B83"/>
    <w:rsid w:val="00115B90"/>
    <w:rsid w:val="0011601B"/>
    <w:rsid w:val="00116F8F"/>
    <w:rsid w:val="00116FCA"/>
    <w:rsid w:val="00120424"/>
    <w:rsid w:val="001217B4"/>
    <w:rsid w:val="001234D4"/>
    <w:rsid w:val="00124E35"/>
    <w:rsid w:val="00125162"/>
    <w:rsid w:val="001264EC"/>
    <w:rsid w:val="0012764A"/>
    <w:rsid w:val="0013010C"/>
    <w:rsid w:val="00130FAB"/>
    <w:rsid w:val="00130FE6"/>
    <w:rsid w:val="00131E5C"/>
    <w:rsid w:val="00132DB6"/>
    <w:rsid w:val="00132E59"/>
    <w:rsid w:val="00134826"/>
    <w:rsid w:val="001348BD"/>
    <w:rsid w:val="00134E97"/>
    <w:rsid w:val="00135082"/>
    <w:rsid w:val="001353E4"/>
    <w:rsid w:val="0013622B"/>
    <w:rsid w:val="00136636"/>
    <w:rsid w:val="00137137"/>
    <w:rsid w:val="0013733B"/>
    <w:rsid w:val="00141212"/>
    <w:rsid w:val="00141EDF"/>
    <w:rsid w:val="00142605"/>
    <w:rsid w:val="0014380C"/>
    <w:rsid w:val="0014525F"/>
    <w:rsid w:val="001472CB"/>
    <w:rsid w:val="0014773E"/>
    <w:rsid w:val="00151893"/>
    <w:rsid w:val="00152E02"/>
    <w:rsid w:val="00152F68"/>
    <w:rsid w:val="00153962"/>
    <w:rsid w:val="00155DE0"/>
    <w:rsid w:val="00161D46"/>
    <w:rsid w:val="00162E84"/>
    <w:rsid w:val="001648F9"/>
    <w:rsid w:val="00165363"/>
    <w:rsid w:val="001673FE"/>
    <w:rsid w:val="00171228"/>
    <w:rsid w:val="00172761"/>
    <w:rsid w:val="00172A27"/>
    <w:rsid w:val="001751FC"/>
    <w:rsid w:val="00177802"/>
    <w:rsid w:val="001801A9"/>
    <w:rsid w:val="001815A2"/>
    <w:rsid w:val="001818A3"/>
    <w:rsid w:val="00182D07"/>
    <w:rsid w:val="001855EE"/>
    <w:rsid w:val="0018677D"/>
    <w:rsid w:val="001905BF"/>
    <w:rsid w:val="001905D0"/>
    <w:rsid w:val="001906CE"/>
    <w:rsid w:val="00191946"/>
    <w:rsid w:val="00192DDE"/>
    <w:rsid w:val="00193302"/>
    <w:rsid w:val="001951B7"/>
    <w:rsid w:val="0019683A"/>
    <w:rsid w:val="001976E3"/>
    <w:rsid w:val="001A005E"/>
    <w:rsid w:val="001A2BE4"/>
    <w:rsid w:val="001A2C20"/>
    <w:rsid w:val="001A2F3A"/>
    <w:rsid w:val="001A4E25"/>
    <w:rsid w:val="001A5911"/>
    <w:rsid w:val="001B0E9B"/>
    <w:rsid w:val="001B191E"/>
    <w:rsid w:val="001B28F3"/>
    <w:rsid w:val="001B2BD2"/>
    <w:rsid w:val="001B2C3A"/>
    <w:rsid w:val="001B58E7"/>
    <w:rsid w:val="001B6889"/>
    <w:rsid w:val="001B72AC"/>
    <w:rsid w:val="001B7987"/>
    <w:rsid w:val="001C013E"/>
    <w:rsid w:val="001C0876"/>
    <w:rsid w:val="001C2F74"/>
    <w:rsid w:val="001C310B"/>
    <w:rsid w:val="001C37E1"/>
    <w:rsid w:val="001C3936"/>
    <w:rsid w:val="001C6155"/>
    <w:rsid w:val="001C7390"/>
    <w:rsid w:val="001C7D00"/>
    <w:rsid w:val="001C7D99"/>
    <w:rsid w:val="001D1569"/>
    <w:rsid w:val="001D1675"/>
    <w:rsid w:val="001D253E"/>
    <w:rsid w:val="001D45F8"/>
    <w:rsid w:val="001D5118"/>
    <w:rsid w:val="001D6476"/>
    <w:rsid w:val="001E3800"/>
    <w:rsid w:val="001E47BD"/>
    <w:rsid w:val="001E5170"/>
    <w:rsid w:val="001E5505"/>
    <w:rsid w:val="001E553C"/>
    <w:rsid w:val="001E61AD"/>
    <w:rsid w:val="001E65A7"/>
    <w:rsid w:val="001F1112"/>
    <w:rsid w:val="001F1AF6"/>
    <w:rsid w:val="001F26FF"/>
    <w:rsid w:val="001F3B1A"/>
    <w:rsid w:val="001F4543"/>
    <w:rsid w:val="001F62F7"/>
    <w:rsid w:val="001F7E7F"/>
    <w:rsid w:val="00203FD3"/>
    <w:rsid w:val="002048CE"/>
    <w:rsid w:val="00207FE7"/>
    <w:rsid w:val="002104C3"/>
    <w:rsid w:val="002115C3"/>
    <w:rsid w:val="002117BC"/>
    <w:rsid w:val="00212B98"/>
    <w:rsid w:val="00213467"/>
    <w:rsid w:val="00213AA5"/>
    <w:rsid w:val="00215967"/>
    <w:rsid w:val="00215CBA"/>
    <w:rsid w:val="00220B04"/>
    <w:rsid w:val="002220B1"/>
    <w:rsid w:val="00225B52"/>
    <w:rsid w:val="00230137"/>
    <w:rsid w:val="002303F1"/>
    <w:rsid w:val="0023051B"/>
    <w:rsid w:val="00231B8B"/>
    <w:rsid w:val="00232E6F"/>
    <w:rsid w:val="002333F8"/>
    <w:rsid w:val="00233920"/>
    <w:rsid w:val="00235B4E"/>
    <w:rsid w:val="00236D13"/>
    <w:rsid w:val="0023795D"/>
    <w:rsid w:val="002379E1"/>
    <w:rsid w:val="00241E65"/>
    <w:rsid w:val="0024466C"/>
    <w:rsid w:val="00246A41"/>
    <w:rsid w:val="00247969"/>
    <w:rsid w:val="00247E88"/>
    <w:rsid w:val="00250104"/>
    <w:rsid w:val="00251A52"/>
    <w:rsid w:val="00252039"/>
    <w:rsid w:val="00253E98"/>
    <w:rsid w:val="002549B0"/>
    <w:rsid w:val="002608D4"/>
    <w:rsid w:val="0026139C"/>
    <w:rsid w:val="0026321A"/>
    <w:rsid w:val="00263B79"/>
    <w:rsid w:val="0026439F"/>
    <w:rsid w:val="00265953"/>
    <w:rsid w:val="00266123"/>
    <w:rsid w:val="002670EA"/>
    <w:rsid w:val="0027122A"/>
    <w:rsid w:val="00274258"/>
    <w:rsid w:val="002761FC"/>
    <w:rsid w:val="00276D27"/>
    <w:rsid w:val="00277577"/>
    <w:rsid w:val="00277A7A"/>
    <w:rsid w:val="00277BD5"/>
    <w:rsid w:val="002816DD"/>
    <w:rsid w:val="002832F3"/>
    <w:rsid w:val="00285D1B"/>
    <w:rsid w:val="00286FD4"/>
    <w:rsid w:val="0028709D"/>
    <w:rsid w:val="002872E5"/>
    <w:rsid w:val="0028790D"/>
    <w:rsid w:val="00290720"/>
    <w:rsid w:val="0029333D"/>
    <w:rsid w:val="002962B0"/>
    <w:rsid w:val="00297731"/>
    <w:rsid w:val="00297B91"/>
    <w:rsid w:val="002A062F"/>
    <w:rsid w:val="002A1F0A"/>
    <w:rsid w:val="002A36B9"/>
    <w:rsid w:val="002A4D65"/>
    <w:rsid w:val="002A5286"/>
    <w:rsid w:val="002A5920"/>
    <w:rsid w:val="002A6641"/>
    <w:rsid w:val="002A6F9C"/>
    <w:rsid w:val="002A7061"/>
    <w:rsid w:val="002B1EEA"/>
    <w:rsid w:val="002B5435"/>
    <w:rsid w:val="002B57C8"/>
    <w:rsid w:val="002B5AA5"/>
    <w:rsid w:val="002B65C1"/>
    <w:rsid w:val="002B740A"/>
    <w:rsid w:val="002C1049"/>
    <w:rsid w:val="002C14B0"/>
    <w:rsid w:val="002C3299"/>
    <w:rsid w:val="002C3B5B"/>
    <w:rsid w:val="002C3D2F"/>
    <w:rsid w:val="002C4151"/>
    <w:rsid w:val="002C5DE2"/>
    <w:rsid w:val="002C5FC3"/>
    <w:rsid w:val="002D11F8"/>
    <w:rsid w:val="002D2505"/>
    <w:rsid w:val="002D3EC4"/>
    <w:rsid w:val="002D6666"/>
    <w:rsid w:val="002E0B83"/>
    <w:rsid w:val="002E0CFB"/>
    <w:rsid w:val="002E0EA0"/>
    <w:rsid w:val="002E5646"/>
    <w:rsid w:val="002E58D6"/>
    <w:rsid w:val="002E5B6D"/>
    <w:rsid w:val="002E6135"/>
    <w:rsid w:val="002E7BB7"/>
    <w:rsid w:val="002E7E43"/>
    <w:rsid w:val="002F00E9"/>
    <w:rsid w:val="002F0558"/>
    <w:rsid w:val="002F0620"/>
    <w:rsid w:val="002F2DA4"/>
    <w:rsid w:val="002F2F10"/>
    <w:rsid w:val="002F4B25"/>
    <w:rsid w:val="002F4B53"/>
    <w:rsid w:val="002F533A"/>
    <w:rsid w:val="002F5942"/>
    <w:rsid w:val="002F5CBE"/>
    <w:rsid w:val="002F7089"/>
    <w:rsid w:val="003036E8"/>
    <w:rsid w:val="00304EE6"/>
    <w:rsid w:val="003056BA"/>
    <w:rsid w:val="00305B4E"/>
    <w:rsid w:val="00312482"/>
    <w:rsid w:val="0031752C"/>
    <w:rsid w:val="00320851"/>
    <w:rsid w:val="00322507"/>
    <w:rsid w:val="00323700"/>
    <w:rsid w:val="00325150"/>
    <w:rsid w:val="00332194"/>
    <w:rsid w:val="003332EE"/>
    <w:rsid w:val="00334F65"/>
    <w:rsid w:val="003367B7"/>
    <w:rsid w:val="00336914"/>
    <w:rsid w:val="0033791A"/>
    <w:rsid w:val="003408EA"/>
    <w:rsid w:val="00340AA2"/>
    <w:rsid w:val="00341D79"/>
    <w:rsid w:val="00341E72"/>
    <w:rsid w:val="00341FAF"/>
    <w:rsid w:val="0034346E"/>
    <w:rsid w:val="00344327"/>
    <w:rsid w:val="00345068"/>
    <w:rsid w:val="003472D2"/>
    <w:rsid w:val="00350C5F"/>
    <w:rsid w:val="00351719"/>
    <w:rsid w:val="00353405"/>
    <w:rsid w:val="00353D67"/>
    <w:rsid w:val="00353F15"/>
    <w:rsid w:val="003548F6"/>
    <w:rsid w:val="003613F9"/>
    <w:rsid w:val="003618A7"/>
    <w:rsid w:val="00363199"/>
    <w:rsid w:val="00372342"/>
    <w:rsid w:val="0037291D"/>
    <w:rsid w:val="00372AD1"/>
    <w:rsid w:val="00372C7C"/>
    <w:rsid w:val="00375D6F"/>
    <w:rsid w:val="00376641"/>
    <w:rsid w:val="00376BF8"/>
    <w:rsid w:val="003802DA"/>
    <w:rsid w:val="00381739"/>
    <w:rsid w:val="003820CF"/>
    <w:rsid w:val="00382347"/>
    <w:rsid w:val="0038346C"/>
    <w:rsid w:val="0038356D"/>
    <w:rsid w:val="003837EE"/>
    <w:rsid w:val="0038403B"/>
    <w:rsid w:val="00385457"/>
    <w:rsid w:val="00386BBB"/>
    <w:rsid w:val="00390DD4"/>
    <w:rsid w:val="0039172B"/>
    <w:rsid w:val="003925FE"/>
    <w:rsid w:val="0039278E"/>
    <w:rsid w:val="00392AD9"/>
    <w:rsid w:val="00393498"/>
    <w:rsid w:val="00394530"/>
    <w:rsid w:val="0039580E"/>
    <w:rsid w:val="00396270"/>
    <w:rsid w:val="003A1F58"/>
    <w:rsid w:val="003A3B61"/>
    <w:rsid w:val="003A694D"/>
    <w:rsid w:val="003A6F58"/>
    <w:rsid w:val="003A7365"/>
    <w:rsid w:val="003B1DB8"/>
    <w:rsid w:val="003B2CD7"/>
    <w:rsid w:val="003B4480"/>
    <w:rsid w:val="003B44C8"/>
    <w:rsid w:val="003B5111"/>
    <w:rsid w:val="003B5BD7"/>
    <w:rsid w:val="003C02B2"/>
    <w:rsid w:val="003C098D"/>
    <w:rsid w:val="003C0A0F"/>
    <w:rsid w:val="003C0C85"/>
    <w:rsid w:val="003C123A"/>
    <w:rsid w:val="003C1F59"/>
    <w:rsid w:val="003C25D0"/>
    <w:rsid w:val="003C28DA"/>
    <w:rsid w:val="003C3101"/>
    <w:rsid w:val="003C5DBA"/>
    <w:rsid w:val="003D15D1"/>
    <w:rsid w:val="003D16CE"/>
    <w:rsid w:val="003D4516"/>
    <w:rsid w:val="003D495D"/>
    <w:rsid w:val="003D524A"/>
    <w:rsid w:val="003E0428"/>
    <w:rsid w:val="003E1148"/>
    <w:rsid w:val="003E141E"/>
    <w:rsid w:val="003E19B2"/>
    <w:rsid w:val="003E1A25"/>
    <w:rsid w:val="003E55D4"/>
    <w:rsid w:val="003E5C35"/>
    <w:rsid w:val="003E60D1"/>
    <w:rsid w:val="003E7194"/>
    <w:rsid w:val="003E768A"/>
    <w:rsid w:val="003F1451"/>
    <w:rsid w:val="003F18C4"/>
    <w:rsid w:val="003F4F8D"/>
    <w:rsid w:val="003F63BB"/>
    <w:rsid w:val="004014CC"/>
    <w:rsid w:val="004017DB"/>
    <w:rsid w:val="00402F92"/>
    <w:rsid w:val="0040351B"/>
    <w:rsid w:val="004044BC"/>
    <w:rsid w:val="00405B11"/>
    <w:rsid w:val="00407B7B"/>
    <w:rsid w:val="00407F56"/>
    <w:rsid w:val="0041042D"/>
    <w:rsid w:val="00411334"/>
    <w:rsid w:val="004148B9"/>
    <w:rsid w:val="00415103"/>
    <w:rsid w:val="00415849"/>
    <w:rsid w:val="00415BB2"/>
    <w:rsid w:val="00415CEE"/>
    <w:rsid w:val="00416C09"/>
    <w:rsid w:val="0042185D"/>
    <w:rsid w:val="004223BC"/>
    <w:rsid w:val="00422C9F"/>
    <w:rsid w:val="00423D55"/>
    <w:rsid w:val="0042508A"/>
    <w:rsid w:val="00426E29"/>
    <w:rsid w:val="00426E6C"/>
    <w:rsid w:val="00427675"/>
    <w:rsid w:val="00430FFE"/>
    <w:rsid w:val="00432950"/>
    <w:rsid w:val="00432EF4"/>
    <w:rsid w:val="00433001"/>
    <w:rsid w:val="00433398"/>
    <w:rsid w:val="00433E15"/>
    <w:rsid w:val="00434E33"/>
    <w:rsid w:val="004359FD"/>
    <w:rsid w:val="004361F3"/>
    <w:rsid w:val="004366B4"/>
    <w:rsid w:val="004412A4"/>
    <w:rsid w:val="004412BE"/>
    <w:rsid w:val="00441627"/>
    <w:rsid w:val="004422AB"/>
    <w:rsid w:val="004429CB"/>
    <w:rsid w:val="00443777"/>
    <w:rsid w:val="00443BBD"/>
    <w:rsid w:val="00444390"/>
    <w:rsid w:val="0044445A"/>
    <w:rsid w:val="0044550E"/>
    <w:rsid w:val="0044668B"/>
    <w:rsid w:val="0045126C"/>
    <w:rsid w:val="00453A04"/>
    <w:rsid w:val="00454BBE"/>
    <w:rsid w:val="00454F8C"/>
    <w:rsid w:val="00457EC4"/>
    <w:rsid w:val="00460406"/>
    <w:rsid w:val="0046142F"/>
    <w:rsid w:val="004617FA"/>
    <w:rsid w:val="00461D3B"/>
    <w:rsid w:val="00464123"/>
    <w:rsid w:val="0046475A"/>
    <w:rsid w:val="00464B59"/>
    <w:rsid w:val="004672C5"/>
    <w:rsid w:val="0047126E"/>
    <w:rsid w:val="00472861"/>
    <w:rsid w:val="00472D65"/>
    <w:rsid w:val="00473A93"/>
    <w:rsid w:val="00473F77"/>
    <w:rsid w:val="00475952"/>
    <w:rsid w:val="00477626"/>
    <w:rsid w:val="0048067D"/>
    <w:rsid w:val="00481153"/>
    <w:rsid w:val="00481FF9"/>
    <w:rsid w:val="00483412"/>
    <w:rsid w:val="0048425F"/>
    <w:rsid w:val="00484AF1"/>
    <w:rsid w:val="00484BBD"/>
    <w:rsid w:val="00484C56"/>
    <w:rsid w:val="004902BF"/>
    <w:rsid w:val="00490A0B"/>
    <w:rsid w:val="00491403"/>
    <w:rsid w:val="00491CCB"/>
    <w:rsid w:val="00491E05"/>
    <w:rsid w:val="00494265"/>
    <w:rsid w:val="00495E0F"/>
    <w:rsid w:val="004970E3"/>
    <w:rsid w:val="004A073A"/>
    <w:rsid w:val="004A1716"/>
    <w:rsid w:val="004A2215"/>
    <w:rsid w:val="004A44FC"/>
    <w:rsid w:val="004A5334"/>
    <w:rsid w:val="004A5614"/>
    <w:rsid w:val="004A7024"/>
    <w:rsid w:val="004A703D"/>
    <w:rsid w:val="004B04C2"/>
    <w:rsid w:val="004B068D"/>
    <w:rsid w:val="004B1B2D"/>
    <w:rsid w:val="004B2579"/>
    <w:rsid w:val="004B2681"/>
    <w:rsid w:val="004B2A59"/>
    <w:rsid w:val="004B3DCE"/>
    <w:rsid w:val="004B4B9A"/>
    <w:rsid w:val="004B7B4B"/>
    <w:rsid w:val="004C064D"/>
    <w:rsid w:val="004C101D"/>
    <w:rsid w:val="004C1BC3"/>
    <w:rsid w:val="004C27F9"/>
    <w:rsid w:val="004C460C"/>
    <w:rsid w:val="004C475F"/>
    <w:rsid w:val="004C4C81"/>
    <w:rsid w:val="004C7B73"/>
    <w:rsid w:val="004D12DE"/>
    <w:rsid w:val="004D2049"/>
    <w:rsid w:val="004D26F8"/>
    <w:rsid w:val="004D4CFA"/>
    <w:rsid w:val="004D5F8A"/>
    <w:rsid w:val="004D7B16"/>
    <w:rsid w:val="004E08CF"/>
    <w:rsid w:val="004E1047"/>
    <w:rsid w:val="004E5C8E"/>
    <w:rsid w:val="004F0E62"/>
    <w:rsid w:val="004F2459"/>
    <w:rsid w:val="004F3B3E"/>
    <w:rsid w:val="00500121"/>
    <w:rsid w:val="005002BA"/>
    <w:rsid w:val="0050047C"/>
    <w:rsid w:val="00500913"/>
    <w:rsid w:val="00502101"/>
    <w:rsid w:val="0050281E"/>
    <w:rsid w:val="00504E9C"/>
    <w:rsid w:val="0050585F"/>
    <w:rsid w:val="005059AB"/>
    <w:rsid w:val="00506832"/>
    <w:rsid w:val="005070FF"/>
    <w:rsid w:val="00507AD7"/>
    <w:rsid w:val="00510B5E"/>
    <w:rsid w:val="005114B3"/>
    <w:rsid w:val="005172D9"/>
    <w:rsid w:val="00517493"/>
    <w:rsid w:val="00520286"/>
    <w:rsid w:val="00520F8D"/>
    <w:rsid w:val="0052101F"/>
    <w:rsid w:val="005239B5"/>
    <w:rsid w:val="005251E5"/>
    <w:rsid w:val="00525B7D"/>
    <w:rsid w:val="0052693C"/>
    <w:rsid w:val="00526AC9"/>
    <w:rsid w:val="0052782B"/>
    <w:rsid w:val="00527976"/>
    <w:rsid w:val="00530C34"/>
    <w:rsid w:val="005310BE"/>
    <w:rsid w:val="00531943"/>
    <w:rsid w:val="00531E2D"/>
    <w:rsid w:val="00531EBD"/>
    <w:rsid w:val="005323C6"/>
    <w:rsid w:val="00532794"/>
    <w:rsid w:val="00532B46"/>
    <w:rsid w:val="00533709"/>
    <w:rsid w:val="005339F3"/>
    <w:rsid w:val="0053495B"/>
    <w:rsid w:val="00534984"/>
    <w:rsid w:val="005350B8"/>
    <w:rsid w:val="00536606"/>
    <w:rsid w:val="00536CCD"/>
    <w:rsid w:val="0053709A"/>
    <w:rsid w:val="00537167"/>
    <w:rsid w:val="00542235"/>
    <w:rsid w:val="005428E4"/>
    <w:rsid w:val="0054530C"/>
    <w:rsid w:val="0054657A"/>
    <w:rsid w:val="00546720"/>
    <w:rsid w:val="00550E34"/>
    <w:rsid w:val="00552708"/>
    <w:rsid w:val="005535CA"/>
    <w:rsid w:val="00555531"/>
    <w:rsid w:val="00555B97"/>
    <w:rsid w:val="00555DB7"/>
    <w:rsid w:val="005563B4"/>
    <w:rsid w:val="00556840"/>
    <w:rsid w:val="00557292"/>
    <w:rsid w:val="00560816"/>
    <w:rsid w:val="00564144"/>
    <w:rsid w:val="00566230"/>
    <w:rsid w:val="005666A1"/>
    <w:rsid w:val="0057017F"/>
    <w:rsid w:val="00573B1C"/>
    <w:rsid w:val="00573E04"/>
    <w:rsid w:val="00574700"/>
    <w:rsid w:val="005754BB"/>
    <w:rsid w:val="0057670C"/>
    <w:rsid w:val="00577094"/>
    <w:rsid w:val="00580218"/>
    <w:rsid w:val="0058102E"/>
    <w:rsid w:val="00581033"/>
    <w:rsid w:val="00582ABF"/>
    <w:rsid w:val="005846D8"/>
    <w:rsid w:val="005865CD"/>
    <w:rsid w:val="00587C0A"/>
    <w:rsid w:val="00590066"/>
    <w:rsid w:val="00590E27"/>
    <w:rsid w:val="0059140D"/>
    <w:rsid w:val="00592047"/>
    <w:rsid w:val="00592804"/>
    <w:rsid w:val="0059351F"/>
    <w:rsid w:val="005938CD"/>
    <w:rsid w:val="005938D6"/>
    <w:rsid w:val="00593D32"/>
    <w:rsid w:val="00596B60"/>
    <w:rsid w:val="00596E7A"/>
    <w:rsid w:val="005A0332"/>
    <w:rsid w:val="005A12A7"/>
    <w:rsid w:val="005A29E5"/>
    <w:rsid w:val="005A3049"/>
    <w:rsid w:val="005A435C"/>
    <w:rsid w:val="005A48AF"/>
    <w:rsid w:val="005A4ECB"/>
    <w:rsid w:val="005A4FA2"/>
    <w:rsid w:val="005A5C27"/>
    <w:rsid w:val="005A6147"/>
    <w:rsid w:val="005A753E"/>
    <w:rsid w:val="005A7F59"/>
    <w:rsid w:val="005B1A0D"/>
    <w:rsid w:val="005B1B39"/>
    <w:rsid w:val="005B2CBE"/>
    <w:rsid w:val="005B3175"/>
    <w:rsid w:val="005B3F67"/>
    <w:rsid w:val="005B40B7"/>
    <w:rsid w:val="005B482A"/>
    <w:rsid w:val="005B521F"/>
    <w:rsid w:val="005B52EA"/>
    <w:rsid w:val="005B5897"/>
    <w:rsid w:val="005B721E"/>
    <w:rsid w:val="005B7242"/>
    <w:rsid w:val="005B7619"/>
    <w:rsid w:val="005C0021"/>
    <w:rsid w:val="005C0C53"/>
    <w:rsid w:val="005C6579"/>
    <w:rsid w:val="005D049B"/>
    <w:rsid w:val="005D0E93"/>
    <w:rsid w:val="005D1267"/>
    <w:rsid w:val="005D30B2"/>
    <w:rsid w:val="005D4D48"/>
    <w:rsid w:val="005D4DDB"/>
    <w:rsid w:val="005D4DF0"/>
    <w:rsid w:val="005D5601"/>
    <w:rsid w:val="005D6E91"/>
    <w:rsid w:val="005D7ED9"/>
    <w:rsid w:val="005E2ACA"/>
    <w:rsid w:val="005E2D71"/>
    <w:rsid w:val="005E7E37"/>
    <w:rsid w:val="005F0C73"/>
    <w:rsid w:val="005F1AAD"/>
    <w:rsid w:val="005F1FE0"/>
    <w:rsid w:val="005F1FF4"/>
    <w:rsid w:val="005F279D"/>
    <w:rsid w:val="005F2AE6"/>
    <w:rsid w:val="005F3BAC"/>
    <w:rsid w:val="005F3DF1"/>
    <w:rsid w:val="005F4E4D"/>
    <w:rsid w:val="005F5209"/>
    <w:rsid w:val="005F697D"/>
    <w:rsid w:val="006001C6"/>
    <w:rsid w:val="00600496"/>
    <w:rsid w:val="006015C4"/>
    <w:rsid w:val="0060168D"/>
    <w:rsid w:val="0060206D"/>
    <w:rsid w:val="00603C7D"/>
    <w:rsid w:val="00604C08"/>
    <w:rsid w:val="006068B4"/>
    <w:rsid w:val="0060726C"/>
    <w:rsid w:val="006072D5"/>
    <w:rsid w:val="006078BF"/>
    <w:rsid w:val="00610974"/>
    <w:rsid w:val="00611467"/>
    <w:rsid w:val="0061408C"/>
    <w:rsid w:val="00614652"/>
    <w:rsid w:val="00614C71"/>
    <w:rsid w:val="00617402"/>
    <w:rsid w:val="0061788C"/>
    <w:rsid w:val="00620A16"/>
    <w:rsid w:val="006212AE"/>
    <w:rsid w:val="00621D19"/>
    <w:rsid w:val="006230BE"/>
    <w:rsid w:val="00624765"/>
    <w:rsid w:val="00624CB9"/>
    <w:rsid w:val="006270DD"/>
    <w:rsid w:val="006333F5"/>
    <w:rsid w:val="006358BB"/>
    <w:rsid w:val="006365C2"/>
    <w:rsid w:val="006375BB"/>
    <w:rsid w:val="006378C2"/>
    <w:rsid w:val="0064199F"/>
    <w:rsid w:val="00642901"/>
    <w:rsid w:val="00646482"/>
    <w:rsid w:val="00647D4E"/>
    <w:rsid w:val="00650D2F"/>
    <w:rsid w:val="00654150"/>
    <w:rsid w:val="00654A61"/>
    <w:rsid w:val="006568E5"/>
    <w:rsid w:val="00656C2B"/>
    <w:rsid w:val="00657DDB"/>
    <w:rsid w:val="00657E21"/>
    <w:rsid w:val="0066035F"/>
    <w:rsid w:val="00663538"/>
    <w:rsid w:val="0066580B"/>
    <w:rsid w:val="00666284"/>
    <w:rsid w:val="00671CAB"/>
    <w:rsid w:val="0067536B"/>
    <w:rsid w:val="0067575E"/>
    <w:rsid w:val="00675B43"/>
    <w:rsid w:val="0067771A"/>
    <w:rsid w:val="0068240B"/>
    <w:rsid w:val="00684313"/>
    <w:rsid w:val="00684B11"/>
    <w:rsid w:val="00684F8F"/>
    <w:rsid w:val="0068629D"/>
    <w:rsid w:val="006865C1"/>
    <w:rsid w:val="00686768"/>
    <w:rsid w:val="00686A79"/>
    <w:rsid w:val="00691B1C"/>
    <w:rsid w:val="00693781"/>
    <w:rsid w:val="00694097"/>
    <w:rsid w:val="00694DBD"/>
    <w:rsid w:val="00695227"/>
    <w:rsid w:val="00695749"/>
    <w:rsid w:val="00695F66"/>
    <w:rsid w:val="00696BC1"/>
    <w:rsid w:val="006A0281"/>
    <w:rsid w:val="006A0440"/>
    <w:rsid w:val="006A09F6"/>
    <w:rsid w:val="006A0ABD"/>
    <w:rsid w:val="006A2417"/>
    <w:rsid w:val="006A3E7D"/>
    <w:rsid w:val="006A457F"/>
    <w:rsid w:val="006A45F6"/>
    <w:rsid w:val="006A4738"/>
    <w:rsid w:val="006A554A"/>
    <w:rsid w:val="006A64A0"/>
    <w:rsid w:val="006A664E"/>
    <w:rsid w:val="006A78F6"/>
    <w:rsid w:val="006B0D06"/>
    <w:rsid w:val="006B16EB"/>
    <w:rsid w:val="006B2812"/>
    <w:rsid w:val="006B288C"/>
    <w:rsid w:val="006B28A6"/>
    <w:rsid w:val="006B2F38"/>
    <w:rsid w:val="006B2FC6"/>
    <w:rsid w:val="006B4758"/>
    <w:rsid w:val="006B77D2"/>
    <w:rsid w:val="006B7EB7"/>
    <w:rsid w:val="006C1454"/>
    <w:rsid w:val="006C1954"/>
    <w:rsid w:val="006C1ED2"/>
    <w:rsid w:val="006C2ECC"/>
    <w:rsid w:val="006C4EEC"/>
    <w:rsid w:val="006C5188"/>
    <w:rsid w:val="006C5A23"/>
    <w:rsid w:val="006D3BD7"/>
    <w:rsid w:val="006D3EAA"/>
    <w:rsid w:val="006E3083"/>
    <w:rsid w:val="006E7FAC"/>
    <w:rsid w:val="006F0EEA"/>
    <w:rsid w:val="006F1D6B"/>
    <w:rsid w:val="006F2179"/>
    <w:rsid w:val="006F4916"/>
    <w:rsid w:val="006F5621"/>
    <w:rsid w:val="006F5E2C"/>
    <w:rsid w:val="006F5F6C"/>
    <w:rsid w:val="006F67F1"/>
    <w:rsid w:val="006F6D99"/>
    <w:rsid w:val="00700CEE"/>
    <w:rsid w:val="00700D11"/>
    <w:rsid w:val="00703922"/>
    <w:rsid w:val="00703D89"/>
    <w:rsid w:val="00705143"/>
    <w:rsid w:val="00706BEA"/>
    <w:rsid w:val="00706E9F"/>
    <w:rsid w:val="007071E5"/>
    <w:rsid w:val="007120DA"/>
    <w:rsid w:val="00713627"/>
    <w:rsid w:val="0071469C"/>
    <w:rsid w:val="00715874"/>
    <w:rsid w:val="00716460"/>
    <w:rsid w:val="0071753E"/>
    <w:rsid w:val="00717FFE"/>
    <w:rsid w:val="00720399"/>
    <w:rsid w:val="00721B22"/>
    <w:rsid w:val="007249DE"/>
    <w:rsid w:val="00724C53"/>
    <w:rsid w:val="00725ACC"/>
    <w:rsid w:val="00725E7D"/>
    <w:rsid w:val="007263EF"/>
    <w:rsid w:val="00727015"/>
    <w:rsid w:val="007275F2"/>
    <w:rsid w:val="00727920"/>
    <w:rsid w:val="007304E2"/>
    <w:rsid w:val="007308C5"/>
    <w:rsid w:val="00732543"/>
    <w:rsid w:val="00732655"/>
    <w:rsid w:val="007326FC"/>
    <w:rsid w:val="00732A19"/>
    <w:rsid w:val="00733672"/>
    <w:rsid w:val="007340A3"/>
    <w:rsid w:val="00740C8D"/>
    <w:rsid w:val="00741AF2"/>
    <w:rsid w:val="007421D7"/>
    <w:rsid w:val="0074240E"/>
    <w:rsid w:val="00742DEF"/>
    <w:rsid w:val="00744651"/>
    <w:rsid w:val="007459CD"/>
    <w:rsid w:val="00745A2A"/>
    <w:rsid w:val="00746ADA"/>
    <w:rsid w:val="0075101E"/>
    <w:rsid w:val="007514A8"/>
    <w:rsid w:val="00751C1E"/>
    <w:rsid w:val="0075214E"/>
    <w:rsid w:val="0075260C"/>
    <w:rsid w:val="00752F5D"/>
    <w:rsid w:val="00753948"/>
    <w:rsid w:val="00753B78"/>
    <w:rsid w:val="00755201"/>
    <w:rsid w:val="00756184"/>
    <w:rsid w:val="00761FFC"/>
    <w:rsid w:val="00762A07"/>
    <w:rsid w:val="00763D42"/>
    <w:rsid w:val="00764761"/>
    <w:rsid w:val="007649BD"/>
    <w:rsid w:val="007653C8"/>
    <w:rsid w:val="00765C41"/>
    <w:rsid w:val="00767E45"/>
    <w:rsid w:val="0077028A"/>
    <w:rsid w:val="007707BE"/>
    <w:rsid w:val="0077615F"/>
    <w:rsid w:val="00776E7A"/>
    <w:rsid w:val="0077700C"/>
    <w:rsid w:val="00777541"/>
    <w:rsid w:val="00777604"/>
    <w:rsid w:val="00777718"/>
    <w:rsid w:val="007778EB"/>
    <w:rsid w:val="00777DE6"/>
    <w:rsid w:val="00777F6B"/>
    <w:rsid w:val="00777F9C"/>
    <w:rsid w:val="007804BA"/>
    <w:rsid w:val="00781A47"/>
    <w:rsid w:val="00782E26"/>
    <w:rsid w:val="00782E70"/>
    <w:rsid w:val="0078455B"/>
    <w:rsid w:val="007850E7"/>
    <w:rsid w:val="007860EC"/>
    <w:rsid w:val="007906AB"/>
    <w:rsid w:val="00791363"/>
    <w:rsid w:val="00791BCB"/>
    <w:rsid w:val="00791CA7"/>
    <w:rsid w:val="0079239A"/>
    <w:rsid w:val="00793348"/>
    <w:rsid w:val="007937A6"/>
    <w:rsid w:val="00795190"/>
    <w:rsid w:val="007956CB"/>
    <w:rsid w:val="007959DF"/>
    <w:rsid w:val="00795C41"/>
    <w:rsid w:val="00797BCF"/>
    <w:rsid w:val="00797D4D"/>
    <w:rsid w:val="007A2E8A"/>
    <w:rsid w:val="007A4743"/>
    <w:rsid w:val="007A483E"/>
    <w:rsid w:val="007A4AEA"/>
    <w:rsid w:val="007A5F36"/>
    <w:rsid w:val="007A6050"/>
    <w:rsid w:val="007A6666"/>
    <w:rsid w:val="007A70C2"/>
    <w:rsid w:val="007B0A01"/>
    <w:rsid w:val="007B2862"/>
    <w:rsid w:val="007B2D31"/>
    <w:rsid w:val="007B3510"/>
    <w:rsid w:val="007B35A6"/>
    <w:rsid w:val="007B3BC4"/>
    <w:rsid w:val="007B5620"/>
    <w:rsid w:val="007B5738"/>
    <w:rsid w:val="007C0A65"/>
    <w:rsid w:val="007C1C89"/>
    <w:rsid w:val="007C35EE"/>
    <w:rsid w:val="007C4003"/>
    <w:rsid w:val="007C612F"/>
    <w:rsid w:val="007C6794"/>
    <w:rsid w:val="007C6CF5"/>
    <w:rsid w:val="007D0125"/>
    <w:rsid w:val="007D04B3"/>
    <w:rsid w:val="007D1CA0"/>
    <w:rsid w:val="007D25EA"/>
    <w:rsid w:val="007D3EF4"/>
    <w:rsid w:val="007D40D9"/>
    <w:rsid w:val="007D59B1"/>
    <w:rsid w:val="007D5A0E"/>
    <w:rsid w:val="007D5CD0"/>
    <w:rsid w:val="007D69C6"/>
    <w:rsid w:val="007D6D73"/>
    <w:rsid w:val="007D74B8"/>
    <w:rsid w:val="007D7DD9"/>
    <w:rsid w:val="007E0779"/>
    <w:rsid w:val="007E1176"/>
    <w:rsid w:val="007E1761"/>
    <w:rsid w:val="007E1D50"/>
    <w:rsid w:val="007E2BC2"/>
    <w:rsid w:val="007E4060"/>
    <w:rsid w:val="007E5112"/>
    <w:rsid w:val="007E5ADB"/>
    <w:rsid w:val="007E60BA"/>
    <w:rsid w:val="007E63C3"/>
    <w:rsid w:val="007E6AD6"/>
    <w:rsid w:val="007E703F"/>
    <w:rsid w:val="007E704D"/>
    <w:rsid w:val="007E7363"/>
    <w:rsid w:val="007E74D2"/>
    <w:rsid w:val="007F1529"/>
    <w:rsid w:val="007F2D5E"/>
    <w:rsid w:val="007F5172"/>
    <w:rsid w:val="007F599F"/>
    <w:rsid w:val="007F5CE5"/>
    <w:rsid w:val="007F616E"/>
    <w:rsid w:val="007F6898"/>
    <w:rsid w:val="007F7187"/>
    <w:rsid w:val="007F720D"/>
    <w:rsid w:val="008010D6"/>
    <w:rsid w:val="0080158B"/>
    <w:rsid w:val="008023D0"/>
    <w:rsid w:val="00803C3A"/>
    <w:rsid w:val="008055F2"/>
    <w:rsid w:val="00806481"/>
    <w:rsid w:val="00807C41"/>
    <w:rsid w:val="008112E4"/>
    <w:rsid w:val="0081397E"/>
    <w:rsid w:val="0081425D"/>
    <w:rsid w:val="0081647C"/>
    <w:rsid w:val="00816AC9"/>
    <w:rsid w:val="0081703A"/>
    <w:rsid w:val="008171E5"/>
    <w:rsid w:val="00817CD3"/>
    <w:rsid w:val="00820354"/>
    <w:rsid w:val="0082145B"/>
    <w:rsid w:val="00821D32"/>
    <w:rsid w:val="008236DA"/>
    <w:rsid w:val="0082518C"/>
    <w:rsid w:val="008257C1"/>
    <w:rsid w:val="00825A5D"/>
    <w:rsid w:val="0082708C"/>
    <w:rsid w:val="00827C11"/>
    <w:rsid w:val="0083007B"/>
    <w:rsid w:val="008308F6"/>
    <w:rsid w:val="0083412D"/>
    <w:rsid w:val="008353BE"/>
    <w:rsid w:val="00836896"/>
    <w:rsid w:val="00836929"/>
    <w:rsid w:val="00836B1F"/>
    <w:rsid w:val="0083709C"/>
    <w:rsid w:val="008376FA"/>
    <w:rsid w:val="00841829"/>
    <w:rsid w:val="00842703"/>
    <w:rsid w:val="0084343D"/>
    <w:rsid w:val="0084449B"/>
    <w:rsid w:val="00847111"/>
    <w:rsid w:val="0084767B"/>
    <w:rsid w:val="0085005B"/>
    <w:rsid w:val="00851006"/>
    <w:rsid w:val="008516BA"/>
    <w:rsid w:val="0085537D"/>
    <w:rsid w:val="00855EE4"/>
    <w:rsid w:val="008560C3"/>
    <w:rsid w:val="00860AC1"/>
    <w:rsid w:val="00861997"/>
    <w:rsid w:val="00861A3F"/>
    <w:rsid w:val="00862284"/>
    <w:rsid w:val="008623EE"/>
    <w:rsid w:val="008635E8"/>
    <w:rsid w:val="0086462F"/>
    <w:rsid w:val="00865438"/>
    <w:rsid w:val="0086639B"/>
    <w:rsid w:val="00870081"/>
    <w:rsid w:val="00871A83"/>
    <w:rsid w:val="00872060"/>
    <w:rsid w:val="00872EE0"/>
    <w:rsid w:val="00873E36"/>
    <w:rsid w:val="00875B1A"/>
    <w:rsid w:val="0087621B"/>
    <w:rsid w:val="00876CD7"/>
    <w:rsid w:val="008824FF"/>
    <w:rsid w:val="00884630"/>
    <w:rsid w:val="00884665"/>
    <w:rsid w:val="00884858"/>
    <w:rsid w:val="00886662"/>
    <w:rsid w:val="008872C1"/>
    <w:rsid w:val="00887A0D"/>
    <w:rsid w:val="00892906"/>
    <w:rsid w:val="00892A5B"/>
    <w:rsid w:val="00892B61"/>
    <w:rsid w:val="0089339B"/>
    <w:rsid w:val="00893D46"/>
    <w:rsid w:val="0089779F"/>
    <w:rsid w:val="008977D1"/>
    <w:rsid w:val="0089787A"/>
    <w:rsid w:val="008A0037"/>
    <w:rsid w:val="008A11B5"/>
    <w:rsid w:val="008A2B87"/>
    <w:rsid w:val="008A48DD"/>
    <w:rsid w:val="008A7962"/>
    <w:rsid w:val="008B086F"/>
    <w:rsid w:val="008B1BFE"/>
    <w:rsid w:val="008B24E1"/>
    <w:rsid w:val="008B308F"/>
    <w:rsid w:val="008B407F"/>
    <w:rsid w:val="008B47AF"/>
    <w:rsid w:val="008B50D5"/>
    <w:rsid w:val="008B5374"/>
    <w:rsid w:val="008B5FD3"/>
    <w:rsid w:val="008B733F"/>
    <w:rsid w:val="008B7B82"/>
    <w:rsid w:val="008C0135"/>
    <w:rsid w:val="008C01C0"/>
    <w:rsid w:val="008C4547"/>
    <w:rsid w:val="008C4AE0"/>
    <w:rsid w:val="008C5815"/>
    <w:rsid w:val="008C58C8"/>
    <w:rsid w:val="008C6D01"/>
    <w:rsid w:val="008C6D52"/>
    <w:rsid w:val="008C715A"/>
    <w:rsid w:val="008C74E7"/>
    <w:rsid w:val="008C7916"/>
    <w:rsid w:val="008C79AD"/>
    <w:rsid w:val="008D1ECC"/>
    <w:rsid w:val="008D3D44"/>
    <w:rsid w:val="008D4A52"/>
    <w:rsid w:val="008D5128"/>
    <w:rsid w:val="008D53D8"/>
    <w:rsid w:val="008D61C6"/>
    <w:rsid w:val="008D72D8"/>
    <w:rsid w:val="008D7562"/>
    <w:rsid w:val="008D78B8"/>
    <w:rsid w:val="008E0EF3"/>
    <w:rsid w:val="008E1169"/>
    <w:rsid w:val="008E2186"/>
    <w:rsid w:val="008E288D"/>
    <w:rsid w:val="008E2D00"/>
    <w:rsid w:val="008E49ED"/>
    <w:rsid w:val="008E54E9"/>
    <w:rsid w:val="008E7005"/>
    <w:rsid w:val="008F3730"/>
    <w:rsid w:val="008F3B67"/>
    <w:rsid w:val="008F43FF"/>
    <w:rsid w:val="008F45F8"/>
    <w:rsid w:val="008F5882"/>
    <w:rsid w:val="008F5956"/>
    <w:rsid w:val="008F5987"/>
    <w:rsid w:val="008F6B12"/>
    <w:rsid w:val="008F6FA1"/>
    <w:rsid w:val="009018D5"/>
    <w:rsid w:val="009048EA"/>
    <w:rsid w:val="0090725D"/>
    <w:rsid w:val="00907504"/>
    <w:rsid w:val="0091101D"/>
    <w:rsid w:val="00912753"/>
    <w:rsid w:val="00912EA6"/>
    <w:rsid w:val="009136E7"/>
    <w:rsid w:val="00913FF0"/>
    <w:rsid w:val="00914498"/>
    <w:rsid w:val="00914C75"/>
    <w:rsid w:val="00915178"/>
    <w:rsid w:val="00915EF1"/>
    <w:rsid w:val="009162EB"/>
    <w:rsid w:val="00916B1B"/>
    <w:rsid w:val="00921701"/>
    <w:rsid w:val="009238B1"/>
    <w:rsid w:val="00925087"/>
    <w:rsid w:val="00925B70"/>
    <w:rsid w:val="00925C51"/>
    <w:rsid w:val="009269B5"/>
    <w:rsid w:val="00927AE7"/>
    <w:rsid w:val="00930208"/>
    <w:rsid w:val="00933A0F"/>
    <w:rsid w:val="00933A76"/>
    <w:rsid w:val="00935547"/>
    <w:rsid w:val="00937198"/>
    <w:rsid w:val="009377EA"/>
    <w:rsid w:val="00945DFE"/>
    <w:rsid w:val="00947A28"/>
    <w:rsid w:val="00947B77"/>
    <w:rsid w:val="00950B9B"/>
    <w:rsid w:val="009521ED"/>
    <w:rsid w:val="00952249"/>
    <w:rsid w:val="0095278C"/>
    <w:rsid w:val="009528A7"/>
    <w:rsid w:val="00953FDE"/>
    <w:rsid w:val="0095656A"/>
    <w:rsid w:val="00956E25"/>
    <w:rsid w:val="009623F5"/>
    <w:rsid w:val="00962E64"/>
    <w:rsid w:val="009663D4"/>
    <w:rsid w:val="0096640C"/>
    <w:rsid w:val="009664EE"/>
    <w:rsid w:val="00972086"/>
    <w:rsid w:val="0097343F"/>
    <w:rsid w:val="00975A4C"/>
    <w:rsid w:val="009763BD"/>
    <w:rsid w:val="009810FE"/>
    <w:rsid w:val="009814A3"/>
    <w:rsid w:val="009829FC"/>
    <w:rsid w:val="00982EB5"/>
    <w:rsid w:val="00984E03"/>
    <w:rsid w:val="00985AF3"/>
    <w:rsid w:val="00991EC1"/>
    <w:rsid w:val="00992E42"/>
    <w:rsid w:val="009959DB"/>
    <w:rsid w:val="009A0147"/>
    <w:rsid w:val="009A0F62"/>
    <w:rsid w:val="009A22E8"/>
    <w:rsid w:val="009A469D"/>
    <w:rsid w:val="009A47A1"/>
    <w:rsid w:val="009A560E"/>
    <w:rsid w:val="009A620D"/>
    <w:rsid w:val="009A6B7D"/>
    <w:rsid w:val="009A7FB0"/>
    <w:rsid w:val="009B0CB2"/>
    <w:rsid w:val="009B17BD"/>
    <w:rsid w:val="009B2A41"/>
    <w:rsid w:val="009B4355"/>
    <w:rsid w:val="009B5391"/>
    <w:rsid w:val="009B55CD"/>
    <w:rsid w:val="009B5AF2"/>
    <w:rsid w:val="009B604D"/>
    <w:rsid w:val="009B606A"/>
    <w:rsid w:val="009B65F8"/>
    <w:rsid w:val="009B681F"/>
    <w:rsid w:val="009B7F3C"/>
    <w:rsid w:val="009C00B9"/>
    <w:rsid w:val="009C07F6"/>
    <w:rsid w:val="009C3623"/>
    <w:rsid w:val="009C3B64"/>
    <w:rsid w:val="009C43E1"/>
    <w:rsid w:val="009C472F"/>
    <w:rsid w:val="009C6FE2"/>
    <w:rsid w:val="009C722D"/>
    <w:rsid w:val="009C7716"/>
    <w:rsid w:val="009C77DA"/>
    <w:rsid w:val="009D011B"/>
    <w:rsid w:val="009D048F"/>
    <w:rsid w:val="009D0667"/>
    <w:rsid w:val="009D0861"/>
    <w:rsid w:val="009D0D74"/>
    <w:rsid w:val="009D19F2"/>
    <w:rsid w:val="009D328D"/>
    <w:rsid w:val="009D3A13"/>
    <w:rsid w:val="009D3ECE"/>
    <w:rsid w:val="009D5704"/>
    <w:rsid w:val="009D5B5E"/>
    <w:rsid w:val="009D5F11"/>
    <w:rsid w:val="009D61FB"/>
    <w:rsid w:val="009D7097"/>
    <w:rsid w:val="009D7562"/>
    <w:rsid w:val="009D7B36"/>
    <w:rsid w:val="009E014D"/>
    <w:rsid w:val="009E0647"/>
    <w:rsid w:val="009E0ACB"/>
    <w:rsid w:val="009E3AF1"/>
    <w:rsid w:val="009E3F23"/>
    <w:rsid w:val="009E42D6"/>
    <w:rsid w:val="009E5845"/>
    <w:rsid w:val="009E5F22"/>
    <w:rsid w:val="009F0B52"/>
    <w:rsid w:val="009F0E80"/>
    <w:rsid w:val="009F1954"/>
    <w:rsid w:val="009F1E5E"/>
    <w:rsid w:val="009F2E08"/>
    <w:rsid w:val="009F3E43"/>
    <w:rsid w:val="009F4439"/>
    <w:rsid w:val="009F529F"/>
    <w:rsid w:val="009F568C"/>
    <w:rsid w:val="009F5709"/>
    <w:rsid w:val="009F6BC0"/>
    <w:rsid w:val="009F701D"/>
    <w:rsid w:val="00A03F57"/>
    <w:rsid w:val="00A075E5"/>
    <w:rsid w:val="00A114A7"/>
    <w:rsid w:val="00A13681"/>
    <w:rsid w:val="00A153C0"/>
    <w:rsid w:val="00A153FD"/>
    <w:rsid w:val="00A17BD7"/>
    <w:rsid w:val="00A20A3B"/>
    <w:rsid w:val="00A254F5"/>
    <w:rsid w:val="00A25EB9"/>
    <w:rsid w:val="00A2626F"/>
    <w:rsid w:val="00A27087"/>
    <w:rsid w:val="00A303EB"/>
    <w:rsid w:val="00A3159D"/>
    <w:rsid w:val="00A32CF7"/>
    <w:rsid w:val="00A334AB"/>
    <w:rsid w:val="00A33B39"/>
    <w:rsid w:val="00A3448F"/>
    <w:rsid w:val="00A3482A"/>
    <w:rsid w:val="00A35B48"/>
    <w:rsid w:val="00A36F7B"/>
    <w:rsid w:val="00A36FCB"/>
    <w:rsid w:val="00A375B0"/>
    <w:rsid w:val="00A3762D"/>
    <w:rsid w:val="00A37BA4"/>
    <w:rsid w:val="00A41716"/>
    <w:rsid w:val="00A41F4A"/>
    <w:rsid w:val="00A43B39"/>
    <w:rsid w:val="00A441C7"/>
    <w:rsid w:val="00A4453D"/>
    <w:rsid w:val="00A44A01"/>
    <w:rsid w:val="00A454A7"/>
    <w:rsid w:val="00A45720"/>
    <w:rsid w:val="00A47E46"/>
    <w:rsid w:val="00A50718"/>
    <w:rsid w:val="00A51075"/>
    <w:rsid w:val="00A51D66"/>
    <w:rsid w:val="00A52776"/>
    <w:rsid w:val="00A5300C"/>
    <w:rsid w:val="00A553E2"/>
    <w:rsid w:val="00A60E34"/>
    <w:rsid w:val="00A614F6"/>
    <w:rsid w:val="00A63134"/>
    <w:rsid w:val="00A63E8C"/>
    <w:rsid w:val="00A641E8"/>
    <w:rsid w:val="00A6436C"/>
    <w:rsid w:val="00A65AEC"/>
    <w:rsid w:val="00A710BD"/>
    <w:rsid w:val="00A718DD"/>
    <w:rsid w:val="00A71C76"/>
    <w:rsid w:val="00A720FB"/>
    <w:rsid w:val="00A755E1"/>
    <w:rsid w:val="00A75E41"/>
    <w:rsid w:val="00A763A2"/>
    <w:rsid w:val="00A7683B"/>
    <w:rsid w:val="00A7683D"/>
    <w:rsid w:val="00A777BF"/>
    <w:rsid w:val="00A81DC6"/>
    <w:rsid w:val="00A83368"/>
    <w:rsid w:val="00A8340B"/>
    <w:rsid w:val="00A84721"/>
    <w:rsid w:val="00A8625B"/>
    <w:rsid w:val="00A86CC2"/>
    <w:rsid w:val="00A873C6"/>
    <w:rsid w:val="00A87D60"/>
    <w:rsid w:val="00A918DD"/>
    <w:rsid w:val="00A9215E"/>
    <w:rsid w:val="00A92C90"/>
    <w:rsid w:val="00A93B9A"/>
    <w:rsid w:val="00A944FC"/>
    <w:rsid w:val="00A95F9D"/>
    <w:rsid w:val="00A97834"/>
    <w:rsid w:val="00A97C02"/>
    <w:rsid w:val="00AA046D"/>
    <w:rsid w:val="00AA2DF5"/>
    <w:rsid w:val="00AA37B2"/>
    <w:rsid w:val="00AA438D"/>
    <w:rsid w:val="00AA4F23"/>
    <w:rsid w:val="00AA6E0E"/>
    <w:rsid w:val="00AB0FEB"/>
    <w:rsid w:val="00AB33E4"/>
    <w:rsid w:val="00AB3500"/>
    <w:rsid w:val="00AB4204"/>
    <w:rsid w:val="00AB4A43"/>
    <w:rsid w:val="00AB4FB1"/>
    <w:rsid w:val="00AB6D43"/>
    <w:rsid w:val="00AC1BEF"/>
    <w:rsid w:val="00AC2258"/>
    <w:rsid w:val="00AC2604"/>
    <w:rsid w:val="00AC2B8C"/>
    <w:rsid w:val="00AC4010"/>
    <w:rsid w:val="00AC59F5"/>
    <w:rsid w:val="00AC74E8"/>
    <w:rsid w:val="00AC7DB9"/>
    <w:rsid w:val="00AD0133"/>
    <w:rsid w:val="00AD1553"/>
    <w:rsid w:val="00AD2566"/>
    <w:rsid w:val="00AD4682"/>
    <w:rsid w:val="00AD4DB4"/>
    <w:rsid w:val="00AD55D2"/>
    <w:rsid w:val="00AD732E"/>
    <w:rsid w:val="00AE173F"/>
    <w:rsid w:val="00AE2258"/>
    <w:rsid w:val="00AE2498"/>
    <w:rsid w:val="00AE33AB"/>
    <w:rsid w:val="00AE3D99"/>
    <w:rsid w:val="00AE4751"/>
    <w:rsid w:val="00AE5EBC"/>
    <w:rsid w:val="00AE7709"/>
    <w:rsid w:val="00AF137A"/>
    <w:rsid w:val="00AF2E1C"/>
    <w:rsid w:val="00AF2FCD"/>
    <w:rsid w:val="00AF3292"/>
    <w:rsid w:val="00AF54D1"/>
    <w:rsid w:val="00AF5AF4"/>
    <w:rsid w:val="00AF7CB3"/>
    <w:rsid w:val="00B0063E"/>
    <w:rsid w:val="00B00F7A"/>
    <w:rsid w:val="00B026EA"/>
    <w:rsid w:val="00B02712"/>
    <w:rsid w:val="00B0420E"/>
    <w:rsid w:val="00B057DD"/>
    <w:rsid w:val="00B06833"/>
    <w:rsid w:val="00B06D83"/>
    <w:rsid w:val="00B07DA6"/>
    <w:rsid w:val="00B11895"/>
    <w:rsid w:val="00B123B4"/>
    <w:rsid w:val="00B1380D"/>
    <w:rsid w:val="00B15C67"/>
    <w:rsid w:val="00B161E2"/>
    <w:rsid w:val="00B16732"/>
    <w:rsid w:val="00B1756C"/>
    <w:rsid w:val="00B20A85"/>
    <w:rsid w:val="00B20E74"/>
    <w:rsid w:val="00B23B24"/>
    <w:rsid w:val="00B34810"/>
    <w:rsid w:val="00B355D3"/>
    <w:rsid w:val="00B379AF"/>
    <w:rsid w:val="00B42729"/>
    <w:rsid w:val="00B4686A"/>
    <w:rsid w:val="00B4758C"/>
    <w:rsid w:val="00B475DA"/>
    <w:rsid w:val="00B47E2C"/>
    <w:rsid w:val="00B51A30"/>
    <w:rsid w:val="00B51D2E"/>
    <w:rsid w:val="00B5225F"/>
    <w:rsid w:val="00B536B8"/>
    <w:rsid w:val="00B54AD1"/>
    <w:rsid w:val="00B57AEA"/>
    <w:rsid w:val="00B57CC4"/>
    <w:rsid w:val="00B60296"/>
    <w:rsid w:val="00B61075"/>
    <w:rsid w:val="00B6386C"/>
    <w:rsid w:val="00B64066"/>
    <w:rsid w:val="00B65D7F"/>
    <w:rsid w:val="00B660AE"/>
    <w:rsid w:val="00B668FC"/>
    <w:rsid w:val="00B66A74"/>
    <w:rsid w:val="00B70443"/>
    <w:rsid w:val="00B7058C"/>
    <w:rsid w:val="00B70743"/>
    <w:rsid w:val="00B70CAD"/>
    <w:rsid w:val="00B710C4"/>
    <w:rsid w:val="00B7164E"/>
    <w:rsid w:val="00B71DA9"/>
    <w:rsid w:val="00B73F02"/>
    <w:rsid w:val="00B74760"/>
    <w:rsid w:val="00B75329"/>
    <w:rsid w:val="00B7750B"/>
    <w:rsid w:val="00B8186F"/>
    <w:rsid w:val="00B82F71"/>
    <w:rsid w:val="00B832D8"/>
    <w:rsid w:val="00B838B1"/>
    <w:rsid w:val="00B83E99"/>
    <w:rsid w:val="00B85BC8"/>
    <w:rsid w:val="00B8655C"/>
    <w:rsid w:val="00B87993"/>
    <w:rsid w:val="00B90D99"/>
    <w:rsid w:val="00B917D1"/>
    <w:rsid w:val="00B91D2B"/>
    <w:rsid w:val="00B91F2B"/>
    <w:rsid w:val="00B932BD"/>
    <w:rsid w:val="00B9440B"/>
    <w:rsid w:val="00B94E42"/>
    <w:rsid w:val="00B95018"/>
    <w:rsid w:val="00B95CDD"/>
    <w:rsid w:val="00B960E7"/>
    <w:rsid w:val="00B96FC6"/>
    <w:rsid w:val="00BA1CBE"/>
    <w:rsid w:val="00BA21B3"/>
    <w:rsid w:val="00BA401E"/>
    <w:rsid w:val="00BA491B"/>
    <w:rsid w:val="00BA5930"/>
    <w:rsid w:val="00BA69FC"/>
    <w:rsid w:val="00BA74C2"/>
    <w:rsid w:val="00BA7F27"/>
    <w:rsid w:val="00BB08C0"/>
    <w:rsid w:val="00BB0C73"/>
    <w:rsid w:val="00BB1027"/>
    <w:rsid w:val="00BB19A7"/>
    <w:rsid w:val="00BB5FB6"/>
    <w:rsid w:val="00BB7A23"/>
    <w:rsid w:val="00BC2E07"/>
    <w:rsid w:val="00BC3E19"/>
    <w:rsid w:val="00BC4EDE"/>
    <w:rsid w:val="00BC4EF0"/>
    <w:rsid w:val="00BC67DE"/>
    <w:rsid w:val="00BC707A"/>
    <w:rsid w:val="00BD0A7B"/>
    <w:rsid w:val="00BD1D07"/>
    <w:rsid w:val="00BD3C58"/>
    <w:rsid w:val="00BD3DAC"/>
    <w:rsid w:val="00BD4D00"/>
    <w:rsid w:val="00BE11FB"/>
    <w:rsid w:val="00BE140B"/>
    <w:rsid w:val="00BE2B70"/>
    <w:rsid w:val="00BE4C93"/>
    <w:rsid w:val="00BE5995"/>
    <w:rsid w:val="00BF06C1"/>
    <w:rsid w:val="00BF0811"/>
    <w:rsid w:val="00BF4848"/>
    <w:rsid w:val="00BF509B"/>
    <w:rsid w:val="00BF6712"/>
    <w:rsid w:val="00C00558"/>
    <w:rsid w:val="00C02B78"/>
    <w:rsid w:val="00C04833"/>
    <w:rsid w:val="00C04C75"/>
    <w:rsid w:val="00C05B85"/>
    <w:rsid w:val="00C133C1"/>
    <w:rsid w:val="00C161E5"/>
    <w:rsid w:val="00C168B3"/>
    <w:rsid w:val="00C21535"/>
    <w:rsid w:val="00C21C7D"/>
    <w:rsid w:val="00C224D9"/>
    <w:rsid w:val="00C30909"/>
    <w:rsid w:val="00C337A5"/>
    <w:rsid w:val="00C3500F"/>
    <w:rsid w:val="00C36DB2"/>
    <w:rsid w:val="00C37F8B"/>
    <w:rsid w:val="00C42E24"/>
    <w:rsid w:val="00C42EC9"/>
    <w:rsid w:val="00C43D99"/>
    <w:rsid w:val="00C4467B"/>
    <w:rsid w:val="00C4475D"/>
    <w:rsid w:val="00C44C56"/>
    <w:rsid w:val="00C45610"/>
    <w:rsid w:val="00C45A85"/>
    <w:rsid w:val="00C4627C"/>
    <w:rsid w:val="00C474CD"/>
    <w:rsid w:val="00C51547"/>
    <w:rsid w:val="00C53C65"/>
    <w:rsid w:val="00C55906"/>
    <w:rsid w:val="00C55910"/>
    <w:rsid w:val="00C60DE7"/>
    <w:rsid w:val="00C612FE"/>
    <w:rsid w:val="00C61351"/>
    <w:rsid w:val="00C6232F"/>
    <w:rsid w:val="00C63222"/>
    <w:rsid w:val="00C63581"/>
    <w:rsid w:val="00C6496C"/>
    <w:rsid w:val="00C65BD4"/>
    <w:rsid w:val="00C65FB8"/>
    <w:rsid w:val="00C663BA"/>
    <w:rsid w:val="00C70E98"/>
    <w:rsid w:val="00C70ED7"/>
    <w:rsid w:val="00C71439"/>
    <w:rsid w:val="00C7178A"/>
    <w:rsid w:val="00C719C6"/>
    <w:rsid w:val="00C7271B"/>
    <w:rsid w:val="00C74711"/>
    <w:rsid w:val="00C74EFB"/>
    <w:rsid w:val="00C755F2"/>
    <w:rsid w:val="00C75D2A"/>
    <w:rsid w:val="00C7658B"/>
    <w:rsid w:val="00C77239"/>
    <w:rsid w:val="00C775E2"/>
    <w:rsid w:val="00C77641"/>
    <w:rsid w:val="00C82C8C"/>
    <w:rsid w:val="00C863DF"/>
    <w:rsid w:val="00C86E71"/>
    <w:rsid w:val="00C92A10"/>
    <w:rsid w:val="00C95B4D"/>
    <w:rsid w:val="00C96BCA"/>
    <w:rsid w:val="00C97CA9"/>
    <w:rsid w:val="00CA09C1"/>
    <w:rsid w:val="00CA48AC"/>
    <w:rsid w:val="00CA5DEA"/>
    <w:rsid w:val="00CA6A93"/>
    <w:rsid w:val="00CB0027"/>
    <w:rsid w:val="00CB63E5"/>
    <w:rsid w:val="00CB67A1"/>
    <w:rsid w:val="00CB6D5B"/>
    <w:rsid w:val="00CC0CDB"/>
    <w:rsid w:val="00CC2286"/>
    <w:rsid w:val="00CC27D9"/>
    <w:rsid w:val="00CC343C"/>
    <w:rsid w:val="00CC798A"/>
    <w:rsid w:val="00CC7D6F"/>
    <w:rsid w:val="00CD0784"/>
    <w:rsid w:val="00CD1F45"/>
    <w:rsid w:val="00CD2284"/>
    <w:rsid w:val="00CD2899"/>
    <w:rsid w:val="00CD4127"/>
    <w:rsid w:val="00CD4FB5"/>
    <w:rsid w:val="00CD6FAB"/>
    <w:rsid w:val="00CE0BC3"/>
    <w:rsid w:val="00CE13F0"/>
    <w:rsid w:val="00CE263C"/>
    <w:rsid w:val="00CE69FC"/>
    <w:rsid w:val="00CE707E"/>
    <w:rsid w:val="00CE79CF"/>
    <w:rsid w:val="00CF360A"/>
    <w:rsid w:val="00CF37DA"/>
    <w:rsid w:val="00CF42B4"/>
    <w:rsid w:val="00CF500E"/>
    <w:rsid w:val="00CF7CCB"/>
    <w:rsid w:val="00D023D7"/>
    <w:rsid w:val="00D02629"/>
    <w:rsid w:val="00D02CFE"/>
    <w:rsid w:val="00D04F2C"/>
    <w:rsid w:val="00D0521C"/>
    <w:rsid w:val="00D0521E"/>
    <w:rsid w:val="00D06008"/>
    <w:rsid w:val="00D073E2"/>
    <w:rsid w:val="00D07AB2"/>
    <w:rsid w:val="00D104B6"/>
    <w:rsid w:val="00D14567"/>
    <w:rsid w:val="00D14895"/>
    <w:rsid w:val="00D14B9E"/>
    <w:rsid w:val="00D15E59"/>
    <w:rsid w:val="00D171AB"/>
    <w:rsid w:val="00D20CFF"/>
    <w:rsid w:val="00D2145D"/>
    <w:rsid w:val="00D21B05"/>
    <w:rsid w:val="00D239AA"/>
    <w:rsid w:val="00D242E3"/>
    <w:rsid w:val="00D24460"/>
    <w:rsid w:val="00D24659"/>
    <w:rsid w:val="00D2468B"/>
    <w:rsid w:val="00D24B7F"/>
    <w:rsid w:val="00D27E1B"/>
    <w:rsid w:val="00D27E6B"/>
    <w:rsid w:val="00D31A30"/>
    <w:rsid w:val="00D32784"/>
    <w:rsid w:val="00D34BB3"/>
    <w:rsid w:val="00D3593D"/>
    <w:rsid w:val="00D35CA0"/>
    <w:rsid w:val="00D41768"/>
    <w:rsid w:val="00D45673"/>
    <w:rsid w:val="00D45E64"/>
    <w:rsid w:val="00D45F3A"/>
    <w:rsid w:val="00D46604"/>
    <w:rsid w:val="00D4729D"/>
    <w:rsid w:val="00D476DF"/>
    <w:rsid w:val="00D501CB"/>
    <w:rsid w:val="00D5051E"/>
    <w:rsid w:val="00D510F6"/>
    <w:rsid w:val="00D52066"/>
    <w:rsid w:val="00D53FC1"/>
    <w:rsid w:val="00D54131"/>
    <w:rsid w:val="00D5476F"/>
    <w:rsid w:val="00D60756"/>
    <w:rsid w:val="00D61C18"/>
    <w:rsid w:val="00D63741"/>
    <w:rsid w:val="00D63742"/>
    <w:rsid w:val="00D65843"/>
    <w:rsid w:val="00D679F5"/>
    <w:rsid w:val="00D741B3"/>
    <w:rsid w:val="00D74311"/>
    <w:rsid w:val="00D74DCC"/>
    <w:rsid w:val="00D75491"/>
    <w:rsid w:val="00D75C47"/>
    <w:rsid w:val="00D76416"/>
    <w:rsid w:val="00D769A7"/>
    <w:rsid w:val="00D775C8"/>
    <w:rsid w:val="00D8001E"/>
    <w:rsid w:val="00D80268"/>
    <w:rsid w:val="00D81173"/>
    <w:rsid w:val="00D83FC0"/>
    <w:rsid w:val="00D8526A"/>
    <w:rsid w:val="00D872A8"/>
    <w:rsid w:val="00D90A98"/>
    <w:rsid w:val="00D90EB5"/>
    <w:rsid w:val="00D90F2B"/>
    <w:rsid w:val="00D92876"/>
    <w:rsid w:val="00D96AC6"/>
    <w:rsid w:val="00D96F45"/>
    <w:rsid w:val="00D97F88"/>
    <w:rsid w:val="00DA1DFD"/>
    <w:rsid w:val="00DA5F44"/>
    <w:rsid w:val="00DA7B36"/>
    <w:rsid w:val="00DB0BA8"/>
    <w:rsid w:val="00DB2BD4"/>
    <w:rsid w:val="00DB53C9"/>
    <w:rsid w:val="00DB556D"/>
    <w:rsid w:val="00DB5677"/>
    <w:rsid w:val="00DB59A3"/>
    <w:rsid w:val="00DB6906"/>
    <w:rsid w:val="00DC145D"/>
    <w:rsid w:val="00DC1CA7"/>
    <w:rsid w:val="00DC2237"/>
    <w:rsid w:val="00DC2FB4"/>
    <w:rsid w:val="00DC32D1"/>
    <w:rsid w:val="00DC3C04"/>
    <w:rsid w:val="00DC43E6"/>
    <w:rsid w:val="00DC4A2C"/>
    <w:rsid w:val="00DC592D"/>
    <w:rsid w:val="00DC6474"/>
    <w:rsid w:val="00DC69EB"/>
    <w:rsid w:val="00DD1E45"/>
    <w:rsid w:val="00DD4712"/>
    <w:rsid w:val="00DD5D6D"/>
    <w:rsid w:val="00DE2090"/>
    <w:rsid w:val="00DE2746"/>
    <w:rsid w:val="00DE30E4"/>
    <w:rsid w:val="00DE601E"/>
    <w:rsid w:val="00DE7271"/>
    <w:rsid w:val="00DE74B3"/>
    <w:rsid w:val="00DE7D2E"/>
    <w:rsid w:val="00DF0C26"/>
    <w:rsid w:val="00DF1C2A"/>
    <w:rsid w:val="00DF6870"/>
    <w:rsid w:val="00DF6B11"/>
    <w:rsid w:val="00E0077C"/>
    <w:rsid w:val="00E03406"/>
    <w:rsid w:val="00E0349E"/>
    <w:rsid w:val="00E03C4E"/>
    <w:rsid w:val="00E04FE9"/>
    <w:rsid w:val="00E063C4"/>
    <w:rsid w:val="00E11CB6"/>
    <w:rsid w:val="00E1248B"/>
    <w:rsid w:val="00E13703"/>
    <w:rsid w:val="00E149A7"/>
    <w:rsid w:val="00E16AA1"/>
    <w:rsid w:val="00E20570"/>
    <w:rsid w:val="00E21046"/>
    <w:rsid w:val="00E21E67"/>
    <w:rsid w:val="00E24D9E"/>
    <w:rsid w:val="00E25DF6"/>
    <w:rsid w:val="00E265BA"/>
    <w:rsid w:val="00E26FE4"/>
    <w:rsid w:val="00E27005"/>
    <w:rsid w:val="00E305CB"/>
    <w:rsid w:val="00E30B72"/>
    <w:rsid w:val="00E30BCC"/>
    <w:rsid w:val="00E324E8"/>
    <w:rsid w:val="00E32C6C"/>
    <w:rsid w:val="00E332E4"/>
    <w:rsid w:val="00E36CD3"/>
    <w:rsid w:val="00E404FA"/>
    <w:rsid w:val="00E4056F"/>
    <w:rsid w:val="00E40FC3"/>
    <w:rsid w:val="00E40FF7"/>
    <w:rsid w:val="00E41BC2"/>
    <w:rsid w:val="00E43D6F"/>
    <w:rsid w:val="00E44CB7"/>
    <w:rsid w:val="00E46FE5"/>
    <w:rsid w:val="00E47126"/>
    <w:rsid w:val="00E54E3C"/>
    <w:rsid w:val="00E5533B"/>
    <w:rsid w:val="00E57DAF"/>
    <w:rsid w:val="00E61735"/>
    <w:rsid w:val="00E63009"/>
    <w:rsid w:val="00E66689"/>
    <w:rsid w:val="00E6673F"/>
    <w:rsid w:val="00E672E4"/>
    <w:rsid w:val="00E67ACA"/>
    <w:rsid w:val="00E70104"/>
    <w:rsid w:val="00E72824"/>
    <w:rsid w:val="00E73AF1"/>
    <w:rsid w:val="00E740ED"/>
    <w:rsid w:val="00E7513B"/>
    <w:rsid w:val="00E76A92"/>
    <w:rsid w:val="00E77BEC"/>
    <w:rsid w:val="00E8035D"/>
    <w:rsid w:val="00E80EFC"/>
    <w:rsid w:val="00E82C75"/>
    <w:rsid w:val="00E83245"/>
    <w:rsid w:val="00E8480E"/>
    <w:rsid w:val="00E84A7D"/>
    <w:rsid w:val="00E84FED"/>
    <w:rsid w:val="00E86787"/>
    <w:rsid w:val="00E8795D"/>
    <w:rsid w:val="00E87A63"/>
    <w:rsid w:val="00E9255C"/>
    <w:rsid w:val="00E93BEE"/>
    <w:rsid w:val="00E93FA9"/>
    <w:rsid w:val="00E97EC3"/>
    <w:rsid w:val="00EA0704"/>
    <w:rsid w:val="00EA118F"/>
    <w:rsid w:val="00EA22C9"/>
    <w:rsid w:val="00EA3FE0"/>
    <w:rsid w:val="00EA53B4"/>
    <w:rsid w:val="00EA6933"/>
    <w:rsid w:val="00EB1E38"/>
    <w:rsid w:val="00EB3448"/>
    <w:rsid w:val="00EB3E2B"/>
    <w:rsid w:val="00EB42D6"/>
    <w:rsid w:val="00EB51C6"/>
    <w:rsid w:val="00EC08AB"/>
    <w:rsid w:val="00EC16C8"/>
    <w:rsid w:val="00EC379C"/>
    <w:rsid w:val="00EC4060"/>
    <w:rsid w:val="00EC44EF"/>
    <w:rsid w:val="00EC45AB"/>
    <w:rsid w:val="00EC4A75"/>
    <w:rsid w:val="00EC51E1"/>
    <w:rsid w:val="00EC6488"/>
    <w:rsid w:val="00EC6E51"/>
    <w:rsid w:val="00EC6E7B"/>
    <w:rsid w:val="00EC755E"/>
    <w:rsid w:val="00EC7915"/>
    <w:rsid w:val="00ED22EB"/>
    <w:rsid w:val="00ED309B"/>
    <w:rsid w:val="00ED3DDF"/>
    <w:rsid w:val="00ED41E3"/>
    <w:rsid w:val="00ED5123"/>
    <w:rsid w:val="00ED6B94"/>
    <w:rsid w:val="00EE19A6"/>
    <w:rsid w:val="00EE1D2F"/>
    <w:rsid w:val="00EE5AEA"/>
    <w:rsid w:val="00EE7398"/>
    <w:rsid w:val="00EE73B5"/>
    <w:rsid w:val="00EE74E7"/>
    <w:rsid w:val="00EF371B"/>
    <w:rsid w:val="00EF4DEB"/>
    <w:rsid w:val="00EF59F7"/>
    <w:rsid w:val="00EF7618"/>
    <w:rsid w:val="00EF7EDE"/>
    <w:rsid w:val="00F0043B"/>
    <w:rsid w:val="00F01D88"/>
    <w:rsid w:val="00F0320F"/>
    <w:rsid w:val="00F033FD"/>
    <w:rsid w:val="00F06742"/>
    <w:rsid w:val="00F06A1B"/>
    <w:rsid w:val="00F1115B"/>
    <w:rsid w:val="00F11791"/>
    <w:rsid w:val="00F11C5D"/>
    <w:rsid w:val="00F11D1C"/>
    <w:rsid w:val="00F11FD2"/>
    <w:rsid w:val="00F12C4F"/>
    <w:rsid w:val="00F135FE"/>
    <w:rsid w:val="00F14AC7"/>
    <w:rsid w:val="00F151DB"/>
    <w:rsid w:val="00F1552B"/>
    <w:rsid w:val="00F15610"/>
    <w:rsid w:val="00F157AC"/>
    <w:rsid w:val="00F17FAE"/>
    <w:rsid w:val="00F21496"/>
    <w:rsid w:val="00F21C0E"/>
    <w:rsid w:val="00F22EB3"/>
    <w:rsid w:val="00F233A2"/>
    <w:rsid w:val="00F245E3"/>
    <w:rsid w:val="00F25127"/>
    <w:rsid w:val="00F255F7"/>
    <w:rsid w:val="00F2562B"/>
    <w:rsid w:val="00F25F37"/>
    <w:rsid w:val="00F30143"/>
    <w:rsid w:val="00F334A7"/>
    <w:rsid w:val="00F403E5"/>
    <w:rsid w:val="00F40DED"/>
    <w:rsid w:val="00F42009"/>
    <w:rsid w:val="00F420FA"/>
    <w:rsid w:val="00F4214C"/>
    <w:rsid w:val="00F43275"/>
    <w:rsid w:val="00F43CA7"/>
    <w:rsid w:val="00F4519B"/>
    <w:rsid w:val="00F45D03"/>
    <w:rsid w:val="00F45F12"/>
    <w:rsid w:val="00F47C1F"/>
    <w:rsid w:val="00F50395"/>
    <w:rsid w:val="00F50958"/>
    <w:rsid w:val="00F5110A"/>
    <w:rsid w:val="00F5166B"/>
    <w:rsid w:val="00F51B67"/>
    <w:rsid w:val="00F520AB"/>
    <w:rsid w:val="00F5468B"/>
    <w:rsid w:val="00F564AA"/>
    <w:rsid w:val="00F5688E"/>
    <w:rsid w:val="00F56B9B"/>
    <w:rsid w:val="00F56D36"/>
    <w:rsid w:val="00F572C4"/>
    <w:rsid w:val="00F60502"/>
    <w:rsid w:val="00F6171B"/>
    <w:rsid w:val="00F61E11"/>
    <w:rsid w:val="00F62708"/>
    <w:rsid w:val="00F6275A"/>
    <w:rsid w:val="00F63AF2"/>
    <w:rsid w:val="00F66871"/>
    <w:rsid w:val="00F668A2"/>
    <w:rsid w:val="00F703E7"/>
    <w:rsid w:val="00F7147F"/>
    <w:rsid w:val="00F72E98"/>
    <w:rsid w:val="00F75A65"/>
    <w:rsid w:val="00F7619D"/>
    <w:rsid w:val="00F76376"/>
    <w:rsid w:val="00F7666E"/>
    <w:rsid w:val="00F766A7"/>
    <w:rsid w:val="00F76F19"/>
    <w:rsid w:val="00F81A41"/>
    <w:rsid w:val="00F81B3C"/>
    <w:rsid w:val="00F825B0"/>
    <w:rsid w:val="00F83455"/>
    <w:rsid w:val="00F83DC0"/>
    <w:rsid w:val="00F8478A"/>
    <w:rsid w:val="00F855B2"/>
    <w:rsid w:val="00F86DFD"/>
    <w:rsid w:val="00F8729C"/>
    <w:rsid w:val="00F875CD"/>
    <w:rsid w:val="00F8797D"/>
    <w:rsid w:val="00F87A6E"/>
    <w:rsid w:val="00F90EDA"/>
    <w:rsid w:val="00F9131B"/>
    <w:rsid w:val="00F91971"/>
    <w:rsid w:val="00F93084"/>
    <w:rsid w:val="00F93FE7"/>
    <w:rsid w:val="00F948E7"/>
    <w:rsid w:val="00F95725"/>
    <w:rsid w:val="00F963F1"/>
    <w:rsid w:val="00F96CE5"/>
    <w:rsid w:val="00FA3891"/>
    <w:rsid w:val="00FA3E0E"/>
    <w:rsid w:val="00FA4115"/>
    <w:rsid w:val="00FA47AA"/>
    <w:rsid w:val="00FA58B0"/>
    <w:rsid w:val="00FA69AD"/>
    <w:rsid w:val="00FB0C04"/>
    <w:rsid w:val="00FB2CFB"/>
    <w:rsid w:val="00FB3344"/>
    <w:rsid w:val="00FB3B35"/>
    <w:rsid w:val="00FB3F5E"/>
    <w:rsid w:val="00FB4046"/>
    <w:rsid w:val="00FB513A"/>
    <w:rsid w:val="00FB7C37"/>
    <w:rsid w:val="00FC0EF9"/>
    <w:rsid w:val="00FC1520"/>
    <w:rsid w:val="00FC1A4B"/>
    <w:rsid w:val="00FC5BAA"/>
    <w:rsid w:val="00FC6D2D"/>
    <w:rsid w:val="00FC7AA7"/>
    <w:rsid w:val="00FC7B56"/>
    <w:rsid w:val="00FD02EA"/>
    <w:rsid w:val="00FD0E18"/>
    <w:rsid w:val="00FD1677"/>
    <w:rsid w:val="00FD3C98"/>
    <w:rsid w:val="00FD41B4"/>
    <w:rsid w:val="00FD4C4A"/>
    <w:rsid w:val="00FD5863"/>
    <w:rsid w:val="00FD5AAE"/>
    <w:rsid w:val="00FD70D3"/>
    <w:rsid w:val="00FD7A00"/>
    <w:rsid w:val="00FE04C5"/>
    <w:rsid w:val="00FE0933"/>
    <w:rsid w:val="00FE1A45"/>
    <w:rsid w:val="00FE4893"/>
    <w:rsid w:val="00FE4B11"/>
    <w:rsid w:val="00FE513D"/>
    <w:rsid w:val="00FE6C22"/>
    <w:rsid w:val="00FE7A1A"/>
    <w:rsid w:val="00FF041D"/>
    <w:rsid w:val="00FF04EE"/>
    <w:rsid w:val="00FF620E"/>
    <w:rsid w:val="00FF71A7"/>
    <w:rsid w:val="00FF728F"/>
    <w:rsid w:val="012544D2"/>
    <w:rsid w:val="01422176"/>
    <w:rsid w:val="021A125D"/>
    <w:rsid w:val="022030F6"/>
    <w:rsid w:val="02EE069A"/>
    <w:rsid w:val="0310419A"/>
    <w:rsid w:val="0314369E"/>
    <w:rsid w:val="03B5544B"/>
    <w:rsid w:val="03FA4A80"/>
    <w:rsid w:val="03FA7045"/>
    <w:rsid w:val="048C2F09"/>
    <w:rsid w:val="049820AD"/>
    <w:rsid w:val="04A24CDA"/>
    <w:rsid w:val="04AB0639"/>
    <w:rsid w:val="05485881"/>
    <w:rsid w:val="05940D7B"/>
    <w:rsid w:val="05F94DCD"/>
    <w:rsid w:val="05FD3D22"/>
    <w:rsid w:val="062E7D8A"/>
    <w:rsid w:val="064914D7"/>
    <w:rsid w:val="06ED4DD4"/>
    <w:rsid w:val="0704267F"/>
    <w:rsid w:val="070765A7"/>
    <w:rsid w:val="07561823"/>
    <w:rsid w:val="08182BA5"/>
    <w:rsid w:val="08191757"/>
    <w:rsid w:val="082D5D79"/>
    <w:rsid w:val="08CE410B"/>
    <w:rsid w:val="090D350D"/>
    <w:rsid w:val="09AE6205"/>
    <w:rsid w:val="09B07E99"/>
    <w:rsid w:val="09C60618"/>
    <w:rsid w:val="09D31163"/>
    <w:rsid w:val="0A073E1B"/>
    <w:rsid w:val="0A654081"/>
    <w:rsid w:val="0AD41043"/>
    <w:rsid w:val="0AFD015B"/>
    <w:rsid w:val="0B066570"/>
    <w:rsid w:val="0B1A7CC0"/>
    <w:rsid w:val="0B6E1DBA"/>
    <w:rsid w:val="0BA227BE"/>
    <w:rsid w:val="0BBC0C28"/>
    <w:rsid w:val="0BCD092A"/>
    <w:rsid w:val="0BEC1B61"/>
    <w:rsid w:val="0C3B3A27"/>
    <w:rsid w:val="0CC01CE4"/>
    <w:rsid w:val="0D114094"/>
    <w:rsid w:val="0D522A5B"/>
    <w:rsid w:val="0DA6013D"/>
    <w:rsid w:val="0DE83A46"/>
    <w:rsid w:val="0E336B9D"/>
    <w:rsid w:val="0E5E131A"/>
    <w:rsid w:val="0E7A133A"/>
    <w:rsid w:val="0E9965FC"/>
    <w:rsid w:val="0EBD5AC1"/>
    <w:rsid w:val="0EC7610D"/>
    <w:rsid w:val="0FB20C79"/>
    <w:rsid w:val="0FD4084C"/>
    <w:rsid w:val="0FEB06ED"/>
    <w:rsid w:val="102B1C9E"/>
    <w:rsid w:val="103510F8"/>
    <w:rsid w:val="1038702D"/>
    <w:rsid w:val="10670626"/>
    <w:rsid w:val="107064E7"/>
    <w:rsid w:val="10B8606C"/>
    <w:rsid w:val="10F16A68"/>
    <w:rsid w:val="10F21E39"/>
    <w:rsid w:val="1105582A"/>
    <w:rsid w:val="11CE3474"/>
    <w:rsid w:val="11D97A29"/>
    <w:rsid w:val="12260C18"/>
    <w:rsid w:val="12432BBC"/>
    <w:rsid w:val="128F4C3D"/>
    <w:rsid w:val="12957C2C"/>
    <w:rsid w:val="12CA0C37"/>
    <w:rsid w:val="12D374BF"/>
    <w:rsid w:val="12DE5A77"/>
    <w:rsid w:val="1351423B"/>
    <w:rsid w:val="1359260C"/>
    <w:rsid w:val="138F27BA"/>
    <w:rsid w:val="13A861C5"/>
    <w:rsid w:val="13BC4FC2"/>
    <w:rsid w:val="14EB66B8"/>
    <w:rsid w:val="15465C3E"/>
    <w:rsid w:val="15520056"/>
    <w:rsid w:val="15634011"/>
    <w:rsid w:val="16290DB7"/>
    <w:rsid w:val="163E7F41"/>
    <w:rsid w:val="163F38DD"/>
    <w:rsid w:val="165A6958"/>
    <w:rsid w:val="166766B9"/>
    <w:rsid w:val="16DB0B69"/>
    <w:rsid w:val="17127770"/>
    <w:rsid w:val="17276ACA"/>
    <w:rsid w:val="174A03C5"/>
    <w:rsid w:val="17CC40F0"/>
    <w:rsid w:val="18251A52"/>
    <w:rsid w:val="18624A2B"/>
    <w:rsid w:val="187D363C"/>
    <w:rsid w:val="189C3D84"/>
    <w:rsid w:val="18CA1F32"/>
    <w:rsid w:val="193650A1"/>
    <w:rsid w:val="195E521C"/>
    <w:rsid w:val="196059F0"/>
    <w:rsid w:val="19607BC7"/>
    <w:rsid w:val="19AE2407"/>
    <w:rsid w:val="19C2398B"/>
    <w:rsid w:val="19CB417B"/>
    <w:rsid w:val="19DF6907"/>
    <w:rsid w:val="1A067168"/>
    <w:rsid w:val="1AB963AC"/>
    <w:rsid w:val="1ABC1F53"/>
    <w:rsid w:val="1AF70CD5"/>
    <w:rsid w:val="1B2E06D2"/>
    <w:rsid w:val="1B351FAC"/>
    <w:rsid w:val="1BC3032B"/>
    <w:rsid w:val="1BE85CEA"/>
    <w:rsid w:val="1C93310F"/>
    <w:rsid w:val="1CB64334"/>
    <w:rsid w:val="1CD979E7"/>
    <w:rsid w:val="1CDC04C8"/>
    <w:rsid w:val="1D21137B"/>
    <w:rsid w:val="1DD94F26"/>
    <w:rsid w:val="1E3A5789"/>
    <w:rsid w:val="1E51534F"/>
    <w:rsid w:val="1E8A68E8"/>
    <w:rsid w:val="1E941F3D"/>
    <w:rsid w:val="1EAD4F5B"/>
    <w:rsid w:val="1ECD6426"/>
    <w:rsid w:val="1F00278F"/>
    <w:rsid w:val="1F077B12"/>
    <w:rsid w:val="1F8C2A73"/>
    <w:rsid w:val="1F964B19"/>
    <w:rsid w:val="1FAA00BA"/>
    <w:rsid w:val="1FE23EFE"/>
    <w:rsid w:val="1FE6236C"/>
    <w:rsid w:val="20010FF3"/>
    <w:rsid w:val="200B74AD"/>
    <w:rsid w:val="200C0E28"/>
    <w:rsid w:val="20403401"/>
    <w:rsid w:val="207D4DD2"/>
    <w:rsid w:val="2110307F"/>
    <w:rsid w:val="21116D9C"/>
    <w:rsid w:val="21AE4007"/>
    <w:rsid w:val="21D41B41"/>
    <w:rsid w:val="21DB7927"/>
    <w:rsid w:val="21EB7868"/>
    <w:rsid w:val="221F3728"/>
    <w:rsid w:val="22370E51"/>
    <w:rsid w:val="231C150A"/>
    <w:rsid w:val="232A17FF"/>
    <w:rsid w:val="232A47A3"/>
    <w:rsid w:val="23871813"/>
    <w:rsid w:val="23964A5E"/>
    <w:rsid w:val="23AE03B1"/>
    <w:rsid w:val="23FF3252"/>
    <w:rsid w:val="240D17E4"/>
    <w:rsid w:val="241906BD"/>
    <w:rsid w:val="241D1352"/>
    <w:rsid w:val="243C75B9"/>
    <w:rsid w:val="244020ED"/>
    <w:rsid w:val="245165E7"/>
    <w:rsid w:val="24846940"/>
    <w:rsid w:val="248E2319"/>
    <w:rsid w:val="24C34ACD"/>
    <w:rsid w:val="25523A4A"/>
    <w:rsid w:val="25780A5F"/>
    <w:rsid w:val="25983863"/>
    <w:rsid w:val="25F8583D"/>
    <w:rsid w:val="25FF6CBA"/>
    <w:rsid w:val="261C4494"/>
    <w:rsid w:val="263B497A"/>
    <w:rsid w:val="26487037"/>
    <w:rsid w:val="264B271F"/>
    <w:rsid w:val="2685748B"/>
    <w:rsid w:val="26E33204"/>
    <w:rsid w:val="26E350C7"/>
    <w:rsid w:val="27037402"/>
    <w:rsid w:val="271147DD"/>
    <w:rsid w:val="274202B2"/>
    <w:rsid w:val="274F09F5"/>
    <w:rsid w:val="277133B6"/>
    <w:rsid w:val="27901B89"/>
    <w:rsid w:val="27D629C5"/>
    <w:rsid w:val="27DD40F7"/>
    <w:rsid w:val="27EC4CEF"/>
    <w:rsid w:val="27FC27CF"/>
    <w:rsid w:val="28285372"/>
    <w:rsid w:val="28BA7F95"/>
    <w:rsid w:val="292F1FEE"/>
    <w:rsid w:val="293B7BBD"/>
    <w:rsid w:val="2976035F"/>
    <w:rsid w:val="2A9D5AD5"/>
    <w:rsid w:val="2B1C6DDC"/>
    <w:rsid w:val="2B310C17"/>
    <w:rsid w:val="2B7936B0"/>
    <w:rsid w:val="2B945156"/>
    <w:rsid w:val="2BB04B00"/>
    <w:rsid w:val="2BD575BF"/>
    <w:rsid w:val="2BEB5F44"/>
    <w:rsid w:val="2C8646C7"/>
    <w:rsid w:val="2D287BC3"/>
    <w:rsid w:val="2D3B388B"/>
    <w:rsid w:val="2DDD09AD"/>
    <w:rsid w:val="2EA2281D"/>
    <w:rsid w:val="2EC5783F"/>
    <w:rsid w:val="2F0F11A4"/>
    <w:rsid w:val="2F2C31A1"/>
    <w:rsid w:val="2F481D56"/>
    <w:rsid w:val="2F6400DC"/>
    <w:rsid w:val="2F9631A6"/>
    <w:rsid w:val="2FC960F7"/>
    <w:rsid w:val="2FCD0430"/>
    <w:rsid w:val="2FF91FF0"/>
    <w:rsid w:val="30477E2B"/>
    <w:rsid w:val="30615C69"/>
    <w:rsid w:val="30711881"/>
    <w:rsid w:val="30F85D61"/>
    <w:rsid w:val="312D1C4B"/>
    <w:rsid w:val="31411BBE"/>
    <w:rsid w:val="317A4451"/>
    <w:rsid w:val="31880C30"/>
    <w:rsid w:val="32496611"/>
    <w:rsid w:val="325A527C"/>
    <w:rsid w:val="32895A9E"/>
    <w:rsid w:val="32A72E40"/>
    <w:rsid w:val="3303120B"/>
    <w:rsid w:val="33EB746C"/>
    <w:rsid w:val="33F27600"/>
    <w:rsid w:val="33F930C1"/>
    <w:rsid w:val="340C698C"/>
    <w:rsid w:val="34BA77F4"/>
    <w:rsid w:val="34C25AD6"/>
    <w:rsid w:val="35725E7F"/>
    <w:rsid w:val="358C3E1D"/>
    <w:rsid w:val="358E5B5D"/>
    <w:rsid w:val="360664D9"/>
    <w:rsid w:val="36177D11"/>
    <w:rsid w:val="36BC5DCD"/>
    <w:rsid w:val="37394465"/>
    <w:rsid w:val="376475CB"/>
    <w:rsid w:val="3801281C"/>
    <w:rsid w:val="38723CF7"/>
    <w:rsid w:val="38CF5396"/>
    <w:rsid w:val="38FA1E44"/>
    <w:rsid w:val="394602A8"/>
    <w:rsid w:val="397F69B3"/>
    <w:rsid w:val="39974748"/>
    <w:rsid w:val="3A0E0A45"/>
    <w:rsid w:val="3A3D7DC8"/>
    <w:rsid w:val="3A60397B"/>
    <w:rsid w:val="3ACC6031"/>
    <w:rsid w:val="3AD469C9"/>
    <w:rsid w:val="3B0176B1"/>
    <w:rsid w:val="3B6F4C0F"/>
    <w:rsid w:val="3B70335E"/>
    <w:rsid w:val="3BC15FC0"/>
    <w:rsid w:val="3BDC1598"/>
    <w:rsid w:val="3BFD67C6"/>
    <w:rsid w:val="3CDD2029"/>
    <w:rsid w:val="3CE00375"/>
    <w:rsid w:val="3CF102BF"/>
    <w:rsid w:val="3CFB2BFE"/>
    <w:rsid w:val="3D127F47"/>
    <w:rsid w:val="3D324D36"/>
    <w:rsid w:val="3D3E0E55"/>
    <w:rsid w:val="3D467C40"/>
    <w:rsid w:val="3D9F5C7F"/>
    <w:rsid w:val="3DC8152A"/>
    <w:rsid w:val="3E527F2D"/>
    <w:rsid w:val="3E611336"/>
    <w:rsid w:val="3E693B97"/>
    <w:rsid w:val="3E8F49CD"/>
    <w:rsid w:val="3F04668A"/>
    <w:rsid w:val="3F7D3D9E"/>
    <w:rsid w:val="3FCE310D"/>
    <w:rsid w:val="3FEA3848"/>
    <w:rsid w:val="400118D7"/>
    <w:rsid w:val="400705F4"/>
    <w:rsid w:val="406D3C86"/>
    <w:rsid w:val="409018AF"/>
    <w:rsid w:val="40C81049"/>
    <w:rsid w:val="40EE2BF4"/>
    <w:rsid w:val="40F560EF"/>
    <w:rsid w:val="417349F1"/>
    <w:rsid w:val="41DF0D5C"/>
    <w:rsid w:val="42845443"/>
    <w:rsid w:val="42DD162D"/>
    <w:rsid w:val="43865ECA"/>
    <w:rsid w:val="438C4419"/>
    <w:rsid w:val="44093E52"/>
    <w:rsid w:val="440D6007"/>
    <w:rsid w:val="443133A9"/>
    <w:rsid w:val="446E3CDF"/>
    <w:rsid w:val="447032DB"/>
    <w:rsid w:val="44900F98"/>
    <w:rsid w:val="44F02F65"/>
    <w:rsid w:val="45260A34"/>
    <w:rsid w:val="45654C08"/>
    <w:rsid w:val="458E2709"/>
    <w:rsid w:val="45A16D25"/>
    <w:rsid w:val="45A32084"/>
    <w:rsid w:val="45E451C7"/>
    <w:rsid w:val="463B774A"/>
    <w:rsid w:val="46581E64"/>
    <w:rsid w:val="46FB46B4"/>
    <w:rsid w:val="473614B6"/>
    <w:rsid w:val="478D60F7"/>
    <w:rsid w:val="479A4DF1"/>
    <w:rsid w:val="47B572BA"/>
    <w:rsid w:val="47E032D7"/>
    <w:rsid w:val="47F03B09"/>
    <w:rsid w:val="47F35053"/>
    <w:rsid w:val="48111527"/>
    <w:rsid w:val="485A7548"/>
    <w:rsid w:val="48942649"/>
    <w:rsid w:val="48A13DEC"/>
    <w:rsid w:val="491A440C"/>
    <w:rsid w:val="491B1501"/>
    <w:rsid w:val="49AF47C9"/>
    <w:rsid w:val="4A252204"/>
    <w:rsid w:val="4A45195C"/>
    <w:rsid w:val="4A597CAA"/>
    <w:rsid w:val="4A806333"/>
    <w:rsid w:val="4A881849"/>
    <w:rsid w:val="4AA25DEA"/>
    <w:rsid w:val="4AD31D64"/>
    <w:rsid w:val="4AF25FF9"/>
    <w:rsid w:val="4B3D4842"/>
    <w:rsid w:val="4B671831"/>
    <w:rsid w:val="4B800A45"/>
    <w:rsid w:val="4B845751"/>
    <w:rsid w:val="4B8E10E1"/>
    <w:rsid w:val="4BBC79FC"/>
    <w:rsid w:val="4BBF5727"/>
    <w:rsid w:val="4BEB11A9"/>
    <w:rsid w:val="4CBF0E2B"/>
    <w:rsid w:val="4CF15B90"/>
    <w:rsid w:val="4D0F2299"/>
    <w:rsid w:val="4D2959B3"/>
    <w:rsid w:val="4D403CC6"/>
    <w:rsid w:val="4DA319C2"/>
    <w:rsid w:val="4DE65BCF"/>
    <w:rsid w:val="4DE728C7"/>
    <w:rsid w:val="4DEE3D0F"/>
    <w:rsid w:val="4DF55A6C"/>
    <w:rsid w:val="4E296E9F"/>
    <w:rsid w:val="4E951A96"/>
    <w:rsid w:val="4EE5726A"/>
    <w:rsid w:val="4F0F5DD0"/>
    <w:rsid w:val="4FA57B27"/>
    <w:rsid w:val="4FA9473B"/>
    <w:rsid w:val="4FC74BC1"/>
    <w:rsid w:val="50212524"/>
    <w:rsid w:val="50B21901"/>
    <w:rsid w:val="50C86974"/>
    <w:rsid w:val="512102AF"/>
    <w:rsid w:val="513037C0"/>
    <w:rsid w:val="51385D77"/>
    <w:rsid w:val="513872F3"/>
    <w:rsid w:val="517A5322"/>
    <w:rsid w:val="51946774"/>
    <w:rsid w:val="520E4867"/>
    <w:rsid w:val="522E5EFF"/>
    <w:rsid w:val="523C4C84"/>
    <w:rsid w:val="52642B9B"/>
    <w:rsid w:val="5287284E"/>
    <w:rsid w:val="52BD47CC"/>
    <w:rsid w:val="53367BBE"/>
    <w:rsid w:val="533B38FC"/>
    <w:rsid w:val="5363341B"/>
    <w:rsid w:val="538B25DA"/>
    <w:rsid w:val="54283805"/>
    <w:rsid w:val="548E3F00"/>
    <w:rsid w:val="54E564A4"/>
    <w:rsid w:val="556214D0"/>
    <w:rsid w:val="55C218C7"/>
    <w:rsid w:val="56236BBD"/>
    <w:rsid w:val="56863216"/>
    <w:rsid w:val="56954B14"/>
    <w:rsid w:val="56B0015D"/>
    <w:rsid w:val="56CE2186"/>
    <w:rsid w:val="57303F87"/>
    <w:rsid w:val="57392C05"/>
    <w:rsid w:val="5748761D"/>
    <w:rsid w:val="57FA5871"/>
    <w:rsid w:val="580F20B3"/>
    <w:rsid w:val="58404029"/>
    <w:rsid w:val="58487B76"/>
    <w:rsid w:val="58567FF5"/>
    <w:rsid w:val="59266ED9"/>
    <w:rsid w:val="59535F15"/>
    <w:rsid w:val="59636516"/>
    <w:rsid w:val="5A174DC0"/>
    <w:rsid w:val="5A73248C"/>
    <w:rsid w:val="5A782585"/>
    <w:rsid w:val="5A89525B"/>
    <w:rsid w:val="5A8C0301"/>
    <w:rsid w:val="5A9870AD"/>
    <w:rsid w:val="5ACB3A9D"/>
    <w:rsid w:val="5B594128"/>
    <w:rsid w:val="5B6E1490"/>
    <w:rsid w:val="5B7C28F6"/>
    <w:rsid w:val="5BAC060B"/>
    <w:rsid w:val="5C2662DD"/>
    <w:rsid w:val="5C7D4F86"/>
    <w:rsid w:val="5CB618C9"/>
    <w:rsid w:val="5CF73143"/>
    <w:rsid w:val="5CF7399B"/>
    <w:rsid w:val="5D320BD1"/>
    <w:rsid w:val="5DF561D6"/>
    <w:rsid w:val="5EDA7888"/>
    <w:rsid w:val="5EEE3F40"/>
    <w:rsid w:val="5F1D47FE"/>
    <w:rsid w:val="5F291BF8"/>
    <w:rsid w:val="5F9B311B"/>
    <w:rsid w:val="5FC05B0F"/>
    <w:rsid w:val="5FC3263A"/>
    <w:rsid w:val="5FD973AF"/>
    <w:rsid w:val="5FEA7A7D"/>
    <w:rsid w:val="5FF90DC7"/>
    <w:rsid w:val="60523E2F"/>
    <w:rsid w:val="606F3BE4"/>
    <w:rsid w:val="60CB2176"/>
    <w:rsid w:val="60E5785B"/>
    <w:rsid w:val="61193532"/>
    <w:rsid w:val="61194AC9"/>
    <w:rsid w:val="61587D6F"/>
    <w:rsid w:val="618E4E0C"/>
    <w:rsid w:val="619809B6"/>
    <w:rsid w:val="61A30FEA"/>
    <w:rsid w:val="62326269"/>
    <w:rsid w:val="62692723"/>
    <w:rsid w:val="62B706B2"/>
    <w:rsid w:val="62C3746A"/>
    <w:rsid w:val="62F1002E"/>
    <w:rsid w:val="630267FE"/>
    <w:rsid w:val="630930CF"/>
    <w:rsid w:val="6334025A"/>
    <w:rsid w:val="635D1565"/>
    <w:rsid w:val="63B63448"/>
    <w:rsid w:val="63D556A7"/>
    <w:rsid w:val="640126E8"/>
    <w:rsid w:val="64216B3E"/>
    <w:rsid w:val="65350A3D"/>
    <w:rsid w:val="65B90EAD"/>
    <w:rsid w:val="65CB147C"/>
    <w:rsid w:val="65D148A2"/>
    <w:rsid w:val="65D513C6"/>
    <w:rsid w:val="65F71A1C"/>
    <w:rsid w:val="660063B8"/>
    <w:rsid w:val="664D50CD"/>
    <w:rsid w:val="66D00C73"/>
    <w:rsid w:val="66E87524"/>
    <w:rsid w:val="674E19F8"/>
    <w:rsid w:val="67591430"/>
    <w:rsid w:val="676D68B5"/>
    <w:rsid w:val="678D385C"/>
    <w:rsid w:val="67E039A8"/>
    <w:rsid w:val="67EA7719"/>
    <w:rsid w:val="682262D8"/>
    <w:rsid w:val="687B16E7"/>
    <w:rsid w:val="68A11FFC"/>
    <w:rsid w:val="6933534A"/>
    <w:rsid w:val="69557E3A"/>
    <w:rsid w:val="696B7790"/>
    <w:rsid w:val="69BA3375"/>
    <w:rsid w:val="69C353A1"/>
    <w:rsid w:val="69E94A04"/>
    <w:rsid w:val="69F05502"/>
    <w:rsid w:val="6A023F96"/>
    <w:rsid w:val="6A164324"/>
    <w:rsid w:val="6A6D78EA"/>
    <w:rsid w:val="6ACC02E5"/>
    <w:rsid w:val="6AD4713C"/>
    <w:rsid w:val="6B197D67"/>
    <w:rsid w:val="6B5B4B27"/>
    <w:rsid w:val="6B797260"/>
    <w:rsid w:val="6B7B4D86"/>
    <w:rsid w:val="6BDE2DB1"/>
    <w:rsid w:val="6C0D5E4D"/>
    <w:rsid w:val="6C224A45"/>
    <w:rsid w:val="6C8063D1"/>
    <w:rsid w:val="6CAA5DF6"/>
    <w:rsid w:val="6CED0447"/>
    <w:rsid w:val="6CFA7644"/>
    <w:rsid w:val="6D3636AF"/>
    <w:rsid w:val="6D67346A"/>
    <w:rsid w:val="6DF43783"/>
    <w:rsid w:val="6E2E60E0"/>
    <w:rsid w:val="6E305C92"/>
    <w:rsid w:val="6E745FC2"/>
    <w:rsid w:val="6EC16F54"/>
    <w:rsid w:val="6EEA472F"/>
    <w:rsid w:val="6F03185F"/>
    <w:rsid w:val="6F0A22E9"/>
    <w:rsid w:val="6F9804AE"/>
    <w:rsid w:val="6F9A0BEC"/>
    <w:rsid w:val="6FB15FAA"/>
    <w:rsid w:val="6FE16C38"/>
    <w:rsid w:val="702B06A4"/>
    <w:rsid w:val="702F4391"/>
    <w:rsid w:val="70980188"/>
    <w:rsid w:val="70B80F3A"/>
    <w:rsid w:val="70DC70F1"/>
    <w:rsid w:val="71297032"/>
    <w:rsid w:val="714479C8"/>
    <w:rsid w:val="719927D8"/>
    <w:rsid w:val="71A96256"/>
    <w:rsid w:val="72811D66"/>
    <w:rsid w:val="72AD1BC4"/>
    <w:rsid w:val="72BF19FC"/>
    <w:rsid w:val="72CB7BBF"/>
    <w:rsid w:val="72D87890"/>
    <w:rsid w:val="73596FD5"/>
    <w:rsid w:val="739D6C0B"/>
    <w:rsid w:val="73EB191B"/>
    <w:rsid w:val="73FC27DC"/>
    <w:rsid w:val="741B77FB"/>
    <w:rsid w:val="74A0431F"/>
    <w:rsid w:val="74B706C6"/>
    <w:rsid w:val="75114065"/>
    <w:rsid w:val="75BD3260"/>
    <w:rsid w:val="77577BD7"/>
    <w:rsid w:val="77A421F8"/>
    <w:rsid w:val="77D575CC"/>
    <w:rsid w:val="78086155"/>
    <w:rsid w:val="78415585"/>
    <w:rsid w:val="78C330AE"/>
    <w:rsid w:val="78D67D31"/>
    <w:rsid w:val="79607369"/>
    <w:rsid w:val="79AC43EE"/>
    <w:rsid w:val="79ED3B58"/>
    <w:rsid w:val="7A054EF0"/>
    <w:rsid w:val="7A8D2BAF"/>
    <w:rsid w:val="7AA716F4"/>
    <w:rsid w:val="7AB931D5"/>
    <w:rsid w:val="7ABF5717"/>
    <w:rsid w:val="7B0020A3"/>
    <w:rsid w:val="7B2A3405"/>
    <w:rsid w:val="7B4F4C4B"/>
    <w:rsid w:val="7BB5432D"/>
    <w:rsid w:val="7BBF3C16"/>
    <w:rsid w:val="7C2F272F"/>
    <w:rsid w:val="7C341655"/>
    <w:rsid w:val="7C3F3BAE"/>
    <w:rsid w:val="7C69767B"/>
    <w:rsid w:val="7C702000"/>
    <w:rsid w:val="7C9E41A7"/>
    <w:rsid w:val="7CE107C1"/>
    <w:rsid w:val="7CF76237"/>
    <w:rsid w:val="7D0E6086"/>
    <w:rsid w:val="7D830862"/>
    <w:rsid w:val="7DA97CAC"/>
    <w:rsid w:val="7E2A06A9"/>
    <w:rsid w:val="7E8D6E52"/>
    <w:rsid w:val="7EAE07AC"/>
    <w:rsid w:val="7F76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keepLines/>
      <w:adjustRightInd w:val="0"/>
      <w:spacing w:before="340" w:after="330" w:line="578" w:lineRule="atLeast"/>
      <w:ind w:left="252" w:firstLine="288"/>
      <w:jc w:val="left"/>
      <w:textAlignment w:val="baseline"/>
      <w:outlineLvl w:val="0"/>
    </w:pPr>
    <w:rPr>
      <w:b/>
      <w:bCs/>
      <w:kern w:val="44"/>
      <w:sz w:val="44"/>
      <w:szCs w:val="44"/>
    </w:rPr>
  </w:style>
  <w:style w:type="paragraph" w:styleId="3">
    <w:name w:val="heading 2"/>
    <w:basedOn w:val="1"/>
    <w:next w:val="1"/>
    <w:link w:val="49"/>
    <w:qFormat/>
    <w:uiPriority w:val="0"/>
    <w:pPr>
      <w:keepNext/>
      <w:keepLines/>
      <w:adjustRightInd w:val="0"/>
      <w:spacing w:before="260" w:after="260" w:line="416" w:lineRule="atLeast"/>
      <w:ind w:left="543" w:firstLine="177"/>
      <w:jc w:val="left"/>
      <w:textAlignment w:val="baseline"/>
      <w:outlineLvl w:val="1"/>
    </w:pPr>
    <w:rPr>
      <w:rFonts w:ascii="Arial" w:hAnsi="Arial" w:eastAsia="黑体"/>
      <w:b/>
      <w:bCs/>
      <w:kern w:val="0"/>
      <w:sz w:val="32"/>
      <w:szCs w:val="32"/>
    </w:rPr>
  </w:style>
  <w:style w:type="paragraph" w:styleId="4">
    <w:name w:val="heading 3"/>
    <w:basedOn w:val="1"/>
    <w:next w:val="1"/>
    <w:link w:val="50"/>
    <w:qFormat/>
    <w:uiPriority w:val="0"/>
    <w:pPr>
      <w:keepNext/>
      <w:keepLines/>
      <w:adjustRightInd w:val="0"/>
      <w:spacing w:before="260" w:after="260" w:line="416" w:lineRule="atLeast"/>
      <w:ind w:left="252"/>
      <w:jc w:val="left"/>
      <w:textAlignment w:val="baseline"/>
      <w:outlineLvl w:val="2"/>
    </w:pPr>
    <w:rPr>
      <w:b/>
      <w:bCs/>
      <w:kern w:val="0"/>
      <w:sz w:val="32"/>
      <w:szCs w:val="32"/>
    </w:rPr>
  </w:style>
  <w:style w:type="paragraph" w:styleId="5">
    <w:name w:val="heading 4"/>
    <w:basedOn w:val="1"/>
    <w:next w:val="1"/>
    <w:link w:val="51"/>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2"/>
    <w:qFormat/>
    <w:uiPriority w:val="9"/>
    <w:pPr>
      <w:keepNext/>
      <w:keepLines/>
      <w:adjustRightInd w:val="0"/>
      <w:spacing w:before="280" w:after="290" w:line="376" w:lineRule="atLeast"/>
      <w:ind w:left="252"/>
      <w:jc w:val="left"/>
      <w:textAlignment w:val="baseline"/>
      <w:outlineLvl w:val="4"/>
    </w:pPr>
    <w:rPr>
      <w:b/>
      <w:bCs/>
      <w:kern w:val="0"/>
      <w:sz w:val="28"/>
      <w:szCs w:val="28"/>
    </w:rPr>
  </w:style>
  <w:style w:type="paragraph" w:styleId="7">
    <w:name w:val="heading 6"/>
    <w:basedOn w:val="1"/>
    <w:next w:val="1"/>
    <w:link w:val="53"/>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rPr>
  </w:style>
  <w:style w:type="paragraph" w:styleId="8">
    <w:name w:val="heading 7"/>
    <w:basedOn w:val="1"/>
    <w:next w:val="1"/>
    <w:link w:val="54"/>
    <w:qFormat/>
    <w:uiPriority w:val="0"/>
    <w:pPr>
      <w:keepNext/>
      <w:keepLines/>
      <w:adjustRightInd w:val="0"/>
      <w:spacing w:before="240" w:after="64" w:line="320" w:lineRule="atLeast"/>
      <w:ind w:left="252"/>
      <w:jc w:val="left"/>
      <w:textAlignment w:val="baseline"/>
      <w:outlineLvl w:val="6"/>
    </w:pPr>
    <w:rPr>
      <w:b/>
      <w:bCs/>
      <w:kern w:val="0"/>
      <w:sz w:val="24"/>
    </w:rPr>
  </w:style>
  <w:style w:type="paragraph" w:styleId="9">
    <w:name w:val="heading 8"/>
    <w:basedOn w:val="1"/>
    <w:next w:val="1"/>
    <w:link w:val="55"/>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rPr>
  </w:style>
  <w:style w:type="paragraph" w:styleId="10">
    <w:name w:val="heading 9"/>
    <w:basedOn w:val="1"/>
    <w:next w:val="1"/>
    <w:link w:val="56"/>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List Number"/>
    <w:basedOn w:val="1"/>
    <w:unhideWhenUsed/>
    <w:qFormat/>
    <w:uiPriority w:val="99"/>
    <w:pPr>
      <w:tabs>
        <w:tab w:val="left" w:pos="360"/>
      </w:tabs>
      <w:spacing w:line="360" w:lineRule="auto"/>
      <w:contextualSpacing/>
    </w:pPr>
    <w:rPr>
      <w:rFonts w:ascii="Calibri" w:hAnsi="Calibri"/>
      <w:sz w:val="24"/>
      <w:szCs w:val="22"/>
    </w:rPr>
  </w:style>
  <w:style w:type="paragraph" w:styleId="13">
    <w:name w:val="Normal Indent"/>
    <w:basedOn w:val="1"/>
    <w:next w:val="1"/>
    <w:link w:val="57"/>
    <w:qFormat/>
    <w:uiPriority w:val="0"/>
    <w:pPr>
      <w:ind w:firstLine="420" w:firstLineChars="200"/>
    </w:pPr>
  </w:style>
  <w:style w:type="paragraph" w:styleId="14">
    <w:name w:val="caption"/>
    <w:basedOn w:val="1"/>
    <w:next w:val="1"/>
    <w:qFormat/>
    <w:uiPriority w:val="0"/>
    <w:pPr>
      <w:spacing w:before="240" w:after="240" w:line="360" w:lineRule="auto"/>
      <w:jc w:val="center"/>
    </w:pPr>
    <w:rPr>
      <w:rFonts w:ascii="Arial" w:hAnsi="Arial" w:eastAsia="黑体"/>
      <w:sz w:val="24"/>
      <w:szCs w:val="20"/>
    </w:rPr>
  </w:style>
  <w:style w:type="paragraph" w:styleId="15">
    <w:name w:val="Document Map"/>
    <w:basedOn w:val="1"/>
    <w:link w:val="58"/>
    <w:qFormat/>
    <w:uiPriority w:val="0"/>
    <w:pPr>
      <w:shd w:val="clear" w:color="auto" w:fill="000080"/>
      <w:spacing w:line="360" w:lineRule="auto"/>
    </w:pPr>
    <w:rPr>
      <w:sz w:val="24"/>
    </w:rPr>
  </w:style>
  <w:style w:type="paragraph" w:styleId="16">
    <w:name w:val="toa heading"/>
    <w:basedOn w:val="1"/>
    <w:next w:val="1"/>
    <w:qFormat/>
    <w:uiPriority w:val="0"/>
    <w:rPr>
      <w:rFonts w:ascii="Arial" w:hAnsi="Arial"/>
    </w:rPr>
  </w:style>
  <w:style w:type="paragraph" w:styleId="17">
    <w:name w:val="annotation text"/>
    <w:basedOn w:val="1"/>
    <w:link w:val="59"/>
    <w:qFormat/>
    <w:uiPriority w:val="99"/>
    <w:pPr>
      <w:jc w:val="left"/>
    </w:pPr>
  </w:style>
  <w:style w:type="paragraph" w:styleId="18">
    <w:name w:val="Body Text 3"/>
    <w:basedOn w:val="1"/>
    <w:link w:val="60"/>
    <w:qFormat/>
    <w:uiPriority w:val="0"/>
    <w:pPr>
      <w:widowControl/>
      <w:spacing w:line="480" w:lineRule="exact"/>
    </w:pPr>
    <w:rPr>
      <w:rFonts w:ascii="黑体" w:hAnsi="宋体" w:eastAsia="黑体"/>
      <w:bCs/>
      <w:sz w:val="28"/>
      <w:szCs w:val="28"/>
    </w:rPr>
  </w:style>
  <w:style w:type="paragraph" w:styleId="19">
    <w:name w:val="Body Text"/>
    <w:basedOn w:val="1"/>
    <w:next w:val="20"/>
    <w:link w:val="61"/>
    <w:unhideWhenUsed/>
    <w:qFormat/>
    <w:uiPriority w:val="0"/>
    <w:pPr>
      <w:spacing w:after="120"/>
    </w:pPr>
  </w:style>
  <w:style w:type="paragraph" w:styleId="20">
    <w:name w:val="Body Text Indent"/>
    <w:basedOn w:val="1"/>
    <w:next w:val="21"/>
    <w:link w:val="62"/>
    <w:qFormat/>
    <w:uiPriority w:val="0"/>
    <w:pPr>
      <w:adjustRightInd w:val="0"/>
      <w:spacing w:after="120" w:line="360" w:lineRule="atLeast"/>
      <w:ind w:left="420" w:leftChars="200"/>
      <w:jc w:val="left"/>
      <w:textAlignment w:val="baseline"/>
    </w:pPr>
    <w:rPr>
      <w:kern w:val="0"/>
      <w:sz w:val="24"/>
      <w:szCs w:val="20"/>
    </w:rPr>
  </w:style>
  <w:style w:type="paragraph" w:styleId="21">
    <w:name w:val="envelope return"/>
    <w:basedOn w:val="1"/>
    <w:unhideWhenUsed/>
    <w:qFormat/>
    <w:uiPriority w:val="99"/>
    <w:pPr>
      <w:snapToGrid w:val="0"/>
    </w:pPr>
    <w:rPr>
      <w:rFonts w:ascii="Arial" w:hAnsi="Arial"/>
      <w:szCs w:val="22"/>
    </w:rPr>
  </w:style>
  <w:style w:type="paragraph" w:styleId="22">
    <w:name w:val="Block Text"/>
    <w:basedOn w:val="1"/>
    <w:qFormat/>
    <w:uiPriority w:val="0"/>
    <w:pPr>
      <w:tabs>
        <w:tab w:val="left" w:pos="7350"/>
        <w:tab w:val="left" w:pos="7560"/>
        <w:tab w:val="left" w:pos="7770"/>
      </w:tabs>
      <w:spacing w:line="360" w:lineRule="auto"/>
      <w:ind w:left="527" w:right="590" w:firstLine="527"/>
    </w:pPr>
    <w:rPr>
      <w:sz w:val="24"/>
      <w:szCs w:val="20"/>
    </w:rPr>
  </w:style>
  <w:style w:type="paragraph" w:styleId="23">
    <w:name w:val="index 4"/>
    <w:basedOn w:val="1"/>
    <w:next w:val="1"/>
    <w:unhideWhenUsed/>
    <w:qFormat/>
    <w:uiPriority w:val="99"/>
    <w:pPr>
      <w:ind w:left="600" w:leftChars="600"/>
    </w:pPr>
  </w:style>
  <w:style w:type="paragraph" w:styleId="24">
    <w:name w:val="toc 3"/>
    <w:basedOn w:val="1"/>
    <w:next w:val="1"/>
    <w:unhideWhenUsed/>
    <w:qFormat/>
    <w:uiPriority w:val="39"/>
    <w:pPr>
      <w:ind w:left="840" w:leftChars="400"/>
    </w:pPr>
  </w:style>
  <w:style w:type="paragraph" w:styleId="25">
    <w:name w:val="Plain Text"/>
    <w:basedOn w:val="1"/>
    <w:link w:val="63"/>
    <w:qFormat/>
    <w:uiPriority w:val="0"/>
    <w:rPr>
      <w:rFonts w:ascii="宋体" w:hAnsi="Courier New"/>
      <w:szCs w:val="21"/>
    </w:rPr>
  </w:style>
  <w:style w:type="paragraph" w:styleId="26">
    <w:name w:val="Date"/>
    <w:basedOn w:val="1"/>
    <w:next w:val="1"/>
    <w:link w:val="64"/>
    <w:qFormat/>
    <w:uiPriority w:val="0"/>
    <w:pPr>
      <w:spacing w:line="360" w:lineRule="auto"/>
      <w:ind w:left="100" w:leftChars="2500"/>
    </w:pPr>
    <w:rPr>
      <w:sz w:val="24"/>
    </w:rPr>
  </w:style>
  <w:style w:type="paragraph" w:styleId="27">
    <w:name w:val="Balloon Text"/>
    <w:basedOn w:val="1"/>
    <w:link w:val="65"/>
    <w:qFormat/>
    <w:uiPriority w:val="0"/>
    <w:rPr>
      <w:sz w:val="18"/>
      <w:szCs w:val="18"/>
    </w:rPr>
  </w:style>
  <w:style w:type="paragraph" w:styleId="28">
    <w:name w:val="footer"/>
    <w:basedOn w:val="1"/>
    <w:link w:val="66"/>
    <w:unhideWhenUsed/>
    <w:qFormat/>
    <w:uiPriority w:val="0"/>
    <w:pPr>
      <w:tabs>
        <w:tab w:val="center" w:pos="4153"/>
        <w:tab w:val="right" w:pos="8306"/>
      </w:tabs>
      <w:snapToGrid w:val="0"/>
      <w:jc w:val="left"/>
    </w:pPr>
    <w:rPr>
      <w:sz w:val="18"/>
      <w:szCs w:val="18"/>
    </w:rPr>
  </w:style>
  <w:style w:type="paragraph" w:styleId="29">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2"/>
    <w:basedOn w:val="1"/>
    <w:next w:val="1"/>
    <w:qFormat/>
    <w:uiPriority w:val="39"/>
    <w:pPr>
      <w:ind w:left="420" w:leftChars="200"/>
    </w:pPr>
  </w:style>
  <w:style w:type="paragraph" w:styleId="32">
    <w:name w:val="Body Text 2"/>
    <w:basedOn w:val="1"/>
    <w:link w:val="68"/>
    <w:unhideWhenUsed/>
    <w:qFormat/>
    <w:uiPriority w:val="99"/>
    <w:pPr>
      <w:spacing w:after="120" w:line="480" w:lineRule="auto"/>
    </w:pPr>
  </w:style>
  <w:style w:type="paragraph" w:styleId="33">
    <w:name w:val="HTML Preformatted"/>
    <w:basedOn w:val="1"/>
    <w:link w:val="6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70"/>
    <w:qFormat/>
    <w:uiPriority w:val="0"/>
    <w:pPr>
      <w:jc w:val="center"/>
    </w:pPr>
    <w:rPr>
      <w:sz w:val="30"/>
    </w:rPr>
  </w:style>
  <w:style w:type="paragraph" w:styleId="36">
    <w:name w:val="annotation subject"/>
    <w:basedOn w:val="17"/>
    <w:next w:val="17"/>
    <w:link w:val="71"/>
    <w:qFormat/>
    <w:uiPriority w:val="0"/>
    <w:rPr>
      <w:b/>
      <w:bCs/>
    </w:rPr>
  </w:style>
  <w:style w:type="paragraph" w:styleId="37">
    <w:name w:val="Body Text First Indent"/>
    <w:basedOn w:val="19"/>
    <w:link w:val="72"/>
    <w:unhideWhenUsed/>
    <w:qFormat/>
    <w:uiPriority w:val="99"/>
    <w:pPr>
      <w:ind w:firstLine="420" w:firstLineChars="100"/>
    </w:pPr>
    <w:rPr>
      <w:szCs w:val="20"/>
    </w:rPr>
  </w:style>
  <w:style w:type="paragraph" w:styleId="38">
    <w:name w:val="Body Text First Indent 2"/>
    <w:basedOn w:val="20"/>
    <w:link w:val="73"/>
    <w:qFormat/>
    <w:uiPriority w:val="99"/>
    <w:pPr>
      <w:ind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qFormat/>
    <w:uiPriority w:val="99"/>
  </w:style>
  <w:style w:type="character" w:styleId="44">
    <w:name w:val="FollowedHyperlink"/>
    <w:qFormat/>
    <w:uiPriority w:val="0"/>
    <w:rPr>
      <w:color w:val="800080"/>
      <w:u w:val="single"/>
    </w:rPr>
  </w:style>
  <w:style w:type="character" w:styleId="45">
    <w:name w:val="Hyperlink"/>
    <w:basedOn w:val="41"/>
    <w:unhideWhenUsed/>
    <w:qFormat/>
    <w:uiPriority w:val="99"/>
    <w:rPr>
      <w:color w:val="0000FF"/>
      <w:u w:val="single"/>
    </w:rPr>
  </w:style>
  <w:style w:type="character" w:styleId="46">
    <w:name w:val="annotation reference"/>
    <w:qFormat/>
    <w:uiPriority w:val="0"/>
    <w:rPr>
      <w:sz w:val="21"/>
      <w:szCs w:val="21"/>
    </w:rPr>
  </w:style>
  <w:style w:type="character" w:styleId="47">
    <w:name w:val="HTML Sample"/>
    <w:unhideWhenUsed/>
    <w:qFormat/>
    <w:uiPriority w:val="99"/>
    <w:rPr>
      <w:rFonts w:ascii="Courier New" w:hAnsi="Courier New"/>
    </w:rPr>
  </w:style>
  <w:style w:type="character" w:customStyle="1" w:styleId="48">
    <w:name w:val="标题 1 字符"/>
    <w:basedOn w:val="41"/>
    <w:link w:val="2"/>
    <w:qFormat/>
    <w:uiPriority w:val="9"/>
    <w:rPr>
      <w:rFonts w:ascii="Times New Roman" w:hAnsi="Times New Roman" w:eastAsia="宋体" w:cs="Times New Roman"/>
      <w:b/>
      <w:bCs/>
      <w:kern w:val="44"/>
      <w:sz w:val="44"/>
      <w:szCs w:val="44"/>
    </w:rPr>
  </w:style>
  <w:style w:type="character" w:customStyle="1" w:styleId="49">
    <w:name w:val="标题 2 字符1"/>
    <w:basedOn w:val="41"/>
    <w:link w:val="3"/>
    <w:qFormat/>
    <w:uiPriority w:val="0"/>
    <w:rPr>
      <w:rFonts w:ascii="Arial" w:hAnsi="Arial" w:eastAsia="黑体" w:cs="Times New Roman"/>
      <w:b/>
      <w:bCs/>
      <w:sz w:val="32"/>
      <w:szCs w:val="32"/>
    </w:rPr>
  </w:style>
  <w:style w:type="character" w:customStyle="1" w:styleId="50">
    <w:name w:val="标题 3 字符"/>
    <w:basedOn w:val="41"/>
    <w:link w:val="4"/>
    <w:qFormat/>
    <w:uiPriority w:val="0"/>
    <w:rPr>
      <w:rFonts w:ascii="Times New Roman" w:hAnsi="Times New Roman" w:eastAsia="宋体" w:cs="Times New Roman"/>
      <w:b/>
      <w:bCs/>
      <w:sz w:val="32"/>
      <w:szCs w:val="32"/>
    </w:rPr>
  </w:style>
  <w:style w:type="character" w:customStyle="1" w:styleId="51">
    <w:name w:val="标题 4 字符"/>
    <w:basedOn w:val="41"/>
    <w:link w:val="5"/>
    <w:qFormat/>
    <w:uiPriority w:val="9"/>
    <w:rPr>
      <w:rFonts w:ascii="Arial" w:hAnsi="Arial" w:eastAsia="黑体" w:cs="Times New Roman"/>
      <w:b/>
      <w:bCs/>
      <w:sz w:val="28"/>
      <w:szCs w:val="28"/>
    </w:rPr>
  </w:style>
  <w:style w:type="character" w:customStyle="1" w:styleId="52">
    <w:name w:val="标题 5 字符"/>
    <w:basedOn w:val="41"/>
    <w:link w:val="6"/>
    <w:qFormat/>
    <w:uiPriority w:val="9"/>
    <w:rPr>
      <w:rFonts w:ascii="Times New Roman" w:hAnsi="Times New Roman" w:eastAsia="宋体" w:cs="Times New Roman"/>
      <w:b/>
      <w:bCs/>
      <w:sz w:val="28"/>
      <w:szCs w:val="28"/>
    </w:rPr>
  </w:style>
  <w:style w:type="character" w:customStyle="1" w:styleId="53">
    <w:name w:val="标题 6 字符"/>
    <w:basedOn w:val="41"/>
    <w:link w:val="7"/>
    <w:qFormat/>
    <w:uiPriority w:val="0"/>
    <w:rPr>
      <w:rFonts w:ascii="Arial" w:hAnsi="Arial" w:eastAsia="黑体" w:cs="Times New Roman"/>
      <w:b/>
      <w:bCs/>
      <w:sz w:val="24"/>
      <w:szCs w:val="24"/>
    </w:rPr>
  </w:style>
  <w:style w:type="character" w:customStyle="1" w:styleId="54">
    <w:name w:val="标题 7 字符"/>
    <w:basedOn w:val="41"/>
    <w:link w:val="8"/>
    <w:qFormat/>
    <w:uiPriority w:val="0"/>
    <w:rPr>
      <w:rFonts w:ascii="Times New Roman" w:hAnsi="Times New Roman" w:eastAsia="宋体" w:cs="Times New Roman"/>
      <w:b/>
      <w:bCs/>
      <w:sz w:val="24"/>
      <w:szCs w:val="24"/>
    </w:rPr>
  </w:style>
  <w:style w:type="character" w:customStyle="1" w:styleId="55">
    <w:name w:val="标题 8 字符"/>
    <w:basedOn w:val="41"/>
    <w:link w:val="9"/>
    <w:qFormat/>
    <w:uiPriority w:val="0"/>
    <w:rPr>
      <w:rFonts w:ascii="Arial" w:hAnsi="Arial" w:eastAsia="黑体" w:cs="Times New Roman"/>
      <w:sz w:val="24"/>
      <w:szCs w:val="24"/>
    </w:rPr>
  </w:style>
  <w:style w:type="character" w:customStyle="1" w:styleId="56">
    <w:name w:val="标题 9 字符"/>
    <w:basedOn w:val="41"/>
    <w:link w:val="10"/>
    <w:qFormat/>
    <w:uiPriority w:val="0"/>
    <w:rPr>
      <w:rFonts w:ascii="Arial" w:hAnsi="Arial" w:eastAsia="黑体" w:cs="Times New Roman"/>
      <w:sz w:val="21"/>
      <w:szCs w:val="21"/>
    </w:rPr>
  </w:style>
  <w:style w:type="character" w:customStyle="1" w:styleId="57">
    <w:name w:val="正文缩进 字符"/>
    <w:link w:val="13"/>
    <w:qFormat/>
    <w:uiPriority w:val="0"/>
    <w:rPr>
      <w:kern w:val="2"/>
      <w:sz w:val="21"/>
      <w:szCs w:val="24"/>
    </w:rPr>
  </w:style>
  <w:style w:type="character" w:customStyle="1" w:styleId="58">
    <w:name w:val="文档结构图 字符"/>
    <w:basedOn w:val="41"/>
    <w:link w:val="15"/>
    <w:qFormat/>
    <w:uiPriority w:val="0"/>
    <w:rPr>
      <w:kern w:val="2"/>
      <w:sz w:val="24"/>
      <w:szCs w:val="24"/>
      <w:shd w:val="clear" w:color="auto" w:fill="000080"/>
    </w:rPr>
  </w:style>
  <w:style w:type="character" w:customStyle="1" w:styleId="59">
    <w:name w:val="批注文字 字符"/>
    <w:basedOn w:val="41"/>
    <w:link w:val="17"/>
    <w:qFormat/>
    <w:uiPriority w:val="99"/>
    <w:rPr>
      <w:rFonts w:ascii="Times New Roman" w:hAnsi="Times New Roman" w:eastAsia="宋体" w:cs="Times New Roman"/>
      <w:szCs w:val="24"/>
    </w:rPr>
  </w:style>
  <w:style w:type="character" w:customStyle="1" w:styleId="60">
    <w:name w:val="正文文本 3 字符"/>
    <w:basedOn w:val="41"/>
    <w:link w:val="18"/>
    <w:qFormat/>
    <w:uiPriority w:val="0"/>
    <w:rPr>
      <w:rFonts w:ascii="黑体" w:hAnsi="宋体" w:eastAsia="黑体"/>
      <w:bCs/>
      <w:kern w:val="2"/>
      <w:sz w:val="28"/>
      <w:szCs w:val="28"/>
    </w:rPr>
  </w:style>
  <w:style w:type="character" w:customStyle="1" w:styleId="61">
    <w:name w:val="正文文本 字符"/>
    <w:basedOn w:val="41"/>
    <w:link w:val="19"/>
    <w:qFormat/>
    <w:uiPriority w:val="99"/>
    <w:rPr>
      <w:kern w:val="2"/>
      <w:sz w:val="21"/>
      <w:szCs w:val="24"/>
    </w:rPr>
  </w:style>
  <w:style w:type="character" w:customStyle="1" w:styleId="62">
    <w:name w:val="正文文本缩进 字符"/>
    <w:basedOn w:val="41"/>
    <w:link w:val="20"/>
    <w:qFormat/>
    <w:uiPriority w:val="0"/>
    <w:rPr>
      <w:rFonts w:ascii="Times New Roman" w:hAnsi="Times New Roman" w:eastAsia="宋体" w:cs="Times New Roman"/>
      <w:kern w:val="0"/>
      <w:sz w:val="24"/>
      <w:szCs w:val="20"/>
    </w:rPr>
  </w:style>
  <w:style w:type="character" w:customStyle="1" w:styleId="63">
    <w:name w:val="纯文本 字符"/>
    <w:basedOn w:val="41"/>
    <w:link w:val="25"/>
    <w:qFormat/>
    <w:uiPriority w:val="99"/>
    <w:rPr>
      <w:rFonts w:ascii="宋体" w:hAnsi="Courier New" w:eastAsia="宋体" w:cs="Times New Roman"/>
      <w:szCs w:val="21"/>
    </w:rPr>
  </w:style>
  <w:style w:type="character" w:customStyle="1" w:styleId="64">
    <w:name w:val="日期 字符"/>
    <w:basedOn w:val="41"/>
    <w:link w:val="26"/>
    <w:qFormat/>
    <w:uiPriority w:val="0"/>
    <w:rPr>
      <w:kern w:val="2"/>
      <w:sz w:val="24"/>
      <w:szCs w:val="24"/>
    </w:rPr>
  </w:style>
  <w:style w:type="character" w:customStyle="1" w:styleId="65">
    <w:name w:val="批注框文本 字符"/>
    <w:basedOn w:val="41"/>
    <w:link w:val="27"/>
    <w:qFormat/>
    <w:uiPriority w:val="0"/>
    <w:rPr>
      <w:rFonts w:ascii="Times New Roman" w:hAnsi="Times New Roman" w:eastAsia="宋体" w:cs="Times New Roman"/>
      <w:sz w:val="18"/>
      <w:szCs w:val="18"/>
    </w:rPr>
  </w:style>
  <w:style w:type="character" w:customStyle="1" w:styleId="66">
    <w:name w:val="页脚 字符"/>
    <w:basedOn w:val="41"/>
    <w:link w:val="28"/>
    <w:qFormat/>
    <w:uiPriority w:val="99"/>
    <w:rPr>
      <w:sz w:val="18"/>
      <w:szCs w:val="18"/>
    </w:rPr>
  </w:style>
  <w:style w:type="character" w:customStyle="1" w:styleId="67">
    <w:name w:val="页眉 字符"/>
    <w:basedOn w:val="41"/>
    <w:link w:val="29"/>
    <w:qFormat/>
    <w:uiPriority w:val="99"/>
    <w:rPr>
      <w:sz w:val="18"/>
      <w:szCs w:val="18"/>
    </w:rPr>
  </w:style>
  <w:style w:type="character" w:customStyle="1" w:styleId="68">
    <w:name w:val="正文文本 2 字符"/>
    <w:basedOn w:val="41"/>
    <w:link w:val="32"/>
    <w:semiHidden/>
    <w:qFormat/>
    <w:uiPriority w:val="99"/>
    <w:rPr>
      <w:kern w:val="2"/>
      <w:sz w:val="21"/>
      <w:szCs w:val="24"/>
    </w:rPr>
  </w:style>
  <w:style w:type="character" w:customStyle="1" w:styleId="69">
    <w:name w:val="HTML 预设格式 字符"/>
    <w:basedOn w:val="41"/>
    <w:link w:val="33"/>
    <w:qFormat/>
    <w:uiPriority w:val="0"/>
    <w:rPr>
      <w:rFonts w:ascii="宋体" w:hAnsi="宋体"/>
      <w:sz w:val="24"/>
      <w:szCs w:val="24"/>
    </w:rPr>
  </w:style>
  <w:style w:type="character" w:customStyle="1" w:styleId="70">
    <w:name w:val="标题 字符"/>
    <w:basedOn w:val="41"/>
    <w:link w:val="35"/>
    <w:qFormat/>
    <w:uiPriority w:val="0"/>
    <w:rPr>
      <w:kern w:val="2"/>
      <w:sz w:val="30"/>
      <w:szCs w:val="24"/>
    </w:rPr>
  </w:style>
  <w:style w:type="character" w:customStyle="1" w:styleId="71">
    <w:name w:val="批注主题 字符"/>
    <w:basedOn w:val="59"/>
    <w:link w:val="36"/>
    <w:qFormat/>
    <w:uiPriority w:val="0"/>
    <w:rPr>
      <w:rFonts w:ascii="Times New Roman" w:hAnsi="Times New Roman" w:eastAsia="宋体" w:cs="Times New Roman"/>
      <w:b/>
      <w:bCs/>
      <w:szCs w:val="24"/>
    </w:rPr>
  </w:style>
  <w:style w:type="character" w:customStyle="1" w:styleId="72">
    <w:name w:val="正文文本首行缩进 字符"/>
    <w:basedOn w:val="61"/>
    <w:link w:val="37"/>
    <w:qFormat/>
    <w:uiPriority w:val="0"/>
    <w:rPr>
      <w:kern w:val="2"/>
      <w:sz w:val="21"/>
      <w:szCs w:val="24"/>
    </w:rPr>
  </w:style>
  <w:style w:type="character" w:customStyle="1" w:styleId="73">
    <w:name w:val="正文文本首行缩进 2 字符"/>
    <w:basedOn w:val="62"/>
    <w:link w:val="38"/>
    <w:qFormat/>
    <w:uiPriority w:val="0"/>
    <w:rPr>
      <w:rFonts w:ascii="Times New Roman" w:hAnsi="Times New Roman" w:eastAsia="宋体" w:cs="Times New Roman"/>
      <w:kern w:val="0"/>
      <w:sz w:val="24"/>
      <w:szCs w:val="20"/>
    </w:rPr>
  </w:style>
  <w:style w:type="paragraph" w:customStyle="1" w:styleId="74">
    <w:name w:val="正文 New New New New New New New New New New New New New New New"/>
    <w:qFormat/>
    <w:uiPriority w:val="0"/>
    <w:pPr>
      <w:widowControl w:val="0"/>
      <w:ind w:firstLine="422" w:firstLineChars="200"/>
      <w:jc w:val="both"/>
      <w:outlineLvl w:val="3"/>
    </w:pPr>
    <w:rPr>
      <w:rFonts w:ascii="仿宋" w:hAnsi="仿宋" w:eastAsia="仿宋" w:cs="Times New Roman"/>
      <w:b/>
      <w:kern w:val="2"/>
      <w:sz w:val="21"/>
      <w:szCs w:val="21"/>
      <w:lang w:val="en-US" w:eastAsia="zh-CN" w:bidi="ar-SA"/>
    </w:rPr>
  </w:style>
  <w:style w:type="paragraph" w:customStyle="1" w:styleId="75">
    <w:name w:val="Char Char Char"/>
    <w:basedOn w:val="1"/>
    <w:qFormat/>
    <w:uiPriority w:val="0"/>
    <w:rPr>
      <w:rFonts w:ascii="Tahoma" w:hAnsi="Tahoma"/>
      <w:sz w:val="24"/>
      <w:szCs w:val="20"/>
    </w:rPr>
  </w:style>
  <w:style w:type="paragraph" w:customStyle="1" w:styleId="76">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7">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78">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79">
    <w:name w:val="样式1"/>
    <w:basedOn w:val="1"/>
    <w:qFormat/>
    <w:uiPriority w:val="0"/>
    <w:pPr>
      <w:adjustRightInd w:val="0"/>
      <w:textAlignment w:val="baseline"/>
    </w:pPr>
    <w:rPr>
      <w:rFonts w:ascii="宋体" w:hAnsi="宋体"/>
      <w:kern w:val="0"/>
      <w:szCs w:val="21"/>
    </w:rPr>
  </w:style>
  <w:style w:type="paragraph" w:styleId="80">
    <w:name w:val="List Paragraph"/>
    <w:basedOn w:val="1"/>
    <w:link w:val="81"/>
    <w:qFormat/>
    <w:uiPriority w:val="34"/>
    <w:pPr>
      <w:ind w:firstLine="420" w:firstLineChars="200"/>
    </w:pPr>
    <w:rPr>
      <w:rFonts w:ascii="Calibri" w:hAnsi="Calibri"/>
      <w:szCs w:val="22"/>
    </w:rPr>
  </w:style>
  <w:style w:type="character" w:customStyle="1" w:styleId="81">
    <w:name w:val="列表段落 字符"/>
    <w:link w:val="80"/>
    <w:qFormat/>
    <w:locked/>
    <w:uiPriority w:val="34"/>
    <w:rPr>
      <w:rFonts w:ascii="Calibri" w:hAnsi="Calibri"/>
      <w:kern w:val="2"/>
      <w:sz w:val="21"/>
      <w:szCs w:val="22"/>
    </w:rPr>
  </w:style>
  <w:style w:type="paragraph" w:customStyle="1" w:styleId="82">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83">
    <w:name w:val="列出段落1"/>
    <w:basedOn w:val="1"/>
    <w:qFormat/>
    <w:uiPriority w:val="34"/>
    <w:pPr>
      <w:ind w:firstLine="420" w:firstLineChars="200"/>
    </w:pPr>
    <w:rPr>
      <w:rFonts w:ascii="Calibri" w:hAnsi="Calibri"/>
      <w:szCs w:val="21"/>
    </w:rPr>
  </w:style>
  <w:style w:type="character" w:customStyle="1" w:styleId="84">
    <w:name w:val="15"/>
    <w:basedOn w:val="41"/>
    <w:qFormat/>
    <w:uiPriority w:val="0"/>
    <w:rPr>
      <w:rFonts w:hint="default" w:ascii="Times New Roman" w:hAnsi="Times New Roman" w:cs="Times New Roman"/>
      <w:b/>
      <w:bCs/>
    </w:rPr>
  </w:style>
  <w:style w:type="character" w:customStyle="1" w:styleId="85">
    <w:name w:val="页眉 Char"/>
    <w:basedOn w:val="41"/>
    <w:qFormat/>
    <w:uiPriority w:val="0"/>
    <w:rPr>
      <w:sz w:val="18"/>
      <w:szCs w:val="18"/>
    </w:rPr>
  </w:style>
  <w:style w:type="character" w:customStyle="1" w:styleId="86">
    <w:name w:val="纯文本 Char"/>
    <w:basedOn w:val="41"/>
    <w:qFormat/>
    <w:uiPriority w:val="99"/>
    <w:rPr>
      <w:rFonts w:hint="eastAsia" w:ascii="宋体" w:hAnsi="Courier New" w:eastAsia="宋体" w:cs="宋体"/>
      <w:kern w:val="2"/>
      <w:sz w:val="21"/>
      <w:szCs w:val="21"/>
    </w:rPr>
  </w:style>
  <w:style w:type="paragraph" w:customStyle="1" w:styleId="87">
    <w:name w:val="Char Char Char1"/>
    <w:basedOn w:val="1"/>
    <w:qFormat/>
    <w:uiPriority w:val="0"/>
  </w:style>
  <w:style w:type="paragraph" w:customStyle="1" w:styleId="88">
    <w:name w:val="Char Char Char2"/>
    <w:basedOn w:val="1"/>
    <w:qFormat/>
    <w:uiPriority w:val="0"/>
  </w:style>
  <w:style w:type="paragraph" w:customStyle="1" w:styleId="89">
    <w:name w:val="表格文字"/>
    <w:basedOn w:val="1"/>
    <w:qFormat/>
    <w:uiPriority w:val="0"/>
    <w:pPr>
      <w:spacing w:before="25" w:after="25"/>
      <w:jc w:val="left"/>
    </w:pPr>
    <w:rPr>
      <w:rFonts w:ascii="Calibri" w:hAnsi="Calibri"/>
      <w:bCs/>
      <w:spacing w:val="10"/>
      <w:kern w:val="0"/>
      <w:sz w:val="24"/>
      <w:szCs w:val="20"/>
    </w:rPr>
  </w:style>
  <w:style w:type="paragraph" w:customStyle="1" w:styleId="90">
    <w:name w:val="Table Paragraph"/>
    <w:basedOn w:val="1"/>
    <w:qFormat/>
    <w:uiPriority w:val="1"/>
    <w:rPr>
      <w:rFonts w:ascii="宋体" w:hAnsi="宋体" w:cs="宋体"/>
      <w:szCs w:val="22"/>
      <w:lang w:val="zh-CN" w:bidi="zh-CN"/>
    </w:rPr>
  </w:style>
  <w:style w:type="paragraph" w:customStyle="1" w:styleId="91">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92">
    <w:name w:val="Other|1"/>
    <w:basedOn w:val="1"/>
    <w:qFormat/>
    <w:uiPriority w:val="0"/>
    <w:pPr>
      <w:spacing w:line="268" w:lineRule="exact"/>
    </w:pPr>
    <w:rPr>
      <w:rFonts w:ascii="宋体" w:hAnsi="宋体" w:cs="宋体"/>
      <w:sz w:val="20"/>
      <w:szCs w:val="20"/>
      <w:lang w:val="zh-TW" w:eastAsia="zh-TW" w:bidi="zh-TW"/>
    </w:rPr>
  </w:style>
  <w:style w:type="character" w:customStyle="1" w:styleId="93">
    <w:name w:val="font41"/>
    <w:basedOn w:val="41"/>
    <w:qFormat/>
    <w:uiPriority w:val="0"/>
    <w:rPr>
      <w:rFonts w:hint="eastAsia" w:ascii="宋体" w:hAnsi="宋体" w:eastAsia="宋体" w:cs="宋体"/>
      <w:color w:val="000000"/>
      <w:sz w:val="18"/>
      <w:szCs w:val="18"/>
      <w:u w:val="none"/>
    </w:rPr>
  </w:style>
  <w:style w:type="character" w:customStyle="1" w:styleId="94">
    <w:name w:val="font61"/>
    <w:basedOn w:val="41"/>
    <w:qFormat/>
    <w:uiPriority w:val="0"/>
    <w:rPr>
      <w:rFonts w:hint="eastAsia" w:ascii="宋体" w:hAnsi="宋体" w:eastAsia="宋体" w:cs="宋体"/>
      <w:color w:val="000000"/>
      <w:sz w:val="20"/>
      <w:szCs w:val="20"/>
      <w:u w:val="none"/>
    </w:rPr>
  </w:style>
  <w:style w:type="paragraph" w:customStyle="1" w:styleId="95">
    <w:name w:val="标准正文样式"/>
    <w:basedOn w:val="96"/>
    <w:link w:val="97"/>
    <w:qFormat/>
    <w:uiPriority w:val="0"/>
    <w:pPr>
      <w:ind w:firstLine="200"/>
    </w:pPr>
  </w:style>
  <w:style w:type="paragraph" w:customStyle="1" w:styleId="96">
    <w:name w:val="样式 样式 正文首行缩进 2 + 首行缩进:  2 字符 + 首行缩进:  2 字符"/>
    <w:basedOn w:val="1"/>
    <w:qFormat/>
    <w:uiPriority w:val="0"/>
    <w:pPr>
      <w:spacing w:line="360" w:lineRule="auto"/>
      <w:ind w:firstLine="480" w:firstLineChars="200"/>
    </w:pPr>
    <w:rPr>
      <w:sz w:val="24"/>
      <w:szCs w:val="20"/>
    </w:rPr>
  </w:style>
  <w:style w:type="character" w:customStyle="1" w:styleId="97">
    <w:name w:val="标准正文样式 Char"/>
    <w:link w:val="95"/>
    <w:qFormat/>
    <w:uiPriority w:val="0"/>
    <w:rPr>
      <w:kern w:val="2"/>
      <w:sz w:val="24"/>
    </w:rPr>
  </w:style>
  <w:style w:type="paragraph" w:customStyle="1" w:styleId="98">
    <w:name w:val="智业正文"/>
    <w:basedOn w:val="1"/>
    <w:link w:val="99"/>
    <w:qFormat/>
    <w:uiPriority w:val="0"/>
    <w:pPr>
      <w:ind w:firstLine="200" w:firstLineChars="200"/>
    </w:pPr>
    <w:rPr>
      <w:kern w:val="0"/>
      <w:szCs w:val="20"/>
    </w:rPr>
  </w:style>
  <w:style w:type="character" w:customStyle="1" w:styleId="99">
    <w:name w:val="智业正文 Char Char"/>
    <w:link w:val="98"/>
    <w:qFormat/>
    <w:uiPriority w:val="0"/>
    <w:rPr>
      <w:sz w:val="21"/>
    </w:rPr>
  </w:style>
  <w:style w:type="paragraph" w:customStyle="1" w:styleId="100">
    <w:name w:val="正文正文111"/>
    <w:basedOn w:val="1"/>
    <w:link w:val="101"/>
    <w:qFormat/>
    <w:uiPriority w:val="1"/>
    <w:pPr>
      <w:ind w:firstLine="200" w:firstLineChars="200"/>
      <w:jc w:val="left"/>
    </w:pPr>
    <w:rPr>
      <w:rFonts w:ascii="宋体" w:hAnsi="宋体"/>
      <w:szCs w:val="21"/>
    </w:rPr>
  </w:style>
  <w:style w:type="character" w:customStyle="1" w:styleId="101">
    <w:name w:val="正文正文111 Char"/>
    <w:link w:val="100"/>
    <w:qFormat/>
    <w:uiPriority w:val="1"/>
    <w:rPr>
      <w:rFonts w:ascii="宋体" w:hAnsi="宋体"/>
      <w:kern w:val="2"/>
      <w:sz w:val="21"/>
      <w:szCs w:val="21"/>
    </w:rPr>
  </w:style>
  <w:style w:type="paragraph" w:customStyle="1" w:styleId="102">
    <w:name w:val="样式17"/>
    <w:basedOn w:val="103"/>
    <w:link w:val="105"/>
    <w:qFormat/>
    <w:uiPriority w:val="1"/>
    <w:pPr>
      <w:tabs>
        <w:tab w:val="left" w:pos="1064"/>
      </w:tabs>
      <w:ind w:left="1064" w:hanging="525"/>
    </w:pPr>
  </w:style>
  <w:style w:type="paragraph" w:customStyle="1" w:styleId="103">
    <w:name w:val="样式15"/>
    <w:basedOn w:val="100"/>
    <w:link w:val="104"/>
    <w:qFormat/>
    <w:uiPriority w:val="1"/>
    <w:pPr>
      <w:ind w:firstLine="0" w:firstLineChars="0"/>
    </w:pPr>
    <w:rPr>
      <w:rFonts w:ascii="Times New Roman" w:hAnsi="Times New Roman"/>
    </w:rPr>
  </w:style>
  <w:style w:type="character" w:customStyle="1" w:styleId="104">
    <w:name w:val="样式15 Char"/>
    <w:link w:val="103"/>
    <w:qFormat/>
    <w:uiPriority w:val="1"/>
    <w:rPr>
      <w:kern w:val="2"/>
      <w:sz w:val="21"/>
      <w:szCs w:val="21"/>
    </w:rPr>
  </w:style>
  <w:style w:type="character" w:customStyle="1" w:styleId="105">
    <w:name w:val="样式17 Char"/>
    <w:link w:val="102"/>
    <w:qFormat/>
    <w:uiPriority w:val="1"/>
    <w:rPr>
      <w:kern w:val="2"/>
      <w:sz w:val="21"/>
      <w:szCs w:val="21"/>
    </w:rPr>
  </w:style>
  <w:style w:type="paragraph" w:customStyle="1" w:styleId="106">
    <w:name w:val="标题 41"/>
    <w:basedOn w:val="1"/>
    <w:next w:val="1"/>
    <w:unhideWhenUsed/>
    <w:qFormat/>
    <w:uiPriority w:val="0"/>
    <w:pPr>
      <w:keepNext/>
      <w:keepLines/>
      <w:spacing w:before="280" w:after="290" w:line="376" w:lineRule="auto"/>
      <w:ind w:left="252"/>
      <w:outlineLvl w:val="3"/>
    </w:pPr>
    <w:rPr>
      <w:rFonts w:ascii="等线 Light" w:hAnsi="等线 Light" w:eastAsia="等线 Light"/>
      <w:b/>
      <w:bCs/>
      <w:kern w:val="0"/>
      <w:sz w:val="28"/>
      <w:szCs w:val="28"/>
    </w:rPr>
  </w:style>
  <w:style w:type="paragraph" w:customStyle="1" w:styleId="107">
    <w:name w:val="公卫正文"/>
    <w:basedOn w:val="1"/>
    <w:next w:val="1"/>
    <w:qFormat/>
    <w:uiPriority w:val="0"/>
    <w:pPr>
      <w:widowControl/>
      <w:ind w:firstLine="200" w:firstLineChars="200"/>
    </w:pPr>
    <w:rPr>
      <w:rFonts w:ascii="宋体" w:hAnsi="宋体" w:cs="微软雅黑"/>
      <w:kern w:val="0"/>
      <w:szCs w:val="21"/>
      <w:lang w:val="zh-CN"/>
    </w:rPr>
  </w:style>
  <w:style w:type="paragraph" w:customStyle="1" w:styleId="108">
    <w:name w:val="功能标注"/>
    <w:basedOn w:val="107"/>
    <w:qFormat/>
    <w:uiPriority w:val="0"/>
    <w:rPr>
      <w:rFonts w:ascii="Times New Roman" w:hAnsi="Times New Roman" w:cs="Times New Roman"/>
      <w:sz w:val="20"/>
      <w:szCs w:val="20"/>
      <w:lang w:val="en-US"/>
    </w:rPr>
  </w:style>
  <w:style w:type="paragraph" w:customStyle="1" w:styleId="109">
    <w:name w:val="样式4 NNNN"/>
    <w:basedOn w:val="5"/>
    <w:link w:val="110"/>
    <w:qFormat/>
    <w:uiPriority w:val="0"/>
    <w:pPr>
      <w:keepNext w:val="0"/>
      <w:keepLines w:val="0"/>
      <w:adjustRightInd/>
      <w:spacing w:line="372" w:lineRule="auto"/>
      <w:ind w:left="3984" w:hanging="864"/>
      <w:textAlignment w:val="auto"/>
    </w:pPr>
    <w:rPr>
      <w:rFonts w:ascii="宋体" w:hAnsi="宋体" w:eastAsia="宋体"/>
      <w:kern w:val="2"/>
      <w:sz w:val="24"/>
      <w:szCs w:val="24"/>
    </w:rPr>
  </w:style>
  <w:style w:type="character" w:customStyle="1" w:styleId="110">
    <w:name w:val="样式4 NNNN 字符"/>
    <w:link w:val="109"/>
    <w:qFormat/>
    <w:uiPriority w:val="0"/>
    <w:rPr>
      <w:rFonts w:ascii="宋体" w:hAnsi="宋体"/>
      <w:b/>
      <w:bCs/>
      <w:kern w:val="2"/>
      <w:sz w:val="24"/>
      <w:szCs w:val="24"/>
    </w:rPr>
  </w:style>
  <w:style w:type="paragraph" w:customStyle="1" w:styleId="111">
    <w:name w:val="正文缩进2字符"/>
    <w:basedOn w:val="1"/>
    <w:qFormat/>
    <w:uiPriority w:val="0"/>
    <w:pPr>
      <w:ind w:firstLine="480" w:firstLineChars="200"/>
    </w:pPr>
    <w:rPr>
      <w:rFonts w:cs="宋体"/>
      <w:szCs w:val="20"/>
    </w:rPr>
  </w:style>
  <w:style w:type="character" w:customStyle="1" w:styleId="112">
    <w:name w:val="标题 1 Char1"/>
    <w:qFormat/>
    <w:uiPriority w:val="99"/>
    <w:rPr>
      <w:rFonts w:eastAsia="黑体"/>
      <w:bCs/>
      <w:kern w:val="44"/>
      <w:sz w:val="36"/>
      <w:szCs w:val="44"/>
    </w:rPr>
  </w:style>
  <w:style w:type="character" w:customStyle="1" w:styleId="113">
    <w:name w:val="标题 2 Char1"/>
    <w:qFormat/>
    <w:uiPriority w:val="99"/>
    <w:rPr>
      <w:rFonts w:ascii="Arial" w:hAnsi="Arial"/>
      <w:b/>
      <w:bCs/>
      <w:sz w:val="24"/>
      <w:szCs w:val="32"/>
    </w:rPr>
  </w:style>
  <w:style w:type="character" w:customStyle="1" w:styleId="114">
    <w:name w:val="正文编号1 Char"/>
    <w:qFormat/>
    <w:uiPriority w:val="0"/>
    <w:rPr>
      <w:rFonts w:ascii="Arial" w:hAnsi="Arial" w:eastAsia="仿宋_GB2312"/>
      <w:kern w:val="2"/>
      <w:sz w:val="28"/>
      <w:szCs w:val="32"/>
      <w:lang w:val="en-US" w:eastAsia="zh-CN" w:bidi="ar-SA"/>
    </w:rPr>
  </w:style>
  <w:style w:type="character" w:customStyle="1" w:styleId="115">
    <w:name w:val="font11"/>
    <w:basedOn w:val="41"/>
    <w:qFormat/>
    <w:uiPriority w:val="0"/>
    <w:rPr>
      <w:rFonts w:hint="eastAsia" w:ascii="宋体" w:hAnsi="宋体" w:eastAsia="宋体" w:cs="宋体"/>
      <w:b/>
      <w:color w:val="000000"/>
      <w:sz w:val="18"/>
      <w:szCs w:val="18"/>
      <w:u w:val="none"/>
    </w:rPr>
  </w:style>
  <w:style w:type="character" w:customStyle="1" w:styleId="116">
    <w:name w:val="font31"/>
    <w:basedOn w:val="41"/>
    <w:qFormat/>
    <w:uiPriority w:val="0"/>
    <w:rPr>
      <w:rFonts w:hint="eastAsia" w:ascii="宋体" w:hAnsi="宋体" w:eastAsia="宋体" w:cs="宋体"/>
      <w:color w:val="000000"/>
      <w:sz w:val="18"/>
      <w:szCs w:val="18"/>
      <w:u w:val="none"/>
    </w:rPr>
  </w:style>
  <w:style w:type="character" w:customStyle="1" w:styleId="117">
    <w:name w:val="font81"/>
    <w:qFormat/>
    <w:uiPriority w:val="0"/>
    <w:rPr>
      <w:rFonts w:hint="eastAsia" w:ascii="等线" w:hAnsi="等线" w:eastAsia="等线" w:cs="等线"/>
      <w:color w:val="000000"/>
      <w:sz w:val="20"/>
      <w:szCs w:val="20"/>
      <w:u w:val="none"/>
    </w:rPr>
  </w:style>
  <w:style w:type="paragraph" w:customStyle="1" w:styleId="118">
    <w:name w:val="彩色列表 - 着色 11"/>
    <w:basedOn w:val="1"/>
    <w:qFormat/>
    <w:uiPriority w:val="34"/>
    <w:pPr>
      <w:spacing w:line="360" w:lineRule="auto"/>
      <w:ind w:firstLine="420" w:firstLineChars="200"/>
    </w:pPr>
    <w:rPr>
      <w:rFonts w:ascii="Calibri" w:hAnsi="Calibri"/>
      <w:sz w:val="24"/>
      <w:szCs w:val="22"/>
    </w:rPr>
  </w:style>
  <w:style w:type="paragraph" w:customStyle="1" w:styleId="119">
    <w:name w:val="Char1"/>
    <w:basedOn w:val="1"/>
    <w:qFormat/>
    <w:uiPriority w:val="0"/>
    <w:pPr>
      <w:spacing w:line="360" w:lineRule="auto"/>
    </w:pPr>
    <w:rPr>
      <w:sz w:val="24"/>
    </w:rPr>
  </w:style>
  <w:style w:type="paragraph" w:customStyle="1" w:styleId="120">
    <w:name w:val="标题-正文"/>
    <w:basedOn w:val="1"/>
    <w:qFormat/>
    <w:uiPriority w:val="7"/>
    <w:pPr>
      <w:spacing w:before="60" w:after="60" w:line="360" w:lineRule="auto"/>
      <w:ind w:firstLine="480" w:firstLineChars="200"/>
    </w:pPr>
    <w:rPr>
      <w:sz w:val="24"/>
    </w:rPr>
  </w:style>
  <w:style w:type="paragraph" w:customStyle="1" w:styleId="121">
    <w:name w:val="列表段落1"/>
    <w:basedOn w:val="1"/>
    <w:qFormat/>
    <w:uiPriority w:val="0"/>
    <w:pPr>
      <w:spacing w:line="360" w:lineRule="auto"/>
      <w:ind w:firstLine="420" w:firstLineChars="200"/>
    </w:pPr>
    <w:rPr>
      <w:sz w:val="24"/>
    </w:rPr>
  </w:style>
  <w:style w:type="paragraph" w:customStyle="1" w:styleId="122">
    <w:name w:val="!BECC正文"/>
    <w:next w:val="1"/>
    <w:qFormat/>
    <w:uiPriority w:val="0"/>
    <w:pPr>
      <w:widowControl w:val="0"/>
      <w:tabs>
        <w:tab w:val="left" w:pos="0"/>
      </w:tabs>
      <w:spacing w:beforeLines="50" w:line="400" w:lineRule="exact"/>
      <w:ind w:firstLine="200" w:firstLineChars="200"/>
      <w:contextualSpacing/>
      <w:jc w:val="both"/>
    </w:pPr>
    <w:rPr>
      <w:rFonts w:ascii="Calibri" w:hAnsi="Calibri" w:eastAsia="宋体" w:cs="Arial"/>
      <w:kern w:val="2"/>
      <w:sz w:val="24"/>
      <w:szCs w:val="24"/>
      <w:lang w:val="en-US" w:eastAsia="zh-CN" w:bidi="ar-SA"/>
    </w:rPr>
  </w:style>
  <w:style w:type="paragraph" w:customStyle="1" w:styleId="123">
    <w:name w:val="Char"/>
    <w:basedOn w:val="1"/>
    <w:qFormat/>
    <w:uiPriority w:val="0"/>
    <w:pPr>
      <w:spacing w:line="360" w:lineRule="auto"/>
    </w:pPr>
    <w:rPr>
      <w:sz w:val="24"/>
    </w:rPr>
  </w:style>
  <w:style w:type="paragraph" w:customStyle="1" w:styleId="124">
    <w:name w:val="列出段落2"/>
    <w:basedOn w:val="1"/>
    <w:qFormat/>
    <w:uiPriority w:val="34"/>
    <w:pPr>
      <w:spacing w:line="360" w:lineRule="auto"/>
      <w:ind w:firstLine="420" w:firstLineChars="200"/>
    </w:pPr>
  </w:style>
  <w:style w:type="paragraph" w:customStyle="1" w:styleId="125">
    <w:name w:val="样式 正文缩进 + 首行缩进:  2 字符"/>
    <w:basedOn w:val="13"/>
    <w:qFormat/>
    <w:uiPriority w:val="99"/>
    <w:pPr>
      <w:spacing w:line="360" w:lineRule="auto"/>
      <w:ind w:firstLine="200" w:firstLineChars="0"/>
    </w:pPr>
    <w:rPr>
      <w:rFonts w:cs="宋体"/>
      <w:szCs w:val="20"/>
    </w:rPr>
  </w:style>
  <w:style w:type="paragraph" w:customStyle="1" w:styleId="126">
    <w:name w:val="_Style 1880"/>
    <w:basedOn w:val="1"/>
    <w:next w:val="118"/>
    <w:qFormat/>
    <w:uiPriority w:val="34"/>
    <w:pPr>
      <w:spacing w:line="360" w:lineRule="auto"/>
      <w:ind w:firstLine="420" w:firstLineChars="200"/>
    </w:pPr>
    <w:rPr>
      <w:rFonts w:ascii="Calibri" w:hAnsi="Calibri" w:eastAsia="微软雅黑"/>
      <w:kern w:val="0"/>
      <w:sz w:val="20"/>
    </w:rPr>
  </w:style>
  <w:style w:type="paragraph" w:customStyle="1" w:styleId="127">
    <w:name w:val="正文不空"/>
    <w:basedOn w:val="1"/>
    <w:qFormat/>
    <w:uiPriority w:val="0"/>
    <w:pPr>
      <w:spacing w:line="360" w:lineRule="auto"/>
      <w:jc w:val="center"/>
    </w:pPr>
    <w:rPr>
      <w:rFonts w:ascii="Arial" w:hAnsi="Arial" w:eastAsia="仿宋_GB2312"/>
      <w:sz w:val="28"/>
      <w:szCs w:val="32"/>
    </w:rPr>
  </w:style>
  <w:style w:type="paragraph" w:customStyle="1" w:styleId="128">
    <w:name w:val="_Style 19"/>
    <w:basedOn w:val="1"/>
    <w:next w:val="121"/>
    <w:qFormat/>
    <w:uiPriority w:val="0"/>
    <w:pPr>
      <w:spacing w:line="360" w:lineRule="auto"/>
      <w:ind w:firstLine="420" w:firstLineChars="200"/>
    </w:pPr>
    <w:rPr>
      <w:sz w:val="24"/>
    </w:rPr>
  </w:style>
  <w:style w:type="paragraph" w:customStyle="1" w:styleId="129">
    <w:name w:val="H正文"/>
    <w:basedOn w:val="1"/>
    <w:qFormat/>
    <w:uiPriority w:val="0"/>
    <w:pPr>
      <w:spacing w:before="60" w:after="60" w:line="360" w:lineRule="auto"/>
      <w:ind w:firstLine="480" w:firstLineChars="200"/>
    </w:pPr>
    <w:rPr>
      <w:sz w:val="24"/>
    </w:rPr>
  </w:style>
  <w:style w:type="paragraph" w:styleId="130">
    <w:name w:val="No Spacing"/>
    <w:qFormat/>
    <w:uiPriority w:val="1"/>
    <w:pPr>
      <w:widowControl w:val="0"/>
      <w:spacing w:line="360" w:lineRule="auto"/>
      <w:ind w:firstLine="200" w:firstLineChars="200"/>
      <w:jc w:val="both"/>
    </w:pPr>
    <w:rPr>
      <w:rFonts w:ascii="Calibri" w:hAnsi="Calibri" w:eastAsia="宋体" w:cs="Times New Roman"/>
      <w:kern w:val="2"/>
      <w:sz w:val="21"/>
      <w:szCs w:val="21"/>
      <w:lang w:val="en-US" w:eastAsia="zh-CN" w:bidi="ar-SA"/>
    </w:rPr>
  </w:style>
  <w:style w:type="character" w:customStyle="1" w:styleId="131">
    <w:name w:val="_正文段落 Char"/>
    <w:link w:val="132"/>
    <w:qFormat/>
    <w:uiPriority w:val="0"/>
    <w:rPr>
      <w:rFonts w:ascii="宋体" w:hAnsi="宋体"/>
      <w:sz w:val="24"/>
      <w:szCs w:val="24"/>
    </w:rPr>
  </w:style>
  <w:style w:type="paragraph" w:customStyle="1" w:styleId="132">
    <w:name w:val="_正文段落"/>
    <w:basedOn w:val="1"/>
    <w:link w:val="131"/>
    <w:qFormat/>
    <w:uiPriority w:val="0"/>
    <w:pPr>
      <w:widowControl/>
      <w:spacing w:beforeLines="15" w:afterLines="15" w:line="360" w:lineRule="auto"/>
      <w:ind w:firstLine="480" w:firstLineChars="200"/>
    </w:pPr>
    <w:rPr>
      <w:rFonts w:ascii="宋体" w:hAnsi="宋体"/>
      <w:kern w:val="0"/>
      <w:sz w:val="24"/>
    </w:rPr>
  </w:style>
  <w:style w:type="paragraph" w:customStyle="1" w:styleId="133">
    <w:name w:val="样式5 NNNN"/>
    <w:basedOn w:val="6"/>
    <w:link w:val="134"/>
    <w:qFormat/>
    <w:uiPriority w:val="0"/>
    <w:pPr>
      <w:adjustRightInd/>
      <w:spacing w:line="372" w:lineRule="auto"/>
      <w:ind w:left="1008" w:hanging="1008"/>
      <w:jc w:val="both"/>
      <w:textAlignment w:val="auto"/>
    </w:pPr>
    <w:rPr>
      <w:rFonts w:ascii="宋体" w:hAnsi="宋体"/>
      <w:bCs w:val="0"/>
      <w:kern w:val="2"/>
      <w:sz w:val="24"/>
      <w:szCs w:val="24"/>
    </w:rPr>
  </w:style>
  <w:style w:type="character" w:customStyle="1" w:styleId="134">
    <w:name w:val="样式5 NNNN 字符"/>
    <w:link w:val="133"/>
    <w:qFormat/>
    <w:uiPriority w:val="0"/>
    <w:rPr>
      <w:rFonts w:ascii="宋体" w:hAnsi="宋体"/>
      <w:b/>
      <w:kern w:val="2"/>
      <w:sz w:val="24"/>
      <w:szCs w:val="24"/>
    </w:rPr>
  </w:style>
  <w:style w:type="paragraph" w:customStyle="1" w:styleId="135">
    <w:name w:val="样式6 NNNN"/>
    <w:basedOn w:val="7"/>
    <w:link w:val="136"/>
    <w:qFormat/>
    <w:uiPriority w:val="0"/>
    <w:pPr>
      <w:adjustRightInd/>
      <w:spacing w:line="317" w:lineRule="auto"/>
      <w:ind w:left="1151" w:hanging="1151"/>
      <w:jc w:val="both"/>
      <w:textAlignment w:val="auto"/>
    </w:pPr>
    <w:rPr>
      <w:rFonts w:ascii="宋体" w:hAnsi="宋体" w:eastAsia="宋体"/>
      <w:bCs w:val="0"/>
      <w:kern w:val="2"/>
    </w:rPr>
  </w:style>
  <w:style w:type="character" w:customStyle="1" w:styleId="136">
    <w:name w:val="样式6 NNNN 字符"/>
    <w:link w:val="135"/>
    <w:qFormat/>
    <w:uiPriority w:val="0"/>
    <w:rPr>
      <w:rFonts w:ascii="宋体" w:hAnsi="宋体"/>
      <w:b/>
      <w:kern w:val="2"/>
      <w:sz w:val="24"/>
      <w:szCs w:val="24"/>
    </w:rPr>
  </w:style>
  <w:style w:type="paragraph" w:customStyle="1" w:styleId="137">
    <w:name w:val="正文ttt"/>
    <w:basedOn w:val="1"/>
    <w:link w:val="138"/>
    <w:qFormat/>
    <w:uiPriority w:val="0"/>
    <w:pPr>
      <w:spacing w:line="360" w:lineRule="auto"/>
      <w:ind w:firstLine="482"/>
    </w:pPr>
    <w:rPr>
      <w:sz w:val="24"/>
    </w:rPr>
  </w:style>
  <w:style w:type="character" w:customStyle="1" w:styleId="138">
    <w:name w:val="正文ttt 字符"/>
    <w:link w:val="137"/>
    <w:qFormat/>
    <w:uiPriority w:val="0"/>
    <w:rPr>
      <w:kern w:val="2"/>
      <w:sz w:val="24"/>
      <w:szCs w:val="24"/>
    </w:rPr>
  </w:style>
  <w:style w:type="character" w:customStyle="1" w:styleId="139">
    <w:name w:val="font21"/>
    <w:qFormat/>
    <w:uiPriority w:val="0"/>
    <w:rPr>
      <w:rFonts w:hint="eastAsia" w:ascii="宋体" w:hAnsi="宋体" w:eastAsia="宋体" w:cs="宋体"/>
      <w:color w:val="000000"/>
      <w:sz w:val="18"/>
      <w:szCs w:val="18"/>
      <w:u w:val="none"/>
    </w:rPr>
  </w:style>
  <w:style w:type="paragraph" w:customStyle="1" w:styleId="140">
    <w:name w:val="公卫表格标题"/>
    <w:basedOn w:val="1"/>
    <w:qFormat/>
    <w:uiPriority w:val="0"/>
    <w:pPr>
      <w:spacing w:line="360" w:lineRule="auto"/>
      <w:jc w:val="center"/>
    </w:pPr>
    <w:rPr>
      <w:b/>
      <w:kern w:val="0"/>
      <w:sz w:val="20"/>
      <w:szCs w:val="20"/>
    </w:rPr>
  </w:style>
  <w:style w:type="paragraph" w:customStyle="1" w:styleId="141">
    <w:name w:val="公卫表格正文"/>
    <w:basedOn w:val="1"/>
    <w:qFormat/>
    <w:uiPriority w:val="0"/>
    <w:pPr>
      <w:spacing w:line="276" w:lineRule="auto"/>
    </w:pPr>
    <w:rPr>
      <w:kern w:val="0"/>
      <w:sz w:val="20"/>
      <w:szCs w:val="20"/>
    </w:rPr>
  </w:style>
  <w:style w:type="paragraph" w:customStyle="1" w:styleId="142">
    <w:name w:val="标题4"/>
    <w:basedOn w:val="5"/>
    <w:qFormat/>
    <w:uiPriority w:val="0"/>
    <w:pPr>
      <w:keepNext w:val="0"/>
      <w:keepLines w:val="0"/>
      <w:widowControl/>
      <w:tabs>
        <w:tab w:val="left" w:pos="1247"/>
      </w:tabs>
      <w:adjustRightInd/>
      <w:spacing w:before="120" w:after="0" w:line="240" w:lineRule="auto"/>
      <w:textAlignment w:val="auto"/>
    </w:pPr>
    <w:rPr>
      <w:rFonts w:eastAsia="宋体"/>
      <w:iCs/>
      <w:sz w:val="21"/>
      <w:szCs w:val="20"/>
      <w:lang w:val="pt-BR" w:eastAsia="en-US"/>
    </w:rPr>
  </w:style>
  <w:style w:type="paragraph" w:customStyle="1" w:styleId="143">
    <w:name w:val="__正文"/>
    <w:basedOn w:val="144"/>
    <w:next w:val="144"/>
    <w:qFormat/>
    <w:uiPriority w:val="0"/>
    <w:pPr>
      <w:tabs>
        <w:tab w:val="left" w:pos="432"/>
      </w:tabs>
    </w:pPr>
  </w:style>
  <w:style w:type="paragraph" w:customStyle="1" w:styleId="144">
    <w:name w:val="_正文"/>
    <w:basedOn w:val="2"/>
    <w:next w:val="1"/>
    <w:qFormat/>
    <w:uiPriority w:val="0"/>
    <w:pPr>
      <w:keepNext w:val="0"/>
      <w:keepLines w:val="0"/>
      <w:adjustRightInd/>
      <w:spacing w:beforeLines="50" w:after="0" w:line="360" w:lineRule="auto"/>
      <w:ind w:left="0" w:firstLine="0"/>
      <w:jc w:val="center"/>
      <w:textAlignment w:val="auto"/>
      <w:outlineLvl w:val="9"/>
    </w:pPr>
    <w:rPr>
      <w:b w:val="0"/>
      <w:bCs w:val="0"/>
      <w:kern w:val="2"/>
      <w:sz w:val="21"/>
      <w:szCs w:val="24"/>
    </w:rPr>
  </w:style>
  <w:style w:type="paragraph" w:customStyle="1" w:styleId="145">
    <w:name w:val="正文360首行缩进"/>
    <w:basedOn w:val="1"/>
    <w:qFormat/>
    <w:uiPriority w:val="0"/>
    <w:pPr>
      <w:widowControl/>
      <w:spacing w:after="50" w:line="300" w:lineRule="auto"/>
      <w:ind w:firstLine="200" w:firstLineChars="200"/>
      <w:jc w:val="left"/>
    </w:pPr>
    <w:rPr>
      <w:rFonts w:ascii="Arial" w:hAnsi="Arial"/>
      <w:kern w:val="0"/>
      <w:szCs w:val="21"/>
    </w:rPr>
  </w:style>
  <w:style w:type="paragraph" w:customStyle="1" w:styleId="146">
    <w:name w:val="样式 首行缩进:  2 字符5"/>
    <w:basedOn w:val="1"/>
    <w:qFormat/>
    <w:uiPriority w:val="0"/>
    <w:pPr>
      <w:spacing w:before="120" w:line="360" w:lineRule="auto"/>
      <w:ind w:firstLine="480" w:firstLineChars="200"/>
    </w:pPr>
    <w:rPr>
      <w:rFonts w:cs="宋体"/>
      <w:sz w:val="24"/>
      <w:szCs w:val="20"/>
    </w:rPr>
  </w:style>
  <w:style w:type="table" w:customStyle="1" w:styleId="147">
    <w:name w:val="网格型2"/>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表格正文 Char Char"/>
    <w:link w:val="149"/>
    <w:qFormat/>
    <w:uiPriority w:val="4"/>
    <w:rPr>
      <w:rFonts w:ascii="Calibri" w:hAnsi="Calibri"/>
      <w:szCs w:val="21"/>
    </w:rPr>
  </w:style>
  <w:style w:type="paragraph" w:customStyle="1" w:styleId="149">
    <w:name w:val="表格正文"/>
    <w:link w:val="148"/>
    <w:qFormat/>
    <w:uiPriority w:val="4"/>
    <w:pPr>
      <w:spacing w:line="276" w:lineRule="auto"/>
      <w:jc w:val="center"/>
    </w:pPr>
    <w:rPr>
      <w:rFonts w:ascii="Calibri" w:hAnsi="Calibri" w:eastAsia="宋体" w:cs="Times New Roman"/>
      <w:szCs w:val="21"/>
      <w:lang w:val="en-US" w:eastAsia="zh-CN" w:bidi="ar-SA"/>
    </w:rPr>
  </w:style>
  <w:style w:type="paragraph" w:customStyle="1" w:styleId="150">
    <w:name w:val="H图片文字"/>
    <w:basedOn w:val="1"/>
    <w:link w:val="151"/>
    <w:qFormat/>
    <w:uiPriority w:val="1"/>
    <w:pPr>
      <w:spacing w:line="360" w:lineRule="auto"/>
      <w:jc w:val="center"/>
    </w:pPr>
  </w:style>
  <w:style w:type="character" w:customStyle="1" w:styleId="151">
    <w:name w:val="H图片文字 Char"/>
    <w:link w:val="150"/>
    <w:qFormat/>
    <w:uiPriority w:val="1"/>
    <w:rPr>
      <w:kern w:val="2"/>
      <w:sz w:val="21"/>
      <w:szCs w:val="24"/>
    </w:rPr>
  </w:style>
  <w:style w:type="paragraph" w:customStyle="1" w:styleId="152">
    <w:name w:val="标题 21"/>
    <w:basedOn w:val="1"/>
    <w:next w:val="1"/>
    <w:unhideWhenUsed/>
    <w:qFormat/>
    <w:uiPriority w:val="99"/>
    <w:pPr>
      <w:spacing w:before="260" w:after="260" w:line="416" w:lineRule="auto"/>
      <w:outlineLvl w:val="1"/>
    </w:pPr>
    <w:rPr>
      <w:rFonts w:ascii="Cambria" w:hAnsi="Cambria"/>
      <w:b/>
      <w:bCs/>
      <w:sz w:val="32"/>
      <w:szCs w:val="32"/>
    </w:rPr>
  </w:style>
  <w:style w:type="paragraph" w:customStyle="1" w:styleId="153">
    <w:name w:val="标题 31"/>
    <w:basedOn w:val="1"/>
    <w:next w:val="1"/>
    <w:unhideWhenUsed/>
    <w:qFormat/>
    <w:uiPriority w:val="99"/>
    <w:pPr>
      <w:spacing w:before="260" w:after="260" w:line="416" w:lineRule="auto"/>
      <w:outlineLvl w:val="2"/>
    </w:pPr>
    <w:rPr>
      <w:b/>
      <w:bCs/>
      <w:sz w:val="32"/>
      <w:szCs w:val="32"/>
    </w:rPr>
  </w:style>
  <w:style w:type="paragraph" w:customStyle="1" w:styleId="154">
    <w:name w:val="修订1"/>
    <w:unhideWhenUsed/>
    <w:qFormat/>
    <w:uiPriority w:val="99"/>
    <w:rPr>
      <w:rFonts w:ascii="Times New Roman" w:hAnsi="Times New Roman" w:eastAsia="宋体" w:cs="Times New Roman"/>
      <w:kern w:val="2"/>
      <w:sz w:val="24"/>
      <w:szCs w:val="24"/>
      <w:lang w:val="en-US" w:eastAsia="zh-CN" w:bidi="ar-SA"/>
    </w:rPr>
  </w:style>
  <w:style w:type="paragraph" w:customStyle="1" w:styleId="155">
    <w:name w:val="首行缩进"/>
    <w:basedOn w:val="1"/>
    <w:qFormat/>
    <w:uiPriority w:val="0"/>
    <w:pPr>
      <w:spacing w:line="360" w:lineRule="auto"/>
      <w:ind w:firstLine="480" w:firstLineChars="200"/>
    </w:pPr>
    <w:rPr>
      <w:rFonts w:ascii="仿宋" w:hAnsi="仿宋" w:eastAsia="仿宋"/>
      <w:sz w:val="24"/>
      <w:szCs w:val="22"/>
      <w:lang w:val="zh-CN"/>
    </w:rPr>
  </w:style>
  <w:style w:type="table" w:customStyle="1" w:styleId="156">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157">
    <w:name w:val="font01"/>
    <w:basedOn w:val="41"/>
    <w:qFormat/>
    <w:uiPriority w:val="0"/>
    <w:rPr>
      <w:rFonts w:hint="eastAsia" w:ascii="宋体" w:hAnsi="宋体" w:eastAsia="宋体" w:cs="宋体"/>
      <w:b/>
      <w:bCs/>
      <w:color w:val="000000"/>
      <w:sz w:val="18"/>
      <w:szCs w:val="18"/>
      <w:u w:val="none"/>
    </w:rPr>
  </w:style>
  <w:style w:type="character" w:customStyle="1" w:styleId="158">
    <w:name w:val="font91"/>
    <w:basedOn w:val="41"/>
    <w:qFormat/>
    <w:uiPriority w:val="0"/>
    <w:rPr>
      <w:rFonts w:hint="default" w:ascii="Times New Roman" w:hAnsi="Times New Roman" w:cs="Times New Roman"/>
      <w:color w:val="000000"/>
      <w:sz w:val="21"/>
      <w:szCs w:val="21"/>
      <w:u w:val="none"/>
    </w:rPr>
  </w:style>
  <w:style w:type="paragraph" w:customStyle="1" w:styleId="159">
    <w:name w:val="修订11"/>
    <w:unhideWhenUsed/>
    <w:qFormat/>
    <w:uiPriority w:val="99"/>
    <w:rPr>
      <w:rFonts w:ascii="Times New Roman" w:hAnsi="Times New Roman" w:eastAsia="宋体" w:cs="Times New Roman"/>
      <w:kern w:val="2"/>
      <w:sz w:val="24"/>
      <w:szCs w:val="24"/>
      <w:lang w:val="en-US" w:eastAsia="zh-CN" w:bidi="ar-SA"/>
    </w:rPr>
  </w:style>
  <w:style w:type="paragraph" w:customStyle="1" w:styleId="160">
    <w:name w:val="一级条标题"/>
    <w:basedOn w:val="161"/>
    <w:next w:val="162"/>
    <w:qFormat/>
    <w:uiPriority w:val="0"/>
    <w:pPr>
      <w:spacing w:beforeLines="0" w:afterLines="0"/>
      <w:outlineLvl w:val="2"/>
    </w:pPr>
  </w:style>
  <w:style w:type="paragraph" w:customStyle="1" w:styleId="16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6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63">
    <w:name w:val="标题 2 字符"/>
    <w:basedOn w:val="41"/>
    <w:qFormat/>
    <w:uiPriority w:val="0"/>
    <w:rPr>
      <w:rFonts w:ascii="Cambria" w:hAnsi="Cambria" w:eastAsia="宋体" w:cs="Times New Roman"/>
      <w:b/>
      <w:bCs/>
      <w:sz w:val="32"/>
      <w:szCs w:val="32"/>
    </w:rPr>
  </w:style>
  <w:style w:type="character" w:customStyle="1" w:styleId="164">
    <w:name w:val="标题 3 Char1"/>
    <w:basedOn w:val="41"/>
    <w:qFormat/>
    <w:uiPriority w:val="9"/>
    <w:rPr>
      <w:rFonts w:ascii="Times New Roman" w:hAnsi="Times New Roman" w:eastAsia="宋体" w:cs="Times New Roman"/>
      <w:b/>
      <w:bCs/>
      <w:kern w:val="0"/>
      <w:sz w:val="32"/>
      <w:szCs w:val="32"/>
    </w:rPr>
  </w:style>
  <w:style w:type="paragraph" w:customStyle="1" w:styleId="16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66">
    <w:name w:val="NormalCharacter"/>
    <w:qFormat/>
    <w:uiPriority w:val="0"/>
    <w:rPr>
      <w:rFonts w:ascii="Times New Roman" w:hAnsi="Times New Roman"/>
      <w:kern w:val="2"/>
      <w:sz w:val="21"/>
      <w:szCs w:val="24"/>
      <w:lang w:val="en-US" w:eastAsia="zh-CN" w:bidi="ar-SA"/>
    </w:rPr>
  </w:style>
  <w:style w:type="paragraph" w:customStyle="1" w:styleId="167">
    <w:name w:val="正文+宋体"/>
    <w:basedOn w:val="79"/>
    <w:qFormat/>
    <w:uiPriority w:val="0"/>
    <w:pPr>
      <w:adjustRightInd/>
      <w:snapToGrid w:val="0"/>
      <w:spacing w:line="600" w:lineRule="exact"/>
      <w:ind w:firstLine="600" w:firstLineChars="200"/>
      <w:textAlignment w:val="auto"/>
    </w:pPr>
    <w:rPr>
      <w:spacing w:val="10"/>
      <w:kern w:val="2"/>
      <w:sz w:val="28"/>
      <w:szCs w:val="28"/>
    </w:rPr>
  </w:style>
  <w:style w:type="character" w:customStyle="1" w:styleId="168">
    <w:name w:val="bumpedfont20"/>
    <w:qFormat/>
    <w:uiPriority w:val="0"/>
  </w:style>
  <w:style w:type="paragraph" w:customStyle="1" w:styleId="169">
    <w:name w:val="样式98"/>
    <w:basedOn w:val="3"/>
    <w:qFormat/>
    <w:uiPriority w:val="0"/>
    <w:pPr>
      <w:spacing w:before="100" w:beforeAutospacing="1" w:after="100" w:afterAutospacing="1" w:line="360" w:lineRule="auto"/>
      <w:ind w:left="0" w:firstLine="0"/>
      <w:jc w:val="both"/>
    </w:pPr>
    <w:rPr>
      <w:bCs w:val="0"/>
      <w:szCs w:val="20"/>
    </w:rPr>
  </w:style>
  <w:style w:type="paragraph" w:customStyle="1" w:styleId="170">
    <w:name w:val="s5"/>
    <w:basedOn w:val="1"/>
    <w:qFormat/>
    <w:uiPriority w:val="0"/>
    <w:pPr>
      <w:spacing w:before="100" w:beforeAutospacing="1" w:after="100" w:afterAutospacing="1"/>
    </w:pPr>
    <w:rPr>
      <w:rFonts w:ascii="宋体" w:hAnsi="宋体" w:cs="宋体"/>
      <w:sz w:val="24"/>
    </w:rPr>
  </w:style>
  <w:style w:type="paragraph" w:customStyle="1" w:styleId="171">
    <w:name w:val="样式99"/>
    <w:basedOn w:val="169"/>
    <w:qFormat/>
    <w:uiPriority w:val="0"/>
    <w:pPr>
      <w:jc w:val="center"/>
    </w:pPr>
  </w:style>
  <w:style w:type="paragraph" w:customStyle="1" w:styleId="172">
    <w:name w:val="WPSOffice手动目录 1"/>
    <w:qFormat/>
    <w:uiPriority w:val="0"/>
    <w:rPr>
      <w:rFonts w:ascii="Times New Roman" w:hAnsi="Times New Roman" w:eastAsia="宋体" w:cs="Times New Roman"/>
      <w:lang w:val="en-US" w:eastAsia="zh-CN" w:bidi="ar-SA"/>
    </w:rPr>
  </w:style>
  <w:style w:type="paragraph" w:customStyle="1" w:styleId="17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74">
    <w:name w:val="font51"/>
    <w:qFormat/>
    <w:uiPriority w:val="0"/>
    <w:rPr>
      <w:rFonts w:ascii="Calibri" w:hAnsi="Calibri" w:cs="Calibri"/>
      <w:color w:val="000000"/>
      <w:sz w:val="24"/>
      <w:szCs w:val="24"/>
      <w:u w:val="none"/>
    </w:rPr>
  </w:style>
  <w:style w:type="paragraph" w:customStyle="1" w:styleId="175">
    <w:name w:val="UserStyle_3"/>
    <w:basedOn w:val="1"/>
    <w:qFormat/>
    <w:uiPriority w:val="0"/>
    <w:pPr>
      <w:widowControl/>
      <w:ind w:firstLine="420" w:firstLineChars="200"/>
      <w:textAlignment w:val="baseline"/>
    </w:pPr>
  </w:style>
  <w:style w:type="paragraph" w:customStyle="1" w:styleId="176">
    <w:name w:val="List Paragraph1"/>
    <w:basedOn w:val="1"/>
    <w:qFormat/>
    <w:uiPriority w:val="0"/>
    <w:pPr>
      <w:ind w:firstLine="420" w:firstLineChars="200"/>
    </w:pPr>
    <w:rPr>
      <w:szCs w:val="21"/>
    </w:rPr>
  </w:style>
  <w:style w:type="paragraph" w:customStyle="1" w:styleId="177">
    <w:name w:val="txt02"/>
    <w:basedOn w:val="1"/>
    <w:qFormat/>
    <w:uiPriority w:val="0"/>
    <w:pPr>
      <w:widowControl/>
      <w:spacing w:before="100" w:beforeAutospacing="1" w:after="100" w:afterAutospacing="1" w:line="315" w:lineRule="atLeast"/>
      <w:jc w:val="left"/>
    </w:pPr>
    <w:rPr>
      <w:rFonts w:ascii="宋体" w:hAnsi="宋体" w:cs="宋体"/>
      <w:color w:val="333333"/>
      <w:kern w:val="0"/>
      <w:sz w:val="18"/>
      <w:szCs w:val="18"/>
    </w:rPr>
  </w:style>
  <w:style w:type="paragraph" w:customStyle="1" w:styleId="17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9">
    <w:name w:val="mark"/>
    <w:qFormat/>
    <w:uiPriority w:val="0"/>
  </w:style>
  <w:style w:type="paragraph" w:customStyle="1" w:styleId="180">
    <w:name w:val="样式3"/>
    <w:basedOn w:val="25"/>
    <w:qFormat/>
    <w:uiPriority w:val="0"/>
    <w:pPr>
      <w:spacing w:line="0" w:lineRule="atLeast"/>
      <w:outlineLvl w:val="0"/>
    </w:pPr>
    <w:rPr>
      <w:sz w:val="28"/>
      <w:szCs w:val="22"/>
    </w:rPr>
  </w:style>
  <w:style w:type="paragraph" w:customStyle="1" w:styleId="181">
    <w:name w:val="标题6"/>
    <w:basedOn w:val="6"/>
    <w:qFormat/>
    <w:uiPriority w:val="0"/>
    <w:pPr>
      <w:adjustRightInd/>
      <w:spacing w:before="0" w:after="0" w:line="240" w:lineRule="auto"/>
      <w:ind w:left="1134" w:hanging="1134"/>
      <w:jc w:val="both"/>
      <w:textAlignment w:val="auto"/>
      <w:outlineLvl w:val="5"/>
    </w:pPr>
    <w:rPr>
      <w:rFonts w:ascii="宋体" w:hAnsi="宋体"/>
      <w:kern w:val="2"/>
      <w:sz w:val="21"/>
      <w:szCs w:val="21"/>
    </w:rPr>
  </w:style>
  <w:style w:type="paragraph" w:customStyle="1" w:styleId="182">
    <w:name w:val="文本正文"/>
    <w:basedOn w:val="1"/>
    <w:qFormat/>
    <w:uiPriority w:val="0"/>
    <w:pPr>
      <w:ind w:firstLine="200" w:firstLineChars="200"/>
    </w:pPr>
    <w:rPr>
      <w:szCs w:val="22"/>
    </w:rPr>
  </w:style>
  <w:style w:type="paragraph" w:customStyle="1" w:styleId="183">
    <w:name w:val="样式 正文首行缩进 2 + Arial"/>
    <w:basedOn w:val="1"/>
    <w:next w:val="1"/>
    <w:qFormat/>
    <w:uiPriority w:val="0"/>
    <w:pPr>
      <w:spacing w:after="120" w:line="320" w:lineRule="atLeast"/>
      <w:ind w:firstLine="200"/>
    </w:pPr>
    <w:rPr>
      <w:rFonts w:ascii="Arial" w:hAnsi="Arial"/>
      <w:kern w:val="0"/>
      <w:szCs w:val="22"/>
    </w:rPr>
  </w:style>
  <w:style w:type="paragraph" w:customStyle="1" w:styleId="184">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85">
    <w:name w:val="标准"/>
    <w:basedOn w:val="1"/>
    <w:qFormat/>
    <w:uiPriority w:val="0"/>
    <w:pPr>
      <w:adjustRightInd w:val="0"/>
      <w:spacing w:after="120" w:line="0" w:lineRule="atLeast"/>
      <w:jc w:val="center"/>
    </w:pPr>
    <w:rPr>
      <w:rFonts w:hint="eastAsia" w:ascii="宋体"/>
      <w:kern w:val="0"/>
      <w:sz w:val="24"/>
      <w:szCs w:val="20"/>
    </w:rPr>
  </w:style>
  <w:style w:type="paragraph" w:customStyle="1" w:styleId="186">
    <w:name w:val="样式 标题 2 + Times New Roman 四号 非加粗 段前: 5 磅 段后: 0 磅 行距: 固定值 20..."/>
    <w:basedOn w:val="3"/>
    <w:qFormat/>
    <w:uiPriority w:val="0"/>
    <w:pPr>
      <w:adjustRightInd/>
      <w:spacing w:before="100" w:after="0" w:line="400" w:lineRule="exact"/>
      <w:ind w:left="0" w:firstLine="0"/>
      <w:jc w:val="both"/>
      <w:textAlignment w:val="auto"/>
    </w:pPr>
    <w:rPr>
      <w:rFonts w:ascii="Times New Roman" w:hAnsi="Times New Roman" w:eastAsia="宋体" w:cs="宋体"/>
      <w:b w:val="0"/>
      <w:bCs w:val="0"/>
      <w:sz w:val="28"/>
      <w:szCs w:val="20"/>
    </w:rPr>
  </w:style>
  <w:style w:type="paragraph" w:customStyle="1" w:styleId="187">
    <w:name w:val="样式 标题 3 + (中文) 黑体 小四 非加粗 段前: 7.8 磅 段后: 0 磅 行距: 固定值 20 磅"/>
    <w:basedOn w:val="4"/>
    <w:qFormat/>
    <w:uiPriority w:val="0"/>
    <w:pPr>
      <w:adjustRightInd/>
      <w:spacing w:before="0" w:after="0" w:line="400" w:lineRule="exact"/>
      <w:ind w:left="0"/>
      <w:jc w:val="both"/>
      <w:textAlignment w:val="auto"/>
    </w:pPr>
    <w:rPr>
      <w:rFonts w:eastAsia="黑体" w:cs="宋体"/>
      <w:b w:val="0"/>
      <w:bCs w:val="0"/>
      <w:kern w:val="2"/>
      <w:sz w:val="24"/>
      <w:szCs w:val="20"/>
    </w:rPr>
  </w:style>
  <w:style w:type="paragraph" w:customStyle="1" w:styleId="188">
    <w:name w:val="_Style 1"/>
    <w:basedOn w:val="1"/>
    <w:qFormat/>
    <w:uiPriority w:val="0"/>
    <w:rPr>
      <w:szCs w:val="22"/>
    </w:rPr>
  </w:style>
  <w:style w:type="paragraph" w:customStyle="1" w:styleId="189">
    <w:name w:val="标题二"/>
    <w:next w:val="1"/>
    <w:qFormat/>
    <w:uiPriority w:val="0"/>
    <w:pPr>
      <w:adjustRightInd w:val="0"/>
      <w:snapToGrid w:val="0"/>
    </w:pPr>
    <w:rPr>
      <w:rFonts w:ascii="仿宋" w:hAnsi="仿宋" w:eastAsia="仿宋" w:cs="Times New Roman"/>
      <w:b/>
      <w:bCs/>
      <w:kern w:val="2"/>
      <w:sz w:val="30"/>
      <w:szCs w:val="28"/>
      <w:lang w:val="en-US" w:eastAsia="zh-CN" w:bidi="ar-SA"/>
    </w:rPr>
  </w:style>
  <w:style w:type="paragraph" w:customStyle="1" w:styleId="190">
    <w:name w:val="_Style 122"/>
    <w:basedOn w:val="1"/>
    <w:next w:val="80"/>
    <w:qFormat/>
    <w:uiPriority w:val="34"/>
    <w:pPr>
      <w:ind w:firstLine="420" w:firstLineChars="200"/>
    </w:pPr>
    <w:rPr>
      <w:kern w:val="0"/>
      <w:sz w:val="20"/>
      <w:szCs w:val="20"/>
    </w:rPr>
  </w:style>
  <w:style w:type="paragraph" w:customStyle="1" w:styleId="191">
    <w:name w:val="四号正文"/>
    <w:basedOn w:val="1"/>
    <w:qFormat/>
    <w:uiPriority w:val="0"/>
    <w:pPr>
      <w:spacing w:line="360" w:lineRule="auto"/>
      <w:ind w:firstLine="560" w:firstLineChars="200"/>
    </w:pPr>
    <w:rPr>
      <w:rFonts w:ascii="仿宋_GB2312" w:hAnsi="仿宋_GB2312" w:cs="仿宋_GB2312"/>
      <w:sz w:val="28"/>
      <w:szCs w:val="28"/>
    </w:rPr>
  </w:style>
  <w:style w:type="character" w:customStyle="1" w:styleId="192">
    <w:name w:val="font1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270</Pages>
  <Words>13278</Words>
  <Characters>13967</Characters>
  <Lines>3492</Lines>
  <Paragraphs>2753</Paragraphs>
  <TotalTime>6</TotalTime>
  <ScaleCrop>false</ScaleCrop>
  <LinksUpToDate>false</LinksUpToDate>
  <CharactersWithSpaces>14876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2026-05-15T17:24:00Z</dcterms:created>
  <dc:creator>Administrator</dc:creator>
  <cp:lastModifiedBy>企业用户_246690968</cp:lastModifiedBy>
  <cp:lastPrinted>2024-08-09T10:44:00Z</cp:lastPrinted>
  <dcterms:modified xsi:type="dcterms:W3CDTF">2026-05-25T07:25:57Z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D7C1F6C99019428BB4EFDBD59508A229_13</vt:lpwstr>
  </property>
  <property fmtid="{D5CDD505-2E9C-101B-9397-08002B2CF9AE}" pid="4" name="KSOTemplateDocerSaveRecord">
    <vt:lpwstr>eyJoZGlkIjoiNTA0YjIzYTQ5MGQ1YTBhNzdiNmI0NDZjMzFhZmFlOWEiLCJ1c2VySWQiOiIxNTc1Mjg1Mzg0In0=</vt:lpwstr>
  </property>
</Properties>
</file>