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D83E3">
      <w:pPr>
        <w:spacing w:line="360" w:lineRule="auto"/>
        <w:jc w:val="center"/>
        <w:outlineLvl w:val="0"/>
        <w:rPr>
          <w:rFonts w:eastAsia="黑体" w:cs="Times New Roman"/>
          <w:b/>
          <w:bCs/>
          <w:color w:val="auto"/>
          <w:sz w:val="36"/>
          <w:szCs w:val="32"/>
        </w:rPr>
      </w:pPr>
      <w:bookmarkStart w:id="0" w:name="_Hlk134807943"/>
      <w:bookmarkStart w:id="1" w:name="_Hlk82017826"/>
      <w:r>
        <w:rPr>
          <w:rFonts w:hint="eastAsia" w:eastAsia="黑体" w:cs="Times New Roman"/>
          <w:b/>
          <w:bCs/>
          <w:color w:val="auto"/>
          <w:sz w:val="36"/>
          <w:szCs w:val="32"/>
        </w:rPr>
        <w:t>太原科技大学主校东区校园雨污分流项目</w:t>
      </w:r>
    </w:p>
    <w:bookmarkEnd w:id="0"/>
    <w:p w14:paraId="738D6177">
      <w:pPr>
        <w:spacing w:line="360" w:lineRule="auto"/>
        <w:jc w:val="center"/>
        <w:outlineLvl w:val="0"/>
        <w:rPr>
          <w:rFonts w:eastAsia="黑体" w:cs="Times New Roman"/>
          <w:b/>
          <w:bCs/>
          <w:color w:val="auto"/>
          <w:sz w:val="36"/>
          <w:szCs w:val="32"/>
        </w:rPr>
        <w:sectPr>
          <w:headerReference r:id="rId3" w:type="default"/>
          <w:footerReference r:id="rId5" w:type="default"/>
          <w:headerReference r:id="rId4" w:type="even"/>
          <w:type w:val="continuous"/>
          <w:pgSz w:w="23811" w:h="16838" w:orient="landscape"/>
          <w:pgMar w:top="1134" w:right="1418" w:bottom="2268" w:left="2268" w:header="851" w:footer="992" w:gutter="0"/>
          <w:cols w:space="1051" w:num="1"/>
          <w:docGrid w:type="lines" w:linePitch="312" w:charSpace="0"/>
        </w:sectPr>
      </w:pPr>
      <w:r>
        <w:rPr>
          <w:rFonts w:eastAsia="黑体" w:cs="Times New Roman"/>
          <w:b/>
          <w:bCs/>
          <w:color w:val="auto"/>
          <w:sz w:val="36"/>
          <w:szCs w:val="32"/>
        </w:rPr>
        <w:t>排水工程施工图设计说明</w:t>
      </w:r>
      <w:bookmarkEnd w:id="1"/>
    </w:p>
    <w:p w14:paraId="541EE6D8">
      <w:pPr>
        <w:keepNext/>
        <w:keepLines/>
        <w:widowControl/>
        <w:numPr>
          <w:ilvl w:val="0"/>
          <w:numId w:val="1"/>
        </w:numPr>
        <w:spacing w:line="360" w:lineRule="auto"/>
        <w:jc w:val="left"/>
        <w:outlineLvl w:val="0"/>
        <w:rPr>
          <w:rFonts w:cstheme="majorBidi"/>
          <w:b/>
          <w:color w:val="auto"/>
          <w:kern w:val="44"/>
          <w:szCs w:val="44"/>
        </w:rPr>
      </w:pPr>
      <w:r>
        <w:rPr>
          <w:rFonts w:hint="eastAsia" w:cstheme="majorBidi"/>
          <w:b/>
          <w:color w:val="auto"/>
          <w:kern w:val="44"/>
          <w:szCs w:val="44"/>
        </w:rPr>
        <w:t>工程概况</w:t>
      </w:r>
    </w:p>
    <w:p w14:paraId="13B1E400">
      <w:pPr>
        <w:pStyle w:val="3"/>
        <w:ind w:firstLine="600"/>
        <w:rPr>
          <w:rFonts w:hint="eastAsia"/>
          <w:color w:val="auto"/>
          <w:sz w:val="30"/>
          <w:lang w:val="en-US" w:eastAsia="zh-CN"/>
        </w:rPr>
      </w:pPr>
      <w:r>
        <w:rPr>
          <w:rFonts w:hint="eastAsia"/>
          <w:color w:val="auto"/>
          <w:sz w:val="30"/>
          <w:lang w:val="en-US" w:eastAsia="zh-CN"/>
        </w:rPr>
        <w:t>本工程位于太原科技大学主校东区校园内，主要围绕南排洪渠周边的排水管线进行改造。南排洪渠发源于太原科技大学主校东区东南侧，是大黑水河的支流，在校园内由南向北穿越校园的东部区域，终点在漪兴路东侧接入大黑水河。根据中央生态环境保护督察（第二批）群众举报，在大黑水河内存在污水排入的情况，夏季气味刺鼻，经太原市万柏林区城乡管理局对上游的溯源排查，发现太原科技大学主校东区内存在生活污水直接排入南排洪渠的情况，故需要进行雨污分流改造。</w:t>
      </w:r>
    </w:p>
    <w:p w14:paraId="644A3EF9">
      <w:pPr>
        <w:pStyle w:val="3"/>
        <w:ind w:firstLine="600"/>
        <w:rPr>
          <w:rFonts w:hint="eastAsia"/>
          <w:color w:val="auto"/>
          <w:sz w:val="30"/>
          <w:lang w:val="en-US" w:eastAsia="zh-CN"/>
        </w:rPr>
      </w:pPr>
      <w:r>
        <w:rPr>
          <w:rFonts w:hint="eastAsia"/>
          <w:color w:val="auto"/>
          <w:sz w:val="30"/>
          <w:lang w:val="en-US" w:eastAsia="zh-CN"/>
        </w:rPr>
        <w:t>本册图纸为排水工程施工图，主要设计内容为雨水工程和污水工程。</w:t>
      </w:r>
    </w:p>
    <w:p w14:paraId="04126FD9">
      <w:pPr>
        <w:pStyle w:val="2"/>
        <w:rPr>
          <w:color w:val="auto"/>
        </w:rPr>
      </w:pPr>
      <w:r>
        <w:rPr>
          <w:color w:val="auto"/>
        </w:rPr>
        <w:t>工程地质勘察资料</w:t>
      </w:r>
    </w:p>
    <w:p w14:paraId="279A69F8">
      <w:pPr>
        <w:pStyle w:val="3"/>
        <w:ind w:firstLine="600"/>
        <w:rPr>
          <w:rFonts w:hint="default" w:ascii="Times New Roman" w:hAnsi="Times New Roman"/>
          <w:color w:val="auto"/>
          <w:sz w:val="30"/>
          <w:lang w:val="en-US" w:eastAsia="zh-CN"/>
        </w:rPr>
      </w:pPr>
      <w:r>
        <w:rPr>
          <w:rFonts w:hint="eastAsia" w:ascii="Times New Roman" w:hAnsi="Times New Roman"/>
          <w:color w:val="auto"/>
          <w:sz w:val="30"/>
          <w:lang w:val="en-US" w:eastAsia="zh-CN"/>
        </w:rPr>
        <w:t>本工程地质情况参照《大黑水河（万柏林区段）沿线源头污水改造工程》的地质情况，具体如下：</w:t>
      </w:r>
    </w:p>
    <w:p w14:paraId="61EEC137">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1、地貌与工程地质分区</w:t>
      </w:r>
    </w:p>
    <w:p w14:paraId="67EA5621">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拟建管线所处地貌单元为平坦冲积平原，工程地质分区属于太原盆地次稳定工程地质亚区。</w:t>
      </w:r>
    </w:p>
    <w:p w14:paraId="4A6A36BC">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2、场地岩土构成与工程特性</w:t>
      </w:r>
    </w:p>
    <w:p w14:paraId="14C8E8E2">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根据野外钻探、原位测试及室内土工试验结果，本次勘察深度范围内，本场地地基土自上而下可分为6层，现依层序分述如下：</w:t>
      </w:r>
    </w:p>
    <w:p w14:paraId="0A91673A">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 xml:space="preserve">第①层 杂填土（Q42ml） </w:t>
      </w:r>
    </w:p>
    <w:p w14:paraId="4B8345BF">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杂色，0.3-0.6m 后沥青路面主要以建筑垃圾为主，粉土、砾石、植物根 系等 填充。该层物质成分杂乱，结构较松散，力学性质不均，呈欠固结状态。</w:t>
      </w:r>
    </w:p>
    <w:p w14:paraId="181413A6">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 xml:space="preserve">第②层：粉土（Q4al+pl） </w:t>
      </w:r>
    </w:p>
    <w:p w14:paraId="2641CF67">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 xml:space="preserve">褐黄色，含氧化物、云母等，稍密，稍有光泽，摇振反应中，土质较纯、 较均，局部土质混有细砂成分，干强度及韧性中等。该层最大标贯锤击数为9.0 击，最小锤击数为7.0击，平均锤击数为8.2。 </w:t>
      </w:r>
    </w:p>
    <w:p w14:paraId="3990BF39">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 xml:space="preserve">第③层：细砂（Q3al+pl） </w:t>
      </w:r>
    </w:p>
    <w:p w14:paraId="0090423C">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褐黄色，稍密，湿，含云母、氧化物，土质较纯，含砂量较大，手搓砂感明显，摇振反应中等，无光泽反应，干强度低，韧性低。 该层最大标贯锤击数为11.0击，最小锤击数为10.0击，平均锤击数为10.5。</w:t>
      </w:r>
    </w:p>
    <w:p w14:paraId="774FD821">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 xml:space="preserve">第④层：粉质粘土（Q3al+pl） </w:t>
      </w:r>
    </w:p>
    <w:p w14:paraId="3AAFBB49">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 xml:space="preserve">褐黄色，含云母、氧化物等，土质较纯，高含水量，压缩性大，软塑状态；稍有光泽，无摇振反应，干强度及韧性中等。该层最大标贯锤击数为13.0击，最小锤击数为11.0击，平均锤击数为12.0击。 </w:t>
      </w:r>
    </w:p>
    <w:p w14:paraId="7A56CD82">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 xml:space="preserve">第⑤层：中砂（Q3al+pl） </w:t>
      </w:r>
    </w:p>
    <w:p w14:paraId="0C57E4E8">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 xml:space="preserve">黄褐色~褐色，矿物成分以长石、石英为主，局部含少量粉土，饱和，稍密状态，颗粒不均，级配良好。该层含有少量细砂及砾砂。该层最大标贯锤击数为18.0击，最小锤击数为13.0击，平均锤击数为15.5击。 </w:t>
      </w:r>
    </w:p>
    <w:p w14:paraId="795CA048">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 xml:space="preserve">第⑥层：中粗砂（Q3 al+pl） </w:t>
      </w:r>
    </w:p>
    <w:p w14:paraId="32328B93">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黄褐色~褐色，矿物成分以长石、石英为主，局部含少量粉土，饱和，中密状态，颗粒不均，级配良好。该层含有少量细砂及砾砂。</w:t>
      </w:r>
    </w:p>
    <w:p w14:paraId="45C9F60E">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3、水文地质条件</w:t>
      </w:r>
    </w:p>
    <w:p w14:paraId="486D8FC3">
      <w:pPr>
        <w:pStyle w:val="3"/>
        <w:ind w:firstLine="600"/>
        <w:rPr>
          <w:rFonts w:hint="eastAsia" w:ascii="Times New Roman" w:hAnsi="Times New Roman"/>
          <w:color w:val="auto"/>
          <w:sz w:val="30"/>
          <w:lang w:val="en-US" w:eastAsia="zh-CN"/>
        </w:rPr>
      </w:pPr>
      <w:r>
        <w:rPr>
          <w:rFonts w:hint="eastAsia" w:ascii="Times New Roman" w:hAnsi="Times New Roman"/>
          <w:color w:val="auto"/>
          <w:sz w:val="30"/>
          <w:lang w:val="en-US" w:eastAsia="zh-CN"/>
        </w:rPr>
        <w:t>本次勘察深度范围内，场地地下水类型为孔隙潜水，主要依靠大气降水补给。本次勘察期间稳定水位埋深见下表。勘察外业钻探期间为丰水期，水位季节性变化幅度约2.0m左右。</w:t>
      </w:r>
    </w:p>
    <w:p w14:paraId="6BBF4885">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地下水位一览表</w:t>
      </w:r>
    </w:p>
    <w:tbl>
      <w:tblPr>
        <w:tblStyle w:val="15"/>
        <w:tblW w:w="9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0" w:type="dxa"/>
          <w:left w:w="128" w:type="dxa"/>
          <w:bottom w:w="80" w:type="dxa"/>
          <w:right w:w="128" w:type="dxa"/>
        </w:tblCellMar>
      </w:tblPr>
      <w:tblGrid>
        <w:gridCol w:w="3105"/>
        <w:gridCol w:w="3402"/>
        <w:gridCol w:w="3402"/>
      </w:tblGrid>
      <w:tr w14:paraId="47BB4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3105" w:type="dxa"/>
            <w:noWrap w:val="0"/>
            <w:vAlign w:val="top"/>
          </w:tcPr>
          <w:p w14:paraId="329E6FF7">
            <w:pPr>
              <w:keepNext w:val="0"/>
              <w:keepLines w:val="0"/>
              <w:pageBreakBefore w:val="0"/>
              <w:widowControl w:val="0"/>
              <w:kinsoku/>
              <w:wordWrap w:val="0"/>
              <w:overflowPunct/>
              <w:topLinePunct w:val="0"/>
              <w:autoSpaceDE/>
              <w:autoSpaceDN/>
              <w:bidi w:val="0"/>
              <w:adjustRightInd/>
              <w:snapToGrid w:val="0"/>
              <w:jc w:val="center"/>
              <w:textAlignment w:val="auto"/>
              <w:rPr>
                <w:rFonts w:hint="default"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区域</w:t>
            </w:r>
          </w:p>
        </w:tc>
        <w:tc>
          <w:tcPr>
            <w:tcW w:w="3402" w:type="dxa"/>
            <w:noWrap w:val="0"/>
            <w:vAlign w:val="top"/>
          </w:tcPr>
          <w:p w14:paraId="2DAAE814">
            <w:pPr>
              <w:keepNext w:val="0"/>
              <w:keepLines w:val="0"/>
              <w:pageBreakBefore w:val="0"/>
              <w:widowControl w:val="0"/>
              <w:kinsoku/>
              <w:wordWrap w:val="0"/>
              <w:overflowPunct/>
              <w:topLinePunct w:val="0"/>
              <w:autoSpaceDE/>
              <w:autoSpaceDN/>
              <w:bidi w:val="0"/>
              <w:adjustRightInd/>
              <w:snapToGrid w:val="0"/>
              <w:ind w:firstLine="600" w:firstLineChars="200"/>
              <w:textAlignment w:val="auto"/>
              <w:rPr>
                <w:rFonts w:hint="default"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地下水位高程（m）</w:t>
            </w:r>
          </w:p>
        </w:tc>
        <w:tc>
          <w:tcPr>
            <w:tcW w:w="3402" w:type="dxa"/>
            <w:noWrap w:val="0"/>
            <w:vAlign w:val="top"/>
          </w:tcPr>
          <w:p w14:paraId="00F912C5">
            <w:pPr>
              <w:keepNext w:val="0"/>
              <w:keepLines w:val="0"/>
              <w:pageBreakBefore w:val="0"/>
              <w:widowControl w:val="0"/>
              <w:kinsoku/>
              <w:wordWrap w:val="0"/>
              <w:overflowPunct/>
              <w:topLinePunct w:val="0"/>
              <w:autoSpaceDE/>
              <w:autoSpaceDN/>
              <w:bidi w:val="0"/>
              <w:adjustRightInd/>
              <w:snapToGrid w:val="0"/>
              <w:jc w:val="center"/>
              <w:textAlignment w:val="auto"/>
              <w:rPr>
                <w:rFonts w:hint="default"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抗浮设计水位高程（m）</w:t>
            </w:r>
          </w:p>
        </w:tc>
      </w:tr>
      <w:tr w14:paraId="1ED4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0" w:hRule="atLeast"/>
          <w:jc w:val="center"/>
        </w:trPr>
        <w:tc>
          <w:tcPr>
            <w:tcW w:w="3105" w:type="dxa"/>
            <w:noWrap w:val="0"/>
            <w:vAlign w:val="center"/>
          </w:tcPr>
          <w:p w14:paraId="65EEC61D">
            <w:pPr>
              <w:keepNext w:val="0"/>
              <w:keepLines w:val="0"/>
              <w:pageBreakBefore w:val="0"/>
              <w:widowControl w:val="0"/>
              <w:kinsoku/>
              <w:wordWrap w:val="0"/>
              <w:overflowPunct/>
              <w:topLinePunct w:val="0"/>
              <w:autoSpaceDE/>
              <w:autoSpaceDN/>
              <w:bidi w:val="0"/>
              <w:adjustRightInd/>
              <w:snapToGrid w:val="0"/>
              <w:jc w:val="center"/>
              <w:textAlignment w:val="auto"/>
              <w:rPr>
                <w:rFonts w:hint="eastAsia"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科大-线材厂</w:t>
            </w:r>
          </w:p>
        </w:tc>
        <w:tc>
          <w:tcPr>
            <w:tcW w:w="3402" w:type="dxa"/>
            <w:noWrap w:val="0"/>
            <w:vAlign w:val="center"/>
          </w:tcPr>
          <w:p w14:paraId="498915D5">
            <w:pPr>
              <w:keepNext w:val="0"/>
              <w:keepLines w:val="0"/>
              <w:pageBreakBefore w:val="0"/>
              <w:widowControl w:val="0"/>
              <w:kinsoku/>
              <w:wordWrap w:val="0"/>
              <w:overflowPunct/>
              <w:topLinePunct w:val="0"/>
              <w:autoSpaceDE/>
              <w:autoSpaceDN/>
              <w:bidi w:val="0"/>
              <w:adjustRightInd/>
              <w:snapToGrid w:val="0"/>
              <w:jc w:val="center"/>
              <w:textAlignment w:val="auto"/>
              <w:rPr>
                <w:rFonts w:hint="default"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807.75-808.25</w:t>
            </w:r>
          </w:p>
        </w:tc>
        <w:tc>
          <w:tcPr>
            <w:tcW w:w="3402" w:type="dxa"/>
            <w:noWrap w:val="0"/>
            <w:vAlign w:val="center"/>
          </w:tcPr>
          <w:p w14:paraId="6EF7C24C">
            <w:pPr>
              <w:keepNext w:val="0"/>
              <w:keepLines w:val="0"/>
              <w:pageBreakBefore w:val="0"/>
              <w:widowControl w:val="0"/>
              <w:kinsoku/>
              <w:wordWrap w:val="0"/>
              <w:overflowPunct/>
              <w:topLinePunct w:val="0"/>
              <w:autoSpaceDE/>
              <w:autoSpaceDN/>
              <w:bidi w:val="0"/>
              <w:adjustRightInd/>
              <w:snapToGrid w:val="0"/>
              <w:jc w:val="center"/>
              <w:textAlignment w:val="auto"/>
              <w:rPr>
                <w:rFonts w:hint="eastAsia"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按现地面考虑</w:t>
            </w:r>
          </w:p>
        </w:tc>
      </w:tr>
    </w:tbl>
    <w:p w14:paraId="07C55FAE">
      <w:pPr>
        <w:keepNext w:val="0"/>
        <w:keepLines w:val="0"/>
        <w:pageBreakBefore w:val="0"/>
        <w:widowControl w:val="0"/>
        <w:kinsoku/>
        <w:wordWrap w:val="0"/>
        <w:overflowPunct/>
        <w:topLinePunct w:val="0"/>
        <w:autoSpaceDE/>
        <w:autoSpaceDN/>
        <w:bidi w:val="0"/>
        <w:adjustRightInd/>
        <w:snapToGrid/>
        <w:ind w:firstLine="600" w:firstLineChars="200"/>
        <w:textAlignment w:val="auto"/>
        <w:rPr>
          <w:rFonts w:hint="eastAsia"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4、不良地质作用和特殊岩土</w:t>
      </w:r>
    </w:p>
    <w:p w14:paraId="37D99FEF">
      <w:pPr>
        <w:keepNext w:val="0"/>
        <w:keepLines w:val="0"/>
        <w:pageBreakBefore w:val="0"/>
        <w:widowControl w:val="0"/>
        <w:kinsoku/>
        <w:wordWrap w:val="0"/>
        <w:overflowPunct/>
        <w:topLinePunct w:val="0"/>
        <w:autoSpaceDE/>
        <w:autoSpaceDN/>
        <w:bidi w:val="0"/>
        <w:adjustRightInd/>
        <w:snapToGrid/>
        <w:ind w:firstLine="600" w:firstLineChars="200"/>
        <w:textAlignment w:val="auto"/>
        <w:rPr>
          <w:rFonts w:hint="eastAsia"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根据区域地质资料及现场踏勘情况，拟建场地及附近5公里范围内不存在岩溶、滑坡、危岩崩塌、泥石流、地裂缝、采空区等影响场地稳定性的不良地质作用，未发现埋藏的河道、沟浜、墓穴、防空洞、孤石等对本工程不利的埋藏物。</w:t>
      </w:r>
    </w:p>
    <w:p w14:paraId="423529A6">
      <w:pPr>
        <w:keepNext w:val="0"/>
        <w:keepLines w:val="0"/>
        <w:pageBreakBefore w:val="0"/>
        <w:widowControl w:val="0"/>
        <w:kinsoku/>
        <w:wordWrap w:val="0"/>
        <w:overflowPunct/>
        <w:topLinePunct w:val="0"/>
        <w:autoSpaceDE/>
        <w:autoSpaceDN/>
        <w:bidi w:val="0"/>
        <w:adjustRightInd/>
        <w:snapToGrid/>
        <w:ind w:firstLine="600" w:firstLineChars="200"/>
        <w:textAlignment w:val="auto"/>
        <w:rPr>
          <w:rFonts w:hint="eastAsia"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5、抗震设防烈度、设计基本地震加速度和设计地震分组</w:t>
      </w:r>
    </w:p>
    <w:p w14:paraId="3DAE0B39">
      <w:pPr>
        <w:keepNext w:val="0"/>
        <w:keepLines w:val="0"/>
        <w:pageBreakBefore w:val="0"/>
        <w:widowControl w:val="0"/>
        <w:kinsoku/>
        <w:wordWrap w:val="0"/>
        <w:overflowPunct/>
        <w:topLinePunct w:val="0"/>
        <w:autoSpaceDE/>
        <w:autoSpaceDN/>
        <w:bidi w:val="0"/>
        <w:adjustRightInd/>
        <w:snapToGrid/>
        <w:ind w:firstLine="600" w:firstLineChars="200"/>
        <w:textAlignment w:val="auto"/>
        <w:rPr>
          <w:rFonts w:hint="eastAsia"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根据《建筑抗震设计规范》（GB50011-2010）（2016年版）附录A：拟建场地的</w:t>
      </w:r>
      <w:bookmarkStart w:id="2" w:name="_GoBack"/>
      <w:bookmarkEnd w:id="2"/>
      <w:r>
        <w:rPr>
          <w:rFonts w:hint="eastAsia" w:ascii="Times New Roman" w:hAnsi="Times New Roman" w:eastAsia="仿宋" w:cstheme="minorBidi"/>
          <w:color w:val="auto"/>
          <w:kern w:val="2"/>
          <w:sz w:val="30"/>
          <w:szCs w:val="22"/>
          <w:lang w:val="en-US" w:eastAsia="zh-CN" w:bidi="ar-SA"/>
        </w:rPr>
        <w:t>抗震设防烈度为8度，设计基本地震加速度值为0.20g，设计地震分组为第二组。</w:t>
      </w:r>
    </w:p>
    <w:p w14:paraId="0D7BF65E">
      <w:pPr>
        <w:keepNext w:val="0"/>
        <w:keepLines w:val="0"/>
        <w:pageBreakBefore w:val="0"/>
        <w:widowControl w:val="0"/>
        <w:kinsoku/>
        <w:wordWrap w:val="0"/>
        <w:overflowPunct/>
        <w:topLinePunct w:val="0"/>
        <w:autoSpaceDE/>
        <w:autoSpaceDN/>
        <w:bidi w:val="0"/>
        <w:adjustRightInd/>
        <w:snapToGrid/>
        <w:ind w:firstLine="600" w:firstLineChars="200"/>
        <w:textAlignment w:val="auto"/>
        <w:rPr>
          <w:rFonts w:hint="eastAsia"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6、其他地质条件评价</w:t>
      </w:r>
    </w:p>
    <w:p w14:paraId="534EF6EB">
      <w:pPr>
        <w:keepNext w:val="0"/>
        <w:keepLines w:val="0"/>
        <w:pageBreakBefore w:val="0"/>
        <w:widowControl w:val="0"/>
        <w:kinsoku/>
        <w:wordWrap w:val="0"/>
        <w:overflowPunct/>
        <w:topLinePunct w:val="0"/>
        <w:autoSpaceDE/>
        <w:autoSpaceDN/>
        <w:bidi w:val="0"/>
        <w:adjustRightInd/>
        <w:snapToGrid/>
        <w:ind w:firstLine="600" w:firstLineChars="200"/>
        <w:textAlignment w:val="auto"/>
        <w:rPr>
          <w:rFonts w:hint="eastAsia" w:ascii="Times New Roman" w:hAnsi="Times New Roman" w:eastAsia="仿宋" w:cstheme="minorBidi"/>
          <w:color w:val="auto"/>
          <w:kern w:val="2"/>
          <w:sz w:val="30"/>
          <w:szCs w:val="22"/>
          <w:lang w:val="en-US" w:eastAsia="zh-CN" w:bidi="ar-SA"/>
        </w:rPr>
      </w:pPr>
      <w:r>
        <w:rPr>
          <w:rFonts w:hint="eastAsia" w:ascii="Times New Roman" w:hAnsi="Times New Roman" w:eastAsia="仿宋" w:cstheme="minorBidi"/>
          <w:color w:val="auto"/>
          <w:kern w:val="2"/>
          <w:sz w:val="30"/>
          <w:szCs w:val="22"/>
          <w:lang w:val="en-US" w:eastAsia="zh-CN" w:bidi="ar-SA"/>
        </w:rPr>
        <w:t>拟建场地为中等液化，无湿陷性土。</w:t>
      </w:r>
    </w:p>
    <w:p w14:paraId="517BA3E8">
      <w:pPr>
        <w:keepNext/>
        <w:keepLines/>
        <w:widowControl/>
        <w:numPr>
          <w:ilvl w:val="0"/>
          <w:numId w:val="1"/>
        </w:numPr>
        <w:spacing w:line="360" w:lineRule="auto"/>
        <w:jc w:val="left"/>
        <w:outlineLvl w:val="0"/>
        <w:rPr>
          <w:rFonts w:cstheme="majorBidi"/>
          <w:b/>
          <w:color w:val="auto"/>
          <w:kern w:val="44"/>
          <w:szCs w:val="44"/>
        </w:rPr>
      </w:pPr>
      <w:r>
        <w:rPr>
          <w:rFonts w:cstheme="majorBidi"/>
          <w:b/>
          <w:color w:val="auto"/>
          <w:kern w:val="44"/>
          <w:szCs w:val="44"/>
        </w:rPr>
        <w:t>设计依据</w:t>
      </w:r>
      <w:r>
        <w:rPr>
          <w:rFonts w:hint="eastAsia" w:cstheme="majorBidi"/>
          <w:b/>
          <w:color w:val="auto"/>
          <w:kern w:val="44"/>
          <w:szCs w:val="44"/>
        </w:rPr>
        <w:t>与设计原则</w:t>
      </w:r>
    </w:p>
    <w:p w14:paraId="44D1F84E">
      <w:pPr>
        <w:keepNext/>
        <w:keepLines/>
        <w:widowControl/>
        <w:numPr>
          <w:ilvl w:val="1"/>
          <w:numId w:val="1"/>
        </w:numPr>
        <w:spacing w:line="360" w:lineRule="auto"/>
        <w:jc w:val="left"/>
        <w:outlineLvl w:val="1"/>
        <w:rPr>
          <w:rFonts w:cstheme="majorBidi"/>
          <w:bCs/>
          <w:color w:val="auto"/>
          <w:szCs w:val="32"/>
        </w:rPr>
      </w:pPr>
      <w:r>
        <w:rPr>
          <w:rFonts w:hint="eastAsia" w:cstheme="majorBidi"/>
          <w:bCs/>
          <w:color w:val="auto"/>
          <w:szCs w:val="32"/>
        </w:rPr>
        <w:t>设计依据</w:t>
      </w:r>
    </w:p>
    <w:p w14:paraId="0B2C11D3">
      <w:pPr>
        <w:pStyle w:val="37"/>
        <w:numPr>
          <w:ilvl w:val="0"/>
          <w:numId w:val="2"/>
        </w:numPr>
        <w:ind w:firstLineChars="0"/>
        <w:rPr>
          <w:rFonts w:cstheme="majorBidi"/>
          <w:color w:val="auto"/>
          <w:szCs w:val="32"/>
        </w:rPr>
      </w:pPr>
      <w:r>
        <w:rPr>
          <w:rFonts w:hint="eastAsia" w:cstheme="majorBidi"/>
          <w:color w:val="auto"/>
          <w:szCs w:val="32"/>
        </w:rPr>
        <w:t>《太原市污水专项规划（2021-2035年）》</w:t>
      </w:r>
      <w:r>
        <w:rPr>
          <w:rFonts w:hint="eastAsia" w:cstheme="majorBidi"/>
          <w:color w:val="auto"/>
          <w:szCs w:val="32"/>
          <w:lang w:eastAsia="zh-CN"/>
        </w:rPr>
        <w:t>（征求意见稿）</w:t>
      </w:r>
      <w:r>
        <w:rPr>
          <w:rFonts w:hint="eastAsia" w:cstheme="majorBidi"/>
          <w:color w:val="auto"/>
          <w:szCs w:val="32"/>
        </w:rPr>
        <w:t>；</w:t>
      </w:r>
    </w:p>
    <w:p w14:paraId="751D5745">
      <w:pPr>
        <w:pStyle w:val="37"/>
        <w:numPr>
          <w:ilvl w:val="0"/>
          <w:numId w:val="2"/>
        </w:numPr>
        <w:ind w:firstLineChars="0"/>
        <w:rPr>
          <w:rFonts w:cstheme="majorBidi"/>
          <w:color w:val="auto"/>
          <w:szCs w:val="32"/>
        </w:rPr>
      </w:pPr>
      <w:r>
        <w:rPr>
          <w:rFonts w:hint="eastAsia" w:cstheme="majorBidi"/>
          <w:color w:val="auto"/>
          <w:szCs w:val="32"/>
        </w:rPr>
        <w:t>《太原市</w:t>
      </w:r>
      <w:r>
        <w:rPr>
          <w:rFonts w:hint="eastAsia" w:cstheme="majorBidi"/>
          <w:color w:val="auto"/>
          <w:szCs w:val="32"/>
          <w:lang w:eastAsia="zh-CN"/>
        </w:rPr>
        <w:t>雨水防涝综合</w:t>
      </w:r>
      <w:r>
        <w:rPr>
          <w:rFonts w:hint="eastAsia" w:cstheme="majorBidi"/>
          <w:color w:val="auto"/>
          <w:szCs w:val="32"/>
        </w:rPr>
        <w:t>规划（20</w:t>
      </w:r>
      <w:r>
        <w:rPr>
          <w:rFonts w:hint="eastAsia" w:cstheme="majorBidi"/>
          <w:color w:val="auto"/>
          <w:szCs w:val="32"/>
          <w:lang w:val="en-US" w:eastAsia="zh-CN"/>
        </w:rPr>
        <w:t>21</w:t>
      </w:r>
      <w:r>
        <w:rPr>
          <w:rFonts w:hint="eastAsia" w:cstheme="majorBidi"/>
          <w:color w:val="auto"/>
          <w:szCs w:val="32"/>
        </w:rPr>
        <w:t>-20</w:t>
      </w:r>
      <w:r>
        <w:rPr>
          <w:rFonts w:hint="eastAsia" w:cstheme="majorBidi"/>
          <w:color w:val="auto"/>
          <w:szCs w:val="32"/>
          <w:lang w:val="en-US" w:eastAsia="zh-CN"/>
        </w:rPr>
        <w:t>35年</w:t>
      </w:r>
      <w:r>
        <w:rPr>
          <w:rFonts w:hint="eastAsia" w:cstheme="majorBidi"/>
          <w:color w:val="auto"/>
          <w:szCs w:val="32"/>
        </w:rPr>
        <w:t>）》</w:t>
      </w:r>
      <w:r>
        <w:rPr>
          <w:rFonts w:hint="eastAsia" w:cstheme="majorBidi"/>
          <w:color w:val="auto"/>
          <w:szCs w:val="32"/>
          <w:lang w:eastAsia="zh-CN"/>
        </w:rPr>
        <w:t>（征求意见稿）</w:t>
      </w:r>
      <w:r>
        <w:rPr>
          <w:rFonts w:hint="eastAsia" w:cstheme="majorBidi"/>
          <w:color w:val="auto"/>
          <w:szCs w:val="32"/>
        </w:rPr>
        <w:t>；</w:t>
      </w:r>
    </w:p>
    <w:p w14:paraId="09EBFC91">
      <w:pPr>
        <w:pStyle w:val="37"/>
        <w:numPr>
          <w:ilvl w:val="0"/>
          <w:numId w:val="2"/>
        </w:numPr>
        <w:ind w:firstLineChars="0"/>
        <w:rPr>
          <w:rFonts w:cstheme="majorBidi"/>
          <w:color w:val="auto"/>
          <w:szCs w:val="32"/>
        </w:rPr>
      </w:pPr>
      <w:r>
        <w:rPr>
          <w:rFonts w:hint="eastAsia" w:cstheme="majorBidi"/>
          <w:color w:val="auto"/>
          <w:szCs w:val="32"/>
        </w:rPr>
        <w:t>《室外排水设计标准》（GB50014-2021）；</w:t>
      </w:r>
    </w:p>
    <w:p w14:paraId="5624D4B2">
      <w:pPr>
        <w:pStyle w:val="37"/>
        <w:numPr>
          <w:ilvl w:val="0"/>
          <w:numId w:val="2"/>
        </w:numPr>
        <w:ind w:firstLineChars="0"/>
        <w:rPr>
          <w:rFonts w:cstheme="majorBidi"/>
          <w:color w:val="auto"/>
          <w:szCs w:val="32"/>
        </w:rPr>
      </w:pPr>
      <w:r>
        <w:rPr>
          <w:rFonts w:hint="eastAsia" w:cstheme="majorBidi"/>
          <w:color w:val="auto"/>
          <w:szCs w:val="32"/>
        </w:rPr>
        <w:t>《城乡排水工程项目规范》（GB55027-2022）；</w:t>
      </w:r>
    </w:p>
    <w:p w14:paraId="4B03A2AF">
      <w:pPr>
        <w:pStyle w:val="37"/>
        <w:numPr>
          <w:ilvl w:val="0"/>
          <w:numId w:val="2"/>
        </w:numPr>
        <w:ind w:firstLineChars="0"/>
        <w:rPr>
          <w:rFonts w:cstheme="majorBidi"/>
          <w:color w:val="auto"/>
          <w:szCs w:val="32"/>
        </w:rPr>
      </w:pPr>
      <w:r>
        <w:rPr>
          <w:rFonts w:hint="eastAsia" w:cstheme="majorBidi"/>
          <w:color w:val="auto"/>
          <w:szCs w:val="32"/>
        </w:rPr>
        <w:t>《给水排水管道工程施工及验收规范》（GB50268-2008）；</w:t>
      </w:r>
    </w:p>
    <w:p w14:paraId="4871AD54">
      <w:pPr>
        <w:pStyle w:val="37"/>
        <w:numPr>
          <w:ilvl w:val="0"/>
          <w:numId w:val="2"/>
        </w:numPr>
        <w:ind w:firstLineChars="0"/>
        <w:rPr>
          <w:rFonts w:cstheme="majorBidi"/>
          <w:color w:val="auto"/>
          <w:szCs w:val="32"/>
        </w:rPr>
      </w:pPr>
      <w:r>
        <w:rPr>
          <w:rFonts w:hint="eastAsia" w:cstheme="majorBidi"/>
          <w:color w:val="auto"/>
          <w:szCs w:val="32"/>
          <w:highlight w:val="none"/>
        </w:rPr>
        <w:t>《钢筋混凝土及砖砌排水检查井》国家建筑标准设计图集（20S515）；</w:t>
      </w:r>
    </w:p>
    <w:p w14:paraId="16D30FEF">
      <w:pPr>
        <w:pStyle w:val="37"/>
        <w:numPr>
          <w:ilvl w:val="0"/>
          <w:numId w:val="2"/>
        </w:numPr>
        <w:ind w:firstLineChars="0"/>
        <w:rPr>
          <w:rFonts w:cstheme="majorBidi"/>
          <w:color w:val="auto"/>
          <w:szCs w:val="32"/>
        </w:rPr>
      </w:pPr>
      <w:r>
        <w:rPr>
          <w:rFonts w:hint="eastAsia" w:cstheme="majorBidi"/>
          <w:color w:val="auto"/>
          <w:szCs w:val="32"/>
        </w:rPr>
        <w:t>相关管线普查资料；</w:t>
      </w:r>
    </w:p>
    <w:p w14:paraId="10F4A39B">
      <w:pPr>
        <w:pStyle w:val="37"/>
        <w:numPr>
          <w:ilvl w:val="0"/>
          <w:numId w:val="2"/>
        </w:numPr>
        <w:ind w:firstLineChars="0"/>
        <w:rPr>
          <w:rFonts w:cstheme="majorBidi"/>
          <w:color w:val="auto"/>
          <w:szCs w:val="32"/>
        </w:rPr>
      </w:pPr>
      <w:r>
        <w:rPr>
          <w:rFonts w:hint="eastAsia" w:cstheme="majorBidi"/>
          <w:color w:val="auto"/>
          <w:szCs w:val="32"/>
        </w:rPr>
        <w:t>其它相关规范及手册资料。</w:t>
      </w:r>
    </w:p>
    <w:p w14:paraId="2BFE9926">
      <w:pPr>
        <w:keepNext/>
        <w:keepLines/>
        <w:widowControl/>
        <w:numPr>
          <w:ilvl w:val="1"/>
          <w:numId w:val="1"/>
        </w:numPr>
        <w:spacing w:line="360" w:lineRule="auto"/>
        <w:jc w:val="left"/>
        <w:outlineLvl w:val="1"/>
        <w:rPr>
          <w:rFonts w:cstheme="majorBidi"/>
          <w:bCs/>
          <w:color w:val="auto"/>
          <w:szCs w:val="32"/>
        </w:rPr>
      </w:pPr>
      <w:r>
        <w:rPr>
          <w:rFonts w:cstheme="majorBidi"/>
          <w:bCs/>
          <w:color w:val="auto"/>
          <w:szCs w:val="32"/>
        </w:rPr>
        <w:t>设计原则</w:t>
      </w:r>
    </w:p>
    <w:p w14:paraId="4726FC85">
      <w:pPr>
        <w:numPr>
          <w:ilvl w:val="0"/>
          <w:numId w:val="3"/>
        </w:numPr>
        <w:rPr>
          <w:color w:val="auto"/>
        </w:rPr>
      </w:pPr>
      <w:r>
        <w:rPr>
          <w:color w:val="auto"/>
        </w:rPr>
        <w:t>排水体制采用雨污分流制；</w:t>
      </w:r>
    </w:p>
    <w:p w14:paraId="4C66495D">
      <w:pPr>
        <w:numPr>
          <w:ilvl w:val="0"/>
          <w:numId w:val="3"/>
        </w:numPr>
        <w:rPr>
          <w:color w:val="auto"/>
        </w:rPr>
      </w:pPr>
      <w:r>
        <w:rPr>
          <w:color w:val="auto"/>
        </w:rPr>
        <w:t>结合地形特征、路网规划、排水规划、现状排水设施等，合理划分汇水范围、确定汇水面积，采用高水高排、低水低排，独立排放原则；</w:t>
      </w:r>
    </w:p>
    <w:p w14:paraId="670B99E5">
      <w:pPr>
        <w:numPr>
          <w:ilvl w:val="0"/>
          <w:numId w:val="3"/>
        </w:numPr>
        <w:rPr>
          <w:color w:val="auto"/>
        </w:rPr>
      </w:pPr>
      <w:r>
        <w:rPr>
          <w:color w:val="auto"/>
        </w:rPr>
        <w:t>排水管线的布置以道路为载体，走向及竖向设计依据排水系统及道路纵向设计，尽可能做到排水顺畅、埋深适当、障碍物少、容易实施；</w:t>
      </w:r>
    </w:p>
    <w:p w14:paraId="2B3EFE60">
      <w:pPr>
        <w:numPr>
          <w:ilvl w:val="0"/>
          <w:numId w:val="3"/>
        </w:numPr>
        <w:rPr>
          <w:color w:val="auto"/>
        </w:rPr>
      </w:pPr>
      <w:r>
        <w:rPr>
          <w:color w:val="auto"/>
        </w:rPr>
        <w:t>遵循技术可行，经济合理，施工方便，远近期结合的原则；</w:t>
      </w:r>
    </w:p>
    <w:p w14:paraId="6DE87E67">
      <w:pPr>
        <w:numPr>
          <w:ilvl w:val="0"/>
          <w:numId w:val="3"/>
        </w:numPr>
        <w:rPr>
          <w:color w:val="auto"/>
        </w:rPr>
      </w:pPr>
      <w:r>
        <w:rPr>
          <w:color w:val="auto"/>
        </w:rPr>
        <w:t>在充分利用现有城市排水设施的同时，兼顾城市发展的不确定因素，管网设计要有前瞻性，留有充足的发展余地</w:t>
      </w:r>
      <w:r>
        <w:rPr>
          <w:rFonts w:hint="eastAsia"/>
          <w:color w:val="auto"/>
          <w:lang w:eastAsia="zh-CN"/>
        </w:rPr>
        <w:t>。</w:t>
      </w:r>
    </w:p>
    <w:p w14:paraId="351381E1">
      <w:pPr>
        <w:keepNext/>
        <w:keepLines/>
        <w:widowControl/>
        <w:numPr>
          <w:ilvl w:val="0"/>
          <w:numId w:val="1"/>
        </w:numPr>
        <w:spacing w:line="360" w:lineRule="auto"/>
        <w:jc w:val="left"/>
        <w:outlineLvl w:val="0"/>
        <w:rPr>
          <w:rFonts w:cstheme="majorBidi"/>
          <w:b/>
          <w:color w:val="auto"/>
          <w:kern w:val="44"/>
          <w:szCs w:val="44"/>
        </w:rPr>
      </w:pPr>
      <w:r>
        <w:rPr>
          <w:rFonts w:cstheme="majorBidi"/>
          <w:b/>
          <w:color w:val="auto"/>
          <w:kern w:val="44"/>
          <w:szCs w:val="44"/>
        </w:rPr>
        <w:t>设计标准及参数</w:t>
      </w:r>
    </w:p>
    <w:p w14:paraId="21BBDCC2">
      <w:pPr>
        <w:pStyle w:val="4"/>
        <w:rPr>
          <w:color w:val="auto"/>
        </w:rPr>
      </w:pPr>
      <w:r>
        <w:rPr>
          <w:color w:val="auto"/>
        </w:rPr>
        <w:t>雨水工程</w:t>
      </w:r>
    </w:p>
    <w:p w14:paraId="5401EB87">
      <w:pPr>
        <w:widowControl/>
        <w:spacing w:line="360" w:lineRule="auto"/>
        <w:ind w:firstLine="600" w:firstLineChars="200"/>
        <w:rPr>
          <w:rFonts w:cs="Times New Roman"/>
          <w:color w:val="auto"/>
        </w:rPr>
      </w:pPr>
      <w:r>
        <w:rPr>
          <w:rFonts w:cs="Times New Roman"/>
          <w:color w:val="auto"/>
        </w:rPr>
        <w:t>暴雨强度公式：</w:t>
      </w:r>
    </w:p>
    <w:p w14:paraId="2D108DE0">
      <w:pPr>
        <w:widowControl/>
        <w:spacing w:line="360" w:lineRule="auto"/>
        <w:jc w:val="center"/>
        <w:rPr>
          <w:rFonts w:cs="Times New Roman"/>
          <w:color w:val="auto"/>
        </w:rPr>
      </w:pPr>
      <w:r>
        <w:rPr>
          <w:color w:val="auto"/>
        </w:rPr>
        <w:drawing>
          <wp:inline distT="0" distB="0" distL="114300" distR="114300">
            <wp:extent cx="2199640" cy="534670"/>
            <wp:effectExtent l="0" t="0" r="10160" b="1778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7"/>
                    <a:stretch>
                      <a:fillRect/>
                    </a:stretch>
                  </pic:blipFill>
                  <pic:spPr>
                    <a:xfrm>
                      <a:off x="0" y="0"/>
                      <a:ext cx="2199640" cy="534670"/>
                    </a:xfrm>
                    <a:prstGeom prst="rect">
                      <a:avLst/>
                    </a:prstGeom>
                    <a:noFill/>
                    <a:ln w="9525">
                      <a:noFill/>
                    </a:ln>
                  </pic:spPr>
                </pic:pic>
              </a:graphicData>
            </a:graphic>
          </wp:inline>
        </w:drawing>
      </w:r>
    </w:p>
    <w:p w14:paraId="5DA130DB">
      <w:pPr>
        <w:widowControl/>
        <w:spacing w:line="360" w:lineRule="auto"/>
        <w:ind w:firstLine="600" w:firstLineChars="200"/>
        <w:rPr>
          <w:rFonts w:cs="Times New Roman"/>
          <w:color w:val="auto"/>
        </w:rPr>
      </w:pPr>
      <w:r>
        <w:rPr>
          <w:rFonts w:cs="Times New Roman"/>
          <w:color w:val="auto"/>
        </w:rPr>
        <w:t>式中：</w:t>
      </w:r>
    </w:p>
    <w:p w14:paraId="15A84720">
      <w:pPr>
        <w:widowControl/>
        <w:spacing w:line="360" w:lineRule="auto"/>
        <w:ind w:firstLine="600" w:firstLineChars="200"/>
        <w:rPr>
          <w:rFonts w:cs="Times New Roman"/>
          <w:color w:val="auto"/>
        </w:rPr>
      </w:pPr>
      <w:r>
        <w:rPr>
          <w:rFonts w:cs="Times New Roman"/>
          <w:color w:val="auto"/>
        </w:rPr>
        <w:t>q——设计暴雨强度（升/公顷·秒）</w:t>
      </w:r>
      <w:r>
        <w:rPr>
          <w:rFonts w:hint="eastAsia" w:cs="Times New Roman"/>
          <w:color w:val="auto"/>
        </w:rPr>
        <w:t>；</w:t>
      </w:r>
    </w:p>
    <w:p w14:paraId="410299B5">
      <w:pPr>
        <w:widowControl/>
        <w:spacing w:line="360" w:lineRule="auto"/>
        <w:ind w:firstLine="600" w:firstLineChars="200"/>
        <w:rPr>
          <w:rFonts w:cs="Times New Roman"/>
          <w:color w:val="auto"/>
        </w:rPr>
      </w:pPr>
      <w:r>
        <w:rPr>
          <w:rFonts w:cs="Times New Roman"/>
          <w:color w:val="auto"/>
        </w:rPr>
        <w:t>P——设计重现期（年），取</w:t>
      </w:r>
      <w:r>
        <w:rPr>
          <w:rFonts w:hint="eastAsia" w:cs="Times New Roman"/>
          <w:color w:val="auto"/>
          <w:lang w:val="en-US" w:eastAsia="zh-CN"/>
        </w:rPr>
        <w:t>2</w:t>
      </w:r>
      <w:r>
        <w:rPr>
          <w:rFonts w:cs="Times New Roman"/>
          <w:color w:val="auto"/>
        </w:rPr>
        <w:t>年</w:t>
      </w:r>
      <w:r>
        <w:rPr>
          <w:rFonts w:hint="eastAsia" w:cs="Times New Roman"/>
          <w:color w:val="auto"/>
        </w:rPr>
        <w:t>；</w:t>
      </w:r>
    </w:p>
    <w:p w14:paraId="6A77508D">
      <w:pPr>
        <w:widowControl/>
        <w:spacing w:line="360" w:lineRule="auto"/>
        <w:ind w:firstLine="600" w:firstLineChars="200"/>
        <w:rPr>
          <w:rFonts w:cs="Times New Roman"/>
          <w:color w:val="auto"/>
        </w:rPr>
      </w:pPr>
      <w:r>
        <w:rPr>
          <w:rFonts w:cs="Times New Roman"/>
          <w:color w:val="auto"/>
        </w:rPr>
        <w:t>t——降雨历时（分钟），t=t</w:t>
      </w:r>
      <w:r>
        <w:rPr>
          <w:rFonts w:cs="Times New Roman"/>
          <w:color w:val="auto"/>
          <w:vertAlign w:val="subscript"/>
        </w:rPr>
        <w:t>1</w:t>
      </w:r>
      <w:r>
        <w:rPr>
          <w:rFonts w:cs="Times New Roman"/>
          <w:color w:val="auto"/>
        </w:rPr>
        <w:t>+t</w:t>
      </w:r>
      <w:r>
        <w:rPr>
          <w:rFonts w:cs="Times New Roman"/>
          <w:color w:val="auto"/>
          <w:vertAlign w:val="subscript"/>
        </w:rPr>
        <w:t>2</w:t>
      </w:r>
      <w:r>
        <w:rPr>
          <w:rFonts w:cs="Times New Roman"/>
          <w:color w:val="auto"/>
        </w:rPr>
        <w:t>；</w:t>
      </w:r>
    </w:p>
    <w:p w14:paraId="4AB16740">
      <w:pPr>
        <w:widowControl/>
        <w:spacing w:line="360" w:lineRule="auto"/>
        <w:ind w:firstLine="600" w:firstLineChars="200"/>
        <w:rPr>
          <w:rFonts w:cs="Times New Roman"/>
          <w:color w:val="auto"/>
        </w:rPr>
      </w:pPr>
      <w:r>
        <w:rPr>
          <w:rFonts w:cs="Times New Roman"/>
          <w:color w:val="auto"/>
        </w:rPr>
        <w:t>t</w:t>
      </w:r>
      <w:r>
        <w:rPr>
          <w:rFonts w:cs="Times New Roman"/>
          <w:color w:val="auto"/>
          <w:vertAlign w:val="subscript"/>
        </w:rPr>
        <w:t>1</w:t>
      </w:r>
      <w:r>
        <w:rPr>
          <w:rFonts w:cs="Times New Roman"/>
          <w:color w:val="auto"/>
        </w:rPr>
        <w:t>——地面集水时间,取10-15分钟；t</w:t>
      </w:r>
      <w:r>
        <w:rPr>
          <w:rFonts w:cs="Times New Roman"/>
          <w:color w:val="auto"/>
          <w:vertAlign w:val="subscript"/>
        </w:rPr>
        <w:t>2</w:t>
      </w:r>
      <w:r>
        <w:rPr>
          <w:rFonts w:cs="Times New Roman"/>
          <w:color w:val="auto"/>
        </w:rPr>
        <w:t>——管内雨水流行时间（分钟）；</w:t>
      </w:r>
    </w:p>
    <w:p w14:paraId="6AC47E9C">
      <w:pPr>
        <w:pStyle w:val="3"/>
        <w:ind w:firstLine="600"/>
        <w:rPr>
          <w:color w:val="auto"/>
        </w:rPr>
      </w:pPr>
      <w:r>
        <w:rPr>
          <w:rFonts w:cs="Times New Roman"/>
          <w:color w:val="auto"/>
        </w:rPr>
        <w:t>综合径流系数ψ=0.6。</w:t>
      </w:r>
    </w:p>
    <w:p w14:paraId="06AEA521">
      <w:pPr>
        <w:pStyle w:val="4"/>
        <w:rPr>
          <w:color w:val="auto"/>
        </w:rPr>
      </w:pPr>
      <w:r>
        <w:rPr>
          <w:color w:val="auto"/>
        </w:rPr>
        <w:t>污水工程</w:t>
      </w:r>
    </w:p>
    <w:p w14:paraId="512E8497">
      <w:pPr>
        <w:pStyle w:val="3"/>
        <w:ind w:firstLine="600"/>
        <w:rPr>
          <w:rFonts w:hint="eastAsia" w:cs="Times New Roman"/>
          <w:color w:val="auto"/>
        </w:rPr>
      </w:pPr>
      <w:r>
        <w:rPr>
          <w:rFonts w:hint="eastAsia" w:cs="Times New Roman"/>
          <w:color w:val="auto"/>
        </w:rPr>
        <w:t>人口密度：</w:t>
      </w:r>
      <w:r>
        <w:rPr>
          <w:rFonts w:hint="eastAsia" w:cs="Times New Roman"/>
          <w:color w:val="auto"/>
          <w:lang w:val="en-US" w:eastAsia="zh-CN"/>
        </w:rPr>
        <w:t>550</w:t>
      </w:r>
      <w:r>
        <w:rPr>
          <w:rFonts w:hint="eastAsia" w:cs="Times New Roman"/>
          <w:color w:val="auto"/>
        </w:rPr>
        <w:t>人/公顷；</w:t>
      </w:r>
    </w:p>
    <w:p w14:paraId="36387D23">
      <w:pPr>
        <w:pStyle w:val="3"/>
        <w:ind w:firstLine="600"/>
        <w:rPr>
          <w:color w:val="auto"/>
        </w:rPr>
      </w:pPr>
      <w:r>
        <w:rPr>
          <w:rFonts w:hint="eastAsia" w:cs="Times New Roman"/>
          <w:color w:val="auto"/>
        </w:rPr>
        <w:t>污水排放标准：1</w:t>
      </w:r>
      <w:r>
        <w:rPr>
          <w:rFonts w:hint="eastAsia" w:cs="Times New Roman"/>
          <w:color w:val="auto"/>
          <w:lang w:val="en-US" w:eastAsia="zh-CN"/>
        </w:rPr>
        <w:t>5</w:t>
      </w:r>
      <w:r>
        <w:rPr>
          <w:rFonts w:hint="eastAsia" w:cs="Times New Roman"/>
          <w:color w:val="auto"/>
        </w:rPr>
        <w:t>0L/人•天。</w:t>
      </w:r>
    </w:p>
    <w:p w14:paraId="487BDE39">
      <w:pPr>
        <w:keepNext/>
        <w:keepLines/>
        <w:widowControl/>
        <w:numPr>
          <w:ilvl w:val="0"/>
          <w:numId w:val="1"/>
        </w:numPr>
        <w:spacing w:line="360" w:lineRule="auto"/>
        <w:jc w:val="left"/>
        <w:outlineLvl w:val="0"/>
        <w:rPr>
          <w:rFonts w:cstheme="majorBidi"/>
          <w:b/>
          <w:color w:val="auto"/>
          <w:kern w:val="44"/>
          <w:szCs w:val="44"/>
        </w:rPr>
      </w:pPr>
      <w:r>
        <w:rPr>
          <w:rFonts w:hint="eastAsia" w:cstheme="majorBidi"/>
          <w:b/>
          <w:color w:val="auto"/>
          <w:kern w:val="44"/>
          <w:szCs w:val="44"/>
        </w:rPr>
        <w:t>排水现状</w:t>
      </w:r>
    </w:p>
    <w:p w14:paraId="5EDA7F16">
      <w:pPr>
        <w:pStyle w:val="3"/>
        <w:numPr>
          <w:ilvl w:val="0"/>
          <w:numId w:val="0"/>
        </w:numPr>
        <w:ind w:firstLine="600" w:firstLineChars="200"/>
        <w:rPr>
          <w:rFonts w:hint="eastAsia"/>
          <w:color w:val="auto"/>
          <w:lang w:val="en-US" w:eastAsia="zh-CN"/>
        </w:rPr>
      </w:pPr>
      <w:r>
        <w:rPr>
          <w:rFonts w:hint="eastAsia"/>
          <w:color w:val="auto"/>
          <w:lang w:val="en-US" w:eastAsia="zh-CN"/>
        </w:rPr>
        <w:t>太原科技大学现有排水管线约12111m，包括已分流管线及未分流管线。其中未分流管线约10051m，已分流管线约2060m（主要为东南侧家属区管线）。</w:t>
      </w:r>
    </w:p>
    <w:p w14:paraId="41B3304A">
      <w:pPr>
        <w:keepNext/>
        <w:keepLines/>
        <w:widowControl/>
        <w:numPr>
          <w:ilvl w:val="0"/>
          <w:numId w:val="1"/>
        </w:numPr>
        <w:spacing w:line="360" w:lineRule="auto"/>
        <w:jc w:val="left"/>
        <w:outlineLvl w:val="0"/>
        <w:rPr>
          <w:rFonts w:cstheme="majorBidi"/>
          <w:b/>
          <w:color w:val="auto"/>
          <w:kern w:val="44"/>
          <w:szCs w:val="44"/>
        </w:rPr>
      </w:pPr>
      <w:r>
        <w:rPr>
          <w:rFonts w:hint="eastAsia" w:cstheme="majorBidi"/>
          <w:b/>
          <w:color w:val="auto"/>
          <w:kern w:val="44"/>
          <w:szCs w:val="44"/>
        </w:rPr>
        <w:t>工程设计</w:t>
      </w:r>
    </w:p>
    <w:p w14:paraId="7E69BFA9">
      <w:pPr>
        <w:keepNext/>
        <w:keepLines/>
        <w:widowControl/>
        <w:numPr>
          <w:ilvl w:val="1"/>
          <w:numId w:val="1"/>
        </w:numPr>
        <w:spacing w:line="360" w:lineRule="auto"/>
        <w:jc w:val="left"/>
        <w:outlineLvl w:val="1"/>
        <w:rPr>
          <w:rFonts w:cstheme="majorBidi"/>
          <w:bCs/>
          <w:color w:val="auto"/>
          <w:szCs w:val="32"/>
        </w:rPr>
      </w:pPr>
      <w:r>
        <w:rPr>
          <w:rFonts w:hint="eastAsia" w:cstheme="majorBidi"/>
          <w:bCs/>
          <w:color w:val="auto"/>
          <w:szCs w:val="32"/>
        </w:rPr>
        <w:t>平面设计</w:t>
      </w:r>
    </w:p>
    <w:p w14:paraId="118D0088">
      <w:pPr>
        <w:widowControl/>
        <w:spacing w:line="360" w:lineRule="auto"/>
        <w:ind w:firstLine="600" w:firstLineChars="200"/>
        <w:rPr>
          <w:rFonts w:hint="default"/>
          <w:color w:val="auto"/>
          <w:lang w:val="en-US" w:eastAsia="zh-CN"/>
        </w:rPr>
      </w:pPr>
      <w:r>
        <w:rPr>
          <w:rFonts w:hint="eastAsia"/>
          <w:color w:val="auto"/>
          <w:lang w:val="en-US" w:eastAsia="zh-CN"/>
        </w:rPr>
        <w:t>本次改造方案考虑优先保留利用校区内现状的合流排水管线，少建设新的排水管线。根据校区内各个区域现状管线的实际情况不同，具体的工程处理方式各有不同，总体设计思路是：若一段现状合流管线适合保留作为污水管线使用，则在附近新建一趟雨水管线，将混接入现状管线的雨水口重新接入新的雨水管线，从而实现雨污分流；或者若一段现状合流管线适合保留作为雨水管线使用，则在附近新建一趟污水管线，将混接入现状管线的污水管重新接入新的污水管线，从而实现雨污分流。具体的管线布置详见平面设计图。</w:t>
      </w:r>
    </w:p>
    <w:p w14:paraId="417B5ECF">
      <w:pPr>
        <w:widowControl/>
        <w:spacing w:line="360" w:lineRule="auto"/>
        <w:ind w:firstLine="600" w:firstLineChars="200"/>
        <w:rPr>
          <w:rFonts w:hint="eastAsia"/>
          <w:color w:val="auto"/>
          <w:lang w:val="en-US" w:eastAsia="zh-CN"/>
        </w:rPr>
      </w:pPr>
      <w:r>
        <w:rPr>
          <w:rFonts w:hint="eastAsia"/>
          <w:color w:val="auto"/>
          <w:lang w:val="en-US" w:eastAsia="zh-CN"/>
        </w:rPr>
        <w:t>本次工程新建雨水管线管径为d300-600mm，管线总长L=2880m（主管2262m，雨水口连接管618m）。</w:t>
      </w:r>
    </w:p>
    <w:p w14:paraId="69FE6826">
      <w:pPr>
        <w:widowControl/>
        <w:spacing w:line="360" w:lineRule="auto"/>
        <w:ind w:firstLine="600" w:firstLineChars="200"/>
        <w:rPr>
          <w:rFonts w:hint="eastAsia"/>
          <w:color w:val="auto"/>
          <w:lang w:val="en-US" w:eastAsia="zh-CN"/>
        </w:rPr>
      </w:pPr>
      <w:r>
        <w:rPr>
          <w:rFonts w:hint="eastAsia"/>
          <w:color w:val="auto"/>
          <w:lang w:val="en-US" w:eastAsia="zh-CN"/>
        </w:rPr>
        <w:t>本次工程新建污水管线管径为d300-500mm，管线总长L=703m。</w:t>
      </w:r>
    </w:p>
    <w:p w14:paraId="4F86C321">
      <w:pPr>
        <w:pStyle w:val="4"/>
        <w:rPr>
          <w:color w:val="auto"/>
        </w:rPr>
      </w:pPr>
      <w:r>
        <w:rPr>
          <w:color w:val="auto"/>
        </w:rPr>
        <w:t>纵断设计</w:t>
      </w:r>
    </w:p>
    <w:p w14:paraId="7415D33C">
      <w:pPr>
        <w:widowControl/>
        <w:spacing w:line="360" w:lineRule="auto"/>
        <w:ind w:firstLine="600" w:firstLineChars="200"/>
        <w:rPr>
          <w:rFonts w:cstheme="majorBidi"/>
          <w:color w:val="auto"/>
          <w:szCs w:val="32"/>
        </w:rPr>
      </w:pPr>
      <w:r>
        <w:rPr>
          <w:rFonts w:hint="eastAsia" w:cstheme="majorBidi"/>
          <w:color w:val="auto"/>
          <w:szCs w:val="32"/>
        </w:rPr>
        <w:t>雨水管线设计坡度尽量与道路同坡</w:t>
      </w:r>
      <w:r>
        <w:rPr>
          <w:rFonts w:hint="eastAsia" w:cstheme="majorBidi"/>
          <w:color w:val="auto"/>
          <w:szCs w:val="32"/>
          <w:lang w:eastAsia="zh-CN"/>
        </w:rPr>
        <w:t>，</w:t>
      </w:r>
      <w:r>
        <w:rPr>
          <w:rFonts w:hint="eastAsia" w:cstheme="majorBidi"/>
          <w:color w:val="auto"/>
          <w:szCs w:val="32"/>
        </w:rPr>
        <w:t>设计高程主要受区域内下游接管点高程控制</w:t>
      </w:r>
      <w:r>
        <w:rPr>
          <w:rFonts w:hint="eastAsia" w:cstheme="majorBidi"/>
          <w:color w:val="auto"/>
          <w:szCs w:val="32"/>
          <w:lang w:eastAsia="zh-CN"/>
        </w:rPr>
        <w:t>，具体详见雨水纵断图</w:t>
      </w:r>
      <w:r>
        <w:rPr>
          <w:rFonts w:cstheme="majorBidi"/>
          <w:color w:val="auto"/>
          <w:szCs w:val="32"/>
        </w:rPr>
        <w:t>。</w:t>
      </w:r>
    </w:p>
    <w:p w14:paraId="2C5E8FDE">
      <w:pPr>
        <w:widowControl/>
        <w:spacing w:line="360" w:lineRule="auto"/>
        <w:ind w:firstLine="600" w:firstLineChars="200"/>
        <w:rPr>
          <w:rFonts w:cstheme="majorBidi"/>
          <w:color w:val="auto"/>
          <w:szCs w:val="32"/>
        </w:rPr>
      </w:pPr>
      <w:r>
        <w:rPr>
          <w:rFonts w:hint="eastAsia" w:cstheme="majorBidi"/>
          <w:color w:val="auto"/>
          <w:szCs w:val="32"/>
        </w:rPr>
        <w:t>污水管线设计坡度尽量与道路同坡</w:t>
      </w:r>
      <w:r>
        <w:rPr>
          <w:rFonts w:hint="eastAsia" w:cstheme="majorBidi"/>
          <w:color w:val="auto"/>
          <w:szCs w:val="32"/>
          <w:lang w:eastAsia="zh-CN"/>
        </w:rPr>
        <w:t>，</w:t>
      </w:r>
      <w:r>
        <w:rPr>
          <w:rFonts w:hint="eastAsia" w:cstheme="majorBidi"/>
          <w:color w:val="auto"/>
          <w:szCs w:val="32"/>
        </w:rPr>
        <w:t>设计高程主要受区域内下游接管点高程控制</w:t>
      </w:r>
      <w:r>
        <w:rPr>
          <w:rFonts w:hint="eastAsia" w:cstheme="majorBidi"/>
          <w:color w:val="auto"/>
          <w:szCs w:val="32"/>
          <w:lang w:eastAsia="zh-CN"/>
        </w:rPr>
        <w:t>，具体详见污水纵断图</w:t>
      </w:r>
      <w:r>
        <w:rPr>
          <w:rFonts w:cstheme="majorBidi"/>
          <w:color w:val="auto"/>
          <w:szCs w:val="32"/>
        </w:rPr>
        <w:t>。</w:t>
      </w:r>
    </w:p>
    <w:p w14:paraId="3E9FA26C">
      <w:pPr>
        <w:pStyle w:val="2"/>
        <w:rPr>
          <w:color w:val="auto"/>
        </w:rPr>
      </w:pPr>
      <w:r>
        <w:rPr>
          <w:color w:val="auto"/>
        </w:rPr>
        <w:t>结构</w:t>
      </w:r>
      <w:r>
        <w:rPr>
          <w:rFonts w:hint="eastAsia"/>
          <w:color w:val="auto"/>
        </w:rPr>
        <w:t>设计</w:t>
      </w:r>
    </w:p>
    <w:p w14:paraId="48D3E91F">
      <w:pPr>
        <w:pStyle w:val="4"/>
        <w:rPr>
          <w:color w:val="auto"/>
        </w:rPr>
      </w:pPr>
      <w:r>
        <w:rPr>
          <w:color w:val="auto"/>
        </w:rPr>
        <w:t>管材、管道接口及管道基础</w:t>
      </w:r>
    </w:p>
    <w:p w14:paraId="08FEECD0">
      <w:pPr>
        <w:pStyle w:val="5"/>
        <w:rPr>
          <w:color w:val="auto"/>
        </w:rPr>
      </w:pPr>
      <w:r>
        <w:rPr>
          <w:rFonts w:hint="eastAsia"/>
          <w:color w:val="auto"/>
        </w:rPr>
        <w:t>雨水连接管</w:t>
      </w:r>
    </w:p>
    <w:p w14:paraId="3207E9AF">
      <w:pPr>
        <w:spacing w:line="360" w:lineRule="auto"/>
        <w:ind w:firstLine="600" w:firstLineChars="200"/>
        <w:rPr>
          <w:rFonts w:ascii="Times New Roman" w:hAnsi="Times New Roman" w:eastAsia="仿宋" w:cs="Times New Roman"/>
          <w:color w:val="auto"/>
          <w:sz w:val="30"/>
          <w:szCs w:val="30"/>
        </w:rPr>
      </w:pPr>
      <w:r>
        <w:rPr>
          <w:rFonts w:hint="eastAsia" w:ascii="Times New Roman" w:hAnsi="Times New Roman" w:eastAsia="仿宋" w:cs="Times New Roman"/>
          <w:color w:val="auto"/>
          <w:sz w:val="30"/>
          <w:szCs w:val="30"/>
        </w:rPr>
        <w:t>雨水连接管一般采用D=300mm钢筋混凝土Ⅱ级承插管，滑动橡胶圈接口，橡胶圈应满足《混凝土和钢筋混凝土排水管用橡胶密封圈》（JC/T946）要求。雨水连接管基础及沟槽回填做法详见国家建筑标准设计图集《混凝土排水管道基础及接口》（23S516）第19页，在道路底基层水泥稳定碎石铺设完成后反挖沟槽实施。</w:t>
      </w:r>
    </w:p>
    <w:p w14:paraId="12CD03C4">
      <w:pPr>
        <w:pStyle w:val="5"/>
        <w:rPr>
          <w:color w:val="auto"/>
        </w:rPr>
      </w:pPr>
      <w:r>
        <w:rPr>
          <w:rFonts w:hint="eastAsia"/>
          <w:color w:val="auto"/>
        </w:rPr>
        <w:t>雨、污水管道</w:t>
      </w:r>
    </w:p>
    <w:p w14:paraId="248E037D">
      <w:pPr>
        <w:pStyle w:val="3"/>
        <w:ind w:firstLine="600"/>
        <w:rPr>
          <w:rFonts w:hint="eastAsia"/>
          <w:color w:val="auto"/>
          <w:szCs w:val="30"/>
        </w:rPr>
      </w:pPr>
      <w:r>
        <w:rPr>
          <w:rFonts w:hint="eastAsia"/>
          <w:color w:val="auto"/>
          <w:szCs w:val="30"/>
        </w:rPr>
        <w:t>雨、污水管当管径≤1200mm时，采用钢筋混凝土承插管，采用滑动橡胶圈接口。橡胶圈、密封膏应满足《混凝土和钢筋混凝土排水管用橡胶密封圈》（JC/T946）要求。管道插口插入的方向应于水流方向一致，承插管道接口做法详见《混凝土排水管道基础及接口》（23S516）第23、24页。</w:t>
      </w:r>
    </w:p>
    <w:p w14:paraId="24E6DF39">
      <w:pPr>
        <w:pStyle w:val="3"/>
        <w:ind w:firstLine="600"/>
        <w:rPr>
          <w:rFonts w:hint="eastAsia"/>
          <w:color w:val="auto"/>
          <w:szCs w:val="30"/>
        </w:rPr>
      </w:pPr>
      <w:r>
        <w:rPr>
          <w:rFonts w:hint="eastAsia"/>
          <w:color w:val="auto"/>
          <w:szCs w:val="30"/>
        </w:rPr>
        <w:t>位于道路下方的雨污水管道覆土不宜小于0.7m。当覆土≤0.7m时，管基及回填可参见23S516第19页（其中a、c1值参见23S516第14页）；当管顶覆土小于1.0m但大于0.7m时，管道采用180°混凝土基础，并实施包封混凝土加固（详见23S516第20页）。</w:t>
      </w:r>
    </w:p>
    <w:p w14:paraId="7B4506D5">
      <w:pPr>
        <w:pStyle w:val="3"/>
        <w:ind w:firstLine="600"/>
        <w:rPr>
          <w:rFonts w:hint="eastAsia"/>
          <w:color w:val="auto"/>
          <w:szCs w:val="30"/>
        </w:rPr>
      </w:pPr>
      <w:r>
        <w:rPr>
          <w:rFonts w:hint="eastAsia"/>
          <w:color w:val="auto"/>
          <w:szCs w:val="30"/>
        </w:rPr>
        <w:t>管道基础根据管顶覆土及超顶水头确定。管顶以上无超顶水头时，当管顶覆土1.0m≤H≤5.0m时，采用钢筋混凝土Ⅱ级管，120°混凝土管基；当管顶覆土5.0m＜H≤7.5m时，采用钢筋混凝土Ⅱ级管，180°混凝土管基；当管顶覆土7.5m＜H≤8.5m时，采用钢筋混凝土Ⅲ级管，180°混凝土管基；与检查井上下游连接的第一节管道应采用180°混凝土管基。管顶以上有超顶水头时，还需按照23S516第22页进行修正对允许管顶覆土厚度进行修正。</w:t>
      </w:r>
    </w:p>
    <w:p w14:paraId="2CCAD743">
      <w:pPr>
        <w:pStyle w:val="3"/>
        <w:ind w:firstLine="600"/>
        <w:rPr>
          <w:rFonts w:hint="eastAsia"/>
          <w:color w:val="auto"/>
          <w:szCs w:val="30"/>
        </w:rPr>
      </w:pPr>
      <w:r>
        <w:rPr>
          <w:rFonts w:hint="eastAsia"/>
          <w:color w:val="auto"/>
          <w:szCs w:val="30"/>
        </w:rPr>
        <w:t>雨污水管管径600mm≤D≤3000mm时，基础做法详见23S516第12、14页；D≤500mm时参见D600mm管道选用管道基础，管基底均采用10cm厚碎石垫层，垫层超出基础两侧宽度0.3m。柔性接口管道在每节管道接口处需将混凝土基础断开，接口做法详见23S516第23、24页。</w:t>
      </w:r>
    </w:p>
    <w:p w14:paraId="01E1BAFD">
      <w:pPr>
        <w:pStyle w:val="5"/>
        <w:rPr>
          <w:rFonts w:ascii="Times New Roman" w:hAnsi="Times New Roman"/>
          <w:color w:val="auto"/>
          <w:highlight w:val="none"/>
        </w:rPr>
      </w:pPr>
      <w:r>
        <w:rPr>
          <w:rFonts w:hint="eastAsia" w:ascii="Times New Roman" w:hAnsi="Times New Roman"/>
          <w:color w:val="auto"/>
          <w:highlight w:val="none"/>
        </w:rPr>
        <w:t>管道防腐</w:t>
      </w:r>
    </w:p>
    <w:p w14:paraId="385F4730">
      <w:pPr>
        <w:pStyle w:val="3"/>
        <w:ind w:firstLine="600"/>
        <w:rPr>
          <w:rFonts w:hint="eastAsia"/>
          <w:color w:val="auto"/>
          <w:szCs w:val="30"/>
        </w:rPr>
      </w:pPr>
      <w:r>
        <w:rPr>
          <w:rFonts w:hint="eastAsia"/>
          <w:color w:val="auto"/>
          <w:szCs w:val="30"/>
        </w:rPr>
        <w:t>污水管道上跌水水头大于1m时，在该检查井处和上下游各一个检查井的井室内部及这三个检查井之间的管道内壁采取防腐蚀措施。具体做法为刷沥青冷底子油两遍，沥青胶泥涂层厚度≥500μm。</w:t>
      </w:r>
    </w:p>
    <w:p w14:paraId="5F7C030D">
      <w:pPr>
        <w:pStyle w:val="4"/>
        <w:rPr>
          <w:color w:val="auto"/>
        </w:rPr>
      </w:pPr>
      <w:r>
        <w:rPr>
          <w:color w:val="auto"/>
        </w:rPr>
        <w:t>检查井</w:t>
      </w:r>
    </w:p>
    <w:p w14:paraId="4082EB4E">
      <w:pPr>
        <w:pStyle w:val="3"/>
        <w:rPr>
          <w:rFonts w:hint="eastAsia"/>
          <w:color w:val="auto"/>
        </w:rPr>
      </w:pPr>
      <w:r>
        <w:rPr>
          <w:rFonts w:hint="eastAsia"/>
          <w:color w:val="auto"/>
        </w:rPr>
        <w:t>检查井根据接入管管径、方向、井室盖板顶覆土、地面活载、地下水等因素，按照国家建筑标准图集《钢筋混凝土及砖砌排水检查井》（20S515）选用钢筋混凝土检查井。</w:t>
      </w:r>
    </w:p>
    <w:p w14:paraId="0B402B4B">
      <w:pPr>
        <w:pStyle w:val="3"/>
        <w:rPr>
          <w:rFonts w:hint="eastAsia"/>
          <w:color w:val="auto"/>
        </w:rPr>
      </w:pPr>
      <w:r>
        <w:rPr>
          <w:rFonts w:hint="eastAsia"/>
          <w:color w:val="auto"/>
        </w:rPr>
        <w:t>1）雨水检查井</w:t>
      </w:r>
    </w:p>
    <w:p w14:paraId="20E4EBA6">
      <w:pPr>
        <w:pStyle w:val="3"/>
        <w:ind w:left="0" w:leftChars="0" w:firstLine="600" w:firstLineChars="200"/>
        <w:rPr>
          <w:rFonts w:hint="default" w:eastAsia="仿宋"/>
          <w:color w:val="auto"/>
          <w:lang w:val="en-US" w:eastAsia="zh-CN"/>
        </w:rPr>
      </w:pPr>
      <w:r>
        <w:rPr>
          <w:rFonts w:hint="eastAsia"/>
          <w:color w:val="auto"/>
        </w:rPr>
        <w:t>雨水检查井盖板覆土0.4m≤Hs≤4.0m采用标准检查井，做法详见国家建筑标准图集《钢筋混凝土及砖砌排水检查井》（20S515）。</w:t>
      </w:r>
      <w:r>
        <w:rPr>
          <w:rFonts w:hint="eastAsia"/>
          <w:color w:val="auto"/>
          <w:lang w:eastAsia="zh-CN"/>
        </w:rPr>
        <w:t>当管底埋深＞</w:t>
      </w:r>
      <w:r>
        <w:rPr>
          <w:rFonts w:hint="eastAsia"/>
          <w:color w:val="auto"/>
          <w:lang w:val="en-US" w:eastAsia="zh-CN"/>
        </w:rPr>
        <w:t>1m，</w:t>
      </w:r>
      <w:r>
        <w:rPr>
          <w:rFonts w:hint="eastAsia"/>
          <w:color w:val="auto"/>
        </w:rPr>
        <w:t>雨水管管径d≤500mm</w:t>
      </w:r>
      <w:r>
        <w:rPr>
          <w:rFonts w:hint="eastAsia"/>
          <w:color w:val="auto"/>
          <w:lang w:val="en-US" w:eastAsia="zh-CN"/>
        </w:rPr>
        <w:t>时</w:t>
      </w:r>
      <w:r>
        <w:rPr>
          <w:rFonts w:hint="eastAsia"/>
          <w:color w:val="auto"/>
        </w:rPr>
        <w:t>，采用φ1000圆形钢筋混凝土雨水检查井，做法见20S515-29</w:t>
      </w:r>
      <w:r>
        <w:rPr>
          <w:rFonts w:hint="eastAsia"/>
          <w:color w:val="auto"/>
          <w:lang w:eastAsia="zh-CN"/>
        </w:rPr>
        <w:t>，</w:t>
      </w:r>
      <w:r>
        <w:rPr>
          <w:rFonts w:hint="eastAsia"/>
          <w:color w:val="auto"/>
        </w:rPr>
        <w:t>雨水管管径800≥</w:t>
      </w:r>
      <w:r>
        <w:rPr>
          <w:rFonts w:hint="eastAsia"/>
          <w:color w:val="auto"/>
          <w:lang w:val="en-US" w:eastAsia="zh-CN"/>
        </w:rPr>
        <w:t>d</w:t>
      </w:r>
      <w:r>
        <w:rPr>
          <w:rFonts w:hint="eastAsia"/>
          <w:color w:val="auto"/>
        </w:rPr>
        <w:t>≥600mm</w:t>
      </w:r>
      <w:r>
        <w:rPr>
          <w:rFonts w:hint="eastAsia"/>
          <w:color w:val="auto"/>
          <w:lang w:val="en-US" w:eastAsia="zh-CN"/>
        </w:rPr>
        <w:t>时</w:t>
      </w:r>
      <w:r>
        <w:rPr>
          <w:rFonts w:hint="eastAsia"/>
          <w:color w:val="auto"/>
        </w:rPr>
        <w:t>，采用φ1250圆形钢筋混凝土雨水检查井，做法见20S515-29。</w:t>
      </w:r>
      <w:r>
        <w:rPr>
          <w:rFonts w:hint="eastAsia"/>
          <w:color w:val="auto"/>
          <w:lang w:eastAsia="zh-CN"/>
        </w:rPr>
        <w:t>当管底埋深</w:t>
      </w:r>
      <w:r>
        <w:rPr>
          <w:rFonts w:hint="eastAsia"/>
          <w:color w:val="auto"/>
        </w:rPr>
        <w:t>≤</w:t>
      </w:r>
      <w:r>
        <w:rPr>
          <w:rFonts w:hint="eastAsia"/>
          <w:color w:val="auto"/>
          <w:lang w:val="en-US" w:eastAsia="zh-CN"/>
        </w:rPr>
        <w:t>1m，雨水管管径</w:t>
      </w:r>
      <w:r>
        <w:rPr>
          <w:rFonts w:hint="eastAsia"/>
          <w:color w:val="auto"/>
        </w:rPr>
        <w:t>≤</w:t>
      </w:r>
      <w:r>
        <w:rPr>
          <w:rFonts w:hint="eastAsia"/>
          <w:color w:val="auto"/>
          <w:lang w:val="en-US" w:eastAsia="zh-CN"/>
        </w:rPr>
        <w:t>4</w:t>
      </w:r>
      <w:r>
        <w:rPr>
          <w:rFonts w:hint="eastAsia"/>
          <w:color w:val="auto"/>
        </w:rPr>
        <w:t>00mm</w:t>
      </w:r>
      <w:r>
        <w:rPr>
          <w:rFonts w:hint="eastAsia"/>
          <w:color w:val="auto"/>
          <w:lang w:val="en-US" w:eastAsia="zh-CN"/>
        </w:rPr>
        <w:t>时，采用小方形700x700混凝土户线检查井，做法见</w:t>
      </w:r>
      <w:r>
        <w:rPr>
          <w:rFonts w:hint="eastAsia"/>
          <w:color w:val="auto"/>
        </w:rPr>
        <w:t>20S515-</w:t>
      </w:r>
      <w:r>
        <w:rPr>
          <w:rFonts w:hint="eastAsia"/>
          <w:color w:val="auto"/>
          <w:lang w:val="en-US" w:eastAsia="zh-CN"/>
        </w:rPr>
        <w:t>328。</w:t>
      </w:r>
    </w:p>
    <w:p w14:paraId="79B3E609">
      <w:pPr>
        <w:pStyle w:val="3"/>
        <w:rPr>
          <w:rFonts w:hint="eastAsia"/>
          <w:color w:val="auto"/>
        </w:rPr>
      </w:pPr>
      <w:r>
        <w:rPr>
          <w:rFonts w:hint="eastAsia"/>
          <w:color w:val="auto"/>
          <w:lang w:val="en-US" w:eastAsia="zh-CN"/>
        </w:rPr>
        <w:t>2</w:t>
      </w:r>
      <w:r>
        <w:rPr>
          <w:rFonts w:hint="eastAsia"/>
          <w:color w:val="auto"/>
        </w:rPr>
        <w:t>）</w:t>
      </w:r>
      <w:r>
        <w:rPr>
          <w:rFonts w:hint="eastAsia"/>
          <w:color w:val="auto"/>
          <w:lang w:eastAsia="zh-CN"/>
        </w:rPr>
        <w:t>污水</w:t>
      </w:r>
      <w:r>
        <w:rPr>
          <w:rFonts w:hint="eastAsia"/>
          <w:color w:val="auto"/>
        </w:rPr>
        <w:t>检查井</w:t>
      </w:r>
    </w:p>
    <w:p w14:paraId="1D801C1B">
      <w:pPr>
        <w:pStyle w:val="3"/>
        <w:ind w:left="0" w:leftChars="0" w:firstLine="600" w:firstLineChars="200"/>
        <w:rPr>
          <w:rFonts w:hint="eastAsia" w:ascii="Times New Roman" w:hAnsi="Times New Roman"/>
          <w:color w:val="auto"/>
        </w:rPr>
      </w:pPr>
      <w:r>
        <w:rPr>
          <w:rFonts w:hint="eastAsia" w:ascii="Times New Roman" w:hAnsi="Times New Roman"/>
          <w:color w:val="auto"/>
        </w:rPr>
        <w:t>污水检查井盖板覆土0.4≤Hs≤4.0m采用标准检查井，做法详见国家建筑标准图集《钢筋混凝土及砖砌排水检查井》（20S515）。污水管管径d≤500mm，采用φ1000圆形钢筋混凝土污水检查井</w:t>
      </w:r>
      <w:r>
        <w:rPr>
          <w:rFonts w:hint="eastAsia"/>
          <w:color w:val="auto"/>
        </w:rPr>
        <w:t>，做法见20S515-</w:t>
      </w:r>
      <w:r>
        <w:rPr>
          <w:rFonts w:hint="eastAsia"/>
          <w:color w:val="auto"/>
          <w:lang w:val="en-US" w:eastAsia="zh-CN"/>
        </w:rPr>
        <w:t>30</w:t>
      </w:r>
      <w:r>
        <w:rPr>
          <w:rFonts w:hint="eastAsia" w:ascii="Times New Roman" w:hAnsi="Times New Roman"/>
          <w:color w:val="auto"/>
        </w:rPr>
        <w:t>。</w:t>
      </w:r>
    </w:p>
    <w:p w14:paraId="77360DBF">
      <w:pPr>
        <w:pStyle w:val="3"/>
        <w:ind w:left="0" w:leftChars="0" w:firstLine="600" w:firstLineChars="200"/>
        <w:rPr>
          <w:rFonts w:hint="eastAsia" w:ascii="Times New Roman" w:hAnsi="Times New Roman"/>
          <w:color w:val="auto"/>
        </w:rPr>
      </w:pPr>
      <w:r>
        <w:rPr>
          <w:rFonts w:hint="eastAsia" w:ascii="Times New Roman" w:hAnsi="Times New Roman"/>
          <w:color w:val="auto"/>
        </w:rPr>
        <w:t>有支线接入时采用矩形三通混凝土污水检查井（J02wh）及矩形四通混凝土污水检查井（J03wh），参见《钢筋混凝土及砖砌排水检查井》（20S515）第64、85页。</w:t>
      </w:r>
    </w:p>
    <w:p w14:paraId="6CB8957D">
      <w:pPr>
        <w:pStyle w:val="3"/>
        <w:rPr>
          <w:rFonts w:hint="eastAsia"/>
          <w:color w:val="auto"/>
        </w:rPr>
      </w:pPr>
      <w:r>
        <w:rPr>
          <w:rFonts w:hint="eastAsia"/>
          <w:color w:val="auto"/>
          <w:lang w:val="en-US" w:eastAsia="zh-CN"/>
        </w:rPr>
        <w:t>3</w:t>
      </w:r>
      <w:r>
        <w:rPr>
          <w:rFonts w:hint="eastAsia"/>
          <w:color w:val="auto"/>
        </w:rPr>
        <w:t>）</w:t>
      </w:r>
      <w:r>
        <w:rPr>
          <w:rFonts w:hint="eastAsia"/>
          <w:color w:val="auto"/>
          <w:lang w:eastAsia="zh-CN"/>
        </w:rPr>
        <w:t>检查井流槽</w:t>
      </w:r>
    </w:p>
    <w:p w14:paraId="14028D98">
      <w:pPr>
        <w:pStyle w:val="3"/>
        <w:ind w:left="0" w:leftChars="0" w:firstLine="600" w:firstLineChars="200"/>
        <w:rPr>
          <w:rFonts w:hint="eastAsia" w:ascii="Times New Roman" w:hAnsi="Times New Roman"/>
          <w:color w:val="auto"/>
        </w:rPr>
      </w:pPr>
      <w:r>
        <w:rPr>
          <w:rFonts w:hint="eastAsia" w:ascii="Times New Roman" w:hAnsi="Times New Roman"/>
          <w:color w:val="auto"/>
        </w:rPr>
        <w:t>检查井井底应设流槽，污水检查井流槽顶与下游管内顶相平，雨水检查井流槽顶与下游0.5倍大管径处相平。流槽顶部宽度宜满足检修要求，详见国家建筑标准图集《钢筋混凝土及砖砌排水检查井》（20S515）第</w:t>
      </w:r>
      <w:r>
        <w:rPr>
          <w:rFonts w:hint="eastAsia"/>
          <w:color w:val="auto"/>
          <w:lang w:val="en-US" w:eastAsia="zh-CN"/>
        </w:rPr>
        <w:t>20页、第</w:t>
      </w:r>
      <w:r>
        <w:rPr>
          <w:rFonts w:hint="eastAsia" w:ascii="Times New Roman" w:hAnsi="Times New Roman"/>
          <w:color w:val="auto"/>
        </w:rPr>
        <w:t>36页。</w:t>
      </w:r>
    </w:p>
    <w:p w14:paraId="5CA18D5E">
      <w:pPr>
        <w:pStyle w:val="3"/>
        <w:ind w:firstLine="600"/>
        <w:rPr>
          <w:color w:val="auto"/>
          <w:highlight w:val="none"/>
        </w:rPr>
      </w:pPr>
      <w:r>
        <w:rPr>
          <w:rFonts w:hint="eastAsia"/>
          <w:color w:val="auto"/>
          <w:highlight w:val="none"/>
          <w:lang w:val="en-US" w:eastAsia="zh-CN"/>
        </w:rPr>
        <w:t>4</w:t>
      </w:r>
      <w:r>
        <w:rPr>
          <w:rFonts w:hint="eastAsia"/>
          <w:color w:val="auto"/>
          <w:highlight w:val="none"/>
        </w:rPr>
        <w:t>）检查井井盖、井座</w:t>
      </w:r>
    </w:p>
    <w:p w14:paraId="71FEB2DE">
      <w:pPr>
        <w:pStyle w:val="3"/>
        <w:ind w:left="0" w:leftChars="0" w:firstLine="600" w:firstLineChars="200"/>
        <w:rPr>
          <w:color w:val="auto"/>
        </w:rPr>
      </w:pPr>
      <w:r>
        <w:rPr>
          <w:rFonts w:hint="eastAsia" w:ascii="Times New Roman" w:hAnsi="Times New Roman"/>
          <w:color w:val="auto"/>
        </w:rPr>
        <w:t>雨、污水检查井盖、座均采用防盗球墨铸铁（QT500-7）材质。位于人行道上的检查井盖、座采用外方内圆检查井盖、座，位于绿化带内采用圆形井盖，做法参见《铸铁检查井盖》（CJ/T511-2017），井盖承载能力等级均为D级（400KN）。位于机动、非机动车道检查井井盖均采用圆形防沉降井盖，井盖承载能力等级均为E级（600KN）。井盖应有“雨水”、“污水”等明显标识，井盖下加装牢固可靠的防坠装置，防坠装置承重能力不小于100kg。</w:t>
      </w:r>
    </w:p>
    <w:p w14:paraId="3771D977">
      <w:pPr>
        <w:pStyle w:val="4"/>
        <w:rPr>
          <w:color w:val="auto"/>
        </w:rPr>
      </w:pPr>
      <w:r>
        <w:rPr>
          <w:color w:val="auto"/>
        </w:rPr>
        <w:t>雨水口</w:t>
      </w:r>
    </w:p>
    <w:p w14:paraId="460D9667">
      <w:pPr>
        <w:spacing w:line="360" w:lineRule="auto"/>
        <w:ind w:firstLine="600" w:firstLineChars="200"/>
        <w:rPr>
          <w:rFonts w:hint="eastAsia" w:ascii="Times New Roman" w:hAnsi="Times New Roman" w:eastAsia="仿宋" w:cs="Times New Roman"/>
          <w:color w:val="auto"/>
          <w:sz w:val="30"/>
          <w:szCs w:val="30"/>
        </w:rPr>
      </w:pPr>
      <w:r>
        <w:rPr>
          <w:rFonts w:hint="eastAsia" w:ascii="Times New Roman" w:hAnsi="Times New Roman" w:eastAsia="仿宋" w:cs="Times New Roman"/>
          <w:color w:val="auto"/>
          <w:sz w:val="30"/>
          <w:szCs w:val="30"/>
        </w:rPr>
        <w:t>雨水口井圈、雨水口箅均采用防盗球墨铸铁（QT500-7）材质井盖座，承载能力≥400kN。一般路段雨水口采用预制混凝土装配式偏沟式单箅、双箅或多箅雨水口，做法详见《雨水口》（16S518），第42、43、44页。雨水口深度H=0.94m，雨水口设置网篮等设施，防止垃圾进入雨水管渠。道路侧石外露高度≥20cm时，在靠近机动车道一侧采用联合式雨水口，详见结构图。雨水连接管以i≥10‰坡度坡向设计雨水检查井中，检查井要做好洞口预留。雨水口位置要结合道路纵横坡低点、交叉口竖向设计设置，以满足收集雨水要求。</w:t>
      </w:r>
    </w:p>
    <w:p w14:paraId="4B983956">
      <w:pPr>
        <w:pStyle w:val="4"/>
        <w:ind w:left="0" w:firstLine="0"/>
        <w:rPr>
          <w:rFonts w:ascii="Times New Roman" w:hAnsi="Times New Roman"/>
          <w:color w:val="auto"/>
          <w:highlight w:val="none"/>
        </w:rPr>
      </w:pPr>
      <w:r>
        <w:rPr>
          <w:rFonts w:hint="eastAsia" w:cs="Times New Roman"/>
          <w:color w:val="auto"/>
          <w:sz w:val="30"/>
          <w:szCs w:val="30"/>
          <w:highlight w:val="none"/>
          <w:lang w:eastAsia="zh-CN"/>
        </w:rPr>
        <w:t>、</w:t>
      </w:r>
      <w:r>
        <w:rPr>
          <w:rFonts w:hint="eastAsia"/>
          <w:color w:val="auto"/>
          <w:highlight w:val="none"/>
          <w:lang w:val="en-US" w:eastAsia="zh-CN"/>
        </w:rPr>
        <w:t>路面</w:t>
      </w:r>
      <w:r>
        <w:rPr>
          <w:rFonts w:hint="eastAsia" w:ascii="Times New Roman" w:hAnsi="Times New Roman"/>
          <w:color w:val="auto"/>
          <w:highlight w:val="none"/>
          <w:lang w:val="en-US" w:eastAsia="zh-CN"/>
        </w:rPr>
        <w:t>恢</w:t>
      </w:r>
      <w:r>
        <w:rPr>
          <w:rFonts w:hint="eastAsia" w:ascii="Times New Roman" w:hAnsi="Times New Roman"/>
          <w:color w:val="auto"/>
          <w:highlight w:val="none"/>
        </w:rPr>
        <w:t>复</w:t>
      </w:r>
    </w:p>
    <w:p w14:paraId="54437A16">
      <w:pPr>
        <w:spacing w:line="360" w:lineRule="auto"/>
        <w:ind w:firstLine="600" w:firstLineChars="200"/>
        <w:rPr>
          <w:rFonts w:hint="eastAsia"/>
          <w:color w:val="auto"/>
          <w:highlight w:val="none"/>
          <w:lang w:eastAsia="zh-CN"/>
        </w:rPr>
      </w:pPr>
      <w:r>
        <w:rPr>
          <w:rFonts w:hint="eastAsia" w:ascii="Times New Roman" w:hAnsi="Times New Roman"/>
          <w:color w:val="auto"/>
          <w:highlight w:val="none"/>
        </w:rPr>
        <w:t>本次设计</w:t>
      </w:r>
      <w:r>
        <w:rPr>
          <w:rFonts w:hint="eastAsia" w:ascii="Times New Roman" w:hAnsi="Times New Roman"/>
          <w:color w:val="auto"/>
          <w:highlight w:val="none"/>
          <w:lang w:val="en-US" w:eastAsia="zh-CN"/>
        </w:rPr>
        <w:t>需要破除的路面包括沥青路面、水泥路面、铺砖路面、绿地及</w:t>
      </w:r>
      <w:r>
        <w:rPr>
          <w:rFonts w:hint="eastAsia"/>
          <w:color w:val="auto"/>
          <w:highlight w:val="none"/>
          <w:lang w:val="en-US" w:eastAsia="zh-CN"/>
        </w:rPr>
        <w:t>操场运动地板</w:t>
      </w:r>
      <w:r>
        <w:rPr>
          <w:rFonts w:hint="eastAsia" w:ascii="Times New Roman" w:hAnsi="Times New Roman"/>
          <w:color w:val="auto"/>
          <w:highlight w:val="none"/>
          <w:lang w:val="en-US" w:eastAsia="zh-CN"/>
        </w:rPr>
        <w:t>地面，</w:t>
      </w:r>
      <w:r>
        <w:rPr>
          <w:rFonts w:hint="eastAsia"/>
          <w:color w:val="auto"/>
          <w:highlight w:val="none"/>
          <w:lang w:eastAsia="zh-CN"/>
        </w:rPr>
        <w:t>对</w:t>
      </w:r>
      <w:r>
        <w:rPr>
          <w:rFonts w:hint="eastAsia" w:cstheme="majorBidi"/>
          <w:color w:val="auto"/>
          <w:sz w:val="30"/>
          <w:szCs w:val="32"/>
          <w:highlight w:val="none"/>
          <w:lang w:val="en-US" w:eastAsia="zh-CN"/>
        </w:rPr>
        <w:t>沟槽范围内的路面开挖后原状</w:t>
      </w:r>
      <w:r>
        <w:rPr>
          <w:rFonts w:hint="eastAsia"/>
          <w:color w:val="auto"/>
          <w:highlight w:val="none"/>
        </w:rPr>
        <w:t>恢复</w:t>
      </w:r>
      <w:r>
        <w:rPr>
          <w:rFonts w:hint="eastAsia"/>
          <w:color w:val="auto"/>
          <w:highlight w:val="none"/>
          <w:lang w:eastAsia="zh-CN"/>
        </w:rPr>
        <w:t>。</w:t>
      </w:r>
    </w:p>
    <w:p w14:paraId="6C7F9BC4">
      <w:pPr>
        <w:spacing w:line="360" w:lineRule="auto"/>
        <w:ind w:firstLine="600" w:firstLineChars="200"/>
        <w:rPr>
          <w:rFonts w:hint="eastAsia"/>
          <w:color w:val="auto"/>
          <w:highlight w:val="none"/>
          <w:lang w:eastAsia="zh-CN"/>
        </w:rPr>
      </w:pPr>
      <w:r>
        <w:rPr>
          <w:rFonts w:hint="eastAsia"/>
          <w:color w:val="auto"/>
          <w:highlight w:val="none"/>
          <w:lang w:eastAsia="zh-CN"/>
        </w:rPr>
        <w:t>对部分管道沟槽范围两侧的沥青路面，为确保路面结构的完整性、保证道路横坡满足雨水集水需求，需铣刨后恢复为沥青路面，具体位置包括：①启明路新建雨水管段沟槽两侧②明志楼、嘉言楼北侧及德润园9号楼西侧新建雨水管段沟槽两侧③秉渊西路、秉渊东路、秉渊路新建雨水管段沟槽两侧④图书馆南侧道路新建雨水管段沟槽两侧。</w:t>
      </w:r>
    </w:p>
    <w:p w14:paraId="479F182C">
      <w:pPr>
        <w:spacing w:line="360" w:lineRule="auto"/>
        <w:ind w:firstLine="600" w:firstLineChars="200"/>
        <w:rPr>
          <w:rFonts w:hint="eastAsia"/>
          <w:color w:val="auto"/>
          <w:highlight w:val="none"/>
          <w:lang w:val="en-US" w:eastAsia="zh-CN"/>
        </w:rPr>
      </w:pPr>
      <w:r>
        <w:rPr>
          <w:rFonts w:hint="eastAsia"/>
          <w:color w:val="auto"/>
          <w:highlight w:val="none"/>
          <w:lang w:eastAsia="zh-CN"/>
        </w:rPr>
        <w:t>对启明路从学校北门至距校门东侧约</w:t>
      </w:r>
      <w:r>
        <w:rPr>
          <w:rFonts w:hint="eastAsia"/>
          <w:color w:val="auto"/>
          <w:highlight w:val="none"/>
          <w:lang w:val="en-US" w:eastAsia="zh-CN"/>
        </w:rPr>
        <w:t>95m处的</w:t>
      </w:r>
      <w:r>
        <w:rPr>
          <w:rFonts w:hint="eastAsia"/>
          <w:color w:val="auto"/>
          <w:highlight w:val="none"/>
          <w:lang w:eastAsia="zh-CN"/>
        </w:rPr>
        <w:t>沥青</w:t>
      </w:r>
      <w:r>
        <w:rPr>
          <w:rFonts w:hint="eastAsia"/>
          <w:color w:val="auto"/>
          <w:highlight w:val="none"/>
          <w:lang w:val="en-US" w:eastAsia="zh-CN"/>
        </w:rPr>
        <w:t>路面，由于路面老化严重，存在多处坑洼和大的裂痕，影响正常的路面排水和道路通行需求，需铣刨</w:t>
      </w:r>
      <w:r>
        <w:rPr>
          <w:rFonts w:hint="eastAsia"/>
          <w:color w:val="auto"/>
          <w:highlight w:val="none"/>
          <w:lang w:eastAsia="zh-CN"/>
        </w:rPr>
        <w:t>后恢复为沥青路面。</w:t>
      </w:r>
    </w:p>
    <w:p w14:paraId="24AAAA58">
      <w:pPr>
        <w:spacing w:line="360" w:lineRule="auto"/>
        <w:ind w:firstLine="600" w:firstLineChars="200"/>
        <w:rPr>
          <w:rFonts w:hint="default"/>
          <w:color w:val="auto"/>
          <w:highlight w:val="none"/>
          <w:lang w:val="en-US" w:eastAsia="zh-CN"/>
        </w:rPr>
      </w:pPr>
      <w:r>
        <w:rPr>
          <w:rFonts w:hint="eastAsia"/>
          <w:color w:val="auto"/>
          <w:highlight w:val="none"/>
          <w:lang w:eastAsia="zh-CN"/>
        </w:rPr>
        <w:t>对惜粟餐厅南侧、逸夫教学实验楼西侧、德润园</w:t>
      </w:r>
      <w:r>
        <w:rPr>
          <w:rFonts w:hint="eastAsia"/>
          <w:color w:val="auto"/>
          <w:highlight w:val="none"/>
          <w:lang w:val="en-US" w:eastAsia="zh-CN"/>
        </w:rPr>
        <w:t>10号楼北侧的现状</w:t>
      </w:r>
      <w:r>
        <w:rPr>
          <w:rFonts w:hint="eastAsia" w:ascii="Times New Roman" w:hAnsi="Times New Roman"/>
          <w:color w:val="auto"/>
          <w:highlight w:val="none"/>
          <w:lang w:val="en-US" w:eastAsia="zh-CN"/>
        </w:rPr>
        <w:t>水泥</w:t>
      </w:r>
      <w:r>
        <w:rPr>
          <w:rFonts w:hint="eastAsia"/>
          <w:color w:val="auto"/>
          <w:highlight w:val="none"/>
          <w:lang w:val="en-US" w:eastAsia="zh-CN"/>
        </w:rPr>
        <w:t>路面的院子，由于路面老化严重</w:t>
      </w:r>
      <w:r>
        <w:rPr>
          <w:rFonts w:hint="eastAsia"/>
          <w:color w:val="auto"/>
          <w:highlight w:val="none"/>
          <w:lang w:eastAsia="zh-CN"/>
        </w:rPr>
        <w:t>，存在多处严重的裂痕和破损，</w:t>
      </w:r>
      <w:r>
        <w:rPr>
          <w:rFonts w:hint="eastAsia"/>
          <w:color w:val="auto"/>
          <w:highlight w:val="none"/>
          <w:lang w:val="en-US" w:eastAsia="zh-CN"/>
        </w:rPr>
        <w:t>影响正常的雨水集水需求，</w:t>
      </w:r>
      <w:r>
        <w:rPr>
          <w:rFonts w:hint="eastAsia"/>
          <w:color w:val="auto"/>
          <w:highlight w:val="none"/>
          <w:lang w:eastAsia="zh-CN"/>
        </w:rPr>
        <w:t>需铣刨后恢复为沥青路面。</w:t>
      </w:r>
    </w:p>
    <w:p w14:paraId="559C17CA">
      <w:pPr>
        <w:spacing w:line="360" w:lineRule="auto"/>
        <w:ind w:firstLine="600" w:firstLineChars="200"/>
        <w:rPr>
          <w:rFonts w:hint="eastAsia" w:ascii="Times New Roman" w:hAnsi="Times New Roman"/>
          <w:color w:val="auto"/>
          <w:highlight w:val="none"/>
        </w:rPr>
      </w:pPr>
      <w:r>
        <w:rPr>
          <w:rFonts w:hint="default"/>
          <w:color w:val="auto"/>
          <w:highlight w:val="none"/>
          <w:lang w:val="en-US" w:eastAsia="zh-CN"/>
        </w:rPr>
        <w:t>路面恢复</w:t>
      </w:r>
      <w:r>
        <w:rPr>
          <w:rFonts w:hint="eastAsia"/>
          <w:color w:val="auto"/>
          <w:highlight w:val="none"/>
          <w:lang w:val="en-US" w:eastAsia="zh-CN"/>
        </w:rPr>
        <w:t>的暂估工程量详见主要工程量章节</w:t>
      </w:r>
      <w:r>
        <w:rPr>
          <w:rFonts w:hint="eastAsia"/>
          <w:color w:val="auto"/>
          <w:highlight w:val="none"/>
          <w:lang w:eastAsia="zh-CN"/>
        </w:rPr>
        <w:t>，</w:t>
      </w:r>
      <w:r>
        <w:rPr>
          <w:rFonts w:hint="eastAsia"/>
          <w:color w:val="auto"/>
          <w:highlight w:val="none"/>
        </w:rPr>
        <w:t>做法详见道路部分图纸</w:t>
      </w:r>
      <w:r>
        <w:rPr>
          <w:rFonts w:hint="eastAsia"/>
          <w:color w:val="auto"/>
          <w:highlight w:val="none"/>
          <w:lang w:eastAsia="zh-CN"/>
        </w:rPr>
        <w:t>。</w:t>
      </w:r>
      <w:r>
        <w:rPr>
          <w:rFonts w:hint="eastAsia" w:cs="Times New Roman"/>
          <w:bCs/>
          <w:color w:val="auto"/>
          <w:szCs w:val="30"/>
          <w:highlight w:val="none"/>
        </w:rPr>
        <w:t>发生实际工程量以业主、监理、施工方现场签证计量为主</w:t>
      </w:r>
      <w:r>
        <w:rPr>
          <w:rFonts w:hint="eastAsia" w:ascii="Times New Roman" w:hAnsi="Times New Roman"/>
          <w:color w:val="auto"/>
          <w:highlight w:val="none"/>
        </w:rPr>
        <w:t>。</w:t>
      </w:r>
    </w:p>
    <w:p w14:paraId="50A4494A">
      <w:pPr>
        <w:pStyle w:val="4"/>
        <w:rPr>
          <w:color w:val="auto"/>
          <w:highlight w:val="none"/>
        </w:rPr>
      </w:pPr>
      <w:r>
        <w:rPr>
          <w:color w:val="auto"/>
          <w:highlight w:val="none"/>
        </w:rPr>
        <w:t>沟槽开挖、回填</w:t>
      </w:r>
      <w:r>
        <w:rPr>
          <w:rFonts w:hint="eastAsia"/>
          <w:color w:val="auto"/>
          <w:highlight w:val="none"/>
        </w:rPr>
        <w:t>、地基处理</w:t>
      </w:r>
    </w:p>
    <w:p w14:paraId="142A8B94">
      <w:pPr>
        <w:pStyle w:val="5"/>
        <w:rPr>
          <w:color w:val="auto"/>
          <w:highlight w:val="none"/>
        </w:rPr>
      </w:pPr>
      <w:r>
        <w:rPr>
          <w:rFonts w:hint="eastAsia"/>
          <w:color w:val="auto"/>
          <w:highlight w:val="none"/>
        </w:rPr>
        <w:t>沟槽开挖</w:t>
      </w:r>
    </w:p>
    <w:p w14:paraId="3EF783F5">
      <w:pPr>
        <w:pStyle w:val="3"/>
        <w:ind w:firstLine="600"/>
        <w:rPr>
          <w:rFonts w:hint="eastAsia"/>
          <w:color w:val="auto"/>
          <w:szCs w:val="30"/>
          <w:highlight w:val="none"/>
        </w:rPr>
      </w:pPr>
      <w:r>
        <w:rPr>
          <w:rFonts w:hint="eastAsia"/>
          <w:color w:val="auto"/>
          <w:szCs w:val="30"/>
          <w:highlight w:val="none"/>
        </w:rPr>
        <w:t>设计排水管道距自然地面管顶覆土不足50cm的路段，需按道路压实度要求填至管顶以上50cm，再使用反挖法进行沟槽开挖施工。其余地质条件良好、土质均匀、地下水位低于沟槽底面高程，且开挖深度在5m以内，沟槽未设支撑时，沟槽边坡最陡坡度可结合地质勘探报告按《给水排水管道施工及验收规范》（GB50268-2008）表4.3.3选取。</w:t>
      </w:r>
    </w:p>
    <w:p w14:paraId="29EF3789">
      <w:pPr>
        <w:pStyle w:val="3"/>
        <w:ind w:firstLine="600"/>
        <w:rPr>
          <w:rFonts w:hint="eastAsia"/>
          <w:color w:val="auto"/>
          <w:szCs w:val="30"/>
          <w:highlight w:val="none"/>
        </w:rPr>
      </w:pPr>
      <w:r>
        <w:rPr>
          <w:rFonts w:hint="eastAsia"/>
          <w:color w:val="auto"/>
          <w:szCs w:val="30"/>
          <w:highlight w:val="none"/>
        </w:rPr>
        <w:t>除地基处理地段外，沟槽严禁超挖，如用机械挖土，应采用人工清底最后20-30cm，严禁扰动原状土。</w:t>
      </w:r>
    </w:p>
    <w:p w14:paraId="3AEFB367">
      <w:pPr>
        <w:pStyle w:val="5"/>
        <w:rPr>
          <w:color w:val="auto"/>
          <w:highlight w:val="none"/>
        </w:rPr>
      </w:pPr>
      <w:r>
        <w:rPr>
          <w:rFonts w:hint="eastAsia"/>
          <w:color w:val="auto"/>
          <w:highlight w:val="none"/>
        </w:rPr>
        <w:t>地基处理</w:t>
      </w:r>
    </w:p>
    <w:p w14:paraId="641F6FE4">
      <w:pPr>
        <w:pStyle w:val="3"/>
        <w:ind w:firstLine="600"/>
        <w:rPr>
          <w:rFonts w:hint="eastAsia"/>
          <w:color w:val="auto"/>
          <w:szCs w:val="30"/>
          <w:highlight w:val="none"/>
        </w:rPr>
      </w:pPr>
      <w:r>
        <w:rPr>
          <w:rFonts w:hint="eastAsia"/>
          <w:color w:val="auto"/>
          <w:szCs w:val="30"/>
          <w:highlight w:val="none"/>
        </w:rPr>
        <w:t>（</w:t>
      </w:r>
      <w:r>
        <w:rPr>
          <w:rFonts w:hint="eastAsia"/>
          <w:color w:val="auto"/>
          <w:szCs w:val="30"/>
          <w:highlight w:val="none"/>
          <w:lang w:val="en-US" w:eastAsia="zh-CN"/>
        </w:rPr>
        <w:t>1</w:t>
      </w:r>
      <w:r>
        <w:rPr>
          <w:rFonts w:hint="eastAsia"/>
          <w:color w:val="auto"/>
          <w:szCs w:val="30"/>
          <w:highlight w:val="none"/>
        </w:rPr>
        <w:t>）原位更换管道，在拆除既有管道及基础后，如存在沟槽超挖情况，可采用砂石或符合要求的素土回填并碾压，达到地基承载力要求。</w:t>
      </w:r>
    </w:p>
    <w:p w14:paraId="52E91545">
      <w:pPr>
        <w:pStyle w:val="3"/>
        <w:ind w:firstLine="600"/>
        <w:rPr>
          <w:rFonts w:hint="eastAsia"/>
          <w:color w:val="auto"/>
          <w:szCs w:val="30"/>
          <w:highlight w:val="none"/>
        </w:rPr>
      </w:pPr>
      <w:r>
        <w:rPr>
          <w:rFonts w:hint="eastAsia"/>
          <w:color w:val="auto"/>
          <w:szCs w:val="30"/>
          <w:highlight w:val="none"/>
        </w:rPr>
        <w:t>（</w:t>
      </w:r>
      <w:r>
        <w:rPr>
          <w:rFonts w:hint="eastAsia"/>
          <w:color w:val="auto"/>
          <w:szCs w:val="30"/>
          <w:highlight w:val="none"/>
          <w:lang w:val="en-US" w:eastAsia="zh-CN"/>
        </w:rPr>
        <w:t>2</w:t>
      </w:r>
      <w:r>
        <w:rPr>
          <w:rFonts w:hint="eastAsia"/>
          <w:color w:val="auto"/>
          <w:szCs w:val="30"/>
          <w:highlight w:val="none"/>
        </w:rPr>
        <w:t>）雨污水同槽施工时，较浅的管道沟槽超挖部分可采用砂石或符合要求的素土回填并碾压，达到地基承载力要求。</w:t>
      </w:r>
    </w:p>
    <w:p w14:paraId="3A5202ED">
      <w:pPr>
        <w:pStyle w:val="3"/>
        <w:ind w:firstLine="600"/>
        <w:rPr>
          <w:rFonts w:hint="eastAsia"/>
          <w:color w:val="auto"/>
          <w:szCs w:val="30"/>
          <w:highlight w:val="none"/>
        </w:rPr>
      </w:pPr>
      <w:r>
        <w:rPr>
          <w:rFonts w:hint="eastAsia"/>
          <w:color w:val="auto"/>
          <w:szCs w:val="30"/>
          <w:highlight w:val="none"/>
        </w:rPr>
        <w:t>（</w:t>
      </w:r>
      <w:r>
        <w:rPr>
          <w:rFonts w:hint="eastAsia"/>
          <w:color w:val="auto"/>
          <w:szCs w:val="30"/>
          <w:highlight w:val="none"/>
          <w:lang w:val="en-US" w:eastAsia="zh-CN"/>
        </w:rPr>
        <w:t>3</w:t>
      </w:r>
      <w:r>
        <w:rPr>
          <w:rFonts w:hint="eastAsia"/>
          <w:color w:val="auto"/>
          <w:szCs w:val="30"/>
          <w:highlight w:val="none"/>
        </w:rPr>
        <w:t>）钢筋混凝土管道、检查井地基承载力特征值不应小于80kPa。原状土地基承载力不满足设计要求时，应按照《建筑地基处理技术规范》JGJ 79-2012第4.2条进行浅层软弱土层或不均匀土层的换填垫层地基处理；原状土地基承载力满足设计要求但受周边环境制约不具备降水条件或降水困难时可采用片石挤淤，片石宽度超出管道基础宽度0.3m，其上铺20～30cm碎石找平。</w:t>
      </w:r>
    </w:p>
    <w:p w14:paraId="24C968CD">
      <w:pPr>
        <w:pStyle w:val="5"/>
        <w:rPr>
          <w:color w:val="auto"/>
          <w:highlight w:val="none"/>
        </w:rPr>
      </w:pPr>
      <w:r>
        <w:rPr>
          <w:color w:val="auto"/>
          <w:highlight w:val="none"/>
        </w:rPr>
        <w:t>回填</w:t>
      </w:r>
    </w:p>
    <w:p w14:paraId="3CD84BE1">
      <w:pPr>
        <w:pStyle w:val="3"/>
        <w:ind w:firstLine="600"/>
        <w:rPr>
          <w:color w:val="auto"/>
          <w:szCs w:val="30"/>
          <w:highlight w:val="none"/>
        </w:rPr>
      </w:pPr>
      <w:r>
        <w:rPr>
          <w:rFonts w:hint="eastAsia"/>
          <w:color w:val="auto"/>
          <w:szCs w:val="30"/>
          <w:highlight w:val="none"/>
          <w:lang w:eastAsia="zh-CN"/>
        </w:rPr>
        <w:t>（</w:t>
      </w:r>
      <w:r>
        <w:rPr>
          <w:color w:val="auto"/>
          <w:szCs w:val="30"/>
          <w:highlight w:val="none"/>
        </w:rPr>
        <w:t>1）沟槽回填</w:t>
      </w:r>
    </w:p>
    <w:p w14:paraId="007396F2">
      <w:pPr>
        <w:pStyle w:val="3"/>
        <w:ind w:firstLine="600"/>
        <w:rPr>
          <w:rFonts w:hint="eastAsia"/>
          <w:color w:val="auto"/>
          <w:szCs w:val="30"/>
          <w:highlight w:val="none"/>
        </w:rPr>
      </w:pPr>
      <w:r>
        <w:rPr>
          <w:rFonts w:hint="eastAsia"/>
          <w:color w:val="auto"/>
          <w:szCs w:val="30"/>
          <w:highlight w:val="none"/>
        </w:rPr>
        <w:t>1）沟槽回填应因地制宜结合实际确定回填材料并分层回填夯实，回填密实度应满足不同水文地质条件下对应规范要求。分层回填每层厚度一般20～30cm。回填分层厚度也可结合现场试验确定，在满足压实度前提下合理调整。</w:t>
      </w:r>
    </w:p>
    <w:p w14:paraId="701C48DE">
      <w:pPr>
        <w:pStyle w:val="3"/>
        <w:ind w:firstLine="600"/>
        <w:rPr>
          <w:color w:val="auto"/>
          <w:szCs w:val="30"/>
          <w:highlight w:val="none"/>
        </w:rPr>
      </w:pPr>
      <w:r>
        <w:rPr>
          <w:rFonts w:hint="eastAsia"/>
          <w:color w:val="auto"/>
          <w:szCs w:val="30"/>
          <w:highlight w:val="none"/>
          <w:lang w:val="en-US" w:eastAsia="zh-CN"/>
        </w:rPr>
        <w:t>2</w:t>
      </w:r>
      <w:r>
        <w:rPr>
          <w:rFonts w:hint="eastAsia"/>
          <w:color w:val="auto"/>
          <w:szCs w:val="30"/>
          <w:highlight w:val="none"/>
        </w:rPr>
        <w:t>）钢筋混凝土管沟槽采用素土分层回填，回填密实度参见《给水排水管道施工及验收规范》（GB50268-2008）并满足路基压实度要求。沟槽管基底至管顶以上50cm范围必须采用人工回填；管顶50cm以上可采用机械分层回填夯实。</w:t>
      </w:r>
    </w:p>
    <w:p w14:paraId="334F35FA">
      <w:pPr>
        <w:pStyle w:val="3"/>
        <w:ind w:firstLine="600"/>
        <w:rPr>
          <w:color w:val="auto"/>
          <w:szCs w:val="30"/>
          <w:highlight w:val="none"/>
        </w:rPr>
      </w:pPr>
      <w:r>
        <w:rPr>
          <w:rFonts w:hint="eastAsia"/>
          <w:color w:val="auto"/>
          <w:szCs w:val="30"/>
          <w:highlight w:val="none"/>
          <w:lang w:eastAsia="zh-CN"/>
        </w:rPr>
        <w:t>（</w:t>
      </w:r>
      <w:r>
        <w:rPr>
          <w:color w:val="auto"/>
          <w:szCs w:val="30"/>
          <w:highlight w:val="none"/>
        </w:rPr>
        <w:t>2）检查井回填</w:t>
      </w:r>
    </w:p>
    <w:p w14:paraId="154FB786">
      <w:pPr>
        <w:spacing w:line="360" w:lineRule="auto"/>
        <w:ind w:firstLine="600" w:firstLineChars="200"/>
        <w:rPr>
          <w:rFonts w:hint="eastAsia" w:ascii="仿宋" w:hAnsi="仿宋" w:cs="仿宋"/>
          <w:bCs/>
          <w:color w:val="auto"/>
          <w:szCs w:val="30"/>
          <w:highlight w:val="none"/>
        </w:rPr>
      </w:pPr>
      <w:r>
        <w:rPr>
          <w:rFonts w:hint="eastAsia" w:ascii="仿宋" w:hAnsi="仿宋" w:cs="仿宋"/>
          <w:bCs/>
          <w:color w:val="auto"/>
          <w:szCs w:val="30"/>
          <w:highlight w:val="none"/>
        </w:rPr>
        <w:t>位于沥青路面</w:t>
      </w:r>
      <w:r>
        <w:rPr>
          <w:rFonts w:hint="eastAsia" w:ascii="仿宋" w:hAnsi="仿宋" w:cs="仿宋"/>
          <w:bCs/>
          <w:color w:val="auto"/>
          <w:szCs w:val="30"/>
          <w:highlight w:val="none"/>
          <w:lang w:eastAsia="zh-CN"/>
        </w:rPr>
        <w:t>、水泥路面、铺砖路面或运动地板地面</w:t>
      </w:r>
      <w:r>
        <w:rPr>
          <w:rFonts w:hint="eastAsia" w:ascii="仿宋" w:hAnsi="仿宋" w:cs="仿宋"/>
          <w:bCs/>
          <w:color w:val="auto"/>
          <w:szCs w:val="30"/>
          <w:highlight w:val="none"/>
        </w:rPr>
        <w:t>的检查井井周围40cm范围应采用砂砾回填，位于绿</w:t>
      </w:r>
      <w:r>
        <w:rPr>
          <w:rFonts w:hint="eastAsia" w:ascii="仿宋" w:hAnsi="仿宋" w:cs="仿宋"/>
          <w:bCs/>
          <w:color w:val="auto"/>
          <w:szCs w:val="30"/>
          <w:highlight w:val="none"/>
          <w:lang w:eastAsia="zh-CN"/>
        </w:rPr>
        <w:t>地</w:t>
      </w:r>
      <w:r>
        <w:rPr>
          <w:rFonts w:hint="eastAsia" w:ascii="仿宋" w:hAnsi="仿宋" w:cs="仿宋"/>
          <w:bCs/>
          <w:color w:val="auto"/>
          <w:szCs w:val="30"/>
          <w:highlight w:val="none"/>
        </w:rPr>
        <w:t>内的检查井井周围应采用素土回填，回填标准严格按《给水排水管道工程施工及验收规范》（GB50268-2008）执行。</w:t>
      </w:r>
    </w:p>
    <w:p w14:paraId="2D560DEC">
      <w:pPr>
        <w:pStyle w:val="4"/>
        <w:ind w:left="0" w:firstLine="0"/>
        <w:rPr>
          <w:rFonts w:ascii="Times New Roman" w:hAnsi="Times New Roman"/>
          <w:color w:val="auto"/>
          <w:highlight w:val="none"/>
        </w:rPr>
      </w:pPr>
      <w:r>
        <w:rPr>
          <w:rFonts w:hint="eastAsia" w:ascii="Times New Roman" w:hAnsi="Times New Roman"/>
          <w:color w:val="auto"/>
          <w:highlight w:val="none"/>
        </w:rPr>
        <w:t>管线接入工程</w:t>
      </w:r>
    </w:p>
    <w:p w14:paraId="2BC729C0">
      <w:pPr>
        <w:spacing w:line="360" w:lineRule="auto"/>
        <w:ind w:firstLine="600" w:firstLineChars="200"/>
        <w:rPr>
          <w:rFonts w:hint="eastAsia" w:ascii="仿宋" w:hAnsi="仿宋" w:cs="仿宋"/>
          <w:bCs/>
          <w:color w:val="auto"/>
          <w:szCs w:val="30"/>
          <w:highlight w:val="none"/>
        </w:rPr>
      </w:pPr>
      <w:r>
        <w:rPr>
          <w:rFonts w:hint="eastAsia" w:ascii="仿宋" w:hAnsi="仿宋" w:cs="仿宋"/>
          <w:bCs/>
          <w:color w:val="auto"/>
          <w:szCs w:val="30"/>
          <w:highlight w:val="none"/>
          <w:lang w:eastAsia="zh-CN"/>
        </w:rPr>
        <w:t>本次工程</w:t>
      </w:r>
      <w:r>
        <w:rPr>
          <w:rFonts w:hint="eastAsia" w:ascii="仿宋" w:hAnsi="仿宋" w:cs="仿宋"/>
          <w:bCs/>
          <w:color w:val="auto"/>
          <w:szCs w:val="30"/>
          <w:highlight w:val="none"/>
        </w:rPr>
        <w:t>施工</w:t>
      </w:r>
      <w:r>
        <w:rPr>
          <w:rFonts w:hint="eastAsia" w:ascii="仿宋" w:hAnsi="仿宋" w:cs="仿宋"/>
          <w:bCs/>
          <w:color w:val="auto"/>
          <w:szCs w:val="30"/>
          <w:highlight w:val="none"/>
          <w:lang w:eastAsia="zh-CN"/>
        </w:rPr>
        <w:t>前</w:t>
      </w:r>
      <w:r>
        <w:rPr>
          <w:rFonts w:hint="eastAsia" w:ascii="仿宋" w:hAnsi="仿宋" w:cs="仿宋"/>
          <w:bCs/>
          <w:color w:val="auto"/>
          <w:szCs w:val="30"/>
          <w:highlight w:val="none"/>
        </w:rPr>
        <w:t>需</w:t>
      </w:r>
      <w:r>
        <w:rPr>
          <w:rFonts w:hint="eastAsia" w:ascii="仿宋" w:hAnsi="仿宋" w:cs="仿宋"/>
          <w:bCs/>
          <w:color w:val="auto"/>
          <w:szCs w:val="30"/>
          <w:highlight w:val="none"/>
          <w:lang w:eastAsia="zh-CN"/>
        </w:rPr>
        <w:t>对管线</w:t>
      </w:r>
      <w:r>
        <w:rPr>
          <w:rFonts w:hint="eastAsia" w:ascii="仿宋" w:hAnsi="仿宋" w:cs="仿宋"/>
          <w:bCs/>
          <w:color w:val="auto"/>
          <w:szCs w:val="30"/>
          <w:highlight w:val="none"/>
        </w:rPr>
        <w:t>全面摸排，</w:t>
      </w:r>
      <w:r>
        <w:rPr>
          <w:rFonts w:hint="eastAsia" w:ascii="仿宋" w:hAnsi="仿宋" w:cs="仿宋"/>
          <w:bCs/>
          <w:color w:val="auto"/>
          <w:szCs w:val="30"/>
          <w:highlight w:val="none"/>
          <w:lang w:eastAsia="zh-CN"/>
        </w:rPr>
        <w:t>确保</w:t>
      </w:r>
      <w:r>
        <w:rPr>
          <w:rFonts w:hint="eastAsia" w:ascii="仿宋" w:hAnsi="仿宋" w:cs="仿宋"/>
          <w:bCs/>
          <w:color w:val="auto"/>
          <w:szCs w:val="30"/>
          <w:highlight w:val="none"/>
        </w:rPr>
        <w:t>杜绝</w:t>
      </w:r>
      <w:r>
        <w:rPr>
          <w:rFonts w:hint="eastAsia" w:ascii="仿宋" w:hAnsi="仿宋" w:cs="仿宋"/>
          <w:bCs/>
          <w:color w:val="auto"/>
          <w:szCs w:val="30"/>
          <w:highlight w:val="none"/>
          <w:lang w:eastAsia="zh-CN"/>
        </w:rPr>
        <w:t>雨污</w:t>
      </w:r>
      <w:r>
        <w:rPr>
          <w:rFonts w:hint="eastAsia" w:ascii="仿宋" w:hAnsi="仿宋" w:cs="仿宋"/>
          <w:bCs/>
          <w:color w:val="auto"/>
          <w:szCs w:val="30"/>
          <w:highlight w:val="none"/>
        </w:rPr>
        <w:t>混接</w:t>
      </w:r>
      <w:r>
        <w:rPr>
          <w:rFonts w:hint="eastAsia" w:ascii="仿宋" w:hAnsi="仿宋" w:cs="仿宋"/>
          <w:bCs/>
          <w:color w:val="auto"/>
          <w:szCs w:val="30"/>
          <w:highlight w:val="none"/>
          <w:lang w:eastAsia="zh-CN"/>
        </w:rPr>
        <w:t>的</w:t>
      </w:r>
      <w:r>
        <w:rPr>
          <w:rFonts w:hint="eastAsia" w:ascii="仿宋" w:hAnsi="仿宋" w:cs="仿宋"/>
          <w:bCs/>
          <w:color w:val="auto"/>
          <w:szCs w:val="30"/>
          <w:highlight w:val="none"/>
        </w:rPr>
        <w:t>问题。</w:t>
      </w:r>
    </w:p>
    <w:p w14:paraId="24E1A9C3">
      <w:pPr>
        <w:pStyle w:val="4"/>
        <w:ind w:left="0" w:firstLine="0"/>
        <w:rPr>
          <w:color w:val="auto"/>
          <w:highlight w:val="none"/>
        </w:rPr>
      </w:pPr>
      <w:r>
        <w:rPr>
          <w:rFonts w:hint="eastAsia"/>
          <w:color w:val="auto"/>
          <w:highlight w:val="none"/>
        </w:rPr>
        <w:t>破路修复及管线改迁保护</w:t>
      </w:r>
    </w:p>
    <w:p w14:paraId="4921DC38">
      <w:pPr>
        <w:spacing w:line="360" w:lineRule="auto"/>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rPr>
        <w:t>开挖过程需要破除既有路面结构、道牙等设施，破除、修复具体工程量现场计量。施工时应对现状各管线进行</w:t>
      </w:r>
      <w:r>
        <w:rPr>
          <w:rFonts w:hint="eastAsia" w:ascii="仿宋" w:hAnsi="仿宋" w:cs="仿宋"/>
          <w:bCs/>
          <w:color w:val="auto"/>
          <w:sz w:val="30"/>
          <w:szCs w:val="30"/>
          <w:highlight w:val="none"/>
          <w:lang w:eastAsia="zh-CN"/>
        </w:rPr>
        <w:t>悬吊</w:t>
      </w:r>
      <w:r>
        <w:rPr>
          <w:rFonts w:hint="eastAsia" w:ascii="仿宋" w:hAnsi="仿宋" w:eastAsia="仿宋" w:cs="仿宋"/>
          <w:bCs/>
          <w:color w:val="auto"/>
          <w:sz w:val="30"/>
          <w:szCs w:val="30"/>
          <w:highlight w:val="none"/>
        </w:rPr>
        <w:t>保护</w:t>
      </w:r>
      <w:r>
        <w:rPr>
          <w:rFonts w:hint="eastAsia" w:ascii="仿宋" w:hAnsi="仿宋" w:cs="仿宋"/>
          <w:bCs/>
          <w:color w:val="auto"/>
          <w:sz w:val="30"/>
          <w:szCs w:val="30"/>
          <w:highlight w:val="none"/>
          <w:lang w:eastAsia="zh-CN"/>
        </w:rPr>
        <w:t>或改迁</w:t>
      </w:r>
      <w:r>
        <w:rPr>
          <w:rFonts w:hint="eastAsia" w:ascii="仿宋" w:hAnsi="仿宋" w:eastAsia="仿宋" w:cs="仿宋"/>
          <w:bCs/>
          <w:color w:val="auto"/>
          <w:sz w:val="30"/>
          <w:szCs w:val="30"/>
          <w:highlight w:val="none"/>
        </w:rPr>
        <w:t>，</w:t>
      </w:r>
      <w:r>
        <w:rPr>
          <w:rFonts w:hint="eastAsia" w:ascii="仿宋" w:hAnsi="仿宋" w:cs="仿宋"/>
          <w:bCs/>
          <w:color w:val="auto"/>
          <w:sz w:val="30"/>
          <w:szCs w:val="30"/>
          <w:highlight w:val="none"/>
          <w:lang w:eastAsia="zh-CN"/>
        </w:rPr>
        <w:t>保护和</w:t>
      </w:r>
      <w:r>
        <w:rPr>
          <w:rFonts w:hint="eastAsia" w:ascii="仿宋" w:hAnsi="仿宋" w:eastAsia="仿宋" w:cs="仿宋"/>
          <w:bCs/>
          <w:color w:val="auto"/>
          <w:sz w:val="30"/>
          <w:szCs w:val="30"/>
          <w:highlight w:val="none"/>
        </w:rPr>
        <w:t>改迁管线工程量及相应破路修复工程量现场计量。</w:t>
      </w:r>
    </w:p>
    <w:p w14:paraId="03A30A60">
      <w:pPr>
        <w:pStyle w:val="4"/>
        <w:ind w:left="0" w:firstLine="0"/>
        <w:rPr>
          <w:color w:val="auto"/>
          <w:highlight w:val="none"/>
        </w:rPr>
      </w:pPr>
      <w:r>
        <w:rPr>
          <w:rFonts w:hint="eastAsia"/>
          <w:color w:val="auto"/>
          <w:highlight w:val="none"/>
        </w:rPr>
        <w:t>施工导水</w:t>
      </w:r>
    </w:p>
    <w:p w14:paraId="0025C518">
      <w:pPr>
        <w:spacing w:line="360" w:lineRule="auto"/>
        <w:ind w:firstLine="600" w:firstLineChars="200"/>
        <w:rPr>
          <w:rFonts w:hint="eastAsia" w:ascii="Times New Roman" w:hAnsi="Times New Roman" w:eastAsia="仿宋"/>
          <w:color w:val="auto"/>
          <w:sz w:val="30"/>
          <w:highlight w:val="none"/>
        </w:rPr>
      </w:pPr>
      <w:r>
        <w:rPr>
          <w:rFonts w:hint="eastAsia" w:ascii="仿宋" w:hAnsi="仿宋" w:eastAsia="仿宋" w:cs="仿宋"/>
          <w:bCs/>
          <w:color w:val="auto"/>
          <w:sz w:val="30"/>
          <w:szCs w:val="30"/>
          <w:highlight w:val="none"/>
        </w:rPr>
        <w:t>应根据现状管道的污水流量，采用管道导流或潜污泵抽排等导流措施，可配合气囊或砖砌墙对上游井室进行封堵。各相关单位要严格按照标准规范落实有限空间作业各项安全措施，确保作业安全。</w:t>
      </w:r>
    </w:p>
    <w:p w14:paraId="3CFCCF58">
      <w:pPr>
        <w:pStyle w:val="2"/>
        <w:rPr>
          <w:color w:val="auto"/>
          <w:highlight w:val="none"/>
        </w:rPr>
      </w:pPr>
      <w:r>
        <w:rPr>
          <w:color w:val="auto"/>
          <w:highlight w:val="none"/>
        </w:rPr>
        <w:t>危大工程</w:t>
      </w:r>
    </w:p>
    <w:p w14:paraId="7BDB4829">
      <w:pPr>
        <w:ind w:firstLine="602" w:firstLineChars="200"/>
        <w:rPr>
          <w:rFonts w:cs="Times New Roman"/>
          <w:b/>
          <w:bCs/>
          <w:color w:val="auto"/>
          <w:szCs w:val="30"/>
          <w:highlight w:val="none"/>
        </w:rPr>
      </w:pPr>
      <w:r>
        <w:rPr>
          <w:rFonts w:hint="eastAsia" w:cs="Times New Roman"/>
          <w:b/>
          <w:bCs/>
          <w:color w:val="auto"/>
          <w:szCs w:val="30"/>
          <w:highlight w:val="none"/>
        </w:rPr>
        <w:t>开挖深度超过3m（含3m）的基坑（槽）的土方开挖、支护、降水工程属于危险性较大的分部分项工程范围；开挖深度超过5m（含5m）的基坑（槽）的土方开挖、支护、降水工程属于超过一定规模的危险性较大的分部分项工程范围；施工单位须根据建办质（2018）31号及住建部令第37号文，对超过一定规模的危大工程组织召开专家论证会对专项施工方案进行论证。</w:t>
      </w:r>
    </w:p>
    <w:p w14:paraId="2EF15D07">
      <w:pPr>
        <w:keepNext/>
        <w:keepLines/>
        <w:widowControl/>
        <w:numPr>
          <w:ilvl w:val="0"/>
          <w:numId w:val="1"/>
        </w:numPr>
        <w:spacing w:line="360" w:lineRule="auto"/>
        <w:jc w:val="left"/>
        <w:outlineLvl w:val="0"/>
        <w:rPr>
          <w:rFonts w:cstheme="majorBidi"/>
          <w:b/>
          <w:color w:val="auto"/>
          <w:kern w:val="44"/>
          <w:szCs w:val="44"/>
          <w:highlight w:val="none"/>
        </w:rPr>
      </w:pPr>
      <w:r>
        <w:rPr>
          <w:rFonts w:hint="eastAsia" w:cstheme="majorBidi"/>
          <w:b/>
          <w:color w:val="auto"/>
          <w:kern w:val="44"/>
          <w:szCs w:val="44"/>
          <w:highlight w:val="none"/>
        </w:rPr>
        <w:t>主要工程量</w:t>
      </w:r>
    </w:p>
    <w:p w14:paraId="1D65EA5D">
      <w:pPr>
        <w:pStyle w:val="4"/>
        <w:rPr>
          <w:color w:val="auto"/>
          <w:highlight w:val="none"/>
        </w:rPr>
      </w:pPr>
      <w:r>
        <w:rPr>
          <w:rFonts w:hint="eastAsia"/>
          <w:color w:val="auto"/>
          <w:highlight w:val="none"/>
        </w:rPr>
        <w:t>雨水工程</w:t>
      </w:r>
    </w:p>
    <w:p w14:paraId="3A92C016">
      <w:pPr>
        <w:widowControl/>
        <w:spacing w:line="360" w:lineRule="auto"/>
        <w:ind w:firstLine="600" w:firstLineChars="200"/>
        <w:rPr>
          <w:rFonts w:hint="eastAsia" w:cstheme="majorBidi"/>
          <w:color w:val="auto"/>
          <w:szCs w:val="32"/>
          <w:highlight w:val="none"/>
          <w:lang w:val="en-US" w:eastAsia="zh-CN"/>
        </w:rPr>
      </w:pPr>
      <w:r>
        <w:rPr>
          <w:rFonts w:hint="eastAsia" w:cstheme="majorBidi"/>
          <w:color w:val="auto"/>
          <w:szCs w:val="32"/>
          <w:highlight w:val="none"/>
        </w:rPr>
        <w:t>d</w:t>
      </w:r>
      <w:r>
        <w:rPr>
          <w:rFonts w:cstheme="majorBidi"/>
          <w:color w:val="auto"/>
          <w:szCs w:val="32"/>
          <w:highlight w:val="none"/>
        </w:rPr>
        <w:t>300mm     L=</w:t>
      </w:r>
      <w:r>
        <w:rPr>
          <w:rFonts w:hint="eastAsia" w:cstheme="majorBidi"/>
          <w:color w:val="auto"/>
          <w:szCs w:val="32"/>
          <w:highlight w:val="none"/>
          <w:lang w:val="en-US" w:eastAsia="zh-CN"/>
        </w:rPr>
        <w:t>346</w:t>
      </w:r>
      <w:r>
        <w:rPr>
          <w:rFonts w:cstheme="majorBidi"/>
          <w:color w:val="auto"/>
          <w:szCs w:val="32"/>
          <w:highlight w:val="none"/>
        </w:rPr>
        <w:t>m</w:t>
      </w:r>
    </w:p>
    <w:p w14:paraId="7992BFC8">
      <w:pPr>
        <w:widowControl/>
        <w:spacing w:line="360" w:lineRule="auto"/>
        <w:ind w:firstLine="600" w:firstLineChars="200"/>
        <w:rPr>
          <w:rFonts w:cstheme="majorBidi"/>
          <w:color w:val="auto"/>
          <w:szCs w:val="32"/>
          <w:highlight w:val="none"/>
        </w:rPr>
      </w:pPr>
      <w:r>
        <w:rPr>
          <w:rFonts w:hint="eastAsia" w:cstheme="majorBidi"/>
          <w:color w:val="auto"/>
          <w:szCs w:val="32"/>
          <w:highlight w:val="none"/>
          <w:lang w:val="en-US" w:eastAsia="zh-CN"/>
        </w:rPr>
        <w:t>d4</w:t>
      </w:r>
      <w:r>
        <w:rPr>
          <w:rFonts w:cstheme="majorBidi"/>
          <w:color w:val="auto"/>
          <w:szCs w:val="32"/>
          <w:highlight w:val="none"/>
        </w:rPr>
        <w:t>00mm     L=</w:t>
      </w:r>
      <w:r>
        <w:rPr>
          <w:rFonts w:hint="eastAsia" w:cstheme="majorBidi"/>
          <w:color w:val="auto"/>
          <w:szCs w:val="32"/>
          <w:highlight w:val="none"/>
          <w:lang w:val="en-US" w:eastAsia="zh-CN"/>
        </w:rPr>
        <w:t>789</w:t>
      </w:r>
      <w:r>
        <w:rPr>
          <w:rFonts w:cstheme="majorBidi"/>
          <w:color w:val="auto"/>
          <w:szCs w:val="32"/>
          <w:highlight w:val="none"/>
        </w:rPr>
        <w:t>m</w:t>
      </w:r>
    </w:p>
    <w:p w14:paraId="3A4B9E55">
      <w:pPr>
        <w:widowControl/>
        <w:spacing w:line="360" w:lineRule="auto"/>
        <w:ind w:firstLine="600" w:firstLineChars="200"/>
        <w:rPr>
          <w:rFonts w:cstheme="majorBidi"/>
          <w:color w:val="auto"/>
          <w:szCs w:val="32"/>
          <w:highlight w:val="none"/>
        </w:rPr>
      </w:pPr>
      <w:r>
        <w:rPr>
          <w:rFonts w:hint="eastAsia" w:cstheme="majorBidi"/>
          <w:color w:val="auto"/>
          <w:szCs w:val="32"/>
          <w:highlight w:val="none"/>
          <w:lang w:val="en-US" w:eastAsia="zh-CN"/>
        </w:rPr>
        <w:t>d5</w:t>
      </w:r>
      <w:r>
        <w:rPr>
          <w:rFonts w:cstheme="majorBidi"/>
          <w:color w:val="auto"/>
          <w:szCs w:val="32"/>
          <w:highlight w:val="none"/>
        </w:rPr>
        <w:t>00mm     L=</w:t>
      </w:r>
      <w:r>
        <w:rPr>
          <w:rFonts w:hint="eastAsia" w:cstheme="majorBidi"/>
          <w:color w:val="auto"/>
          <w:szCs w:val="32"/>
          <w:highlight w:val="none"/>
          <w:lang w:val="en-US" w:eastAsia="zh-CN"/>
        </w:rPr>
        <w:t>771</w:t>
      </w:r>
      <w:r>
        <w:rPr>
          <w:rFonts w:cstheme="majorBidi"/>
          <w:color w:val="auto"/>
          <w:szCs w:val="32"/>
          <w:highlight w:val="none"/>
        </w:rPr>
        <w:t>m</w:t>
      </w:r>
    </w:p>
    <w:p w14:paraId="77E3FE85">
      <w:pPr>
        <w:widowControl/>
        <w:spacing w:line="360" w:lineRule="auto"/>
        <w:ind w:firstLine="600" w:firstLineChars="200"/>
        <w:rPr>
          <w:rFonts w:cstheme="majorBidi"/>
          <w:color w:val="auto"/>
          <w:szCs w:val="32"/>
          <w:highlight w:val="none"/>
        </w:rPr>
      </w:pPr>
      <w:r>
        <w:rPr>
          <w:rFonts w:hint="eastAsia" w:cstheme="majorBidi"/>
          <w:color w:val="auto"/>
          <w:szCs w:val="32"/>
          <w:highlight w:val="none"/>
          <w:lang w:val="en-US" w:eastAsia="zh-CN"/>
        </w:rPr>
        <w:t>d6</w:t>
      </w:r>
      <w:r>
        <w:rPr>
          <w:rFonts w:cstheme="majorBidi"/>
          <w:color w:val="auto"/>
          <w:szCs w:val="32"/>
          <w:highlight w:val="none"/>
        </w:rPr>
        <w:t xml:space="preserve">00mm    </w:t>
      </w:r>
      <w:r>
        <w:rPr>
          <w:rFonts w:hint="eastAsia" w:cstheme="majorBidi"/>
          <w:color w:val="auto"/>
          <w:szCs w:val="32"/>
          <w:highlight w:val="none"/>
          <w:lang w:val="en-US" w:eastAsia="zh-CN"/>
        </w:rPr>
        <w:t xml:space="preserve"> </w:t>
      </w:r>
      <w:r>
        <w:rPr>
          <w:rFonts w:cstheme="majorBidi"/>
          <w:color w:val="auto"/>
          <w:szCs w:val="32"/>
          <w:highlight w:val="none"/>
        </w:rPr>
        <w:t>L=</w:t>
      </w:r>
      <w:r>
        <w:rPr>
          <w:rFonts w:hint="eastAsia" w:cstheme="majorBidi"/>
          <w:color w:val="auto"/>
          <w:szCs w:val="32"/>
          <w:highlight w:val="none"/>
          <w:lang w:val="en-US" w:eastAsia="zh-CN"/>
        </w:rPr>
        <w:t>356</w:t>
      </w:r>
      <w:r>
        <w:rPr>
          <w:rFonts w:cstheme="majorBidi"/>
          <w:color w:val="auto"/>
          <w:szCs w:val="32"/>
          <w:highlight w:val="none"/>
        </w:rPr>
        <w:t>m</w:t>
      </w:r>
    </w:p>
    <w:p w14:paraId="2F501D4E">
      <w:pPr>
        <w:widowControl/>
        <w:spacing w:line="360" w:lineRule="auto"/>
        <w:ind w:firstLine="600" w:firstLineChars="200"/>
        <w:rPr>
          <w:rFonts w:hint="eastAsia" w:cstheme="majorBidi"/>
          <w:color w:val="auto"/>
          <w:szCs w:val="32"/>
          <w:highlight w:val="none"/>
          <w:lang w:val="en-US" w:eastAsia="zh-CN"/>
        </w:rPr>
      </w:pPr>
      <w:r>
        <w:rPr>
          <w:rFonts w:hint="eastAsia" w:cstheme="majorBidi"/>
          <w:color w:val="auto"/>
          <w:szCs w:val="32"/>
          <w:highlight w:val="none"/>
        </w:rPr>
        <w:t>d</w:t>
      </w:r>
      <w:r>
        <w:rPr>
          <w:rFonts w:cstheme="majorBidi"/>
          <w:color w:val="auto"/>
          <w:szCs w:val="32"/>
          <w:highlight w:val="none"/>
        </w:rPr>
        <w:t>300mm     L=</w:t>
      </w:r>
      <w:r>
        <w:rPr>
          <w:rFonts w:hint="eastAsia" w:cstheme="majorBidi"/>
          <w:color w:val="auto"/>
          <w:szCs w:val="32"/>
          <w:highlight w:val="none"/>
          <w:lang w:val="en-US" w:eastAsia="zh-CN"/>
        </w:rPr>
        <w:t>618</w:t>
      </w:r>
      <w:r>
        <w:rPr>
          <w:rFonts w:cstheme="majorBidi"/>
          <w:color w:val="auto"/>
          <w:szCs w:val="32"/>
          <w:highlight w:val="none"/>
        </w:rPr>
        <w:t>m</w:t>
      </w:r>
      <w:r>
        <w:rPr>
          <w:rFonts w:hint="eastAsia" w:cstheme="majorBidi"/>
          <w:color w:val="auto"/>
          <w:szCs w:val="32"/>
          <w:highlight w:val="none"/>
        </w:rPr>
        <w:t>（雨水口连接管）</w:t>
      </w:r>
    </w:p>
    <w:p w14:paraId="5B9C1EE7">
      <w:pPr>
        <w:widowControl/>
        <w:spacing w:line="360" w:lineRule="auto"/>
        <w:ind w:firstLine="600" w:firstLineChars="200"/>
        <w:rPr>
          <w:rFonts w:cstheme="majorBidi"/>
          <w:color w:val="auto"/>
          <w:szCs w:val="32"/>
          <w:highlight w:val="none"/>
        </w:rPr>
      </w:pPr>
      <w:r>
        <w:rPr>
          <w:rFonts w:hint="eastAsia" w:cstheme="majorBidi"/>
          <w:color w:val="auto"/>
          <w:szCs w:val="32"/>
          <w:highlight w:val="none"/>
        </w:rPr>
        <w:t>检查井</w:t>
      </w:r>
      <w:r>
        <w:rPr>
          <w:rFonts w:cstheme="majorBidi"/>
          <w:color w:val="auto"/>
          <w:szCs w:val="32"/>
          <w:highlight w:val="none"/>
        </w:rPr>
        <w:t xml:space="preserve">      </w:t>
      </w:r>
      <w:r>
        <w:rPr>
          <w:rFonts w:hint="eastAsia" w:cstheme="majorBidi"/>
          <w:color w:val="auto"/>
          <w:szCs w:val="32"/>
          <w:highlight w:val="none"/>
          <w:lang w:val="en-US" w:eastAsia="zh-CN"/>
        </w:rPr>
        <w:t>115</w:t>
      </w:r>
      <w:r>
        <w:rPr>
          <w:rFonts w:cstheme="majorBidi"/>
          <w:color w:val="auto"/>
          <w:szCs w:val="32"/>
          <w:highlight w:val="none"/>
        </w:rPr>
        <w:t>座</w:t>
      </w:r>
    </w:p>
    <w:p w14:paraId="7F5F99D9">
      <w:pPr>
        <w:widowControl/>
        <w:spacing w:line="360" w:lineRule="auto"/>
        <w:ind w:firstLine="600" w:firstLineChars="200"/>
        <w:rPr>
          <w:rFonts w:cstheme="majorBidi"/>
          <w:color w:val="auto"/>
          <w:szCs w:val="32"/>
          <w:highlight w:val="none"/>
        </w:rPr>
      </w:pPr>
      <w:r>
        <w:rPr>
          <w:rFonts w:hint="eastAsia" w:cstheme="majorBidi"/>
          <w:color w:val="auto"/>
          <w:szCs w:val="32"/>
          <w:highlight w:val="none"/>
          <w:lang w:val="en-US" w:eastAsia="zh-CN"/>
        </w:rPr>
        <w:t>单</w:t>
      </w:r>
      <w:r>
        <w:rPr>
          <w:rFonts w:hint="eastAsia" w:cs="Times New Roman"/>
          <w:color w:val="auto"/>
          <w:szCs w:val="30"/>
          <w:highlight w:val="none"/>
        </w:rPr>
        <w:t>箅</w:t>
      </w:r>
      <w:r>
        <w:rPr>
          <w:rFonts w:hint="eastAsia" w:cstheme="majorBidi"/>
          <w:color w:val="auto"/>
          <w:szCs w:val="32"/>
          <w:highlight w:val="none"/>
        </w:rPr>
        <w:t>雨水口</w:t>
      </w:r>
      <w:r>
        <w:rPr>
          <w:rFonts w:cstheme="majorBidi"/>
          <w:color w:val="auto"/>
          <w:szCs w:val="32"/>
          <w:highlight w:val="none"/>
        </w:rPr>
        <w:t xml:space="preserve">  </w:t>
      </w:r>
      <w:r>
        <w:rPr>
          <w:rFonts w:hint="eastAsia" w:cstheme="majorBidi"/>
          <w:color w:val="auto"/>
          <w:szCs w:val="32"/>
          <w:highlight w:val="none"/>
          <w:lang w:val="en-US" w:eastAsia="zh-CN"/>
        </w:rPr>
        <w:t>74</w:t>
      </w:r>
      <w:r>
        <w:rPr>
          <w:rFonts w:cstheme="majorBidi"/>
          <w:color w:val="auto"/>
          <w:szCs w:val="32"/>
          <w:highlight w:val="none"/>
        </w:rPr>
        <w:t>座</w:t>
      </w:r>
    </w:p>
    <w:p w14:paraId="73B87611">
      <w:pPr>
        <w:widowControl/>
        <w:spacing w:line="360" w:lineRule="auto"/>
        <w:ind w:firstLine="600" w:firstLineChars="200"/>
        <w:rPr>
          <w:rFonts w:cstheme="majorBidi"/>
          <w:color w:val="auto"/>
          <w:szCs w:val="32"/>
          <w:highlight w:val="none"/>
        </w:rPr>
      </w:pPr>
      <w:r>
        <w:rPr>
          <w:rFonts w:hint="eastAsia" w:cstheme="majorBidi"/>
          <w:color w:val="auto"/>
          <w:szCs w:val="32"/>
          <w:highlight w:val="none"/>
          <w:lang w:val="en-US" w:eastAsia="zh-CN"/>
        </w:rPr>
        <w:t>双</w:t>
      </w:r>
      <w:r>
        <w:rPr>
          <w:rFonts w:hint="eastAsia" w:cs="Times New Roman"/>
          <w:color w:val="auto"/>
          <w:szCs w:val="30"/>
          <w:highlight w:val="none"/>
        </w:rPr>
        <w:t>箅</w:t>
      </w:r>
      <w:r>
        <w:rPr>
          <w:rFonts w:hint="eastAsia" w:cstheme="majorBidi"/>
          <w:color w:val="auto"/>
          <w:szCs w:val="32"/>
          <w:highlight w:val="none"/>
        </w:rPr>
        <w:t>雨水口</w:t>
      </w:r>
      <w:r>
        <w:rPr>
          <w:rFonts w:cstheme="majorBidi"/>
          <w:color w:val="auto"/>
          <w:szCs w:val="32"/>
          <w:highlight w:val="none"/>
        </w:rPr>
        <w:t xml:space="preserve">  </w:t>
      </w:r>
      <w:r>
        <w:rPr>
          <w:rFonts w:hint="eastAsia" w:cstheme="majorBidi"/>
          <w:color w:val="auto"/>
          <w:szCs w:val="32"/>
          <w:highlight w:val="none"/>
          <w:lang w:val="en-US" w:eastAsia="zh-CN"/>
        </w:rPr>
        <w:t>17</w:t>
      </w:r>
      <w:r>
        <w:rPr>
          <w:rFonts w:cstheme="majorBidi"/>
          <w:color w:val="auto"/>
          <w:szCs w:val="32"/>
          <w:highlight w:val="none"/>
        </w:rPr>
        <w:t>座</w:t>
      </w:r>
    </w:p>
    <w:p w14:paraId="41BC6052">
      <w:pPr>
        <w:widowControl/>
        <w:spacing w:line="360" w:lineRule="auto"/>
        <w:ind w:firstLine="600" w:firstLineChars="200"/>
        <w:rPr>
          <w:rFonts w:cstheme="majorBidi"/>
          <w:color w:val="auto"/>
          <w:szCs w:val="32"/>
          <w:highlight w:val="none"/>
        </w:rPr>
      </w:pPr>
      <w:r>
        <w:rPr>
          <w:rFonts w:hint="eastAsia" w:cstheme="majorBidi"/>
          <w:color w:val="auto"/>
          <w:szCs w:val="32"/>
          <w:highlight w:val="none"/>
          <w:lang w:val="en-US" w:eastAsia="zh-CN"/>
        </w:rPr>
        <w:t>多</w:t>
      </w:r>
      <w:r>
        <w:rPr>
          <w:rFonts w:hint="eastAsia" w:cs="Times New Roman"/>
          <w:color w:val="auto"/>
          <w:szCs w:val="30"/>
          <w:highlight w:val="none"/>
        </w:rPr>
        <w:t>箅</w:t>
      </w:r>
      <w:r>
        <w:rPr>
          <w:rFonts w:hint="eastAsia" w:cstheme="majorBidi"/>
          <w:color w:val="auto"/>
          <w:szCs w:val="32"/>
          <w:highlight w:val="none"/>
        </w:rPr>
        <w:t>雨水口</w:t>
      </w:r>
      <w:r>
        <w:rPr>
          <w:rFonts w:cstheme="majorBidi"/>
          <w:color w:val="auto"/>
          <w:szCs w:val="32"/>
          <w:highlight w:val="none"/>
        </w:rPr>
        <w:t xml:space="preserve">  </w:t>
      </w:r>
      <w:r>
        <w:rPr>
          <w:rFonts w:hint="eastAsia" w:cstheme="majorBidi"/>
          <w:color w:val="auto"/>
          <w:szCs w:val="32"/>
          <w:highlight w:val="none"/>
          <w:lang w:val="en-US" w:eastAsia="zh-CN"/>
        </w:rPr>
        <w:t>2</w:t>
      </w:r>
      <w:r>
        <w:rPr>
          <w:rFonts w:cstheme="majorBidi"/>
          <w:color w:val="auto"/>
          <w:szCs w:val="32"/>
          <w:highlight w:val="none"/>
        </w:rPr>
        <w:t>座</w:t>
      </w:r>
    </w:p>
    <w:p w14:paraId="53B29FAE">
      <w:pPr>
        <w:widowControl/>
        <w:spacing w:line="360" w:lineRule="auto"/>
        <w:ind w:firstLine="600" w:firstLineChars="200"/>
        <w:rPr>
          <w:rFonts w:hint="eastAsia" w:eastAsia="仿宋" w:cstheme="majorBidi"/>
          <w:color w:val="auto"/>
          <w:szCs w:val="32"/>
          <w:highlight w:val="none"/>
          <w:lang w:eastAsia="zh-CN"/>
        </w:rPr>
      </w:pPr>
      <w:r>
        <w:rPr>
          <w:rFonts w:hint="eastAsia" w:cstheme="majorBidi"/>
          <w:color w:val="auto"/>
          <w:szCs w:val="32"/>
          <w:highlight w:val="none"/>
          <w:lang w:eastAsia="zh-CN"/>
        </w:rPr>
        <w:t>管道接现状方涵孔洞加固</w:t>
      </w:r>
      <w:r>
        <w:rPr>
          <w:rFonts w:cstheme="majorBidi"/>
          <w:color w:val="auto"/>
          <w:szCs w:val="32"/>
          <w:highlight w:val="none"/>
        </w:rPr>
        <w:t xml:space="preserve">  </w:t>
      </w:r>
      <w:r>
        <w:rPr>
          <w:rFonts w:hint="eastAsia" w:cstheme="majorBidi"/>
          <w:color w:val="auto"/>
          <w:szCs w:val="32"/>
          <w:highlight w:val="none"/>
          <w:lang w:val="en-US" w:eastAsia="zh-CN"/>
        </w:rPr>
        <w:t>4</w:t>
      </w:r>
      <w:r>
        <w:rPr>
          <w:rFonts w:hint="eastAsia" w:cstheme="majorBidi"/>
          <w:color w:val="auto"/>
          <w:szCs w:val="32"/>
          <w:highlight w:val="none"/>
          <w:lang w:eastAsia="zh-CN"/>
        </w:rPr>
        <w:t>处</w:t>
      </w:r>
    </w:p>
    <w:p w14:paraId="67A00112">
      <w:pPr>
        <w:pStyle w:val="4"/>
        <w:rPr>
          <w:color w:val="auto"/>
          <w:highlight w:val="none"/>
        </w:rPr>
      </w:pPr>
      <w:r>
        <w:rPr>
          <w:rFonts w:hint="eastAsia"/>
          <w:color w:val="auto"/>
          <w:highlight w:val="none"/>
        </w:rPr>
        <w:t>污水工程</w:t>
      </w:r>
    </w:p>
    <w:p w14:paraId="691F70F8">
      <w:pPr>
        <w:widowControl/>
        <w:spacing w:line="360" w:lineRule="auto"/>
        <w:ind w:firstLine="600" w:firstLineChars="200"/>
        <w:rPr>
          <w:rFonts w:cstheme="majorBidi"/>
          <w:color w:val="auto"/>
          <w:szCs w:val="32"/>
          <w:highlight w:val="none"/>
        </w:rPr>
      </w:pPr>
      <w:r>
        <w:rPr>
          <w:rFonts w:hint="eastAsia" w:cstheme="majorBidi"/>
          <w:color w:val="auto"/>
          <w:szCs w:val="32"/>
          <w:highlight w:val="none"/>
          <w:lang w:val="en-US" w:eastAsia="zh-CN"/>
        </w:rPr>
        <w:t>d3</w:t>
      </w:r>
      <w:r>
        <w:rPr>
          <w:rFonts w:cstheme="majorBidi"/>
          <w:color w:val="auto"/>
          <w:szCs w:val="32"/>
          <w:highlight w:val="none"/>
        </w:rPr>
        <w:t xml:space="preserve">00mm    </w:t>
      </w:r>
      <w:r>
        <w:rPr>
          <w:rFonts w:hint="eastAsia" w:cstheme="majorBidi"/>
          <w:color w:val="auto"/>
          <w:szCs w:val="32"/>
          <w:highlight w:val="none"/>
          <w:lang w:val="en-US" w:eastAsia="zh-CN"/>
        </w:rPr>
        <w:t xml:space="preserve"> </w:t>
      </w:r>
      <w:r>
        <w:rPr>
          <w:rFonts w:cstheme="majorBidi"/>
          <w:color w:val="auto"/>
          <w:szCs w:val="32"/>
          <w:highlight w:val="none"/>
        </w:rPr>
        <w:t>L=</w:t>
      </w:r>
      <w:r>
        <w:rPr>
          <w:rFonts w:hint="eastAsia" w:cstheme="majorBidi"/>
          <w:color w:val="auto"/>
          <w:szCs w:val="32"/>
          <w:highlight w:val="none"/>
          <w:lang w:val="en-US" w:eastAsia="zh-CN"/>
        </w:rPr>
        <w:t>359</w:t>
      </w:r>
      <w:r>
        <w:rPr>
          <w:rFonts w:cstheme="majorBidi"/>
          <w:color w:val="auto"/>
          <w:szCs w:val="32"/>
          <w:highlight w:val="none"/>
        </w:rPr>
        <w:t>m</w:t>
      </w:r>
    </w:p>
    <w:p w14:paraId="6571A52C">
      <w:pPr>
        <w:widowControl/>
        <w:spacing w:line="360" w:lineRule="auto"/>
        <w:ind w:firstLine="600" w:firstLineChars="200"/>
        <w:rPr>
          <w:rFonts w:cstheme="majorBidi"/>
          <w:color w:val="auto"/>
          <w:szCs w:val="32"/>
          <w:highlight w:val="none"/>
        </w:rPr>
      </w:pPr>
      <w:r>
        <w:rPr>
          <w:rFonts w:hint="eastAsia" w:cstheme="majorBidi"/>
          <w:color w:val="auto"/>
          <w:szCs w:val="32"/>
          <w:highlight w:val="none"/>
          <w:lang w:val="en-US" w:eastAsia="zh-CN"/>
        </w:rPr>
        <w:t>d4</w:t>
      </w:r>
      <w:r>
        <w:rPr>
          <w:rFonts w:cstheme="majorBidi"/>
          <w:color w:val="auto"/>
          <w:szCs w:val="32"/>
          <w:highlight w:val="none"/>
        </w:rPr>
        <w:t xml:space="preserve">00mm    </w:t>
      </w:r>
      <w:r>
        <w:rPr>
          <w:rFonts w:hint="eastAsia" w:cstheme="majorBidi"/>
          <w:color w:val="auto"/>
          <w:szCs w:val="32"/>
          <w:highlight w:val="none"/>
          <w:lang w:val="en-US" w:eastAsia="zh-CN"/>
        </w:rPr>
        <w:t xml:space="preserve"> </w:t>
      </w:r>
      <w:r>
        <w:rPr>
          <w:rFonts w:cstheme="majorBidi"/>
          <w:color w:val="auto"/>
          <w:szCs w:val="32"/>
          <w:highlight w:val="none"/>
        </w:rPr>
        <w:t>L=</w:t>
      </w:r>
      <w:r>
        <w:rPr>
          <w:rFonts w:hint="eastAsia" w:cstheme="majorBidi"/>
          <w:color w:val="auto"/>
          <w:szCs w:val="32"/>
          <w:highlight w:val="none"/>
          <w:lang w:val="en-US" w:eastAsia="zh-CN"/>
        </w:rPr>
        <w:t>200</w:t>
      </w:r>
      <w:r>
        <w:rPr>
          <w:rFonts w:cstheme="majorBidi"/>
          <w:color w:val="auto"/>
          <w:szCs w:val="32"/>
          <w:highlight w:val="none"/>
        </w:rPr>
        <w:t>m</w:t>
      </w:r>
    </w:p>
    <w:p w14:paraId="03C189D3">
      <w:pPr>
        <w:widowControl/>
        <w:spacing w:line="360" w:lineRule="auto"/>
        <w:ind w:firstLine="600" w:firstLineChars="200"/>
        <w:rPr>
          <w:rFonts w:hint="eastAsia" w:cstheme="majorBidi"/>
          <w:color w:val="auto"/>
          <w:szCs w:val="32"/>
          <w:highlight w:val="none"/>
          <w:lang w:val="en-US" w:eastAsia="zh-CN"/>
        </w:rPr>
      </w:pPr>
      <w:r>
        <w:rPr>
          <w:rFonts w:hint="eastAsia" w:cstheme="majorBidi"/>
          <w:color w:val="auto"/>
          <w:szCs w:val="32"/>
          <w:highlight w:val="none"/>
          <w:lang w:val="en-US" w:eastAsia="zh-CN"/>
        </w:rPr>
        <w:t>d5</w:t>
      </w:r>
      <w:r>
        <w:rPr>
          <w:rFonts w:cstheme="majorBidi"/>
          <w:color w:val="auto"/>
          <w:szCs w:val="32"/>
          <w:highlight w:val="none"/>
        </w:rPr>
        <w:t xml:space="preserve">00mm    </w:t>
      </w:r>
      <w:r>
        <w:rPr>
          <w:rFonts w:hint="eastAsia" w:cstheme="majorBidi"/>
          <w:color w:val="auto"/>
          <w:szCs w:val="32"/>
          <w:highlight w:val="none"/>
          <w:lang w:val="en-US" w:eastAsia="zh-CN"/>
        </w:rPr>
        <w:t xml:space="preserve"> </w:t>
      </w:r>
      <w:r>
        <w:rPr>
          <w:rFonts w:cstheme="majorBidi"/>
          <w:color w:val="auto"/>
          <w:szCs w:val="32"/>
          <w:highlight w:val="none"/>
        </w:rPr>
        <w:t>L=</w:t>
      </w:r>
      <w:r>
        <w:rPr>
          <w:rFonts w:hint="eastAsia" w:cstheme="majorBidi"/>
          <w:color w:val="auto"/>
          <w:szCs w:val="32"/>
          <w:highlight w:val="none"/>
          <w:lang w:val="en-US" w:eastAsia="zh-CN"/>
        </w:rPr>
        <w:t>144</w:t>
      </w:r>
      <w:r>
        <w:rPr>
          <w:rFonts w:cstheme="majorBidi"/>
          <w:color w:val="auto"/>
          <w:szCs w:val="32"/>
          <w:highlight w:val="none"/>
        </w:rPr>
        <w:t>m</w:t>
      </w:r>
    </w:p>
    <w:p w14:paraId="7932E8B0">
      <w:pPr>
        <w:widowControl/>
        <w:spacing w:line="360" w:lineRule="auto"/>
        <w:ind w:firstLine="600" w:firstLineChars="200"/>
        <w:rPr>
          <w:rFonts w:cstheme="majorBidi"/>
          <w:color w:val="auto"/>
          <w:szCs w:val="32"/>
          <w:highlight w:val="none"/>
        </w:rPr>
      </w:pPr>
      <w:r>
        <w:rPr>
          <w:rFonts w:hint="eastAsia" w:cstheme="majorBidi"/>
          <w:color w:val="auto"/>
          <w:szCs w:val="32"/>
          <w:highlight w:val="none"/>
        </w:rPr>
        <w:t>检查井</w:t>
      </w:r>
      <w:r>
        <w:rPr>
          <w:rFonts w:cstheme="majorBidi"/>
          <w:color w:val="auto"/>
          <w:szCs w:val="32"/>
          <w:highlight w:val="none"/>
        </w:rPr>
        <w:t xml:space="preserve">      </w:t>
      </w:r>
      <w:r>
        <w:rPr>
          <w:rFonts w:hint="eastAsia" w:cstheme="majorBidi"/>
          <w:color w:val="auto"/>
          <w:szCs w:val="32"/>
          <w:highlight w:val="none"/>
          <w:lang w:val="en-US" w:eastAsia="zh-CN"/>
        </w:rPr>
        <w:t>60</w:t>
      </w:r>
      <w:r>
        <w:rPr>
          <w:rFonts w:cstheme="majorBidi"/>
          <w:color w:val="auto"/>
          <w:szCs w:val="32"/>
          <w:highlight w:val="none"/>
        </w:rPr>
        <w:t>座</w:t>
      </w:r>
    </w:p>
    <w:p w14:paraId="38DF3DB6">
      <w:pPr>
        <w:widowControl/>
        <w:spacing w:line="360" w:lineRule="auto"/>
        <w:ind w:firstLine="600" w:firstLineChars="200"/>
        <w:rPr>
          <w:rFonts w:hint="eastAsia" w:eastAsia="仿宋" w:cstheme="majorBidi"/>
          <w:color w:val="auto"/>
          <w:szCs w:val="32"/>
          <w:highlight w:val="none"/>
          <w:lang w:eastAsia="zh-CN"/>
        </w:rPr>
      </w:pPr>
      <w:r>
        <w:rPr>
          <w:rFonts w:hint="eastAsia" w:cstheme="majorBidi"/>
          <w:color w:val="auto"/>
          <w:szCs w:val="32"/>
          <w:highlight w:val="none"/>
          <w:lang w:eastAsia="zh-CN"/>
        </w:rPr>
        <w:t>管道接现状方涵孔洞加固</w:t>
      </w:r>
      <w:r>
        <w:rPr>
          <w:rFonts w:cstheme="majorBidi"/>
          <w:color w:val="auto"/>
          <w:szCs w:val="32"/>
          <w:highlight w:val="none"/>
        </w:rPr>
        <w:t xml:space="preserve">  </w:t>
      </w:r>
      <w:r>
        <w:rPr>
          <w:rFonts w:hint="eastAsia" w:cstheme="majorBidi"/>
          <w:color w:val="auto"/>
          <w:szCs w:val="32"/>
          <w:highlight w:val="none"/>
          <w:lang w:val="en-US" w:eastAsia="zh-CN"/>
        </w:rPr>
        <w:t>4</w:t>
      </w:r>
      <w:r>
        <w:rPr>
          <w:rFonts w:hint="eastAsia" w:cstheme="majorBidi"/>
          <w:color w:val="auto"/>
          <w:szCs w:val="32"/>
          <w:highlight w:val="none"/>
          <w:lang w:eastAsia="zh-CN"/>
        </w:rPr>
        <w:t>处</w:t>
      </w:r>
    </w:p>
    <w:p w14:paraId="5401E00D">
      <w:pPr>
        <w:pStyle w:val="4"/>
        <w:rPr>
          <w:color w:val="auto"/>
          <w:highlight w:val="none"/>
        </w:rPr>
      </w:pPr>
      <w:r>
        <w:rPr>
          <w:rFonts w:hint="eastAsia"/>
          <w:color w:val="auto"/>
          <w:highlight w:val="none"/>
          <w:lang w:eastAsia="zh-CN"/>
        </w:rPr>
        <w:t>拆除</w:t>
      </w:r>
      <w:r>
        <w:rPr>
          <w:rFonts w:hint="eastAsia"/>
          <w:color w:val="auto"/>
          <w:highlight w:val="none"/>
        </w:rPr>
        <w:t>工程</w:t>
      </w:r>
      <w:r>
        <w:rPr>
          <w:rFonts w:hint="eastAsia"/>
          <w:color w:val="auto"/>
          <w:highlight w:val="none"/>
          <w:lang w:eastAsia="zh-CN"/>
        </w:rPr>
        <w:t>量</w:t>
      </w:r>
      <w:r>
        <w:rPr>
          <w:rFonts w:hint="eastAsia"/>
          <w:color w:val="auto"/>
          <w:highlight w:val="none"/>
          <w:lang w:val="en-US" w:eastAsia="zh-CN"/>
        </w:rPr>
        <w:t>（暂估量）</w:t>
      </w:r>
    </w:p>
    <w:p w14:paraId="190EBCF4">
      <w:pPr>
        <w:widowControl/>
        <w:spacing w:line="360" w:lineRule="auto"/>
        <w:ind w:firstLine="600" w:firstLineChars="2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拆除旧单篦雨水口     99座</w:t>
      </w:r>
    </w:p>
    <w:p w14:paraId="5AF18F71">
      <w:pPr>
        <w:widowControl/>
        <w:spacing w:line="360" w:lineRule="auto"/>
        <w:ind w:firstLine="600" w:firstLineChars="2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拆除旧排水检查井     36座</w:t>
      </w:r>
    </w:p>
    <w:p w14:paraId="195671DB">
      <w:pPr>
        <w:widowControl/>
        <w:spacing w:line="360" w:lineRule="auto"/>
        <w:ind w:firstLine="600" w:firstLineChars="2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拆除旧排水管（d150）  L=100m</w:t>
      </w:r>
    </w:p>
    <w:p w14:paraId="1F12F496">
      <w:pPr>
        <w:widowControl/>
        <w:spacing w:line="360" w:lineRule="auto"/>
        <w:ind w:firstLine="600" w:firstLineChars="2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拆除旧排水管（d200）  L=178m</w:t>
      </w:r>
    </w:p>
    <w:p w14:paraId="26199D99">
      <w:pPr>
        <w:widowControl/>
        <w:spacing w:line="360" w:lineRule="auto"/>
        <w:ind w:firstLine="600" w:firstLineChars="2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拆除旧排水管（d300）  L=369m</w:t>
      </w:r>
    </w:p>
    <w:p w14:paraId="416AB90D">
      <w:pPr>
        <w:widowControl/>
        <w:spacing w:line="360" w:lineRule="auto"/>
        <w:ind w:firstLine="600" w:firstLineChars="2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拆除旧排水管（d400）  L=103m</w:t>
      </w:r>
    </w:p>
    <w:p w14:paraId="35D515C2">
      <w:pPr>
        <w:pStyle w:val="4"/>
        <w:rPr>
          <w:color w:val="auto"/>
          <w:highlight w:val="none"/>
        </w:rPr>
      </w:pPr>
      <w:r>
        <w:rPr>
          <w:rFonts w:hint="eastAsia"/>
          <w:color w:val="auto"/>
          <w:highlight w:val="none"/>
          <w:lang w:eastAsia="zh-CN"/>
        </w:rPr>
        <w:t>现状管线悬吊保护及改迁（暂估量）</w:t>
      </w:r>
    </w:p>
    <w:p w14:paraId="102D9D6D">
      <w:pPr>
        <w:widowControl/>
        <w:spacing w:line="360" w:lineRule="auto"/>
        <w:ind w:firstLine="600" w:firstLineChars="2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管线悬吊保护</w:t>
      </w:r>
    </w:p>
    <w:p w14:paraId="465F312D">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给水dn60钢管       2处</w:t>
      </w:r>
    </w:p>
    <w:p w14:paraId="6C9CB1F6">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给水dn100钢管      20处</w:t>
      </w:r>
    </w:p>
    <w:p w14:paraId="2EB66C9B">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给水dn150钢管      9处</w:t>
      </w:r>
    </w:p>
    <w:p w14:paraId="63E1109A">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给水dn200钢管      1处</w:t>
      </w:r>
    </w:p>
    <w:p w14:paraId="42635717">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热力dn100钢管      17处</w:t>
      </w:r>
    </w:p>
    <w:p w14:paraId="4812362E">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热力dn200钢管      12处</w:t>
      </w:r>
    </w:p>
    <w:p w14:paraId="41549D1C">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热力dn250钢管      12处</w:t>
      </w:r>
    </w:p>
    <w:p w14:paraId="3D322DDD">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供电10kv线路       3处</w:t>
      </w:r>
    </w:p>
    <w:p w14:paraId="3830BA4C">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供电0.38kv线路      35处</w:t>
      </w:r>
    </w:p>
    <w:p w14:paraId="5E337643">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路灯线路            11处</w:t>
      </w:r>
    </w:p>
    <w:p w14:paraId="1E009D4C">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燃气dn150钢管      1处</w:t>
      </w:r>
    </w:p>
    <w:p w14:paraId="1B34D96E">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燃气dn350钢管      2处</w:t>
      </w:r>
    </w:p>
    <w:p w14:paraId="31163A35">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铁通线路            5处</w:t>
      </w:r>
    </w:p>
    <w:p w14:paraId="1A89100A">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排水d300管         5处</w:t>
      </w:r>
    </w:p>
    <w:p w14:paraId="2F218019">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排水d500管         2处</w:t>
      </w:r>
    </w:p>
    <w:p w14:paraId="5DB7B549">
      <w:pPr>
        <w:widowControl/>
        <w:spacing w:line="360" w:lineRule="auto"/>
        <w:ind w:firstLine="600" w:firstLineChars="2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管线改迁</w:t>
      </w:r>
    </w:p>
    <w:p w14:paraId="06E0687E">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给水dn100钢管       L=235m</w:t>
      </w:r>
    </w:p>
    <w:p w14:paraId="5C642B94">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给水dn150钢管       L=70m</w:t>
      </w:r>
    </w:p>
    <w:p w14:paraId="4E5CC10B">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热力dn100钢管       L=35m</w:t>
      </w:r>
    </w:p>
    <w:p w14:paraId="4389758A">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热力dn150钢管       L=50m</w:t>
      </w:r>
    </w:p>
    <w:p w14:paraId="354D9E57">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热力dn200钢管       L=100m</w:t>
      </w:r>
    </w:p>
    <w:p w14:paraId="03E1B297">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热力dn250钢管       L=90m</w:t>
      </w:r>
    </w:p>
    <w:p w14:paraId="1E50431B">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燃气dn100钢管       L=30m</w:t>
      </w:r>
    </w:p>
    <w:p w14:paraId="7985D165">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燃气dn150钢管       L=15m</w:t>
      </w:r>
    </w:p>
    <w:p w14:paraId="78C6E551">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燃气dn350钢管       L=25m</w:t>
      </w:r>
    </w:p>
    <w:p w14:paraId="71C56503">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供电0.38kv线路       L=105m</w:t>
      </w:r>
    </w:p>
    <w:p w14:paraId="1A4DEC3C">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路灯线路             L=30m</w:t>
      </w:r>
    </w:p>
    <w:p w14:paraId="2C77CBBB">
      <w:pPr>
        <w:widowControl/>
        <w:spacing w:line="360" w:lineRule="auto"/>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铁通线路             L=15m</w:t>
      </w:r>
    </w:p>
    <w:p w14:paraId="5943B580">
      <w:pPr>
        <w:pStyle w:val="4"/>
        <w:rPr>
          <w:color w:val="auto"/>
          <w:highlight w:val="none"/>
        </w:rPr>
      </w:pPr>
      <w:r>
        <w:rPr>
          <w:rFonts w:hint="eastAsia"/>
          <w:color w:val="auto"/>
          <w:highlight w:val="none"/>
          <w:lang w:eastAsia="zh-CN"/>
        </w:rPr>
        <w:t>道路破除及修复（暂估量）</w:t>
      </w:r>
    </w:p>
    <w:p w14:paraId="515F2D85">
      <w:pPr>
        <w:widowControl/>
        <w:spacing w:line="360" w:lineRule="auto"/>
        <w:ind w:firstLine="600" w:firstLineChars="200"/>
        <w:rPr>
          <w:rFonts w:hint="eastAsia" w:ascii="Times New Roman" w:hAnsi="Times New Roman" w:eastAsia="仿宋" w:cstheme="majorBidi"/>
          <w:color w:val="auto"/>
          <w:sz w:val="30"/>
          <w:szCs w:val="32"/>
          <w:highlight w:val="none"/>
          <w:vertAlign w:val="baseline"/>
          <w:lang w:val="en-US" w:eastAsia="zh-CN"/>
        </w:rPr>
      </w:pPr>
      <w:r>
        <w:rPr>
          <w:rFonts w:hint="eastAsia" w:ascii="Times New Roman" w:hAnsi="Times New Roman" w:eastAsia="仿宋" w:cstheme="majorBidi"/>
          <w:color w:val="auto"/>
          <w:sz w:val="30"/>
          <w:szCs w:val="32"/>
          <w:highlight w:val="none"/>
          <w:lang w:val="en-US" w:eastAsia="zh-CN"/>
        </w:rPr>
        <w:t>道路</w:t>
      </w:r>
      <w:r>
        <w:rPr>
          <w:rFonts w:hint="eastAsia" w:cstheme="majorBidi"/>
          <w:color w:val="auto"/>
          <w:sz w:val="30"/>
          <w:szCs w:val="32"/>
          <w:highlight w:val="none"/>
          <w:lang w:val="en-US" w:eastAsia="zh-CN"/>
        </w:rPr>
        <w:t>开挖后</w:t>
      </w:r>
      <w:r>
        <w:rPr>
          <w:rFonts w:hint="eastAsia" w:ascii="Times New Roman" w:hAnsi="Times New Roman" w:eastAsia="仿宋" w:cstheme="majorBidi"/>
          <w:color w:val="auto"/>
          <w:sz w:val="30"/>
          <w:szCs w:val="32"/>
          <w:highlight w:val="none"/>
          <w:lang w:val="en-US" w:eastAsia="zh-CN"/>
        </w:rPr>
        <w:t>修复</w:t>
      </w:r>
      <w:r>
        <w:rPr>
          <w:rFonts w:hint="eastAsia" w:ascii="Times New Roman" w:hAnsi="Times New Roman" w:eastAsia="仿宋" w:cstheme="majorBidi"/>
          <w:color w:val="auto"/>
          <w:sz w:val="30"/>
          <w:szCs w:val="32"/>
          <w:highlight w:val="none"/>
        </w:rPr>
        <w:t>面积</w:t>
      </w:r>
      <w:r>
        <w:rPr>
          <w:rFonts w:hint="eastAsia" w:cstheme="majorBidi"/>
          <w:color w:val="auto"/>
          <w:sz w:val="30"/>
          <w:szCs w:val="32"/>
          <w:highlight w:val="none"/>
          <w:lang w:val="en-US" w:eastAsia="zh-CN"/>
        </w:rPr>
        <w:t>2433</w:t>
      </w:r>
      <w:r>
        <w:rPr>
          <w:rFonts w:hint="eastAsia" w:ascii="Times New Roman" w:hAnsi="Times New Roman" w:eastAsia="仿宋" w:cstheme="majorBidi"/>
          <w:color w:val="auto"/>
          <w:sz w:val="30"/>
          <w:szCs w:val="32"/>
          <w:highlight w:val="none"/>
        </w:rPr>
        <w:t>m</w:t>
      </w:r>
      <w:r>
        <w:rPr>
          <w:rFonts w:hint="eastAsia" w:ascii="Times New Roman" w:hAnsi="Times New Roman" w:eastAsia="仿宋" w:cstheme="majorBidi"/>
          <w:color w:val="auto"/>
          <w:sz w:val="30"/>
          <w:szCs w:val="32"/>
          <w:highlight w:val="none"/>
          <w:vertAlign w:val="superscript"/>
        </w:rPr>
        <w:t>2</w:t>
      </w:r>
      <w:r>
        <w:rPr>
          <w:rFonts w:hint="eastAsia" w:ascii="Times New Roman" w:hAnsi="Times New Roman" w:eastAsia="仿宋" w:cstheme="majorBidi"/>
          <w:color w:val="auto"/>
          <w:sz w:val="30"/>
          <w:szCs w:val="32"/>
          <w:highlight w:val="none"/>
          <w:vertAlign w:val="baseline"/>
          <w:lang w:val="en-US" w:eastAsia="zh-CN"/>
        </w:rPr>
        <w:t>（水泥地面）</w:t>
      </w:r>
    </w:p>
    <w:p w14:paraId="643B5297">
      <w:pPr>
        <w:widowControl/>
        <w:spacing w:line="360" w:lineRule="auto"/>
        <w:ind w:firstLine="600" w:firstLineChars="200"/>
        <w:rPr>
          <w:rFonts w:hint="eastAsia" w:ascii="Times New Roman" w:hAnsi="Times New Roman" w:eastAsia="仿宋" w:cstheme="majorBidi"/>
          <w:color w:val="auto"/>
          <w:sz w:val="30"/>
          <w:szCs w:val="32"/>
          <w:highlight w:val="none"/>
          <w:vertAlign w:val="baseline"/>
          <w:lang w:val="en-US" w:eastAsia="zh-CN"/>
        </w:rPr>
      </w:pPr>
      <w:r>
        <w:rPr>
          <w:rFonts w:ascii="Times New Roman" w:hAnsi="Times New Roman" w:eastAsia="仿宋"/>
          <w:color w:val="auto"/>
          <w:kern w:val="2"/>
          <w:sz w:val="30"/>
          <w:szCs w:val="30"/>
          <w:highlight w:val="none"/>
        </w:rPr>
        <w:t>人行道</w:t>
      </w:r>
      <w:r>
        <w:rPr>
          <w:rFonts w:hint="eastAsia" w:cstheme="majorBidi"/>
          <w:color w:val="auto"/>
          <w:sz w:val="30"/>
          <w:szCs w:val="32"/>
          <w:highlight w:val="none"/>
          <w:lang w:val="en-US" w:eastAsia="zh-CN"/>
        </w:rPr>
        <w:t>开挖后</w:t>
      </w:r>
      <w:r>
        <w:rPr>
          <w:rFonts w:hint="eastAsia" w:ascii="Times New Roman" w:hAnsi="Times New Roman" w:eastAsia="仿宋" w:cstheme="majorBidi"/>
          <w:color w:val="auto"/>
          <w:sz w:val="30"/>
          <w:szCs w:val="32"/>
          <w:highlight w:val="none"/>
          <w:lang w:val="en-US" w:eastAsia="zh-CN"/>
        </w:rPr>
        <w:t>修复</w:t>
      </w:r>
      <w:r>
        <w:rPr>
          <w:rFonts w:hint="eastAsia" w:ascii="Times New Roman" w:hAnsi="Times New Roman" w:eastAsia="仿宋" w:cstheme="majorBidi"/>
          <w:color w:val="auto"/>
          <w:sz w:val="30"/>
          <w:szCs w:val="32"/>
          <w:highlight w:val="none"/>
        </w:rPr>
        <w:t>面积</w:t>
      </w:r>
      <w:r>
        <w:rPr>
          <w:rFonts w:hint="eastAsia"/>
          <w:color w:val="auto"/>
          <w:kern w:val="2"/>
          <w:sz w:val="30"/>
          <w:szCs w:val="30"/>
          <w:highlight w:val="none"/>
          <w:lang w:val="en-US" w:eastAsia="zh-CN"/>
        </w:rPr>
        <w:t>909</w:t>
      </w:r>
      <w:r>
        <w:rPr>
          <w:rFonts w:ascii="Times New Roman" w:hAnsi="Times New Roman" w:eastAsia="仿宋"/>
          <w:color w:val="auto"/>
          <w:kern w:val="2"/>
          <w:sz w:val="30"/>
          <w:szCs w:val="30"/>
          <w:highlight w:val="none"/>
        </w:rPr>
        <w:t>m</w:t>
      </w:r>
      <w:r>
        <w:rPr>
          <w:rFonts w:ascii="Times New Roman" w:hAnsi="Times New Roman" w:eastAsia="仿宋"/>
          <w:color w:val="auto"/>
          <w:kern w:val="2"/>
          <w:sz w:val="30"/>
          <w:szCs w:val="30"/>
          <w:highlight w:val="none"/>
          <w:vertAlign w:val="superscript"/>
        </w:rPr>
        <w:t>2</w:t>
      </w:r>
      <w:r>
        <w:rPr>
          <w:rFonts w:hint="eastAsia" w:ascii="Times New Roman" w:hAnsi="Times New Roman" w:eastAsia="仿宋" w:cstheme="majorBidi"/>
          <w:color w:val="auto"/>
          <w:sz w:val="30"/>
          <w:szCs w:val="32"/>
          <w:highlight w:val="none"/>
          <w:vertAlign w:val="baseline"/>
          <w:lang w:val="en-US" w:eastAsia="zh-CN"/>
        </w:rPr>
        <w:t>（铺砖地面）</w:t>
      </w:r>
    </w:p>
    <w:p w14:paraId="2BD8CF92">
      <w:pPr>
        <w:pStyle w:val="9"/>
        <w:spacing w:line="360" w:lineRule="auto"/>
        <w:ind w:firstLine="600"/>
        <w:rPr>
          <w:rFonts w:hint="default" w:ascii="Times New Roman" w:hAnsi="Times New Roman" w:eastAsia="仿宋" w:cs="Times New Roman"/>
          <w:color w:val="auto"/>
          <w:sz w:val="30"/>
          <w:szCs w:val="32"/>
          <w:highlight w:val="none"/>
          <w:vertAlign w:val="baseline"/>
          <w:lang w:val="en-US" w:eastAsia="zh-CN"/>
        </w:rPr>
      </w:pPr>
      <w:r>
        <w:rPr>
          <w:rFonts w:hint="eastAsia" w:ascii="Times New Roman" w:hAnsi="Times New Roman" w:eastAsia="仿宋"/>
          <w:color w:val="auto"/>
          <w:kern w:val="2"/>
          <w:sz w:val="30"/>
          <w:szCs w:val="30"/>
          <w:highlight w:val="none"/>
          <w:lang w:eastAsia="zh-CN"/>
        </w:rPr>
        <w:t>绿地</w:t>
      </w:r>
      <w:r>
        <w:rPr>
          <w:rFonts w:hint="eastAsia" w:ascii="Times New Roman" w:hAnsi="Times New Roman" w:eastAsia="仿宋"/>
          <w:color w:val="auto"/>
          <w:kern w:val="2"/>
          <w:sz w:val="30"/>
          <w:szCs w:val="30"/>
          <w:highlight w:val="none"/>
          <w:lang w:val="en-US" w:eastAsia="zh-CN"/>
        </w:rPr>
        <w:t>开挖后</w:t>
      </w:r>
      <w:r>
        <w:rPr>
          <w:rFonts w:hint="eastAsia" w:ascii="Times New Roman" w:hAnsi="Times New Roman" w:eastAsia="仿宋" w:cstheme="majorBidi"/>
          <w:color w:val="auto"/>
          <w:sz w:val="30"/>
          <w:szCs w:val="32"/>
          <w:highlight w:val="none"/>
          <w:vertAlign w:val="baseline"/>
          <w:lang w:val="en-US" w:eastAsia="zh-CN"/>
        </w:rPr>
        <w:t>恢复</w:t>
      </w:r>
      <w:r>
        <w:rPr>
          <w:rFonts w:hint="default" w:ascii="Times New Roman" w:hAnsi="Times New Roman" w:eastAsia="仿宋" w:cs="Times New Roman"/>
          <w:color w:val="auto"/>
          <w:sz w:val="30"/>
          <w:szCs w:val="32"/>
          <w:highlight w:val="none"/>
        </w:rPr>
        <w:t>面积</w:t>
      </w:r>
      <w:r>
        <w:rPr>
          <w:rFonts w:hint="default" w:ascii="Times New Roman" w:hAnsi="Times New Roman" w:eastAsia="仿宋" w:cs="Times New Roman"/>
          <w:color w:val="auto"/>
          <w:sz w:val="30"/>
          <w:szCs w:val="32"/>
          <w:highlight w:val="none"/>
          <w:lang w:val="en-US" w:eastAsia="zh-CN"/>
        </w:rPr>
        <w:t>2</w:t>
      </w:r>
      <w:r>
        <w:rPr>
          <w:rFonts w:hint="eastAsia" w:ascii="Times New Roman" w:hAnsi="Times New Roman" w:eastAsia="仿宋" w:cs="Times New Roman"/>
          <w:color w:val="auto"/>
          <w:sz w:val="30"/>
          <w:szCs w:val="32"/>
          <w:highlight w:val="none"/>
          <w:lang w:val="en-US" w:eastAsia="zh-CN"/>
        </w:rPr>
        <w:t>32</w:t>
      </w:r>
      <w:r>
        <w:rPr>
          <w:rFonts w:hint="default" w:ascii="Times New Roman" w:hAnsi="Times New Roman" w:eastAsia="仿宋" w:cs="Times New Roman"/>
          <w:color w:val="auto"/>
          <w:sz w:val="30"/>
          <w:szCs w:val="32"/>
          <w:highlight w:val="none"/>
        </w:rPr>
        <w:t>m</w:t>
      </w:r>
      <w:r>
        <w:rPr>
          <w:rFonts w:hint="default" w:ascii="Times New Roman" w:hAnsi="Times New Roman" w:eastAsia="仿宋" w:cs="Times New Roman"/>
          <w:color w:val="auto"/>
          <w:sz w:val="30"/>
          <w:szCs w:val="32"/>
          <w:highlight w:val="none"/>
          <w:vertAlign w:val="superscript"/>
        </w:rPr>
        <w:t>2</w:t>
      </w:r>
    </w:p>
    <w:p w14:paraId="48878877">
      <w:pPr>
        <w:pStyle w:val="9"/>
        <w:spacing w:line="360" w:lineRule="auto"/>
        <w:ind w:firstLine="600"/>
        <w:rPr>
          <w:rFonts w:hint="default" w:ascii="Times New Roman" w:hAnsi="Times New Roman" w:eastAsia="仿宋" w:cs="Times New Roman"/>
          <w:color w:val="auto"/>
          <w:sz w:val="30"/>
          <w:szCs w:val="32"/>
          <w:highlight w:val="none"/>
          <w:vertAlign w:val="baseline"/>
          <w:lang w:val="en-US" w:eastAsia="zh-CN"/>
        </w:rPr>
      </w:pPr>
      <w:r>
        <w:rPr>
          <w:rFonts w:hint="default" w:ascii="Times New Roman" w:hAnsi="Times New Roman" w:eastAsia="仿宋" w:cs="Times New Roman"/>
          <w:color w:val="auto"/>
          <w:sz w:val="30"/>
          <w:szCs w:val="32"/>
          <w:highlight w:val="none"/>
          <w:vertAlign w:val="baseline"/>
          <w:lang w:val="en-US" w:eastAsia="zh-CN"/>
        </w:rPr>
        <w:t>操</w:t>
      </w:r>
      <w:r>
        <w:rPr>
          <w:rFonts w:hint="default" w:ascii="Times New Roman" w:hAnsi="Times New Roman" w:eastAsia="仿宋" w:cs="Times New Roman"/>
          <w:color w:val="auto"/>
          <w:kern w:val="2"/>
          <w:sz w:val="30"/>
          <w:szCs w:val="30"/>
          <w:highlight w:val="none"/>
          <w:lang w:val="en-US" w:eastAsia="zh-CN"/>
        </w:rPr>
        <w:t>场开挖后</w:t>
      </w:r>
      <w:r>
        <w:rPr>
          <w:rFonts w:hint="default" w:ascii="Times New Roman" w:hAnsi="Times New Roman" w:eastAsia="仿宋" w:cs="Times New Roman"/>
          <w:color w:val="auto"/>
          <w:sz w:val="30"/>
          <w:szCs w:val="32"/>
          <w:highlight w:val="none"/>
          <w:vertAlign w:val="baseline"/>
          <w:lang w:val="en-US" w:eastAsia="zh-CN"/>
        </w:rPr>
        <w:t>恢复</w:t>
      </w:r>
      <w:r>
        <w:rPr>
          <w:rFonts w:hint="default" w:ascii="Times New Roman" w:hAnsi="Times New Roman" w:eastAsia="仿宋" w:cs="Times New Roman"/>
          <w:color w:val="auto"/>
          <w:sz w:val="30"/>
          <w:szCs w:val="32"/>
          <w:highlight w:val="none"/>
        </w:rPr>
        <w:t>面积</w:t>
      </w:r>
      <w:r>
        <w:rPr>
          <w:rFonts w:hint="default" w:ascii="Times New Roman" w:hAnsi="Times New Roman" w:eastAsia="仿宋" w:cs="Times New Roman"/>
          <w:color w:val="auto"/>
          <w:sz w:val="30"/>
          <w:szCs w:val="32"/>
          <w:highlight w:val="none"/>
          <w:lang w:val="en-US" w:eastAsia="zh-CN"/>
        </w:rPr>
        <w:t>368</w:t>
      </w:r>
      <w:r>
        <w:rPr>
          <w:rFonts w:hint="default" w:ascii="Times New Roman" w:hAnsi="Times New Roman" w:eastAsia="仿宋" w:cs="Times New Roman"/>
          <w:color w:val="auto"/>
          <w:sz w:val="30"/>
          <w:szCs w:val="32"/>
          <w:highlight w:val="none"/>
        </w:rPr>
        <w:t>m</w:t>
      </w:r>
      <w:r>
        <w:rPr>
          <w:rFonts w:hint="default" w:ascii="Times New Roman" w:hAnsi="Times New Roman" w:eastAsia="仿宋" w:cs="Times New Roman"/>
          <w:color w:val="auto"/>
          <w:sz w:val="30"/>
          <w:szCs w:val="32"/>
          <w:highlight w:val="none"/>
          <w:vertAlign w:val="superscript"/>
        </w:rPr>
        <w:t>2</w:t>
      </w:r>
      <w:r>
        <w:rPr>
          <w:rFonts w:hint="default" w:ascii="Times New Roman" w:hAnsi="Times New Roman" w:eastAsia="仿宋" w:cs="Times New Roman"/>
          <w:color w:val="auto"/>
          <w:sz w:val="30"/>
          <w:szCs w:val="32"/>
          <w:highlight w:val="none"/>
          <w:vertAlign w:val="baseline"/>
          <w:lang w:val="en-US" w:eastAsia="zh-CN"/>
        </w:rPr>
        <w:t>（</w:t>
      </w:r>
      <w:r>
        <w:rPr>
          <w:rFonts w:hint="eastAsia" w:ascii="Times New Roman" w:hAnsi="Times New Roman" w:eastAsia="仿宋" w:cs="Times New Roman"/>
          <w:color w:val="auto"/>
          <w:sz w:val="30"/>
          <w:szCs w:val="32"/>
          <w:highlight w:val="none"/>
          <w:vertAlign w:val="baseline"/>
          <w:lang w:val="en-US" w:eastAsia="zh-CN"/>
        </w:rPr>
        <w:t>运动地板</w:t>
      </w:r>
      <w:r>
        <w:rPr>
          <w:rFonts w:hint="default" w:ascii="Times New Roman" w:hAnsi="Times New Roman" w:eastAsia="仿宋" w:cs="Times New Roman"/>
          <w:color w:val="auto"/>
          <w:sz w:val="30"/>
          <w:szCs w:val="32"/>
          <w:highlight w:val="none"/>
          <w:vertAlign w:val="baseline"/>
          <w:lang w:val="en-US" w:eastAsia="zh-CN"/>
        </w:rPr>
        <w:t>）</w:t>
      </w:r>
    </w:p>
    <w:p w14:paraId="54696366">
      <w:pPr>
        <w:pStyle w:val="9"/>
        <w:spacing w:line="360" w:lineRule="auto"/>
        <w:ind w:firstLine="600"/>
        <w:rPr>
          <w:rFonts w:hint="default" w:ascii="Times New Roman" w:hAnsi="Times New Roman" w:eastAsia="仿宋" w:cs="Times New Roman"/>
          <w:color w:val="auto"/>
          <w:sz w:val="30"/>
          <w:szCs w:val="32"/>
          <w:highlight w:val="none"/>
          <w:vertAlign w:val="baseline"/>
          <w:lang w:val="en-US" w:eastAsia="zh-CN"/>
        </w:rPr>
      </w:pPr>
      <w:r>
        <w:rPr>
          <w:rFonts w:hint="default" w:ascii="Times New Roman" w:hAnsi="Times New Roman" w:eastAsia="仿宋" w:cs="Times New Roman"/>
          <w:color w:val="auto"/>
          <w:sz w:val="30"/>
          <w:szCs w:val="32"/>
          <w:highlight w:val="none"/>
          <w:lang w:val="en-US" w:eastAsia="zh-CN"/>
        </w:rPr>
        <w:t>道路</w:t>
      </w:r>
      <w:r>
        <w:rPr>
          <w:rFonts w:hint="default" w:ascii="Times New Roman" w:hAnsi="Times New Roman" w:eastAsia="仿宋" w:cs="Times New Roman"/>
          <w:color w:val="auto"/>
          <w:kern w:val="2"/>
          <w:sz w:val="30"/>
          <w:szCs w:val="30"/>
          <w:highlight w:val="none"/>
          <w:lang w:val="en-US" w:eastAsia="zh-CN"/>
        </w:rPr>
        <w:t>开挖后</w:t>
      </w:r>
      <w:r>
        <w:rPr>
          <w:rFonts w:hint="default" w:ascii="Times New Roman" w:hAnsi="Times New Roman" w:eastAsia="仿宋" w:cs="Times New Roman"/>
          <w:color w:val="auto"/>
          <w:sz w:val="30"/>
          <w:szCs w:val="32"/>
          <w:highlight w:val="none"/>
          <w:lang w:val="en-US" w:eastAsia="zh-CN"/>
        </w:rPr>
        <w:t>修复</w:t>
      </w:r>
      <w:r>
        <w:rPr>
          <w:rFonts w:hint="default" w:ascii="Times New Roman" w:hAnsi="Times New Roman" w:eastAsia="仿宋" w:cs="Times New Roman"/>
          <w:color w:val="auto"/>
          <w:sz w:val="30"/>
          <w:szCs w:val="32"/>
          <w:highlight w:val="none"/>
        </w:rPr>
        <w:t>面积</w:t>
      </w:r>
      <w:r>
        <w:rPr>
          <w:rFonts w:hint="eastAsia" w:ascii="Times New Roman" w:hAnsi="Times New Roman" w:cs="Times New Roman"/>
          <w:color w:val="auto"/>
          <w:sz w:val="30"/>
          <w:szCs w:val="32"/>
          <w:highlight w:val="none"/>
          <w:lang w:val="en-US" w:eastAsia="zh-CN"/>
        </w:rPr>
        <w:t>5408.</w:t>
      </w:r>
      <w:r>
        <w:rPr>
          <w:rFonts w:hint="default" w:ascii="Times New Roman" w:hAnsi="Times New Roman" w:eastAsia="仿宋" w:cs="Times New Roman"/>
          <w:color w:val="auto"/>
          <w:sz w:val="30"/>
          <w:szCs w:val="32"/>
          <w:highlight w:val="none"/>
        </w:rPr>
        <w:t>m</w:t>
      </w:r>
      <w:r>
        <w:rPr>
          <w:rFonts w:hint="default" w:ascii="Times New Roman" w:hAnsi="Times New Roman" w:eastAsia="仿宋" w:cs="Times New Roman"/>
          <w:color w:val="auto"/>
          <w:sz w:val="30"/>
          <w:szCs w:val="32"/>
          <w:highlight w:val="none"/>
          <w:vertAlign w:val="superscript"/>
        </w:rPr>
        <w:t>2</w:t>
      </w:r>
      <w:r>
        <w:rPr>
          <w:rFonts w:hint="default" w:ascii="Times New Roman" w:hAnsi="Times New Roman" w:eastAsia="仿宋" w:cs="Times New Roman"/>
          <w:color w:val="auto"/>
          <w:sz w:val="30"/>
          <w:szCs w:val="32"/>
          <w:highlight w:val="none"/>
          <w:vertAlign w:val="baseline"/>
          <w:lang w:val="en-US" w:eastAsia="zh-CN"/>
        </w:rPr>
        <w:t>（沥青路面）</w:t>
      </w:r>
    </w:p>
    <w:p w14:paraId="7A06FDB1">
      <w:pPr>
        <w:pStyle w:val="9"/>
        <w:spacing w:line="360" w:lineRule="auto"/>
        <w:ind w:firstLine="600"/>
        <w:rPr>
          <w:rFonts w:hint="default" w:ascii="Times New Roman" w:hAnsi="Times New Roman" w:eastAsia="仿宋" w:cs="Times New Roman"/>
          <w:color w:val="auto"/>
          <w:sz w:val="30"/>
          <w:szCs w:val="32"/>
          <w:highlight w:val="none"/>
          <w:vertAlign w:val="baseline"/>
          <w:lang w:val="en-US" w:eastAsia="zh-CN"/>
        </w:rPr>
      </w:pPr>
      <w:r>
        <w:rPr>
          <w:rFonts w:hint="default" w:ascii="Times New Roman" w:hAnsi="Times New Roman" w:eastAsia="仿宋" w:cs="Times New Roman"/>
          <w:color w:val="auto"/>
          <w:sz w:val="30"/>
          <w:szCs w:val="32"/>
          <w:highlight w:val="none"/>
          <w:lang w:val="en-US" w:eastAsia="zh-CN"/>
        </w:rPr>
        <w:t>道路铣刨</w:t>
      </w:r>
      <w:r>
        <w:rPr>
          <w:rFonts w:hint="default" w:ascii="Times New Roman" w:hAnsi="Times New Roman" w:eastAsia="仿宋" w:cs="Times New Roman"/>
          <w:color w:val="auto"/>
          <w:kern w:val="2"/>
          <w:sz w:val="30"/>
          <w:szCs w:val="30"/>
          <w:highlight w:val="none"/>
          <w:lang w:val="en-US" w:eastAsia="zh-CN"/>
        </w:rPr>
        <w:t>后</w:t>
      </w:r>
      <w:r>
        <w:rPr>
          <w:rFonts w:hint="default" w:ascii="Times New Roman" w:hAnsi="Times New Roman" w:eastAsia="仿宋" w:cs="Times New Roman"/>
          <w:color w:val="auto"/>
          <w:sz w:val="30"/>
          <w:szCs w:val="32"/>
          <w:highlight w:val="none"/>
          <w:lang w:val="en-US" w:eastAsia="zh-CN"/>
        </w:rPr>
        <w:t>修复</w:t>
      </w:r>
      <w:r>
        <w:rPr>
          <w:rFonts w:hint="default" w:ascii="Times New Roman" w:hAnsi="Times New Roman" w:eastAsia="仿宋" w:cs="Times New Roman"/>
          <w:color w:val="auto"/>
          <w:sz w:val="30"/>
          <w:szCs w:val="32"/>
          <w:highlight w:val="none"/>
        </w:rPr>
        <w:t>面积</w:t>
      </w:r>
      <w:r>
        <w:rPr>
          <w:rFonts w:hint="eastAsia" w:ascii="Times New Roman" w:hAnsi="Times New Roman" w:cs="Times New Roman"/>
          <w:color w:val="auto"/>
          <w:sz w:val="30"/>
          <w:szCs w:val="32"/>
          <w:highlight w:val="none"/>
          <w:lang w:val="en-US" w:eastAsia="zh-CN"/>
        </w:rPr>
        <w:t>3549</w:t>
      </w:r>
      <w:r>
        <w:rPr>
          <w:rFonts w:hint="default" w:ascii="Times New Roman" w:hAnsi="Times New Roman" w:eastAsia="仿宋" w:cs="Times New Roman"/>
          <w:color w:val="auto"/>
          <w:sz w:val="30"/>
          <w:szCs w:val="32"/>
          <w:highlight w:val="none"/>
        </w:rPr>
        <w:t>m</w:t>
      </w:r>
      <w:r>
        <w:rPr>
          <w:rFonts w:hint="default" w:ascii="Times New Roman" w:hAnsi="Times New Roman" w:eastAsia="仿宋" w:cs="Times New Roman"/>
          <w:color w:val="auto"/>
          <w:sz w:val="30"/>
          <w:szCs w:val="32"/>
          <w:highlight w:val="none"/>
          <w:vertAlign w:val="superscript"/>
        </w:rPr>
        <w:t>2</w:t>
      </w:r>
      <w:r>
        <w:rPr>
          <w:rFonts w:hint="default" w:ascii="Times New Roman" w:hAnsi="Times New Roman" w:eastAsia="仿宋" w:cs="Times New Roman"/>
          <w:color w:val="auto"/>
          <w:sz w:val="30"/>
          <w:szCs w:val="32"/>
          <w:highlight w:val="none"/>
          <w:vertAlign w:val="baseline"/>
          <w:lang w:val="en-US" w:eastAsia="zh-CN"/>
        </w:rPr>
        <w:t>（沥青路面）</w:t>
      </w:r>
    </w:p>
    <w:p w14:paraId="56EFEE2A">
      <w:pPr>
        <w:pStyle w:val="9"/>
        <w:spacing w:line="360" w:lineRule="auto"/>
        <w:ind w:firstLine="600"/>
        <w:rPr>
          <w:rFonts w:hint="default" w:ascii="Times New Roman" w:hAnsi="Times New Roman" w:eastAsia="仿宋" w:cs="Times New Roman"/>
          <w:color w:val="auto"/>
          <w:sz w:val="30"/>
          <w:szCs w:val="32"/>
          <w:highlight w:val="none"/>
          <w:vertAlign w:val="baseline"/>
          <w:lang w:val="en-US" w:eastAsia="zh-CN"/>
        </w:rPr>
      </w:pPr>
      <w:r>
        <w:rPr>
          <w:rFonts w:hint="eastAsia" w:ascii="Times New Roman" w:hAnsi="Times New Roman" w:eastAsia="仿宋" w:cs="Times New Roman"/>
          <w:color w:val="auto"/>
          <w:sz w:val="30"/>
          <w:szCs w:val="32"/>
          <w:highlight w:val="none"/>
          <w:vertAlign w:val="baseline"/>
          <w:lang w:val="en-US" w:eastAsia="zh-CN"/>
        </w:rPr>
        <w:t>水泥</w:t>
      </w:r>
      <w:r>
        <w:rPr>
          <w:rFonts w:hint="eastAsia" w:ascii="Times New Roman" w:hAnsi="Times New Roman" w:eastAsia="仿宋" w:cstheme="majorBidi"/>
          <w:color w:val="auto"/>
          <w:sz w:val="30"/>
          <w:szCs w:val="32"/>
          <w:highlight w:val="none"/>
          <w:vertAlign w:val="baseline"/>
          <w:lang w:val="en-US" w:eastAsia="zh-CN"/>
        </w:rPr>
        <w:t>地面铣刨后修复为沥青路面</w:t>
      </w:r>
      <w:r>
        <w:rPr>
          <w:rFonts w:hint="default" w:ascii="Times New Roman" w:hAnsi="Times New Roman" w:eastAsia="仿宋" w:cs="Times New Roman"/>
          <w:color w:val="auto"/>
          <w:sz w:val="30"/>
          <w:szCs w:val="32"/>
          <w:highlight w:val="none"/>
        </w:rPr>
        <w:t>面积</w:t>
      </w:r>
      <w:r>
        <w:rPr>
          <w:rFonts w:hint="eastAsia" w:ascii="Times New Roman" w:hAnsi="Times New Roman" w:eastAsia="仿宋" w:cs="Times New Roman"/>
          <w:color w:val="auto"/>
          <w:sz w:val="30"/>
          <w:szCs w:val="32"/>
          <w:highlight w:val="none"/>
          <w:lang w:val="en-US" w:eastAsia="zh-CN"/>
        </w:rPr>
        <w:t>2688</w:t>
      </w:r>
      <w:r>
        <w:rPr>
          <w:rFonts w:hint="default" w:ascii="Times New Roman" w:hAnsi="Times New Roman" w:eastAsia="仿宋" w:cs="Times New Roman"/>
          <w:color w:val="auto"/>
          <w:sz w:val="30"/>
          <w:szCs w:val="32"/>
          <w:highlight w:val="none"/>
        </w:rPr>
        <w:t>m</w:t>
      </w:r>
      <w:r>
        <w:rPr>
          <w:rFonts w:hint="default" w:ascii="Times New Roman" w:hAnsi="Times New Roman" w:eastAsia="仿宋" w:cs="Times New Roman"/>
          <w:color w:val="auto"/>
          <w:sz w:val="30"/>
          <w:szCs w:val="32"/>
          <w:highlight w:val="none"/>
          <w:vertAlign w:val="superscript"/>
        </w:rPr>
        <w:t>2</w:t>
      </w:r>
      <w:r>
        <w:rPr>
          <w:rFonts w:hint="default" w:ascii="Times New Roman" w:hAnsi="Times New Roman" w:eastAsia="仿宋" w:cs="Times New Roman"/>
          <w:color w:val="auto"/>
          <w:sz w:val="30"/>
          <w:szCs w:val="32"/>
          <w:highlight w:val="none"/>
          <w:vertAlign w:val="baseline"/>
          <w:lang w:val="en-US" w:eastAsia="zh-CN"/>
        </w:rPr>
        <w:t>（</w:t>
      </w:r>
      <w:r>
        <w:rPr>
          <w:rFonts w:hint="eastAsia" w:ascii="Times New Roman" w:hAnsi="Times New Roman" w:eastAsia="仿宋" w:cs="Times New Roman"/>
          <w:color w:val="auto"/>
          <w:sz w:val="30"/>
          <w:szCs w:val="32"/>
          <w:highlight w:val="none"/>
          <w:vertAlign w:val="baseline"/>
          <w:lang w:val="en-US" w:eastAsia="zh-CN"/>
        </w:rPr>
        <w:t>水泥铣刨后敷设沥青</w:t>
      </w:r>
      <w:r>
        <w:rPr>
          <w:rFonts w:hint="default" w:ascii="Times New Roman" w:hAnsi="Times New Roman" w:eastAsia="仿宋" w:cs="Times New Roman"/>
          <w:color w:val="auto"/>
          <w:sz w:val="30"/>
          <w:szCs w:val="32"/>
          <w:highlight w:val="none"/>
          <w:vertAlign w:val="baseline"/>
          <w:lang w:val="en-US" w:eastAsia="zh-CN"/>
        </w:rPr>
        <w:t>）</w:t>
      </w:r>
    </w:p>
    <w:p w14:paraId="686A501A">
      <w:pPr>
        <w:ind w:firstLine="600" w:firstLineChars="200"/>
        <w:rPr>
          <w:rFonts w:hint="default" w:ascii="Times New Roman" w:hAnsi="Times New Roman" w:eastAsia="仿宋" w:cs="Times New Roman"/>
          <w:color w:val="auto"/>
          <w:sz w:val="30"/>
          <w:szCs w:val="32"/>
          <w:highlight w:val="none"/>
          <w:vertAlign w:val="baseline"/>
          <w:lang w:val="en-US" w:eastAsia="zh-CN"/>
        </w:rPr>
      </w:pPr>
      <w:r>
        <w:rPr>
          <w:rFonts w:hint="eastAsia" w:cstheme="majorBidi"/>
          <w:color w:val="auto"/>
          <w:sz w:val="30"/>
          <w:szCs w:val="32"/>
          <w:highlight w:val="none"/>
          <w:lang w:eastAsia="zh-CN"/>
        </w:rPr>
        <w:t>检查井井筒抬升</w:t>
      </w:r>
      <w:r>
        <w:rPr>
          <w:rFonts w:hint="eastAsia" w:cstheme="majorBidi"/>
          <w:color w:val="auto"/>
          <w:sz w:val="30"/>
          <w:szCs w:val="32"/>
          <w:highlight w:val="none"/>
          <w:lang w:val="en-US" w:eastAsia="zh-CN"/>
        </w:rPr>
        <w:t>29座（混凝土、抬升30mm）</w:t>
      </w:r>
    </w:p>
    <w:p w14:paraId="64331B23">
      <w:pPr>
        <w:ind w:firstLine="600" w:firstLineChars="200"/>
        <w:rPr>
          <w:rFonts w:hint="eastAsia" w:ascii="Times New Roman" w:hAnsi="Times New Roman" w:eastAsia="仿宋" w:cstheme="majorBidi"/>
          <w:color w:val="auto"/>
          <w:sz w:val="30"/>
          <w:szCs w:val="32"/>
          <w:highlight w:val="none"/>
          <w:lang w:eastAsia="zh-CN"/>
        </w:rPr>
      </w:pPr>
      <w:r>
        <w:rPr>
          <w:rFonts w:hint="default" w:ascii="Times New Roman" w:hAnsi="Times New Roman" w:cs="Times New Roman"/>
          <w:color w:val="auto"/>
          <w:sz w:val="30"/>
          <w:szCs w:val="32"/>
          <w:highlight w:val="none"/>
          <w:lang w:val="en-US" w:eastAsia="zh-CN"/>
        </w:rPr>
        <w:t>花岗岩</w:t>
      </w:r>
      <w:r>
        <w:rPr>
          <w:rFonts w:hint="default" w:ascii="Times New Roman" w:hAnsi="Times New Roman" w:eastAsia="仿宋" w:cs="Times New Roman"/>
          <w:color w:val="auto"/>
          <w:sz w:val="30"/>
          <w:szCs w:val="32"/>
          <w:highlight w:val="none"/>
          <w:lang w:val="en-US" w:eastAsia="zh-CN"/>
        </w:rPr>
        <w:t>侧石更换长度</w:t>
      </w:r>
      <w:r>
        <w:rPr>
          <w:rFonts w:hint="eastAsia" w:cs="Times New Roman"/>
          <w:color w:val="auto"/>
          <w:sz w:val="30"/>
          <w:szCs w:val="32"/>
          <w:highlight w:val="none"/>
          <w:lang w:val="en-US" w:eastAsia="zh-CN"/>
        </w:rPr>
        <w:t>6</w:t>
      </w:r>
      <w:r>
        <w:rPr>
          <w:rFonts w:hint="default" w:ascii="Times New Roman" w:hAnsi="Times New Roman" w:cs="Times New Roman"/>
          <w:color w:val="auto"/>
          <w:sz w:val="30"/>
          <w:szCs w:val="32"/>
          <w:highlight w:val="none"/>
          <w:lang w:val="en-US" w:eastAsia="zh-CN"/>
        </w:rPr>
        <w:t>95</w:t>
      </w:r>
      <w:r>
        <w:rPr>
          <w:rFonts w:hint="default" w:ascii="Times New Roman" w:hAnsi="Times New Roman" w:eastAsia="仿宋" w:cs="Times New Roman"/>
          <w:color w:val="auto"/>
          <w:sz w:val="30"/>
          <w:szCs w:val="32"/>
          <w:highlight w:val="none"/>
        </w:rPr>
        <w:t>m</w:t>
      </w:r>
      <w:r>
        <w:rPr>
          <w:rFonts w:hint="default" w:ascii="Times New Roman" w:hAnsi="Times New Roman" w:eastAsia="仿宋" w:cs="Times New Roman"/>
          <w:color w:val="auto"/>
          <w:sz w:val="30"/>
          <w:szCs w:val="32"/>
          <w:highlight w:val="none"/>
          <w:lang w:eastAsia="zh-CN"/>
        </w:rPr>
        <w:t>（</w:t>
      </w:r>
      <w:r>
        <w:rPr>
          <w:rFonts w:hint="default" w:ascii="Times New Roman" w:hAnsi="Times New Roman" w:eastAsia="仿宋" w:cs="Times New Roman"/>
          <w:color w:val="auto"/>
          <w:sz w:val="30"/>
          <w:szCs w:val="32"/>
          <w:highlight w:val="none"/>
          <w:lang w:val="en-US" w:eastAsia="zh-CN"/>
        </w:rPr>
        <w:t>侧石规格BxH=15x35</w:t>
      </w:r>
      <w:r>
        <w:rPr>
          <w:rFonts w:hint="eastAsia" w:ascii="Times New Roman" w:hAnsi="Times New Roman" w:eastAsia="仿宋" w:cstheme="majorBidi"/>
          <w:color w:val="auto"/>
          <w:sz w:val="30"/>
          <w:szCs w:val="32"/>
          <w:highlight w:val="none"/>
          <w:lang w:eastAsia="zh-CN"/>
        </w:rPr>
        <w:t>）</w:t>
      </w:r>
    </w:p>
    <w:p w14:paraId="1CC003E2">
      <w:pPr>
        <w:ind w:firstLine="600" w:firstLineChars="2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楼梯破除及恢复</w:t>
      </w:r>
    </w:p>
    <w:p w14:paraId="0C22FACC">
      <w:pPr>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长9m，宽1.7m，高0.7m（5级台阶，每级长9m，宽0.34m，高0.14m）1处（暂定砖砌楼梯）</w:t>
      </w:r>
    </w:p>
    <w:p w14:paraId="7B0185C4">
      <w:pPr>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长3.4m，宽5m，高1.7m（11级台阶，每级长3.4m，宽0.45m，高0.15m）1处（暂定砖砌楼梯）</w:t>
      </w:r>
    </w:p>
    <w:p w14:paraId="67C1B068">
      <w:pPr>
        <w:ind w:firstLine="600" w:firstLineChars="2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挡墙破除及恢复</w:t>
      </w:r>
    </w:p>
    <w:p w14:paraId="61D19FCA">
      <w:pPr>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高2.7m，宽6m挡墙1处（暂定混凝土挡墙）</w:t>
      </w:r>
    </w:p>
    <w:p w14:paraId="49FDA473">
      <w:pPr>
        <w:ind w:firstLine="900" w:firstLineChars="300"/>
        <w:rPr>
          <w:rFonts w:hint="eastAsia" w:cstheme="majorBidi"/>
          <w:color w:val="auto"/>
          <w:sz w:val="30"/>
          <w:szCs w:val="32"/>
          <w:highlight w:val="none"/>
          <w:lang w:val="en-US" w:eastAsia="zh-CN"/>
        </w:rPr>
      </w:pPr>
      <w:r>
        <w:rPr>
          <w:rFonts w:hint="eastAsia" w:cstheme="majorBidi"/>
          <w:color w:val="auto"/>
          <w:sz w:val="30"/>
          <w:szCs w:val="32"/>
          <w:highlight w:val="none"/>
          <w:lang w:val="en-US" w:eastAsia="zh-CN"/>
        </w:rPr>
        <w:t>高2.4m，宽6m挡墙1处（暂定混凝土挡墙）</w:t>
      </w:r>
    </w:p>
    <w:p w14:paraId="15389F84">
      <w:pPr>
        <w:pStyle w:val="2"/>
        <w:rPr>
          <w:color w:val="auto"/>
        </w:rPr>
      </w:pPr>
      <w:r>
        <w:rPr>
          <w:rFonts w:hint="eastAsia"/>
          <w:color w:val="auto"/>
        </w:rPr>
        <w:t>施工注意事项</w:t>
      </w:r>
    </w:p>
    <w:p w14:paraId="78A2D663">
      <w:pPr>
        <w:pStyle w:val="37"/>
        <w:widowControl/>
        <w:numPr>
          <w:ilvl w:val="2"/>
          <w:numId w:val="4"/>
        </w:numPr>
        <w:spacing w:line="360" w:lineRule="auto"/>
        <w:ind w:firstLineChars="0"/>
        <w:rPr>
          <w:rFonts w:cstheme="majorBidi"/>
          <w:color w:val="auto"/>
          <w:szCs w:val="32"/>
        </w:rPr>
      </w:pPr>
      <w:r>
        <w:rPr>
          <w:rFonts w:ascii="Times New Roman" w:hAnsi="Times New Roman" w:eastAsia="仿宋" w:cstheme="majorBidi"/>
          <w:color w:val="auto"/>
          <w:sz w:val="30"/>
          <w:szCs w:val="32"/>
        </w:rPr>
        <w:t>本次设计采用的</w:t>
      </w:r>
      <w:r>
        <w:rPr>
          <w:rFonts w:hint="eastAsia" w:ascii="Times New Roman" w:hAnsi="Times New Roman" w:eastAsia="仿宋" w:cstheme="majorBidi"/>
          <w:color w:val="auto"/>
          <w:sz w:val="30"/>
          <w:szCs w:val="32"/>
        </w:rPr>
        <w:t>太原独立坐标系</w:t>
      </w:r>
      <w:r>
        <w:rPr>
          <w:rFonts w:ascii="Times New Roman" w:hAnsi="Times New Roman" w:eastAsia="仿宋" w:cstheme="majorBidi"/>
          <w:color w:val="auto"/>
          <w:sz w:val="30"/>
          <w:szCs w:val="32"/>
        </w:rPr>
        <w:t>、</w:t>
      </w:r>
      <w:r>
        <w:rPr>
          <w:rFonts w:hint="eastAsia" w:ascii="Times New Roman" w:hAnsi="Times New Roman" w:eastAsia="仿宋" w:cstheme="majorBidi"/>
          <w:color w:val="auto"/>
          <w:sz w:val="30"/>
          <w:szCs w:val="32"/>
        </w:rPr>
        <w:t>高程系为大沽高程基准</w:t>
      </w:r>
      <w:r>
        <w:rPr>
          <w:rFonts w:ascii="Times New Roman" w:hAnsi="Times New Roman" w:eastAsia="仿宋" w:cstheme="majorBidi"/>
          <w:color w:val="auto"/>
          <w:sz w:val="30"/>
          <w:szCs w:val="32"/>
        </w:rPr>
        <w:t>。</w:t>
      </w:r>
    </w:p>
    <w:p w14:paraId="70079601">
      <w:pPr>
        <w:pStyle w:val="37"/>
        <w:widowControl/>
        <w:numPr>
          <w:ilvl w:val="2"/>
          <w:numId w:val="4"/>
        </w:numPr>
        <w:spacing w:line="360" w:lineRule="auto"/>
        <w:ind w:firstLineChars="0"/>
        <w:rPr>
          <w:rFonts w:cstheme="majorBidi"/>
          <w:color w:val="auto"/>
          <w:szCs w:val="32"/>
        </w:rPr>
      </w:pPr>
      <w:r>
        <w:rPr>
          <w:rFonts w:hint="eastAsia" w:cstheme="majorBidi"/>
          <w:color w:val="auto"/>
          <w:szCs w:val="32"/>
        </w:rPr>
        <w:t>施工单位在开工前，需对本工程相关的</w:t>
      </w:r>
      <w:r>
        <w:rPr>
          <w:rFonts w:hint="eastAsia" w:cstheme="majorBidi"/>
          <w:color w:val="auto"/>
          <w:szCs w:val="32"/>
          <w:lang w:val="en-US" w:eastAsia="zh-CN"/>
        </w:rPr>
        <w:t>校区</w:t>
      </w:r>
      <w:r>
        <w:rPr>
          <w:rFonts w:hint="eastAsia" w:cstheme="majorBidi"/>
          <w:color w:val="auto"/>
          <w:szCs w:val="32"/>
        </w:rPr>
        <w:t>现状排水管道、设计管线各接入点的管径及标高进行测量、与本施工图中所标示核对无误后，方可开工，如与设计不符，请及时与设计人员联系。校测无误后严格从下游向上游施工。</w:t>
      </w:r>
    </w:p>
    <w:p w14:paraId="40080CF2">
      <w:pPr>
        <w:pStyle w:val="37"/>
        <w:widowControl/>
        <w:numPr>
          <w:ilvl w:val="2"/>
          <w:numId w:val="4"/>
        </w:numPr>
        <w:spacing w:line="360" w:lineRule="auto"/>
        <w:ind w:firstLineChars="0"/>
        <w:rPr>
          <w:rFonts w:cstheme="majorBidi"/>
          <w:color w:val="auto"/>
          <w:szCs w:val="32"/>
        </w:rPr>
      </w:pPr>
      <w:r>
        <w:rPr>
          <w:rFonts w:ascii="Times New Roman" w:hAnsi="Times New Roman" w:eastAsia="仿宋" w:cstheme="majorBidi"/>
          <w:color w:val="auto"/>
          <w:sz w:val="30"/>
          <w:szCs w:val="32"/>
        </w:rPr>
        <w:t>管线</w:t>
      </w:r>
      <w:r>
        <w:rPr>
          <w:rFonts w:hint="eastAsia" w:cstheme="majorBidi"/>
          <w:color w:val="auto"/>
          <w:sz w:val="30"/>
          <w:szCs w:val="32"/>
          <w:lang w:eastAsia="zh-CN"/>
        </w:rPr>
        <w:t>节点</w:t>
      </w:r>
      <w:r>
        <w:rPr>
          <w:rFonts w:hint="eastAsia" w:ascii="Times New Roman" w:hAnsi="Times New Roman" w:eastAsia="仿宋" w:cstheme="majorBidi"/>
          <w:color w:val="auto"/>
          <w:sz w:val="30"/>
          <w:szCs w:val="32"/>
        </w:rPr>
        <w:t>均</w:t>
      </w:r>
      <w:r>
        <w:rPr>
          <w:rFonts w:ascii="Times New Roman" w:hAnsi="Times New Roman" w:eastAsia="仿宋" w:cstheme="majorBidi"/>
          <w:color w:val="auto"/>
          <w:sz w:val="30"/>
          <w:szCs w:val="32"/>
        </w:rPr>
        <w:t>由坐标控制。施工前应熟悉场地设计管线管位、高程及用途，做好施工组织方案，并对可能出现的各种情况做充分应对预案，确保施工安全。</w:t>
      </w:r>
    </w:p>
    <w:p w14:paraId="72BA71C8">
      <w:pPr>
        <w:pStyle w:val="37"/>
        <w:widowControl/>
        <w:numPr>
          <w:ilvl w:val="2"/>
          <w:numId w:val="4"/>
        </w:numPr>
        <w:spacing w:line="360" w:lineRule="auto"/>
        <w:ind w:firstLineChars="0"/>
        <w:rPr>
          <w:rFonts w:cstheme="majorBidi"/>
          <w:color w:val="auto"/>
          <w:szCs w:val="32"/>
        </w:rPr>
      </w:pPr>
      <w:r>
        <w:rPr>
          <w:rFonts w:hint="eastAsia" w:cstheme="majorBidi"/>
          <w:color w:val="auto"/>
          <w:szCs w:val="32"/>
        </w:rPr>
        <w:t>施工中开挖时应对现状保留管线进行妥善保护。如现状燃气管线、供热管线等其他管线管位与本次新设计雨污水管线位置有冲突，及时与业主、设计和监理人员联系，进行本次设计雨污水管线高程和位置调整或进行局部管线改迁，确保本工程顺利实施。</w:t>
      </w:r>
    </w:p>
    <w:p w14:paraId="06FB516F">
      <w:pPr>
        <w:pStyle w:val="37"/>
        <w:widowControl/>
        <w:numPr>
          <w:ilvl w:val="2"/>
          <w:numId w:val="4"/>
        </w:numPr>
        <w:spacing w:line="360" w:lineRule="auto"/>
        <w:ind w:firstLineChars="0"/>
        <w:rPr>
          <w:rFonts w:cstheme="majorBidi"/>
          <w:color w:val="auto"/>
          <w:szCs w:val="32"/>
        </w:rPr>
      </w:pPr>
      <w:r>
        <w:rPr>
          <w:rFonts w:hint="eastAsia" w:cstheme="majorBidi"/>
          <w:color w:val="auto"/>
          <w:szCs w:val="32"/>
        </w:rPr>
        <w:t>施工前，建设单位应通知及协调沿线各用户单位，如需增设雨、污水支管，施工时可根据施工现场实际情况及，适当调整井位或增设雨、污水支管，并及时与设计人员联系。</w:t>
      </w:r>
    </w:p>
    <w:p w14:paraId="320B852C">
      <w:pPr>
        <w:pStyle w:val="37"/>
        <w:widowControl/>
        <w:numPr>
          <w:ilvl w:val="2"/>
          <w:numId w:val="4"/>
        </w:numPr>
        <w:spacing w:line="360" w:lineRule="auto"/>
        <w:ind w:firstLineChars="0"/>
        <w:rPr>
          <w:rFonts w:cstheme="majorBidi"/>
          <w:color w:val="auto"/>
          <w:szCs w:val="32"/>
        </w:rPr>
      </w:pPr>
      <w:r>
        <w:rPr>
          <w:rFonts w:hint="eastAsia" w:ascii="Times New Roman" w:hAnsi="Times New Roman" w:eastAsia="仿宋" w:cstheme="majorBidi"/>
          <w:color w:val="auto"/>
          <w:sz w:val="30"/>
          <w:szCs w:val="32"/>
        </w:rPr>
        <w:t>检查井及雨水口施工时，其位置可进行适当调整，结合现状树穴、灯杆位置，雨水连接管合理避让。结合道路竖向设计高程，将雨水口设在道路低点处。雨水口连接管如位于道路设计范围内，由于道路水稳层施工碾压，应采用反挖施工方法，即底层水稳层碾压施工达到密实度要求后，开始挖管槽施工。</w:t>
      </w:r>
    </w:p>
    <w:p w14:paraId="5E1BF488">
      <w:pPr>
        <w:pStyle w:val="37"/>
        <w:widowControl/>
        <w:numPr>
          <w:ilvl w:val="2"/>
          <w:numId w:val="4"/>
        </w:numPr>
        <w:spacing w:line="360" w:lineRule="auto"/>
        <w:ind w:firstLineChars="0"/>
        <w:rPr>
          <w:rFonts w:cstheme="majorBidi"/>
          <w:color w:val="auto"/>
          <w:szCs w:val="32"/>
        </w:rPr>
      </w:pPr>
      <w:r>
        <w:rPr>
          <w:rFonts w:hint="eastAsia" w:cstheme="majorBidi"/>
          <w:color w:val="auto"/>
          <w:szCs w:val="32"/>
        </w:rPr>
        <w:t>新设计雨、污水管道施工完毕后，要求沿线全部雨、污水用户支管，按其功能分别接入雨、污水主线，不得遗漏，不得出现雨污混接现象。</w:t>
      </w:r>
    </w:p>
    <w:p w14:paraId="48107F7F">
      <w:pPr>
        <w:pStyle w:val="37"/>
        <w:widowControl/>
        <w:numPr>
          <w:ilvl w:val="2"/>
          <w:numId w:val="4"/>
        </w:numPr>
        <w:spacing w:line="360" w:lineRule="auto"/>
        <w:ind w:firstLineChars="0"/>
        <w:rPr>
          <w:rFonts w:cstheme="majorBidi"/>
          <w:color w:val="auto"/>
          <w:szCs w:val="32"/>
        </w:rPr>
      </w:pPr>
      <w:r>
        <w:rPr>
          <w:rFonts w:hint="eastAsia" w:cstheme="majorBidi"/>
          <w:color w:val="auto"/>
          <w:szCs w:val="32"/>
        </w:rPr>
        <w:t>接入现状检查井，通风不良会造成有毒有害集聚及氧含量不足，属于有限空间，施工时要严格按照相关规程、规定及要求等落实有限空间作业各项安全措施，确保作业安全。</w:t>
      </w:r>
    </w:p>
    <w:p w14:paraId="510CE071">
      <w:pPr>
        <w:pStyle w:val="37"/>
        <w:widowControl/>
        <w:numPr>
          <w:ilvl w:val="2"/>
          <w:numId w:val="4"/>
        </w:numPr>
        <w:spacing w:line="360" w:lineRule="auto"/>
        <w:ind w:firstLineChars="0"/>
        <w:rPr>
          <w:rFonts w:cstheme="majorBidi"/>
          <w:color w:val="auto"/>
          <w:szCs w:val="32"/>
        </w:rPr>
      </w:pPr>
      <w:r>
        <w:rPr>
          <w:rFonts w:hint="eastAsia" w:cstheme="majorBidi"/>
          <w:color w:val="auto"/>
          <w:szCs w:val="32"/>
        </w:rPr>
        <w:t>现状道路拆除管线必须完全拆除并回填压实，压实度满足《给水排水管道工程施工及验收规范》（GB/T  50268-2008）的要求</w:t>
      </w:r>
      <w:r>
        <w:rPr>
          <w:rFonts w:hint="eastAsia" w:cstheme="majorBidi"/>
          <w:color w:val="auto"/>
          <w:szCs w:val="32"/>
          <w:lang w:eastAsia="zh-CN"/>
        </w:rPr>
        <w:t>。</w:t>
      </w:r>
    </w:p>
    <w:p w14:paraId="6C746646">
      <w:pPr>
        <w:pStyle w:val="37"/>
        <w:widowControl/>
        <w:numPr>
          <w:ilvl w:val="2"/>
          <w:numId w:val="4"/>
        </w:numPr>
        <w:spacing w:line="360" w:lineRule="auto"/>
        <w:ind w:firstLineChars="0"/>
        <w:rPr>
          <w:rFonts w:cstheme="majorBidi"/>
          <w:color w:val="auto"/>
          <w:szCs w:val="32"/>
        </w:rPr>
      </w:pPr>
      <w:r>
        <w:rPr>
          <w:rFonts w:hint="eastAsia" w:cstheme="majorBidi"/>
          <w:color w:val="auto"/>
          <w:szCs w:val="32"/>
        </w:rPr>
        <w:t>管道施工完毕后，管道进行闭水试验，闭水试验结果应满足现行国家标准《给水排水管道工程施工及验收规范》（GB/T  50268-2008）的要求。</w:t>
      </w:r>
    </w:p>
    <w:p w14:paraId="3C6D517C">
      <w:pPr>
        <w:pStyle w:val="37"/>
        <w:widowControl/>
        <w:numPr>
          <w:ilvl w:val="2"/>
          <w:numId w:val="4"/>
        </w:numPr>
        <w:spacing w:line="360" w:lineRule="auto"/>
        <w:ind w:firstLineChars="0"/>
        <w:rPr>
          <w:rFonts w:cstheme="majorBidi"/>
          <w:color w:val="auto"/>
          <w:szCs w:val="32"/>
        </w:rPr>
      </w:pPr>
      <w:r>
        <w:rPr>
          <w:rFonts w:hint="eastAsia" w:cstheme="majorBidi"/>
          <w:color w:val="auto"/>
          <w:szCs w:val="32"/>
        </w:rPr>
        <w:t>施工时如发现实地与设计不符时,请及时与设计单位联系协商解决。本工程必须经建设、质检、设计、监理等单位联合验收后方可投入使用。</w:t>
      </w:r>
    </w:p>
    <w:p w14:paraId="0D0E40ED">
      <w:pPr>
        <w:pStyle w:val="37"/>
        <w:widowControl/>
        <w:numPr>
          <w:ilvl w:val="2"/>
          <w:numId w:val="4"/>
        </w:numPr>
        <w:spacing w:line="360" w:lineRule="auto"/>
        <w:ind w:firstLineChars="0"/>
        <w:rPr>
          <w:rFonts w:cs="Times New Roman"/>
          <w:color w:val="auto"/>
          <w:szCs w:val="32"/>
        </w:rPr>
      </w:pPr>
      <w:r>
        <w:rPr>
          <w:rFonts w:cstheme="majorBidi"/>
          <w:color w:val="auto"/>
          <w:szCs w:val="32"/>
        </w:rPr>
        <w:t>未尽事宜均严格按国家现行的有关规定、规范执行。</w:t>
      </w:r>
    </w:p>
    <w:sectPr>
      <w:type w:val="continuous"/>
      <w:pgSz w:w="23811" w:h="16838" w:orient="landscape"/>
      <w:pgMar w:top="1134" w:right="1418" w:bottom="2268" w:left="2268"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方正黑体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C81CB">
    <w:pPr>
      <w:pStyle w:val="11"/>
      <w:tabs>
        <w:tab w:val="left" w:pos="11925"/>
        <w:tab w:val="clear" w:pos="4153"/>
        <w:tab w:val="clear" w:pos="8306"/>
      </w:tabs>
    </w:pPr>
    <w:r>
      <mc:AlternateContent>
        <mc:Choice Requires="wps">
          <w:drawing>
            <wp:anchor distT="0" distB="0" distL="114300" distR="114300" simplePos="0" relativeHeight="251660288" behindDoc="0" locked="0" layoutInCell="1" allowOverlap="1">
              <wp:simplePos x="0" y="0"/>
              <wp:positionH relativeFrom="column">
                <wp:posOffset>6628130</wp:posOffset>
              </wp:positionH>
              <wp:positionV relativeFrom="paragraph">
                <wp:posOffset>-346710</wp:posOffset>
              </wp:positionV>
              <wp:extent cx="744220" cy="273685"/>
              <wp:effectExtent l="0" t="0" r="0" b="0"/>
              <wp:wrapNone/>
              <wp:docPr id="2" name="专业负责人"/>
              <wp:cNvGraphicFramePr/>
              <a:graphic xmlns:a="http://schemas.openxmlformats.org/drawingml/2006/main">
                <a:graphicData uri="http://schemas.microsoft.com/office/word/2010/wordprocessingShape">
                  <wps:wsp>
                    <wps:cNvSpPr txBox="1">
                      <a:spLocks noChangeArrowheads="1"/>
                    </wps:cNvSpPr>
                    <wps:spPr bwMode="auto">
                      <a:xfrm>
                        <a:off x="0" y="0"/>
                        <a:ext cx="744220" cy="273685"/>
                      </a:xfrm>
                      <a:prstGeom prst="rect">
                        <a:avLst/>
                      </a:prstGeom>
                      <a:noFill/>
                      <a:ln w="9525">
                        <a:noFill/>
                        <a:miter lim="800000"/>
                      </a:ln>
                    </wps:spPr>
                    <wps:txbx>
                      <w:txbxContent>
                        <w:p w14:paraId="31236D85">
                          <w:pPr>
                            <w:jc w:val="center"/>
                            <w:rPr>
                              <w:rFonts w:hint="eastAsia" w:ascii="宋体" w:hAnsi="宋体" w:eastAsia="宋体" w:cs="宋体"/>
                              <w:sz w:val="21"/>
                              <w:szCs w:val="21"/>
                            </w:rPr>
                          </w:pPr>
                          <w:r>
                            <w:rPr>
                              <w:rFonts w:hint="eastAsia" w:ascii="宋体" w:hAnsi="宋体" w:eastAsia="宋体" w:cs="宋体"/>
                              <w:sz w:val="21"/>
                              <w:szCs w:val="21"/>
                            </w:rPr>
                            <w:t>王  方</w:t>
                          </w:r>
                        </w:p>
                      </w:txbxContent>
                    </wps:txbx>
                    <wps:bodyPr rot="0" vert="horz" wrap="square" lIns="91440" tIns="45720" rIns="91440" bIns="45720" anchor="ctr" anchorCtr="0">
                      <a:noAutofit/>
                    </wps:bodyPr>
                  </wps:wsp>
                </a:graphicData>
              </a:graphic>
            </wp:anchor>
          </w:drawing>
        </mc:Choice>
        <mc:Fallback>
          <w:pict>
            <v:shape id="专业负责人" o:spid="_x0000_s1026" o:spt="202" type="#_x0000_t202" style="position:absolute;left:0pt;margin-left:521.9pt;margin-top:-27.3pt;height:21.55pt;width:58.6pt;z-index:251660288;v-text-anchor:middle;mso-width-relative:page;mso-height-relative:page;" filled="f" stroked="f" coordsize="21600,21600" o:gfxdata="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elU/d2gAAAA0BAAAPAAAAAAAAAAEAIAAAACIAAABkcnMvZG93bnJldi54bWxQSwEC&#10;FAAUAAAACACHTuJA37PQECsCAAAuBAAADgAAAAAAAAABACAAAAApAQAAZHJzL2Uyb0RvYy54bWxQ&#10;SwUGAAAAAAYABgBZAQAAxgUAAAAA&#10;">
              <v:fill on="f" focussize="0,0"/>
              <v:stroke on="f" miterlimit="8" joinstyle="miter"/>
              <v:imagedata o:title=""/>
              <o:lock v:ext="edit" aspectratio="f"/>
              <v:textbox>
                <w:txbxContent>
                  <w:p w14:paraId="31236D85">
                    <w:pPr>
                      <w:jc w:val="center"/>
                      <w:rPr>
                        <w:rFonts w:hint="eastAsia" w:ascii="宋体" w:hAnsi="宋体" w:eastAsia="宋体" w:cs="宋体"/>
                        <w:sz w:val="21"/>
                        <w:szCs w:val="21"/>
                      </w:rPr>
                    </w:pPr>
                    <w:r>
                      <w:rPr>
                        <w:rFonts w:hint="eastAsia" w:ascii="宋体" w:hAnsi="宋体" w:eastAsia="宋体" w:cs="宋体"/>
                        <w:sz w:val="21"/>
                        <w:szCs w:val="21"/>
                      </w:rPr>
                      <w:t>王  方</w:t>
                    </w:r>
                  </w:p>
                </w:txbxContent>
              </v:textbox>
            </v:shape>
          </w:pict>
        </mc:Fallback>
      </mc:AlternateContent>
    </w:r>
    <w:r>
      <mc:AlternateContent>
        <mc:Choice Requires="wpg">
          <w:drawing>
            <wp:anchor distT="0" distB="0" distL="114300" distR="114300" simplePos="0" relativeHeight="251659264" behindDoc="0" locked="0" layoutInCell="1" allowOverlap="1">
              <wp:simplePos x="0" y="0"/>
              <wp:positionH relativeFrom="column">
                <wp:posOffset>3803650</wp:posOffset>
              </wp:positionH>
              <wp:positionV relativeFrom="paragraph">
                <wp:posOffset>-598805</wp:posOffset>
              </wp:positionV>
              <wp:extent cx="9519920" cy="1042670"/>
              <wp:effectExtent l="0" t="0" r="0" b="0"/>
              <wp:wrapNone/>
              <wp:docPr id="21" name="图签"/>
              <wp:cNvGraphicFramePr/>
              <a:graphic xmlns:a="http://schemas.openxmlformats.org/drawingml/2006/main">
                <a:graphicData uri="http://schemas.microsoft.com/office/word/2010/wordprocessingGroup">
                  <wpg:wgp>
                    <wpg:cNvGrpSpPr/>
                    <wpg:grpSpPr>
                      <a:xfrm>
                        <a:off x="0" y="0"/>
                        <a:ext cx="9519920" cy="1042775"/>
                        <a:chOff x="177141" y="-64587"/>
                        <a:chExt cx="9519920" cy="1042840"/>
                      </a:xfrm>
                    </wpg:grpSpPr>
                    <wps:wsp>
                      <wps:cNvPr id="17" name="版次"/>
                      <wps:cNvSpPr txBox="1">
                        <a:spLocks noChangeArrowheads="1"/>
                      </wps:cNvSpPr>
                      <wps:spPr bwMode="auto">
                        <a:xfrm>
                          <a:off x="9000466" y="667052"/>
                          <a:ext cx="681990" cy="287702"/>
                        </a:xfrm>
                        <a:prstGeom prst="rect">
                          <a:avLst/>
                        </a:prstGeom>
                        <a:noFill/>
                        <a:ln w="9525">
                          <a:noFill/>
                          <a:miter lim="800000"/>
                        </a:ln>
                      </wps:spPr>
                      <wps:txbx>
                        <w:txbxContent>
                          <w:p w14:paraId="5D4746ED">
                            <w:pPr>
                              <w:jc w:val="center"/>
                              <w:rPr>
                                <w:rFonts w:hint="eastAsia" w:ascii="宋体" w:hAnsi="宋体" w:eastAsia="宋体" w:cs="宋体"/>
                                <w:sz w:val="21"/>
                                <w:szCs w:val="21"/>
                              </w:rPr>
                            </w:pPr>
                            <w:r>
                              <w:rPr>
                                <w:rFonts w:hint="eastAsia" w:ascii="宋体" w:hAnsi="宋体" w:eastAsia="宋体" w:cs="宋体"/>
                                <w:sz w:val="21"/>
                                <w:szCs w:val="21"/>
                              </w:rPr>
                              <w:t>1</w:t>
                            </w:r>
                          </w:p>
                        </w:txbxContent>
                      </wps:txbx>
                      <wps:bodyPr rot="0" vert="horz" wrap="square" lIns="91440" tIns="45720" rIns="91440" bIns="45720" anchor="ctr" anchorCtr="0">
                        <a:noAutofit/>
                      </wps:bodyPr>
                    </wps:wsp>
                    <wps:wsp>
                      <wps:cNvPr id="18" name="日期"/>
                      <wps:cNvSpPr txBox="1">
                        <a:spLocks noChangeArrowheads="1"/>
                      </wps:cNvSpPr>
                      <wps:spPr bwMode="auto">
                        <a:xfrm>
                          <a:off x="9029676" y="444131"/>
                          <a:ext cx="667385" cy="241339"/>
                        </a:xfrm>
                        <a:prstGeom prst="rect">
                          <a:avLst/>
                        </a:prstGeom>
                        <a:noFill/>
                        <a:ln w="9525">
                          <a:noFill/>
                          <a:miter lim="800000"/>
                        </a:ln>
                      </wps:spPr>
                      <wps:txbx>
                        <w:txbxContent>
                          <w:p w14:paraId="3EE9CB39">
                            <w:pPr>
                              <w:jc w:val="both"/>
                              <w:rPr>
                                <w:rFonts w:hint="default" w:ascii="宋体" w:hAnsi="宋体" w:eastAsia="宋体" w:cs="宋体"/>
                                <w:w w:val="90"/>
                                <w:sz w:val="21"/>
                                <w:szCs w:val="21"/>
                                <w:lang w:val="en-US" w:eastAsia="zh-CN"/>
                              </w:rPr>
                            </w:pPr>
                            <w:r>
                              <w:rPr>
                                <w:rFonts w:hint="eastAsia" w:ascii="宋体" w:hAnsi="宋体" w:eastAsia="宋体" w:cs="宋体"/>
                                <w:w w:val="90"/>
                                <w:sz w:val="21"/>
                                <w:szCs w:val="21"/>
                              </w:rPr>
                              <w:t>202</w:t>
                            </w:r>
                            <w:r>
                              <w:rPr>
                                <w:rFonts w:hint="eastAsia" w:ascii="宋体" w:hAnsi="宋体" w:eastAsia="宋体" w:cs="宋体"/>
                                <w:w w:val="90"/>
                                <w:sz w:val="21"/>
                                <w:szCs w:val="21"/>
                                <w:lang w:val="en-US" w:eastAsia="zh-CN"/>
                              </w:rPr>
                              <w:t>6.04</w:t>
                            </w:r>
                          </w:p>
                        </w:txbxContent>
                      </wps:txbx>
                      <wps:bodyPr rot="0" vert="horz" wrap="square" lIns="91440" tIns="45720" rIns="91440" bIns="45720" anchor="ctr" anchorCtr="0">
                        <a:noAutofit/>
                      </wps:bodyPr>
                    </wps:wsp>
                    <wps:wsp>
                      <wps:cNvPr id="1" name="图号"/>
                      <wps:cNvSpPr txBox="1">
                        <a:spLocks noChangeArrowheads="1"/>
                      </wps:cNvSpPr>
                      <wps:spPr bwMode="auto">
                        <a:xfrm>
                          <a:off x="9094446" y="180563"/>
                          <a:ext cx="554990" cy="254677"/>
                        </a:xfrm>
                        <a:prstGeom prst="rect">
                          <a:avLst/>
                        </a:prstGeom>
                        <a:noFill/>
                        <a:ln w="9525">
                          <a:noFill/>
                          <a:miter lim="800000"/>
                        </a:ln>
                      </wps:spPr>
                      <wps:txbx>
                        <w:txbxContent>
                          <w:p w14:paraId="12EC9205">
                            <w:pPr>
                              <w:rPr>
                                <w:rFonts w:hint="eastAsia" w:ascii="宋体" w:hAnsi="宋体" w:eastAsia="宋体" w:cs="宋体"/>
                                <w:sz w:val="21"/>
                                <w:szCs w:val="21"/>
                              </w:rPr>
                            </w:pPr>
                            <w:r>
                              <w:rPr>
                                <w:rFonts w:hint="eastAsia" w:ascii="宋体" w:hAnsi="宋体" w:eastAsia="宋体" w:cs="宋体"/>
                                <w:sz w:val="21"/>
                                <w:szCs w:val="21"/>
                              </w:rPr>
                              <w:t>SM-</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MERGEFORMAT</w:instrText>
                            </w:r>
                            <w:r>
                              <w:rPr>
                                <w:rFonts w:hint="eastAsia" w:ascii="宋体" w:hAnsi="宋体" w:eastAsia="宋体" w:cs="宋体"/>
                                <w:sz w:val="21"/>
                                <w:szCs w:val="21"/>
                              </w:rPr>
                              <w:fldChar w:fldCharType="separate"/>
                            </w:r>
                            <w:r>
                              <w:rPr>
                                <w:rFonts w:hint="eastAsia" w:ascii="宋体" w:hAnsi="宋体" w:eastAsia="宋体" w:cs="宋体"/>
                                <w:sz w:val="21"/>
                                <w:szCs w:val="21"/>
                                <w:lang w:val="zh-CN"/>
                              </w:rPr>
                              <w:t>1</w:t>
                            </w:r>
                            <w:r>
                              <w:rPr>
                                <w:rFonts w:hint="eastAsia" w:ascii="宋体" w:hAnsi="宋体" w:eastAsia="宋体" w:cs="宋体"/>
                                <w:sz w:val="21"/>
                                <w:szCs w:val="21"/>
                              </w:rPr>
                              <w:fldChar w:fldCharType="end"/>
                            </w:r>
                          </w:p>
                        </w:txbxContent>
                      </wps:txbx>
                      <wps:bodyPr rot="0" vert="horz" wrap="square" lIns="91440" tIns="45720" rIns="91440" bIns="45720" anchor="ctr" anchorCtr="0">
                        <a:noAutofit/>
                      </wps:bodyPr>
                    </wps:wsp>
                    <wps:wsp>
                      <wps:cNvPr id="9" name="审定"/>
                      <wps:cNvSpPr txBox="1">
                        <a:spLocks noChangeArrowheads="1"/>
                      </wps:cNvSpPr>
                      <wps:spPr bwMode="auto">
                        <a:xfrm>
                          <a:off x="5204436" y="670228"/>
                          <a:ext cx="718820" cy="254041"/>
                        </a:xfrm>
                        <a:prstGeom prst="rect">
                          <a:avLst/>
                        </a:prstGeom>
                        <a:noFill/>
                        <a:ln w="9525">
                          <a:noFill/>
                          <a:miter lim="800000"/>
                        </a:ln>
                      </wps:spPr>
                      <wps:txbx>
                        <w:txbxContent>
                          <w:p w14:paraId="5FB236A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王  旭</w:t>
                            </w:r>
                          </w:p>
                        </w:txbxContent>
                      </wps:txbx>
                      <wps:bodyPr rot="0" vert="horz" wrap="square" lIns="91440" tIns="45720" rIns="91440" bIns="45720" anchor="ctr" anchorCtr="0">
                        <a:noAutofit/>
                      </wps:bodyPr>
                    </wps:wsp>
                    <wps:wsp>
                      <wps:cNvPr id="11" name="审核"/>
                      <wps:cNvSpPr txBox="1">
                        <a:spLocks noChangeArrowheads="1"/>
                      </wps:cNvSpPr>
                      <wps:spPr bwMode="auto">
                        <a:xfrm>
                          <a:off x="3034006" y="430794"/>
                          <a:ext cx="698500" cy="260392"/>
                        </a:xfrm>
                        <a:prstGeom prst="rect">
                          <a:avLst/>
                        </a:prstGeom>
                        <a:noFill/>
                        <a:ln w="9525">
                          <a:noFill/>
                          <a:miter lim="800000"/>
                        </a:ln>
                      </wps:spPr>
                      <wps:txbx>
                        <w:txbxContent>
                          <w:p w14:paraId="6D30681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管思洋</w:t>
                            </w:r>
                          </w:p>
                        </w:txbxContent>
                      </wps:txbx>
                      <wps:bodyPr rot="0" vert="horz" wrap="square" lIns="91440" tIns="45720" rIns="91440" bIns="45720" anchor="ctr" anchorCtr="0">
                        <a:noAutofit/>
                      </wps:bodyPr>
                    </wps:wsp>
                    <wps:wsp>
                      <wps:cNvPr id="10" name="校核"/>
                      <wps:cNvSpPr txBox="1">
                        <a:spLocks noChangeArrowheads="1"/>
                      </wps:cNvSpPr>
                      <wps:spPr bwMode="auto">
                        <a:xfrm>
                          <a:off x="2986381" y="674674"/>
                          <a:ext cx="786130" cy="248325"/>
                        </a:xfrm>
                        <a:prstGeom prst="rect">
                          <a:avLst/>
                        </a:prstGeom>
                        <a:noFill/>
                        <a:ln w="9525">
                          <a:noFill/>
                          <a:miter lim="800000"/>
                        </a:ln>
                      </wps:spPr>
                      <wps:txbx>
                        <w:txbxContent>
                          <w:p w14:paraId="6F2DA49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白生云</w:t>
                            </w:r>
                          </w:p>
                        </w:txbxContent>
                      </wps:txbx>
                      <wps:bodyPr rot="0" vert="horz" wrap="square" lIns="91440" tIns="45720" rIns="91440" bIns="45720" anchor="ctr" anchorCtr="0">
                        <a:noAutofit/>
                      </wps:bodyPr>
                    </wps:wsp>
                    <wps:wsp>
                      <wps:cNvPr id="12" name="校对"/>
                      <wps:cNvSpPr txBox="1">
                        <a:spLocks noChangeArrowheads="1"/>
                      </wps:cNvSpPr>
                      <wps:spPr bwMode="auto">
                        <a:xfrm>
                          <a:off x="7231991" y="406025"/>
                          <a:ext cx="771525" cy="320092"/>
                        </a:xfrm>
                        <a:prstGeom prst="rect">
                          <a:avLst/>
                        </a:prstGeom>
                        <a:noFill/>
                        <a:ln w="9525">
                          <a:noFill/>
                          <a:miter lim="800000"/>
                        </a:ln>
                      </wps:spPr>
                      <wps:txbx>
                        <w:txbxContent>
                          <w:p w14:paraId="01FCA4A1">
                            <w:pPr>
                              <w:jc w:val="center"/>
                              <w:rPr>
                                <w:rFonts w:hint="eastAsia" w:ascii="方正黑体简体" w:eastAsia="宋体"/>
                                <w:sz w:val="21"/>
                                <w:szCs w:val="21"/>
                                <w:lang w:val="en-US" w:eastAsia="zh-CN"/>
                              </w:rPr>
                            </w:pPr>
                            <w:r>
                              <w:rPr>
                                <w:rFonts w:hint="eastAsia" w:ascii="宋体" w:hAnsi="宋体" w:eastAsia="宋体" w:cs="宋体"/>
                                <w:sz w:val="21"/>
                                <w:szCs w:val="21"/>
                                <w:lang w:val="en-US" w:eastAsia="zh-CN"/>
                              </w:rPr>
                              <w:t>高  京</w:t>
                            </w:r>
                          </w:p>
                        </w:txbxContent>
                      </wps:txbx>
                      <wps:bodyPr rot="0" vert="horz" wrap="square" lIns="91440" tIns="45720" rIns="91440" bIns="45720" anchor="ctr" anchorCtr="0">
                        <a:noAutofit/>
                      </wps:bodyPr>
                    </wps:wsp>
                    <wps:wsp>
                      <wps:cNvPr id="13" name="设计"/>
                      <wps:cNvSpPr txBox="1">
                        <a:spLocks noChangeArrowheads="1"/>
                      </wps:cNvSpPr>
                      <wps:spPr bwMode="auto">
                        <a:xfrm>
                          <a:off x="7319621" y="653715"/>
                          <a:ext cx="603885" cy="324538"/>
                        </a:xfrm>
                        <a:prstGeom prst="rect">
                          <a:avLst/>
                        </a:prstGeom>
                        <a:noFill/>
                        <a:ln w="9525">
                          <a:noFill/>
                          <a:miter lim="800000"/>
                        </a:ln>
                      </wps:spPr>
                      <wps:txbx>
                        <w:txbxContent>
                          <w:p w14:paraId="60049884">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管思洋</w:t>
                            </w:r>
                          </w:p>
                        </w:txbxContent>
                      </wps:txbx>
                      <wps:bodyPr rot="0" vert="horz" wrap="square" lIns="91440" tIns="45720" rIns="91440" bIns="45720" anchor="ctr" anchorCtr="0">
                        <a:noAutofit/>
                      </wps:bodyPr>
                    </wps:wsp>
                    <wps:wsp>
                      <wps:cNvPr id="8" name="专业负责人"/>
                      <wps:cNvSpPr txBox="1">
                        <a:spLocks noChangeArrowheads="1"/>
                      </wps:cNvSpPr>
                      <wps:spPr bwMode="auto">
                        <a:xfrm>
                          <a:off x="5220946" y="432699"/>
                          <a:ext cx="683895" cy="240704"/>
                        </a:xfrm>
                        <a:prstGeom prst="rect">
                          <a:avLst/>
                        </a:prstGeom>
                        <a:noFill/>
                        <a:ln w="9525">
                          <a:noFill/>
                          <a:miter lim="800000"/>
                        </a:ln>
                      </wps:spPr>
                      <wps:txbx>
                        <w:txbxContent>
                          <w:p w14:paraId="7DF2D016">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朱  智</w:t>
                            </w:r>
                          </w:p>
                        </w:txbxContent>
                      </wps:txbx>
                      <wps:bodyPr rot="0" vert="horz" wrap="square" lIns="91440" tIns="45720" rIns="91440" bIns="45720" anchor="ctr" anchorCtr="0">
                        <a:noAutofit/>
                      </wps:bodyPr>
                    </wps:wsp>
                    <wps:wsp>
                      <wps:cNvPr id="7" name="设计阶段"/>
                      <wps:cNvSpPr txBox="1">
                        <a:spLocks noChangeArrowheads="1"/>
                      </wps:cNvSpPr>
                      <wps:spPr bwMode="auto">
                        <a:xfrm>
                          <a:off x="5210151" y="182468"/>
                          <a:ext cx="699770" cy="252136"/>
                        </a:xfrm>
                        <a:prstGeom prst="rect">
                          <a:avLst/>
                        </a:prstGeom>
                        <a:noFill/>
                        <a:ln w="9525">
                          <a:noFill/>
                          <a:miter lim="800000"/>
                        </a:ln>
                      </wps:spPr>
                      <wps:txbx>
                        <w:txbxContent>
                          <w:p w14:paraId="32CDB84A">
                            <w:pPr>
                              <w:jc w:val="center"/>
                              <w:rPr>
                                <w:rFonts w:ascii="方正黑体简体" w:eastAsia="方正黑体简体"/>
                                <w:sz w:val="21"/>
                                <w:szCs w:val="21"/>
                              </w:rPr>
                            </w:pPr>
                            <w:r>
                              <w:rPr>
                                <w:rFonts w:hint="eastAsia" w:ascii="宋体" w:hAnsi="宋体" w:eastAsia="宋体" w:cs="宋体"/>
                                <w:sz w:val="21"/>
                                <w:szCs w:val="21"/>
                              </w:rPr>
                              <w:t>施工图</w:t>
                            </w:r>
                          </w:p>
                        </w:txbxContent>
                      </wps:txbx>
                      <wps:bodyPr rot="0" vert="horz" wrap="square" lIns="91440" tIns="45720" rIns="91440" bIns="45720" anchor="ctr" anchorCtr="0">
                        <a:noAutofit/>
                      </wps:bodyPr>
                    </wps:wsp>
                    <wps:wsp>
                      <wps:cNvPr id="15" name="专业"/>
                      <wps:cNvSpPr txBox="1">
                        <a:spLocks noChangeArrowheads="1"/>
                      </wps:cNvSpPr>
                      <wps:spPr bwMode="auto">
                        <a:xfrm>
                          <a:off x="9040471" y="-64587"/>
                          <a:ext cx="568325" cy="268014"/>
                        </a:xfrm>
                        <a:prstGeom prst="rect">
                          <a:avLst/>
                        </a:prstGeom>
                        <a:noFill/>
                        <a:ln w="9525">
                          <a:noFill/>
                          <a:miter lim="800000"/>
                        </a:ln>
                      </wps:spPr>
                      <wps:txbx>
                        <w:txbxContent>
                          <w:p w14:paraId="0DC6C826">
                            <w:pPr>
                              <w:jc w:val="center"/>
                              <w:rPr>
                                <w:rFonts w:hint="eastAsia" w:ascii="宋体" w:hAnsi="宋体" w:eastAsia="宋体" w:cs="宋体"/>
                                <w:sz w:val="21"/>
                                <w:szCs w:val="21"/>
                              </w:rPr>
                            </w:pPr>
                            <w:r>
                              <w:rPr>
                                <w:rFonts w:hint="eastAsia" w:ascii="宋体" w:hAnsi="宋体" w:eastAsia="宋体" w:cs="宋体"/>
                                <w:sz w:val="21"/>
                                <w:szCs w:val="21"/>
                              </w:rPr>
                              <w:t>排水</w:t>
                            </w:r>
                          </w:p>
                        </w:txbxContent>
                      </wps:txbx>
                      <wps:bodyPr rot="0" vert="horz" wrap="square" lIns="91440" tIns="45720" rIns="91440" bIns="45720" anchor="ctr" anchorCtr="0">
                        <a:noAutofit/>
                      </wps:bodyPr>
                    </wps:wsp>
                    <wps:wsp>
                      <wps:cNvPr id="6" name="工程编号"/>
                      <wps:cNvSpPr txBox="1">
                        <a:spLocks noChangeArrowheads="1"/>
                      </wps:cNvSpPr>
                      <wps:spPr bwMode="auto">
                        <a:xfrm>
                          <a:off x="5123156" y="-62047"/>
                          <a:ext cx="1006475" cy="254041"/>
                        </a:xfrm>
                        <a:prstGeom prst="rect">
                          <a:avLst/>
                        </a:prstGeom>
                        <a:noFill/>
                        <a:ln w="9525">
                          <a:noFill/>
                          <a:miter lim="800000"/>
                        </a:ln>
                      </wps:spPr>
                      <wps:txbx>
                        <w:txbxContent>
                          <w:p w14:paraId="76E9B00A">
                            <w:pPr>
                              <w:ind w:firstLine="178" w:firstLineChars="100"/>
                              <w:rPr>
                                <w:rFonts w:hint="default" w:eastAsia="仿宋"/>
                                <w:w w:val="80"/>
                                <w:lang w:val="en-US" w:eastAsia="zh-CN"/>
                              </w:rPr>
                            </w:pPr>
                            <w:r>
                              <w:rPr>
                                <w:rFonts w:hint="eastAsia" w:ascii="宋体" w:hAnsi="宋体" w:eastAsia="宋体" w:cs="宋体"/>
                                <w:w w:val="85"/>
                                <w:sz w:val="21"/>
                                <w:szCs w:val="21"/>
                                <w:lang w:val="en-US" w:eastAsia="zh-CN"/>
                              </w:rPr>
                              <w:t>20263108</w:t>
                            </w:r>
                          </w:p>
                        </w:txbxContent>
                      </wps:txbx>
                      <wps:bodyPr rot="0" vert="horz" wrap="square" lIns="91440" tIns="45720" rIns="91440" bIns="45720" anchor="ctr" anchorCtr="0">
                        <a:noAutofit/>
                      </wps:bodyPr>
                    </wps:wsp>
                    <wps:wsp>
                      <wps:cNvPr id="4" name="图纸名称"/>
                      <wps:cNvSpPr txBox="1">
                        <a:spLocks noChangeArrowheads="1"/>
                      </wps:cNvSpPr>
                      <wps:spPr bwMode="auto">
                        <a:xfrm>
                          <a:off x="6849721" y="0"/>
                          <a:ext cx="1533526" cy="427313"/>
                        </a:xfrm>
                        <a:prstGeom prst="rect">
                          <a:avLst/>
                        </a:prstGeom>
                        <a:noFill/>
                        <a:ln w="9525">
                          <a:noFill/>
                          <a:miter lim="800000"/>
                        </a:ln>
                      </wps:spPr>
                      <wps:txbx>
                        <w:txbxContent>
                          <w:p w14:paraId="4ACA55A9">
                            <w:pPr>
                              <w:jc w:val="center"/>
                              <w:rPr>
                                <w:rFonts w:hint="eastAsia" w:ascii="宋体" w:hAnsi="宋体" w:eastAsia="宋体" w:cs="宋体"/>
                                <w:sz w:val="21"/>
                                <w:szCs w:val="21"/>
                              </w:rPr>
                            </w:pPr>
                            <w:r>
                              <w:rPr>
                                <w:rFonts w:hint="eastAsia" w:ascii="宋体" w:hAnsi="宋体" w:eastAsia="宋体" w:cs="宋体"/>
                                <w:sz w:val="21"/>
                                <w:szCs w:val="21"/>
                              </w:rPr>
                              <w:t>设计说明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w:t>
                            </w:r>
                          </w:p>
                        </w:txbxContent>
                      </wps:txbx>
                      <wps:bodyPr rot="0" vert="horz" wrap="square" lIns="91440" tIns="45720" rIns="91440" bIns="45720" anchor="ctr" anchorCtr="0">
                        <a:noAutofit/>
                      </wps:bodyPr>
                    </wps:wsp>
                    <wps:wsp>
                      <wps:cNvPr id="3" name="分项名称"/>
                      <wps:cNvSpPr txBox="1">
                        <a:spLocks noChangeArrowheads="1"/>
                      </wps:cNvSpPr>
                      <wps:spPr bwMode="auto">
                        <a:xfrm>
                          <a:off x="236831" y="431429"/>
                          <a:ext cx="2135505" cy="489665"/>
                        </a:xfrm>
                        <a:prstGeom prst="rect">
                          <a:avLst/>
                        </a:prstGeom>
                        <a:noFill/>
                        <a:ln w="9525">
                          <a:noFill/>
                          <a:miter lim="800000"/>
                        </a:ln>
                      </wps:spPr>
                      <wps:txbx>
                        <w:txbxContent>
                          <w:p w14:paraId="5E196BCF">
                            <w:pPr>
                              <w:ind w:firstLine="1050" w:firstLineChars="50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排水工程</w:t>
                            </w:r>
                          </w:p>
                        </w:txbxContent>
                      </wps:txbx>
                      <wps:bodyPr rot="0" vert="horz" wrap="square" lIns="91440" tIns="45720" rIns="91440" bIns="45720" anchor="ctr" anchorCtr="0">
                        <a:noAutofit/>
                      </wps:bodyPr>
                    </wps:wsp>
                    <wps:wsp>
                      <wps:cNvPr id="217" name="工程名称"/>
                      <wps:cNvSpPr txBox="1">
                        <a:spLocks noChangeArrowheads="1"/>
                      </wps:cNvSpPr>
                      <wps:spPr bwMode="auto">
                        <a:xfrm>
                          <a:off x="177141" y="-63952"/>
                          <a:ext cx="2200275" cy="530312"/>
                        </a:xfrm>
                        <a:prstGeom prst="rect">
                          <a:avLst/>
                        </a:prstGeom>
                        <a:noFill/>
                        <a:ln w="9525">
                          <a:noFill/>
                          <a:miter lim="800000"/>
                        </a:ln>
                      </wps:spPr>
                      <wps:txbx>
                        <w:txbxContent>
                          <w:p w14:paraId="5A6767BA">
                            <w:pPr>
                              <w:jc w:val="center"/>
                              <w:rPr>
                                <w:rFonts w:hint="eastAsia" w:ascii="宋体" w:hAnsi="宋体" w:eastAsia="宋体" w:cs="宋体"/>
                                <w:w w:val="80"/>
                                <w:sz w:val="21"/>
                                <w:szCs w:val="21"/>
                              </w:rPr>
                            </w:pPr>
                            <w:r>
                              <w:rPr>
                                <w:rFonts w:hint="eastAsia" w:ascii="宋体" w:hAnsi="宋体" w:eastAsia="宋体" w:cs="宋体"/>
                                <w:w w:val="80"/>
                                <w:sz w:val="21"/>
                                <w:szCs w:val="21"/>
                              </w:rPr>
                              <w:t>太原科技大学主校东区校园</w:t>
                            </w:r>
                          </w:p>
                          <w:p w14:paraId="14E54DEA">
                            <w:pPr>
                              <w:jc w:val="center"/>
                              <w:rPr>
                                <w:rFonts w:hint="eastAsia" w:ascii="宋体" w:hAnsi="宋体" w:eastAsia="宋体" w:cs="宋体"/>
                                <w:w w:val="80"/>
                                <w:sz w:val="21"/>
                                <w:szCs w:val="21"/>
                              </w:rPr>
                            </w:pPr>
                            <w:r>
                              <w:rPr>
                                <w:rFonts w:hint="eastAsia" w:ascii="宋体" w:hAnsi="宋体" w:eastAsia="宋体" w:cs="宋体"/>
                                <w:w w:val="80"/>
                                <w:sz w:val="21"/>
                                <w:szCs w:val="21"/>
                              </w:rPr>
                              <w:t>雨污分流项目</w:t>
                            </w:r>
                          </w:p>
                        </w:txbxContent>
                      </wps:txbx>
                      <wps:bodyPr rot="0" vert="horz" wrap="square" lIns="91440" tIns="45720" rIns="91440" bIns="45720" anchor="ctr" anchorCtr="0">
                        <a:noAutofit/>
                      </wps:bodyPr>
                    </wps:wsp>
                  </wpg:wgp>
                </a:graphicData>
              </a:graphic>
            </wp:anchor>
          </w:drawing>
        </mc:Choice>
        <mc:Fallback>
          <w:pict>
            <v:group id="图签" o:spid="_x0000_s1026" o:spt="203" style="position:absolute;left:0pt;margin-left:299.5pt;margin-top:-47.15pt;height:82.1pt;width:749.6pt;z-index:251659264;mso-width-relative:page;mso-height-relative:page;" coordorigin="177141,-64587" coordsize="9519920,1042840" o:gfxdata="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">
              <o:lock v:ext="edit" aspectratio="f"/>
              <v:shape id="版次" o:spid="_x0000_s1026" o:spt="202" type="#_x0000_t202" style="position:absolute;left:9000466;top:667052;height:287702;width:681990;v-text-anchor:middle;" filled="f" stroked="f" coordsize="21600,21600" o:gfxdata="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O5mX7sAAADb&#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w:txbxContent>
                    <w:p w14:paraId="5D4746ED">
                      <w:pPr>
                        <w:jc w:val="center"/>
                        <w:rPr>
                          <w:rFonts w:hint="eastAsia" w:ascii="宋体" w:hAnsi="宋体" w:eastAsia="宋体" w:cs="宋体"/>
                          <w:sz w:val="21"/>
                          <w:szCs w:val="21"/>
                        </w:rPr>
                      </w:pPr>
                      <w:r>
                        <w:rPr>
                          <w:rFonts w:hint="eastAsia" w:ascii="宋体" w:hAnsi="宋体" w:eastAsia="宋体" w:cs="宋体"/>
                          <w:sz w:val="21"/>
                          <w:szCs w:val="21"/>
                        </w:rPr>
                        <w:t>1</w:t>
                      </w:r>
                    </w:p>
                  </w:txbxContent>
                </v:textbox>
              </v:shape>
              <v:shape id="日期" o:spid="_x0000_s1026" o:spt="202" type="#_x0000_t202" style="position:absolute;left:9029676;top:444131;height:241339;width:667385;v-text-anchor:middle;" filled="f" stroked="f" coordsize="21600,21600" o:gfxdata="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lx8i2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14:paraId="3EE9CB39">
                      <w:pPr>
                        <w:jc w:val="both"/>
                        <w:rPr>
                          <w:rFonts w:hint="default" w:ascii="宋体" w:hAnsi="宋体" w:eastAsia="宋体" w:cs="宋体"/>
                          <w:w w:val="90"/>
                          <w:sz w:val="21"/>
                          <w:szCs w:val="21"/>
                          <w:lang w:val="en-US" w:eastAsia="zh-CN"/>
                        </w:rPr>
                      </w:pPr>
                      <w:r>
                        <w:rPr>
                          <w:rFonts w:hint="eastAsia" w:ascii="宋体" w:hAnsi="宋体" w:eastAsia="宋体" w:cs="宋体"/>
                          <w:w w:val="90"/>
                          <w:sz w:val="21"/>
                          <w:szCs w:val="21"/>
                        </w:rPr>
                        <w:t>202</w:t>
                      </w:r>
                      <w:r>
                        <w:rPr>
                          <w:rFonts w:hint="eastAsia" w:ascii="宋体" w:hAnsi="宋体" w:eastAsia="宋体" w:cs="宋体"/>
                          <w:w w:val="90"/>
                          <w:sz w:val="21"/>
                          <w:szCs w:val="21"/>
                          <w:lang w:val="en-US" w:eastAsia="zh-CN"/>
                        </w:rPr>
                        <w:t>6.04</w:t>
                      </w:r>
                    </w:p>
                  </w:txbxContent>
                </v:textbox>
              </v:shape>
              <v:shape id="图号" o:spid="_x0000_s1026" o:spt="202" type="#_x0000_t202" style="position:absolute;left:9094446;top:180563;height:254677;width:554990;v-text-anchor:middle;" filled="f" stroked="f" coordsize="21600,21600" o:gfxdata="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VzF5ugAAANoA&#10;AAAPAAAAAAAAAAEAIAAAACIAAABkcnMvZG93bnJldi54bWxQSwECFAAUAAAACACHTuJAMy8FnjsA&#10;AAA5AAAAEAAAAAAAAAABACAAAAAJAQAAZHJzL3NoYXBleG1sLnhtbFBLBQYAAAAABgAGAFsBAACz&#10;AwAAAAA=&#10;">
                <v:fill on="f" focussize="0,0"/>
                <v:stroke on="f" miterlimit="8" joinstyle="miter"/>
                <v:imagedata o:title=""/>
                <o:lock v:ext="edit" aspectratio="f"/>
                <v:textbox>
                  <w:txbxContent>
                    <w:p w14:paraId="12EC9205">
                      <w:pPr>
                        <w:rPr>
                          <w:rFonts w:hint="eastAsia" w:ascii="宋体" w:hAnsi="宋体" w:eastAsia="宋体" w:cs="宋体"/>
                          <w:sz w:val="21"/>
                          <w:szCs w:val="21"/>
                        </w:rPr>
                      </w:pPr>
                      <w:r>
                        <w:rPr>
                          <w:rFonts w:hint="eastAsia" w:ascii="宋体" w:hAnsi="宋体" w:eastAsia="宋体" w:cs="宋体"/>
                          <w:sz w:val="21"/>
                          <w:szCs w:val="21"/>
                        </w:rPr>
                        <w:t>SM-</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MERGEFORMAT</w:instrText>
                      </w:r>
                      <w:r>
                        <w:rPr>
                          <w:rFonts w:hint="eastAsia" w:ascii="宋体" w:hAnsi="宋体" w:eastAsia="宋体" w:cs="宋体"/>
                          <w:sz w:val="21"/>
                          <w:szCs w:val="21"/>
                        </w:rPr>
                        <w:fldChar w:fldCharType="separate"/>
                      </w:r>
                      <w:r>
                        <w:rPr>
                          <w:rFonts w:hint="eastAsia" w:ascii="宋体" w:hAnsi="宋体" w:eastAsia="宋体" w:cs="宋体"/>
                          <w:sz w:val="21"/>
                          <w:szCs w:val="21"/>
                          <w:lang w:val="zh-CN"/>
                        </w:rPr>
                        <w:t>1</w:t>
                      </w:r>
                      <w:r>
                        <w:rPr>
                          <w:rFonts w:hint="eastAsia" w:ascii="宋体" w:hAnsi="宋体" w:eastAsia="宋体" w:cs="宋体"/>
                          <w:sz w:val="21"/>
                          <w:szCs w:val="21"/>
                        </w:rPr>
                        <w:fldChar w:fldCharType="end"/>
                      </w:r>
                    </w:p>
                  </w:txbxContent>
                </v:textbox>
              </v:shape>
              <v:shape id="审定" o:spid="_x0000_s1026" o:spt="202" type="#_x0000_t202" style="position:absolute;left:5204436;top:670228;height:254041;width:718820;v-text-anchor:middle;" filled="f" stroked="f" coordsize="21600,21600" o:gfxdata="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IT1/ugAAANoA&#10;AAAPAAAAAAAAAAEAIAAAACIAAABkcnMvZG93bnJldi54bWxQSwECFAAUAAAACACHTuJAMy8FnjsA&#10;AAA5AAAAEAAAAAAAAAABACAAAAAJAQAAZHJzL3NoYXBleG1sLnhtbFBLBQYAAAAABgAGAFsBAACz&#10;AwAAAAA=&#10;">
                <v:fill on="f" focussize="0,0"/>
                <v:stroke on="f" miterlimit="8" joinstyle="miter"/>
                <v:imagedata o:title=""/>
                <o:lock v:ext="edit" aspectratio="f"/>
                <v:textbox>
                  <w:txbxContent>
                    <w:p w14:paraId="5FB236A0">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王  旭</w:t>
                      </w:r>
                    </w:p>
                  </w:txbxContent>
                </v:textbox>
              </v:shape>
              <v:shape id="审核" o:spid="_x0000_s1026" o:spt="202" type="#_x0000_t202" style="position:absolute;left:3034006;top:430794;height:260392;width:698500;v-text-anchor:middle;" filled="f" stroked="f" coordsize="21600,21600" o:gfxdata="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EtbsL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14:paraId="6D306817">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管思洋</w:t>
                      </w:r>
                    </w:p>
                  </w:txbxContent>
                </v:textbox>
              </v:shape>
              <v:shape id="校核" o:spid="_x0000_s1026" o:spt="202" type="#_x0000_t202" style="position:absolute;left:2986381;top:674674;height:248325;width:786130;v-text-anchor:middle;" filled="f" stroked="f" coordsize="21600,21600" o:gfxdata="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H/iu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14:paraId="6F2DA493">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白生云</w:t>
                      </w:r>
                    </w:p>
                  </w:txbxContent>
                </v:textbox>
              </v:shape>
              <v:shape id="校对" o:spid="_x0000_s1026" o:spt="202" type="#_x0000_t202" style="position:absolute;left:7231991;top:406025;height:320092;width:771525;v-text-anchor:middle;" filled="f" stroked="f" coordsize="21600,21600" o:gfxdata="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iZxce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w:txbxContent>
                    <w:p w14:paraId="01FCA4A1">
                      <w:pPr>
                        <w:jc w:val="center"/>
                        <w:rPr>
                          <w:rFonts w:hint="eastAsia" w:ascii="方正黑体简体" w:eastAsia="宋体"/>
                          <w:sz w:val="21"/>
                          <w:szCs w:val="21"/>
                          <w:lang w:val="en-US" w:eastAsia="zh-CN"/>
                        </w:rPr>
                      </w:pPr>
                      <w:r>
                        <w:rPr>
                          <w:rFonts w:hint="eastAsia" w:ascii="宋体" w:hAnsi="宋体" w:eastAsia="宋体" w:cs="宋体"/>
                          <w:sz w:val="21"/>
                          <w:szCs w:val="21"/>
                          <w:lang w:val="en-US" w:eastAsia="zh-CN"/>
                        </w:rPr>
                        <w:t>高  京</w:t>
                      </w:r>
                    </w:p>
                  </w:txbxContent>
                </v:textbox>
              </v:shape>
              <v:shape id="设计" o:spid="_x0000_s1026" o:spt="202" type="#_x0000_t202" style="position:absolute;left:7319621;top:653715;height:324538;width:603885;v-text-anchor:middle;" filled="f" stroked="f" coordsize="21600,21600" o:gfxdata="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9VgXL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14:paraId="60049884">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管思洋</w:t>
                      </w:r>
                    </w:p>
                  </w:txbxContent>
                </v:textbox>
              </v:shape>
              <v:shape id="专业负责人" o:spid="_x0000_s1026" o:spt="202" type="#_x0000_t202" style="position:absolute;left:5220946;top:432699;height:240704;width:683895;v-text-anchor:middle;" filled="f" stroked="f" coordsize="21600,21600" o:gfxdata="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fW2Y5LUAAADaAAAADwAA&#10;AAAAAAABACAAAAAiAAAAZHJzL2Rvd25yZXYueG1sUEsBAhQAFAAAAAgAh07iQDMvBZ47AAAAOQAA&#10;ABAAAAAAAAAAAQAgAAAABAEAAGRycy9zaGFwZXhtbC54bWxQSwUGAAAAAAYABgBbAQAArgMAAAAA&#10;">
                <v:fill on="f" focussize="0,0"/>
                <v:stroke on="f" miterlimit="8" joinstyle="miter"/>
                <v:imagedata o:title=""/>
                <o:lock v:ext="edit" aspectratio="f"/>
                <v:textbox>
                  <w:txbxContent>
                    <w:p w14:paraId="7DF2D016">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朱  智</w:t>
                      </w:r>
                    </w:p>
                  </w:txbxContent>
                </v:textbox>
              </v:shape>
              <v:shape id="设计阶段" o:spid="_x0000_s1026" o:spt="202" type="#_x0000_t202" style="position:absolute;left:5210151;top:182468;height:252136;width:699770;v-text-anchor:middle;" filled="f" stroked="f" coordsize="21600,21600" o:gfxdata="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zyDJa8AAAA&#10;2g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14:paraId="32CDB84A">
                      <w:pPr>
                        <w:jc w:val="center"/>
                        <w:rPr>
                          <w:rFonts w:ascii="方正黑体简体" w:eastAsia="方正黑体简体"/>
                          <w:sz w:val="21"/>
                          <w:szCs w:val="21"/>
                        </w:rPr>
                      </w:pPr>
                      <w:r>
                        <w:rPr>
                          <w:rFonts w:hint="eastAsia" w:ascii="宋体" w:hAnsi="宋体" w:eastAsia="宋体" w:cs="宋体"/>
                          <w:sz w:val="21"/>
                          <w:szCs w:val="21"/>
                        </w:rPr>
                        <w:t>施工图</w:t>
                      </w:r>
                    </w:p>
                  </w:txbxContent>
                </v:textbox>
              </v:shape>
              <v:shape id="专业" o:spid="_x0000_s1026" o:spt="202" type="#_x0000_t202" style="position:absolute;left:9040471;top:-64587;height:268014;width:568325;v-text-anchor:middle;" filled="f" stroked="f" coordsize="21600,21600" o:gfxdata="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3Bds7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14:paraId="0DC6C826">
                      <w:pPr>
                        <w:jc w:val="center"/>
                        <w:rPr>
                          <w:rFonts w:hint="eastAsia" w:ascii="宋体" w:hAnsi="宋体" w:eastAsia="宋体" w:cs="宋体"/>
                          <w:sz w:val="21"/>
                          <w:szCs w:val="21"/>
                        </w:rPr>
                      </w:pPr>
                      <w:r>
                        <w:rPr>
                          <w:rFonts w:hint="eastAsia" w:ascii="宋体" w:hAnsi="宋体" w:eastAsia="宋体" w:cs="宋体"/>
                          <w:sz w:val="21"/>
                          <w:szCs w:val="21"/>
                        </w:rPr>
                        <w:t>排水</w:t>
                      </w:r>
                    </w:p>
                  </w:txbxContent>
                </v:textbox>
              </v:shape>
              <v:shape id="工程编号" o:spid="_x0000_s1026" o:spt="202" type="#_x0000_t202" style="position:absolute;left:5123156;top:-62047;height:254041;width:1006475;v-text-anchor:middle;" filled="f" stroked="f" coordsize="21600,21600" o:gfxdata="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vqkNugAAANoA&#10;AAAPAAAAAAAAAAEAIAAAACIAAABkcnMvZG93bnJldi54bWxQSwECFAAUAAAACACHTuJAMy8FnjsA&#10;AAA5AAAAEAAAAAAAAAABACAAAAAJAQAAZHJzL3NoYXBleG1sLnhtbFBLBQYAAAAABgAGAFsBAACz&#10;AwAAAAA=&#10;">
                <v:fill on="f" focussize="0,0"/>
                <v:stroke on="f" miterlimit="8" joinstyle="miter"/>
                <v:imagedata o:title=""/>
                <o:lock v:ext="edit" aspectratio="f"/>
                <v:textbox>
                  <w:txbxContent>
                    <w:p w14:paraId="76E9B00A">
                      <w:pPr>
                        <w:ind w:firstLine="178" w:firstLineChars="100"/>
                        <w:rPr>
                          <w:rFonts w:hint="default" w:eastAsia="仿宋"/>
                          <w:w w:val="80"/>
                          <w:lang w:val="en-US" w:eastAsia="zh-CN"/>
                        </w:rPr>
                      </w:pPr>
                      <w:r>
                        <w:rPr>
                          <w:rFonts w:hint="eastAsia" w:ascii="宋体" w:hAnsi="宋体" w:eastAsia="宋体" w:cs="宋体"/>
                          <w:w w:val="85"/>
                          <w:sz w:val="21"/>
                          <w:szCs w:val="21"/>
                          <w:lang w:val="en-US" w:eastAsia="zh-CN"/>
                        </w:rPr>
                        <w:t>20263108</w:t>
                      </w:r>
                    </w:p>
                  </w:txbxContent>
                </v:textbox>
              </v:shape>
              <v:shape id="图纸名称" o:spid="_x0000_s1026" o:spt="202" type="#_x0000_t202" style="position:absolute;left:6849721;top:0;height:427313;width:1533526;v-text-anchor:middle;" filled="f" stroked="f" coordsize="21600,21600" o:gfxdata="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wgkuG8AAAA&#10;2g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14:paraId="4ACA55A9">
                      <w:pPr>
                        <w:jc w:val="center"/>
                        <w:rPr>
                          <w:rFonts w:hint="eastAsia" w:ascii="宋体" w:hAnsi="宋体" w:eastAsia="宋体" w:cs="宋体"/>
                          <w:sz w:val="21"/>
                          <w:szCs w:val="21"/>
                        </w:rPr>
                      </w:pPr>
                      <w:r>
                        <w:rPr>
                          <w:rFonts w:hint="eastAsia" w:ascii="宋体" w:hAnsi="宋体" w:eastAsia="宋体" w:cs="宋体"/>
                          <w:sz w:val="21"/>
                          <w:szCs w:val="21"/>
                        </w:rPr>
                        <w:t>设计说明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w:t>
                      </w:r>
                    </w:p>
                  </w:txbxContent>
                </v:textbox>
              </v:shape>
              <v:shape id="分项名称" o:spid="_x0000_s1026" o:spt="202" type="#_x0000_t202" style="position:absolute;left:236831;top:431429;height:489665;width:2135505;v-text-anchor:middle;" filled="f" stroked="f" coordsize="21600,21600" o:gfxdata="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JCpW8AAAA&#10;2g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14:paraId="5E196BCF">
                      <w:pPr>
                        <w:ind w:firstLine="1050" w:firstLineChars="50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排水工程</w:t>
                      </w:r>
                    </w:p>
                  </w:txbxContent>
                </v:textbox>
              </v:shape>
              <v:shape id="工程名称" o:spid="_x0000_s1026" o:spt="202" type="#_x0000_t202" style="position:absolute;left:177141;top:-63952;height:530312;width:2200275;v-text-anchor:middle;" filled="f" stroked="f" coordsize="21600,21600" o:gfxdata="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lV6ArsAAADc&#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w:txbxContent>
                    <w:p w14:paraId="5A6767BA">
                      <w:pPr>
                        <w:jc w:val="center"/>
                        <w:rPr>
                          <w:rFonts w:hint="eastAsia" w:ascii="宋体" w:hAnsi="宋体" w:eastAsia="宋体" w:cs="宋体"/>
                          <w:w w:val="80"/>
                          <w:sz w:val="21"/>
                          <w:szCs w:val="21"/>
                        </w:rPr>
                      </w:pPr>
                      <w:r>
                        <w:rPr>
                          <w:rFonts w:hint="eastAsia" w:ascii="宋体" w:hAnsi="宋体" w:eastAsia="宋体" w:cs="宋体"/>
                          <w:w w:val="80"/>
                          <w:sz w:val="21"/>
                          <w:szCs w:val="21"/>
                        </w:rPr>
                        <w:t>太原科技大学主校东区校园</w:t>
                      </w:r>
                    </w:p>
                    <w:p w14:paraId="14E54DEA">
                      <w:pPr>
                        <w:jc w:val="center"/>
                        <w:rPr>
                          <w:rFonts w:hint="eastAsia" w:ascii="宋体" w:hAnsi="宋体" w:eastAsia="宋体" w:cs="宋体"/>
                          <w:w w:val="80"/>
                          <w:sz w:val="21"/>
                          <w:szCs w:val="21"/>
                        </w:rPr>
                      </w:pPr>
                      <w:r>
                        <w:rPr>
                          <w:rFonts w:hint="eastAsia" w:ascii="宋体" w:hAnsi="宋体" w:eastAsia="宋体" w:cs="宋体"/>
                          <w:w w:val="80"/>
                          <w:sz w:val="21"/>
                          <w:szCs w:val="21"/>
                        </w:rPr>
                        <w:t>雨污分流项目</w:t>
                      </w:r>
                    </w:p>
                  </w:txbxContent>
                </v:textbox>
              </v:shape>
            </v:group>
          </w:pict>
        </mc:Fallback>
      </mc:AlternateContent>
    </w: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E13F4">
    <w:pPr>
      <w:pStyle w:val="12"/>
      <w:pBdr>
        <w:bottom w:val="none" w:color="auto" w:sz="0" w:space="0"/>
      </w:pBdr>
    </w:pPr>
    <w:r>
      <mc:AlternateContent>
        <mc:Choice Requires="wps">
          <w:drawing>
            <wp:anchor distT="0" distB="0" distL="114300" distR="114300" simplePos="0" relativeHeight="251662336" behindDoc="0" locked="0" layoutInCell="1" allowOverlap="1">
              <wp:simplePos x="0" y="0"/>
              <wp:positionH relativeFrom="column">
                <wp:posOffset>12660630</wp:posOffset>
              </wp:positionH>
              <wp:positionV relativeFrom="paragraph">
                <wp:posOffset>-185420</wp:posOffset>
              </wp:positionV>
              <wp:extent cx="603885" cy="324485"/>
              <wp:effectExtent l="0" t="0" r="0" b="0"/>
              <wp:wrapNone/>
              <wp:docPr id="16" name="设计"/>
              <wp:cNvGraphicFramePr/>
              <a:graphic xmlns:a="http://schemas.openxmlformats.org/drawingml/2006/main">
                <a:graphicData uri="http://schemas.microsoft.com/office/word/2010/wordprocessingShape">
                  <wps:wsp>
                    <wps:cNvSpPr txBox="1">
                      <a:spLocks noChangeArrowheads="1"/>
                    </wps:cNvSpPr>
                    <wps:spPr bwMode="auto">
                      <a:xfrm>
                        <a:off x="0" y="0"/>
                        <a:ext cx="603850" cy="324480"/>
                      </a:xfrm>
                      <a:prstGeom prst="rect">
                        <a:avLst/>
                      </a:prstGeom>
                      <a:noFill/>
                      <a:ln w="9525">
                        <a:noFill/>
                        <a:miter lim="800000"/>
                      </a:ln>
                    </wps:spPr>
                    <wps:txbx>
                      <w:txbxContent>
                        <w:p w14:paraId="6538397D">
                          <w:pPr>
                            <w:rPr>
                              <w:rFonts w:hint="default" w:ascii="方正黑体简体" w:eastAsia="方正黑体简体"/>
                              <w:sz w:val="21"/>
                              <w:szCs w:val="21"/>
                              <w:lang w:val="en-US" w:eastAsia="zh-CN"/>
                            </w:rPr>
                          </w:pPr>
                          <w:r>
                            <w:rPr>
                              <w:rFonts w:hint="eastAsia" w:ascii="方正黑体简体" w:eastAsia="方正黑体简体"/>
                              <w:sz w:val="21"/>
                              <w:szCs w:val="21"/>
                              <w:lang w:val="en-US" w:eastAsia="zh-CN"/>
                            </w:rPr>
                            <w:t>9</w:t>
                          </w:r>
                        </w:p>
                      </w:txbxContent>
                    </wps:txbx>
                    <wps:bodyPr rot="0" vert="horz" wrap="square" lIns="91440" tIns="45720" rIns="91440" bIns="45720" anchor="ctr" anchorCtr="0">
                      <a:noAutofit/>
                    </wps:bodyPr>
                  </wps:wsp>
                </a:graphicData>
              </a:graphic>
            </wp:anchor>
          </w:drawing>
        </mc:Choice>
        <mc:Fallback>
          <w:pict>
            <v:shape id="设计" o:spid="_x0000_s1026" o:spt="202" type="#_x0000_t202" style="position:absolute;left:0pt;margin-left:996.9pt;margin-top:-14.6pt;height:25.55pt;width:47.55pt;z-index:251662336;v-text-anchor:middle;mso-width-relative:page;mso-height-relative:page;" filled="f" stroked="f" coordsize="21600,21600" o:gfxdata="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xYIwH2QAA&#10;AAwBAAAPAAAAAAAAAAEAIAAAACIAAABkcnMvZG93bnJldi54bWxQSwECFAAUAAAACACHTuJAjoYJ&#10;Wx0CAAAmBAAADgAAAAAAAAABACAAAAAoAQAAZHJzL2Uyb0RvYy54bWxQSwUGAAAAAAYABgBZAQAA&#10;twUAAAAA&#10;">
              <v:fill on="f" focussize="0,0"/>
              <v:stroke on="f" miterlimit="8" joinstyle="miter"/>
              <v:imagedata o:title=""/>
              <o:lock v:ext="edit" aspectratio="f"/>
              <v:textbox>
                <w:txbxContent>
                  <w:p w14:paraId="6538397D">
                    <w:pPr>
                      <w:rPr>
                        <w:rFonts w:hint="default" w:ascii="方正黑体简体" w:eastAsia="方正黑体简体"/>
                        <w:sz w:val="21"/>
                        <w:szCs w:val="21"/>
                        <w:lang w:val="en-US" w:eastAsia="zh-CN"/>
                      </w:rPr>
                    </w:pPr>
                    <w:r>
                      <w:rPr>
                        <w:rFonts w:hint="eastAsia" w:ascii="方正黑体简体" w:eastAsia="方正黑体简体"/>
                        <w:sz w:val="21"/>
                        <w:szCs w:val="21"/>
                        <w:lang w:val="en-US" w:eastAsia="zh-CN"/>
                      </w:rPr>
                      <w:t>9</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11781155</wp:posOffset>
              </wp:positionH>
              <wp:positionV relativeFrom="paragraph">
                <wp:posOffset>-175895</wp:posOffset>
              </wp:positionV>
              <wp:extent cx="628650" cy="254635"/>
              <wp:effectExtent l="0" t="0" r="0" b="0"/>
              <wp:wrapNone/>
              <wp:docPr id="14" name="图号"/>
              <wp:cNvGraphicFramePr/>
              <a:graphic xmlns:a="http://schemas.openxmlformats.org/drawingml/2006/main">
                <a:graphicData uri="http://schemas.microsoft.com/office/word/2010/wordprocessingShape">
                  <wps:wsp>
                    <wps:cNvSpPr txBox="1">
                      <a:spLocks noChangeArrowheads="1"/>
                    </wps:cNvSpPr>
                    <wps:spPr bwMode="auto">
                      <a:xfrm>
                        <a:off x="0" y="0"/>
                        <a:ext cx="628650" cy="254634"/>
                      </a:xfrm>
                      <a:prstGeom prst="rect">
                        <a:avLst/>
                      </a:prstGeom>
                      <a:noFill/>
                      <a:ln w="9525">
                        <a:noFill/>
                        <a:miter lim="800000"/>
                      </a:ln>
                    </wps:spPr>
                    <wps:txbx>
                      <w:txbxContent>
                        <w:p w14:paraId="547CB0A1">
                          <w:pPr>
                            <w:rPr>
                              <w:rFonts w:ascii="方正黑体简体" w:eastAsia="方正黑体简体"/>
                              <w:sz w:val="21"/>
                              <w:szCs w:val="21"/>
                            </w:rPr>
                          </w:pPr>
                          <w:r>
                            <w:rPr>
                              <w:rFonts w:ascii="方正黑体简体" w:eastAsia="方正黑体简体"/>
                              <w:sz w:val="21"/>
                              <w:szCs w:val="21"/>
                            </w:rPr>
                            <w:fldChar w:fldCharType="begin"/>
                          </w:r>
                          <w:r>
                            <w:rPr>
                              <w:rFonts w:ascii="方正黑体简体" w:eastAsia="方正黑体简体"/>
                              <w:sz w:val="21"/>
                              <w:szCs w:val="21"/>
                            </w:rPr>
                            <w:instrText xml:space="preserve">PAGE   \* MERGEFORMAT</w:instrText>
                          </w:r>
                          <w:r>
                            <w:rPr>
                              <w:rFonts w:ascii="方正黑体简体" w:eastAsia="方正黑体简体"/>
                              <w:sz w:val="21"/>
                              <w:szCs w:val="21"/>
                            </w:rPr>
                            <w:fldChar w:fldCharType="separate"/>
                          </w:r>
                          <w:r>
                            <w:rPr>
                              <w:rFonts w:ascii="方正黑体简体" w:eastAsia="方正黑体简体"/>
                              <w:sz w:val="21"/>
                              <w:szCs w:val="21"/>
                              <w:lang w:val="zh-CN"/>
                            </w:rPr>
                            <w:t>1</w:t>
                          </w:r>
                          <w:r>
                            <w:rPr>
                              <w:rFonts w:ascii="方正黑体简体" w:eastAsia="方正黑体简体"/>
                              <w:sz w:val="21"/>
                              <w:szCs w:val="21"/>
                            </w:rPr>
                            <w:fldChar w:fldCharType="end"/>
                          </w:r>
                        </w:p>
                      </w:txbxContent>
                    </wps:txbx>
                    <wps:bodyPr rot="0" vert="horz" wrap="square" lIns="91440" tIns="45720" rIns="91440" bIns="45720" anchor="ctr" anchorCtr="0">
                      <a:noAutofit/>
                    </wps:bodyPr>
                  </wps:wsp>
                </a:graphicData>
              </a:graphic>
            </wp:anchor>
          </w:drawing>
        </mc:Choice>
        <mc:Fallback>
          <w:pict>
            <v:shape id="图号" o:spid="_x0000_s1026" o:spt="202" type="#_x0000_t202" style="position:absolute;left:0pt;margin-left:927.65pt;margin-top:-13.85pt;height:20.05pt;width:49.5pt;z-index:251661312;v-text-anchor:middle;mso-width-relative:page;mso-height-relative:page;" filled="f" stroked="f" coordsize="21600,21600" o:gfxdata="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4HcB/2QAA&#10;AAsBAAAPAAAAAAAAAAEAIAAAACIAAABkcnMvZG93bnJldi54bWxQSwECFAAUAAAACACHTuJAnnWs&#10;Kh0CAAAmBAAADgAAAAAAAAABACAAAAAoAQAAZHJzL2Uyb0RvYy54bWxQSwUGAAAAAAYABgBZAQAA&#10;twUAAAAA&#10;">
              <v:fill on="f" focussize="0,0"/>
              <v:stroke on="f" miterlimit="8" joinstyle="miter"/>
              <v:imagedata o:title=""/>
              <o:lock v:ext="edit" aspectratio="f"/>
              <v:textbox>
                <w:txbxContent>
                  <w:p w14:paraId="547CB0A1">
                    <w:pPr>
                      <w:rPr>
                        <w:rFonts w:ascii="方正黑体简体" w:eastAsia="方正黑体简体"/>
                        <w:sz w:val="21"/>
                        <w:szCs w:val="21"/>
                      </w:rPr>
                    </w:pPr>
                    <w:r>
                      <w:rPr>
                        <w:rFonts w:ascii="方正黑体简体" w:eastAsia="方正黑体简体"/>
                        <w:sz w:val="21"/>
                        <w:szCs w:val="21"/>
                      </w:rPr>
                      <w:fldChar w:fldCharType="begin"/>
                    </w:r>
                    <w:r>
                      <w:rPr>
                        <w:rFonts w:ascii="方正黑体简体" w:eastAsia="方正黑体简体"/>
                        <w:sz w:val="21"/>
                        <w:szCs w:val="21"/>
                      </w:rPr>
                      <w:instrText xml:space="preserve">PAGE   \* MERGEFORMAT</w:instrText>
                    </w:r>
                    <w:r>
                      <w:rPr>
                        <w:rFonts w:ascii="方正黑体简体" w:eastAsia="方正黑体简体"/>
                        <w:sz w:val="21"/>
                        <w:szCs w:val="21"/>
                      </w:rPr>
                      <w:fldChar w:fldCharType="separate"/>
                    </w:r>
                    <w:r>
                      <w:rPr>
                        <w:rFonts w:ascii="方正黑体简体" w:eastAsia="方正黑体简体"/>
                        <w:sz w:val="21"/>
                        <w:szCs w:val="21"/>
                        <w:lang w:val="zh-CN"/>
                      </w:rPr>
                      <w:t>1</w:t>
                    </w:r>
                    <w:r>
                      <w:rPr>
                        <w:rFonts w:ascii="方正黑体简体" w:eastAsia="方正黑体简体"/>
                        <w:sz w:val="21"/>
                        <w:szCs w:val="21"/>
                      </w:rPr>
                      <w:fldChar w:fldCharType="end"/>
                    </w:r>
                  </w:p>
                </w:txbxContent>
              </v:textbox>
            </v:shape>
          </w:pict>
        </mc:Fallback>
      </mc:AlternateContent>
    </w:r>
    <w:r>
      <w:rPr>
        <w:rFonts w:hint="eastAsia" w:eastAsiaTheme="minorEastAsia"/>
        <w:lang w:eastAsia="zh-CN"/>
      </w:rPr>
      <w:drawing>
        <wp:anchor distT="0" distB="0" distL="114300" distR="114300" simplePos="0" relativeHeight="251663360" behindDoc="1" locked="0" layoutInCell="1" allowOverlap="1">
          <wp:simplePos x="0" y="0"/>
          <wp:positionH relativeFrom="column">
            <wp:posOffset>-1436370</wp:posOffset>
          </wp:positionH>
          <wp:positionV relativeFrom="paragraph">
            <wp:posOffset>-599440</wp:posOffset>
          </wp:positionV>
          <wp:extent cx="15052675" cy="10763885"/>
          <wp:effectExtent l="0" t="0" r="15875" b="18415"/>
          <wp:wrapNone/>
          <wp:docPr id="5" name="图片 5" descr="根据施工单位测量修改-春居南路_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根据施工单位测量修改-春居南路_01(2)"/>
                  <pic:cNvPicPr>
                    <a:picLocks noChangeAspect="1"/>
                  </pic:cNvPicPr>
                </pic:nvPicPr>
                <pic:blipFill>
                  <a:blip r:embed="rId1"/>
                  <a:stretch>
                    <a:fillRect/>
                  </a:stretch>
                </pic:blipFill>
                <pic:spPr>
                  <a:xfrm>
                    <a:off x="0" y="0"/>
                    <a:ext cx="15052675" cy="1076388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4A012">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AD6211"/>
    <w:multiLevelType w:val="multilevel"/>
    <w:tmpl w:val="2EAD621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suff w:val="space"/>
      <w:lvlText w:val="%3)"/>
      <w:lvlJc w:val="left"/>
      <w:pPr>
        <w:ind w:left="0" w:firstLine="68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18C772D"/>
    <w:multiLevelType w:val="multilevel"/>
    <w:tmpl w:val="318C772D"/>
    <w:lvl w:ilvl="0" w:tentative="0">
      <w:start w:val="1"/>
      <w:numFmt w:val="decimal"/>
      <w:lvlText w:val="%1)"/>
      <w:lvlJc w:val="left"/>
      <w:pPr>
        <w:ind w:left="1005" w:hanging="405"/>
      </w:pPr>
      <w:rPr>
        <w:rFonts w:hint="default"/>
      </w:rPr>
    </w:lvl>
    <w:lvl w:ilvl="1" w:tentative="0">
      <w:start w:val="2"/>
      <w:numFmt w:val="decimal"/>
      <w:lvlText w:val="%2）"/>
      <w:lvlJc w:val="left"/>
      <w:pPr>
        <w:ind w:left="1740" w:hanging="720"/>
      </w:pPr>
      <w:rPr>
        <w:rFonts w:hint="default"/>
      </w:r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4E22DE6"/>
    <w:multiLevelType w:val="multilevel"/>
    <w:tmpl w:val="54E22DE6"/>
    <w:lvl w:ilvl="0" w:tentative="0">
      <w:start w:val="1"/>
      <w:numFmt w:val="chineseCountingThousand"/>
      <w:pStyle w:val="2"/>
      <w:suff w:val="space"/>
      <w:lvlText w:val="%1、"/>
      <w:lvlJc w:val="left"/>
      <w:pPr>
        <w:ind w:left="0" w:firstLine="0"/>
      </w:pPr>
      <w:rPr>
        <w:rFonts w:hint="default" w:ascii="Times New Roman" w:hAnsi="Times New Roman" w:eastAsia="仿宋"/>
        <w:b/>
        <w:i w:val="0"/>
        <w:sz w:val="30"/>
      </w:rPr>
    </w:lvl>
    <w:lvl w:ilvl="1" w:tentative="0">
      <w:start w:val="1"/>
      <w:numFmt w:val="decimal"/>
      <w:pStyle w:val="4"/>
      <w:suff w:val="space"/>
      <w:lvlText w:val="%2"/>
      <w:lvlJc w:val="left"/>
      <w:pPr>
        <w:ind w:left="0" w:firstLine="0"/>
      </w:pPr>
      <w:rPr>
        <w:rFonts w:hint="default" w:ascii="Times New Roman" w:hAnsi="Times New Roman" w:eastAsia="仿宋"/>
        <w:b w:val="0"/>
        <w:i w:val="0"/>
        <w:sz w:val="30"/>
      </w:rPr>
    </w:lvl>
    <w:lvl w:ilvl="2" w:tentative="0">
      <w:start w:val="1"/>
      <w:numFmt w:val="decimal"/>
      <w:pStyle w:val="5"/>
      <w:suff w:val="space"/>
      <w:lvlText w:val="%2.%3"/>
      <w:lvlJc w:val="left"/>
      <w:pPr>
        <w:ind w:left="0" w:firstLine="0"/>
      </w:pPr>
      <w:rPr>
        <w:rFonts w:hint="default" w:ascii="Times New Roman" w:hAnsi="Times New Roman" w:eastAsia="仿宋"/>
        <w:b w:val="0"/>
        <w:i w:val="0"/>
        <w:sz w:val="30"/>
      </w:rPr>
    </w:lvl>
    <w:lvl w:ilvl="3" w:tentative="0">
      <w:start w:val="1"/>
      <w:numFmt w:val="decimal"/>
      <w:pStyle w:val="6"/>
      <w:suff w:val="space"/>
      <w:lvlText w:val="%2.%3.%4"/>
      <w:lvlJc w:val="left"/>
      <w:pPr>
        <w:ind w:left="0" w:firstLine="0"/>
      </w:pPr>
      <w:rPr>
        <w:rFonts w:hint="default" w:ascii="Times New Roman" w:hAnsi="Times New Roman" w:eastAsia="仿宋"/>
        <w:b w:val="0"/>
        <w:i w:val="0"/>
        <w:sz w:val="30"/>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
    <w:nsid w:val="5C213201"/>
    <w:multiLevelType w:val="multilevel"/>
    <w:tmpl w:val="5C213201"/>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D51"/>
    <w:rsid w:val="00000962"/>
    <w:rsid w:val="00004520"/>
    <w:rsid w:val="00007565"/>
    <w:rsid w:val="000101AA"/>
    <w:rsid w:val="000101D8"/>
    <w:rsid w:val="00013347"/>
    <w:rsid w:val="00013D54"/>
    <w:rsid w:val="00017295"/>
    <w:rsid w:val="00021853"/>
    <w:rsid w:val="00022A5F"/>
    <w:rsid w:val="00027D7B"/>
    <w:rsid w:val="00034179"/>
    <w:rsid w:val="0004060E"/>
    <w:rsid w:val="00040B9B"/>
    <w:rsid w:val="00044618"/>
    <w:rsid w:val="0005047C"/>
    <w:rsid w:val="0005149B"/>
    <w:rsid w:val="00052FFE"/>
    <w:rsid w:val="00062275"/>
    <w:rsid w:val="000648BF"/>
    <w:rsid w:val="00070B0F"/>
    <w:rsid w:val="00071064"/>
    <w:rsid w:val="00072E19"/>
    <w:rsid w:val="000764C7"/>
    <w:rsid w:val="000776EC"/>
    <w:rsid w:val="00083E40"/>
    <w:rsid w:val="000900D6"/>
    <w:rsid w:val="00096513"/>
    <w:rsid w:val="00096720"/>
    <w:rsid w:val="000A5902"/>
    <w:rsid w:val="000B4A60"/>
    <w:rsid w:val="000B59B7"/>
    <w:rsid w:val="000B6325"/>
    <w:rsid w:val="000C003E"/>
    <w:rsid w:val="000C5494"/>
    <w:rsid w:val="000C6C4D"/>
    <w:rsid w:val="000C7940"/>
    <w:rsid w:val="000D6501"/>
    <w:rsid w:val="000E73BA"/>
    <w:rsid w:val="000F2AD7"/>
    <w:rsid w:val="000F4839"/>
    <w:rsid w:val="000F6A51"/>
    <w:rsid w:val="000F750E"/>
    <w:rsid w:val="001005F4"/>
    <w:rsid w:val="00105C7E"/>
    <w:rsid w:val="00125CBC"/>
    <w:rsid w:val="00127578"/>
    <w:rsid w:val="00141051"/>
    <w:rsid w:val="00143865"/>
    <w:rsid w:val="00151730"/>
    <w:rsid w:val="00151F5A"/>
    <w:rsid w:val="00162515"/>
    <w:rsid w:val="0016532C"/>
    <w:rsid w:val="0016613B"/>
    <w:rsid w:val="00167ABB"/>
    <w:rsid w:val="00172428"/>
    <w:rsid w:val="00172467"/>
    <w:rsid w:val="001772B9"/>
    <w:rsid w:val="00182077"/>
    <w:rsid w:val="00182167"/>
    <w:rsid w:val="00185818"/>
    <w:rsid w:val="00186B06"/>
    <w:rsid w:val="00192EE9"/>
    <w:rsid w:val="0019390F"/>
    <w:rsid w:val="001A6E33"/>
    <w:rsid w:val="001B1532"/>
    <w:rsid w:val="001B1B01"/>
    <w:rsid w:val="001B3A98"/>
    <w:rsid w:val="001B47A2"/>
    <w:rsid w:val="001B5031"/>
    <w:rsid w:val="001C1549"/>
    <w:rsid w:val="001C1F6E"/>
    <w:rsid w:val="001C2EF0"/>
    <w:rsid w:val="001C46F7"/>
    <w:rsid w:val="001C5A50"/>
    <w:rsid w:val="001D0C68"/>
    <w:rsid w:val="001D3D08"/>
    <w:rsid w:val="001D76CF"/>
    <w:rsid w:val="001F0246"/>
    <w:rsid w:val="001F2D99"/>
    <w:rsid w:val="001F62D6"/>
    <w:rsid w:val="001F726F"/>
    <w:rsid w:val="001F743C"/>
    <w:rsid w:val="002004F7"/>
    <w:rsid w:val="00207826"/>
    <w:rsid w:val="002144AE"/>
    <w:rsid w:val="002237EE"/>
    <w:rsid w:val="0022464A"/>
    <w:rsid w:val="00232F8E"/>
    <w:rsid w:val="00233FA7"/>
    <w:rsid w:val="00233FEB"/>
    <w:rsid w:val="00236979"/>
    <w:rsid w:val="00241448"/>
    <w:rsid w:val="00242612"/>
    <w:rsid w:val="00246FBA"/>
    <w:rsid w:val="00254E1E"/>
    <w:rsid w:val="00261057"/>
    <w:rsid w:val="00263C98"/>
    <w:rsid w:val="00264440"/>
    <w:rsid w:val="00273A97"/>
    <w:rsid w:val="002749DB"/>
    <w:rsid w:val="00282FAC"/>
    <w:rsid w:val="002969C7"/>
    <w:rsid w:val="002A0CF6"/>
    <w:rsid w:val="002A4EDA"/>
    <w:rsid w:val="002A7F21"/>
    <w:rsid w:val="002B1E8B"/>
    <w:rsid w:val="002B3808"/>
    <w:rsid w:val="002B3BDB"/>
    <w:rsid w:val="002B59AD"/>
    <w:rsid w:val="002B5D67"/>
    <w:rsid w:val="002B6F07"/>
    <w:rsid w:val="002C062E"/>
    <w:rsid w:val="002C0C35"/>
    <w:rsid w:val="002C5280"/>
    <w:rsid w:val="002C614A"/>
    <w:rsid w:val="002D0E90"/>
    <w:rsid w:val="002D1BA5"/>
    <w:rsid w:val="002D55F1"/>
    <w:rsid w:val="002D6CF4"/>
    <w:rsid w:val="002E2B9E"/>
    <w:rsid w:val="002E4951"/>
    <w:rsid w:val="002F1113"/>
    <w:rsid w:val="002F2AC4"/>
    <w:rsid w:val="002F5F05"/>
    <w:rsid w:val="002F79D8"/>
    <w:rsid w:val="00301A2B"/>
    <w:rsid w:val="003042FF"/>
    <w:rsid w:val="00315487"/>
    <w:rsid w:val="003174A2"/>
    <w:rsid w:val="00317D51"/>
    <w:rsid w:val="00323065"/>
    <w:rsid w:val="003246F9"/>
    <w:rsid w:val="00324A1A"/>
    <w:rsid w:val="00327511"/>
    <w:rsid w:val="003300D9"/>
    <w:rsid w:val="00332678"/>
    <w:rsid w:val="003335A9"/>
    <w:rsid w:val="00334717"/>
    <w:rsid w:val="0033537A"/>
    <w:rsid w:val="00350468"/>
    <w:rsid w:val="00350B76"/>
    <w:rsid w:val="00350F72"/>
    <w:rsid w:val="003518AC"/>
    <w:rsid w:val="00354CDE"/>
    <w:rsid w:val="003556B5"/>
    <w:rsid w:val="00356FB6"/>
    <w:rsid w:val="00361B6E"/>
    <w:rsid w:val="0037237D"/>
    <w:rsid w:val="003747FC"/>
    <w:rsid w:val="003755F8"/>
    <w:rsid w:val="003759C9"/>
    <w:rsid w:val="0037641C"/>
    <w:rsid w:val="00377CC9"/>
    <w:rsid w:val="003811E6"/>
    <w:rsid w:val="0038595D"/>
    <w:rsid w:val="00392B93"/>
    <w:rsid w:val="00393F16"/>
    <w:rsid w:val="003A306C"/>
    <w:rsid w:val="003A6542"/>
    <w:rsid w:val="003A6B01"/>
    <w:rsid w:val="003B06B4"/>
    <w:rsid w:val="003B6C56"/>
    <w:rsid w:val="003B71CE"/>
    <w:rsid w:val="003C7CCB"/>
    <w:rsid w:val="003D0414"/>
    <w:rsid w:val="003D0C6E"/>
    <w:rsid w:val="003D1E08"/>
    <w:rsid w:val="003D2026"/>
    <w:rsid w:val="003D2E0F"/>
    <w:rsid w:val="003D6DDA"/>
    <w:rsid w:val="003D70BC"/>
    <w:rsid w:val="003E048F"/>
    <w:rsid w:val="003E09A5"/>
    <w:rsid w:val="003F2FDD"/>
    <w:rsid w:val="00400473"/>
    <w:rsid w:val="00400E16"/>
    <w:rsid w:val="00404BB2"/>
    <w:rsid w:val="00404D52"/>
    <w:rsid w:val="00407A08"/>
    <w:rsid w:val="004106E9"/>
    <w:rsid w:val="00413CFD"/>
    <w:rsid w:val="004165BA"/>
    <w:rsid w:val="0042588D"/>
    <w:rsid w:val="004259C7"/>
    <w:rsid w:val="00432AE2"/>
    <w:rsid w:val="00433BBD"/>
    <w:rsid w:val="00434208"/>
    <w:rsid w:val="00436B9B"/>
    <w:rsid w:val="00444985"/>
    <w:rsid w:val="004449EA"/>
    <w:rsid w:val="004452D5"/>
    <w:rsid w:val="00447CBE"/>
    <w:rsid w:val="004548CC"/>
    <w:rsid w:val="0046292E"/>
    <w:rsid w:val="00464E91"/>
    <w:rsid w:val="00465DBF"/>
    <w:rsid w:val="004671FB"/>
    <w:rsid w:val="00475C6A"/>
    <w:rsid w:val="0047780C"/>
    <w:rsid w:val="0048004E"/>
    <w:rsid w:val="0048251F"/>
    <w:rsid w:val="00485B5D"/>
    <w:rsid w:val="00486C27"/>
    <w:rsid w:val="004919B6"/>
    <w:rsid w:val="00493FD8"/>
    <w:rsid w:val="004967CB"/>
    <w:rsid w:val="004A1ACF"/>
    <w:rsid w:val="004A1FCF"/>
    <w:rsid w:val="004A3107"/>
    <w:rsid w:val="004B1158"/>
    <w:rsid w:val="004C1405"/>
    <w:rsid w:val="004C4014"/>
    <w:rsid w:val="004D4F0D"/>
    <w:rsid w:val="004D5B66"/>
    <w:rsid w:val="004E3DC4"/>
    <w:rsid w:val="004E508E"/>
    <w:rsid w:val="004F2931"/>
    <w:rsid w:val="004F2CC4"/>
    <w:rsid w:val="004F685B"/>
    <w:rsid w:val="00501432"/>
    <w:rsid w:val="00503CE4"/>
    <w:rsid w:val="00506233"/>
    <w:rsid w:val="00507599"/>
    <w:rsid w:val="00507A13"/>
    <w:rsid w:val="0051122C"/>
    <w:rsid w:val="0051182A"/>
    <w:rsid w:val="00515C64"/>
    <w:rsid w:val="00517CF0"/>
    <w:rsid w:val="00517D3A"/>
    <w:rsid w:val="00521695"/>
    <w:rsid w:val="00522590"/>
    <w:rsid w:val="0053274B"/>
    <w:rsid w:val="00541D6F"/>
    <w:rsid w:val="00546E68"/>
    <w:rsid w:val="00547CCF"/>
    <w:rsid w:val="00550C52"/>
    <w:rsid w:val="005532D1"/>
    <w:rsid w:val="00564120"/>
    <w:rsid w:val="005650D8"/>
    <w:rsid w:val="005653BF"/>
    <w:rsid w:val="00571F67"/>
    <w:rsid w:val="00572928"/>
    <w:rsid w:val="00586454"/>
    <w:rsid w:val="00587272"/>
    <w:rsid w:val="005874AF"/>
    <w:rsid w:val="00587D36"/>
    <w:rsid w:val="00590FFD"/>
    <w:rsid w:val="005931F7"/>
    <w:rsid w:val="00595B04"/>
    <w:rsid w:val="005A0EE6"/>
    <w:rsid w:val="005A3FDC"/>
    <w:rsid w:val="005A5AC9"/>
    <w:rsid w:val="005B72BE"/>
    <w:rsid w:val="005B7E0F"/>
    <w:rsid w:val="005C51A5"/>
    <w:rsid w:val="005C70D9"/>
    <w:rsid w:val="005D16D5"/>
    <w:rsid w:val="005D4788"/>
    <w:rsid w:val="005D6335"/>
    <w:rsid w:val="005E100C"/>
    <w:rsid w:val="005E3A68"/>
    <w:rsid w:val="005E4C8C"/>
    <w:rsid w:val="005F0E9C"/>
    <w:rsid w:val="005F2E2B"/>
    <w:rsid w:val="005F4088"/>
    <w:rsid w:val="005F6E58"/>
    <w:rsid w:val="00602B5C"/>
    <w:rsid w:val="006079C5"/>
    <w:rsid w:val="0061079D"/>
    <w:rsid w:val="00613472"/>
    <w:rsid w:val="006139D5"/>
    <w:rsid w:val="00614723"/>
    <w:rsid w:val="00621C59"/>
    <w:rsid w:val="006221AA"/>
    <w:rsid w:val="00623AC6"/>
    <w:rsid w:val="00623CDD"/>
    <w:rsid w:val="00624083"/>
    <w:rsid w:val="006329A9"/>
    <w:rsid w:val="0064333A"/>
    <w:rsid w:val="00644068"/>
    <w:rsid w:val="006440F5"/>
    <w:rsid w:val="00645309"/>
    <w:rsid w:val="00646D0E"/>
    <w:rsid w:val="006562EA"/>
    <w:rsid w:val="00664228"/>
    <w:rsid w:val="0066589A"/>
    <w:rsid w:val="00670C2D"/>
    <w:rsid w:val="00671585"/>
    <w:rsid w:val="00671D99"/>
    <w:rsid w:val="00676C4C"/>
    <w:rsid w:val="00682D2B"/>
    <w:rsid w:val="00683398"/>
    <w:rsid w:val="006834D4"/>
    <w:rsid w:val="00687CCF"/>
    <w:rsid w:val="00690490"/>
    <w:rsid w:val="00691F2E"/>
    <w:rsid w:val="006931F9"/>
    <w:rsid w:val="00695C58"/>
    <w:rsid w:val="006A03C4"/>
    <w:rsid w:val="006B631B"/>
    <w:rsid w:val="006B7153"/>
    <w:rsid w:val="006C0542"/>
    <w:rsid w:val="006C1F71"/>
    <w:rsid w:val="006C325A"/>
    <w:rsid w:val="006D024B"/>
    <w:rsid w:val="006D1678"/>
    <w:rsid w:val="006D22C1"/>
    <w:rsid w:val="006D2D47"/>
    <w:rsid w:val="006D6461"/>
    <w:rsid w:val="006D70EA"/>
    <w:rsid w:val="006E2208"/>
    <w:rsid w:val="006E22D1"/>
    <w:rsid w:val="006E6FA2"/>
    <w:rsid w:val="006F52C6"/>
    <w:rsid w:val="0070498B"/>
    <w:rsid w:val="00707E4A"/>
    <w:rsid w:val="00711631"/>
    <w:rsid w:val="00715CCD"/>
    <w:rsid w:val="0071652A"/>
    <w:rsid w:val="0071691C"/>
    <w:rsid w:val="0071769B"/>
    <w:rsid w:val="007228D7"/>
    <w:rsid w:val="00730369"/>
    <w:rsid w:val="00733B33"/>
    <w:rsid w:val="007347D6"/>
    <w:rsid w:val="00736797"/>
    <w:rsid w:val="00740D50"/>
    <w:rsid w:val="00763C80"/>
    <w:rsid w:val="007642BD"/>
    <w:rsid w:val="00771405"/>
    <w:rsid w:val="00775B6E"/>
    <w:rsid w:val="00775BC4"/>
    <w:rsid w:val="00777697"/>
    <w:rsid w:val="00777B82"/>
    <w:rsid w:val="007804D9"/>
    <w:rsid w:val="00791F6B"/>
    <w:rsid w:val="00794494"/>
    <w:rsid w:val="0079472D"/>
    <w:rsid w:val="007A0FCB"/>
    <w:rsid w:val="007A316C"/>
    <w:rsid w:val="007A3D64"/>
    <w:rsid w:val="007A55CC"/>
    <w:rsid w:val="007A5847"/>
    <w:rsid w:val="007A6605"/>
    <w:rsid w:val="007A75F3"/>
    <w:rsid w:val="007B12AC"/>
    <w:rsid w:val="007B1DDF"/>
    <w:rsid w:val="007B26C9"/>
    <w:rsid w:val="007C096F"/>
    <w:rsid w:val="007C0DE7"/>
    <w:rsid w:val="007C2944"/>
    <w:rsid w:val="007C6B5E"/>
    <w:rsid w:val="007D2562"/>
    <w:rsid w:val="007D7BF8"/>
    <w:rsid w:val="007E44E9"/>
    <w:rsid w:val="007E5780"/>
    <w:rsid w:val="007F2E13"/>
    <w:rsid w:val="007F7257"/>
    <w:rsid w:val="0080002D"/>
    <w:rsid w:val="0080065A"/>
    <w:rsid w:val="00801BFD"/>
    <w:rsid w:val="00802A1F"/>
    <w:rsid w:val="00803C40"/>
    <w:rsid w:val="00810B5C"/>
    <w:rsid w:val="008125CC"/>
    <w:rsid w:val="008135AE"/>
    <w:rsid w:val="00814C96"/>
    <w:rsid w:val="008318A9"/>
    <w:rsid w:val="00832B84"/>
    <w:rsid w:val="00835670"/>
    <w:rsid w:val="00835A93"/>
    <w:rsid w:val="00836EE3"/>
    <w:rsid w:val="00837D9B"/>
    <w:rsid w:val="00840DE3"/>
    <w:rsid w:val="00846117"/>
    <w:rsid w:val="00846FFF"/>
    <w:rsid w:val="00850F58"/>
    <w:rsid w:val="00861423"/>
    <w:rsid w:val="0086279C"/>
    <w:rsid w:val="00864756"/>
    <w:rsid w:val="00865897"/>
    <w:rsid w:val="008677CE"/>
    <w:rsid w:val="00877E56"/>
    <w:rsid w:val="00885AC8"/>
    <w:rsid w:val="008901F6"/>
    <w:rsid w:val="008923AA"/>
    <w:rsid w:val="008A02D8"/>
    <w:rsid w:val="008A3B59"/>
    <w:rsid w:val="008B02C4"/>
    <w:rsid w:val="008B0DF7"/>
    <w:rsid w:val="008B5501"/>
    <w:rsid w:val="008B6D80"/>
    <w:rsid w:val="008C23DA"/>
    <w:rsid w:val="008C4FCC"/>
    <w:rsid w:val="008D1070"/>
    <w:rsid w:val="008D5391"/>
    <w:rsid w:val="008D5D79"/>
    <w:rsid w:val="008E1704"/>
    <w:rsid w:val="008E2A77"/>
    <w:rsid w:val="008E372A"/>
    <w:rsid w:val="008E6BEA"/>
    <w:rsid w:val="008F394A"/>
    <w:rsid w:val="008F42E4"/>
    <w:rsid w:val="008F43F0"/>
    <w:rsid w:val="00900F60"/>
    <w:rsid w:val="009023E1"/>
    <w:rsid w:val="00904190"/>
    <w:rsid w:val="00904D7D"/>
    <w:rsid w:val="009147ED"/>
    <w:rsid w:val="009204B0"/>
    <w:rsid w:val="00920E61"/>
    <w:rsid w:val="009348EC"/>
    <w:rsid w:val="00937434"/>
    <w:rsid w:val="00943777"/>
    <w:rsid w:val="00946F50"/>
    <w:rsid w:val="00951BBC"/>
    <w:rsid w:val="00955F14"/>
    <w:rsid w:val="00956AD1"/>
    <w:rsid w:val="00957853"/>
    <w:rsid w:val="00961DF0"/>
    <w:rsid w:val="00966804"/>
    <w:rsid w:val="00971DBB"/>
    <w:rsid w:val="00972410"/>
    <w:rsid w:val="00974C95"/>
    <w:rsid w:val="00975389"/>
    <w:rsid w:val="009806A5"/>
    <w:rsid w:val="00983D42"/>
    <w:rsid w:val="0099287B"/>
    <w:rsid w:val="00996D43"/>
    <w:rsid w:val="009976C0"/>
    <w:rsid w:val="009978B1"/>
    <w:rsid w:val="009B0536"/>
    <w:rsid w:val="009B0839"/>
    <w:rsid w:val="009B54D4"/>
    <w:rsid w:val="009C4E6C"/>
    <w:rsid w:val="009C7C71"/>
    <w:rsid w:val="009D0881"/>
    <w:rsid w:val="009D0C2A"/>
    <w:rsid w:val="009D625C"/>
    <w:rsid w:val="009E6010"/>
    <w:rsid w:val="009F1AD6"/>
    <w:rsid w:val="00A0038C"/>
    <w:rsid w:val="00A02453"/>
    <w:rsid w:val="00A04C6F"/>
    <w:rsid w:val="00A11459"/>
    <w:rsid w:val="00A1282E"/>
    <w:rsid w:val="00A12E8A"/>
    <w:rsid w:val="00A15220"/>
    <w:rsid w:val="00A1569B"/>
    <w:rsid w:val="00A26E4C"/>
    <w:rsid w:val="00A31374"/>
    <w:rsid w:val="00A3293B"/>
    <w:rsid w:val="00A3745C"/>
    <w:rsid w:val="00A42231"/>
    <w:rsid w:val="00A427B6"/>
    <w:rsid w:val="00A4520F"/>
    <w:rsid w:val="00A46E35"/>
    <w:rsid w:val="00A57BE7"/>
    <w:rsid w:val="00A64C2D"/>
    <w:rsid w:val="00A66538"/>
    <w:rsid w:val="00A665A5"/>
    <w:rsid w:val="00A669CF"/>
    <w:rsid w:val="00A703E9"/>
    <w:rsid w:val="00A716E0"/>
    <w:rsid w:val="00A80738"/>
    <w:rsid w:val="00A82532"/>
    <w:rsid w:val="00A8528E"/>
    <w:rsid w:val="00A94951"/>
    <w:rsid w:val="00A97CE5"/>
    <w:rsid w:val="00AA262B"/>
    <w:rsid w:val="00AA4266"/>
    <w:rsid w:val="00AA54A9"/>
    <w:rsid w:val="00AA64F4"/>
    <w:rsid w:val="00AB0F73"/>
    <w:rsid w:val="00AB7D38"/>
    <w:rsid w:val="00AB7E11"/>
    <w:rsid w:val="00AC1D78"/>
    <w:rsid w:val="00AC2952"/>
    <w:rsid w:val="00AC3BE4"/>
    <w:rsid w:val="00AD4EE5"/>
    <w:rsid w:val="00AD5A6B"/>
    <w:rsid w:val="00AE36B1"/>
    <w:rsid w:val="00AE5F78"/>
    <w:rsid w:val="00AF0B86"/>
    <w:rsid w:val="00AF7EBF"/>
    <w:rsid w:val="00B011FB"/>
    <w:rsid w:val="00B01B30"/>
    <w:rsid w:val="00B0206B"/>
    <w:rsid w:val="00B03036"/>
    <w:rsid w:val="00B05DA2"/>
    <w:rsid w:val="00B20CF1"/>
    <w:rsid w:val="00B21B0E"/>
    <w:rsid w:val="00B21EDE"/>
    <w:rsid w:val="00B229A3"/>
    <w:rsid w:val="00B252A2"/>
    <w:rsid w:val="00B31763"/>
    <w:rsid w:val="00B34312"/>
    <w:rsid w:val="00B35AD0"/>
    <w:rsid w:val="00B36890"/>
    <w:rsid w:val="00B47378"/>
    <w:rsid w:val="00B51C59"/>
    <w:rsid w:val="00B52B5E"/>
    <w:rsid w:val="00B6030D"/>
    <w:rsid w:val="00B62FFF"/>
    <w:rsid w:val="00B639C2"/>
    <w:rsid w:val="00B64FE8"/>
    <w:rsid w:val="00B669D3"/>
    <w:rsid w:val="00B71898"/>
    <w:rsid w:val="00B75EAB"/>
    <w:rsid w:val="00B8729E"/>
    <w:rsid w:val="00B902AE"/>
    <w:rsid w:val="00B942E2"/>
    <w:rsid w:val="00BA011D"/>
    <w:rsid w:val="00BA0175"/>
    <w:rsid w:val="00BA2138"/>
    <w:rsid w:val="00BA4CC3"/>
    <w:rsid w:val="00BB7368"/>
    <w:rsid w:val="00BB7867"/>
    <w:rsid w:val="00BC03C2"/>
    <w:rsid w:val="00BC26E9"/>
    <w:rsid w:val="00BC699E"/>
    <w:rsid w:val="00BC74A1"/>
    <w:rsid w:val="00BD22D1"/>
    <w:rsid w:val="00BD3FB2"/>
    <w:rsid w:val="00BE7918"/>
    <w:rsid w:val="00BF0AE0"/>
    <w:rsid w:val="00BF2D30"/>
    <w:rsid w:val="00BF3454"/>
    <w:rsid w:val="00BF3E57"/>
    <w:rsid w:val="00C021F0"/>
    <w:rsid w:val="00C024AA"/>
    <w:rsid w:val="00C03BE3"/>
    <w:rsid w:val="00C03F45"/>
    <w:rsid w:val="00C13692"/>
    <w:rsid w:val="00C15B0C"/>
    <w:rsid w:val="00C15F6F"/>
    <w:rsid w:val="00C17960"/>
    <w:rsid w:val="00C17D05"/>
    <w:rsid w:val="00C21233"/>
    <w:rsid w:val="00C250EB"/>
    <w:rsid w:val="00C25F9E"/>
    <w:rsid w:val="00C27400"/>
    <w:rsid w:val="00C373D0"/>
    <w:rsid w:val="00C429E5"/>
    <w:rsid w:val="00C43A2A"/>
    <w:rsid w:val="00C5052D"/>
    <w:rsid w:val="00C50AC0"/>
    <w:rsid w:val="00C56D2A"/>
    <w:rsid w:val="00C57E83"/>
    <w:rsid w:val="00C630FE"/>
    <w:rsid w:val="00C635C8"/>
    <w:rsid w:val="00C66453"/>
    <w:rsid w:val="00C72EE8"/>
    <w:rsid w:val="00C75932"/>
    <w:rsid w:val="00C8039B"/>
    <w:rsid w:val="00C803ED"/>
    <w:rsid w:val="00C80F31"/>
    <w:rsid w:val="00C82517"/>
    <w:rsid w:val="00C91300"/>
    <w:rsid w:val="00C917D4"/>
    <w:rsid w:val="00C96767"/>
    <w:rsid w:val="00C9772B"/>
    <w:rsid w:val="00CA0983"/>
    <w:rsid w:val="00CA1FC9"/>
    <w:rsid w:val="00CA6C7A"/>
    <w:rsid w:val="00CA6D6F"/>
    <w:rsid w:val="00CA7B3C"/>
    <w:rsid w:val="00CA7C1C"/>
    <w:rsid w:val="00CB3253"/>
    <w:rsid w:val="00CB4B60"/>
    <w:rsid w:val="00CC071E"/>
    <w:rsid w:val="00CC4FC0"/>
    <w:rsid w:val="00CC5E55"/>
    <w:rsid w:val="00CC79FB"/>
    <w:rsid w:val="00CC7E06"/>
    <w:rsid w:val="00CD04F8"/>
    <w:rsid w:val="00CD117B"/>
    <w:rsid w:val="00CD1EF8"/>
    <w:rsid w:val="00CD3080"/>
    <w:rsid w:val="00CD313D"/>
    <w:rsid w:val="00CD7152"/>
    <w:rsid w:val="00CD7243"/>
    <w:rsid w:val="00CE1B6D"/>
    <w:rsid w:val="00CE3D7C"/>
    <w:rsid w:val="00CE5CBC"/>
    <w:rsid w:val="00CE7BE6"/>
    <w:rsid w:val="00CF2D2D"/>
    <w:rsid w:val="00D02DDD"/>
    <w:rsid w:val="00D13CBB"/>
    <w:rsid w:val="00D20648"/>
    <w:rsid w:val="00D224F4"/>
    <w:rsid w:val="00D22CB6"/>
    <w:rsid w:val="00D230E3"/>
    <w:rsid w:val="00D27381"/>
    <w:rsid w:val="00D32729"/>
    <w:rsid w:val="00D37395"/>
    <w:rsid w:val="00D415F2"/>
    <w:rsid w:val="00D41AD7"/>
    <w:rsid w:val="00D41CF8"/>
    <w:rsid w:val="00D467D6"/>
    <w:rsid w:val="00D47EED"/>
    <w:rsid w:val="00D50DE3"/>
    <w:rsid w:val="00D512A1"/>
    <w:rsid w:val="00D521FB"/>
    <w:rsid w:val="00D55191"/>
    <w:rsid w:val="00D552CB"/>
    <w:rsid w:val="00D55848"/>
    <w:rsid w:val="00D643C1"/>
    <w:rsid w:val="00D64AF7"/>
    <w:rsid w:val="00D65F9B"/>
    <w:rsid w:val="00D672E6"/>
    <w:rsid w:val="00D67BA0"/>
    <w:rsid w:val="00D800F6"/>
    <w:rsid w:val="00D8266E"/>
    <w:rsid w:val="00D82EDC"/>
    <w:rsid w:val="00D86245"/>
    <w:rsid w:val="00D9117F"/>
    <w:rsid w:val="00D927B6"/>
    <w:rsid w:val="00D93286"/>
    <w:rsid w:val="00D93F51"/>
    <w:rsid w:val="00D9429A"/>
    <w:rsid w:val="00DA1F03"/>
    <w:rsid w:val="00DA3394"/>
    <w:rsid w:val="00DA6DF3"/>
    <w:rsid w:val="00DB1A14"/>
    <w:rsid w:val="00DB1FD9"/>
    <w:rsid w:val="00DB4A5C"/>
    <w:rsid w:val="00DC12E2"/>
    <w:rsid w:val="00DC130E"/>
    <w:rsid w:val="00DC1C11"/>
    <w:rsid w:val="00DC3A0B"/>
    <w:rsid w:val="00DC3EBE"/>
    <w:rsid w:val="00DD129E"/>
    <w:rsid w:val="00DD4969"/>
    <w:rsid w:val="00DD6CC2"/>
    <w:rsid w:val="00DD7073"/>
    <w:rsid w:val="00DE12F6"/>
    <w:rsid w:val="00DE2008"/>
    <w:rsid w:val="00DE4113"/>
    <w:rsid w:val="00DE5991"/>
    <w:rsid w:val="00DE7613"/>
    <w:rsid w:val="00E048E3"/>
    <w:rsid w:val="00E06D37"/>
    <w:rsid w:val="00E11091"/>
    <w:rsid w:val="00E1122A"/>
    <w:rsid w:val="00E135F0"/>
    <w:rsid w:val="00E2044C"/>
    <w:rsid w:val="00E27F5C"/>
    <w:rsid w:val="00E32184"/>
    <w:rsid w:val="00E3596F"/>
    <w:rsid w:val="00E368E5"/>
    <w:rsid w:val="00E50CC2"/>
    <w:rsid w:val="00E528FB"/>
    <w:rsid w:val="00E558F8"/>
    <w:rsid w:val="00E568B5"/>
    <w:rsid w:val="00E648DD"/>
    <w:rsid w:val="00E64F10"/>
    <w:rsid w:val="00E65198"/>
    <w:rsid w:val="00E6701F"/>
    <w:rsid w:val="00E71095"/>
    <w:rsid w:val="00E71806"/>
    <w:rsid w:val="00E72BDC"/>
    <w:rsid w:val="00E77567"/>
    <w:rsid w:val="00E821CE"/>
    <w:rsid w:val="00E93778"/>
    <w:rsid w:val="00E93AF9"/>
    <w:rsid w:val="00E951BE"/>
    <w:rsid w:val="00EA5095"/>
    <w:rsid w:val="00EB726D"/>
    <w:rsid w:val="00EC0263"/>
    <w:rsid w:val="00EC3719"/>
    <w:rsid w:val="00EC4A0B"/>
    <w:rsid w:val="00EC7D24"/>
    <w:rsid w:val="00ED4307"/>
    <w:rsid w:val="00ED441B"/>
    <w:rsid w:val="00ED45A7"/>
    <w:rsid w:val="00ED7199"/>
    <w:rsid w:val="00EE04FF"/>
    <w:rsid w:val="00EE16B5"/>
    <w:rsid w:val="00EF09AC"/>
    <w:rsid w:val="00EF20C5"/>
    <w:rsid w:val="00EF5B54"/>
    <w:rsid w:val="00F02410"/>
    <w:rsid w:val="00F02CFC"/>
    <w:rsid w:val="00F04E7C"/>
    <w:rsid w:val="00F05E10"/>
    <w:rsid w:val="00F15B7F"/>
    <w:rsid w:val="00F23556"/>
    <w:rsid w:val="00F25102"/>
    <w:rsid w:val="00F35D94"/>
    <w:rsid w:val="00F43BBF"/>
    <w:rsid w:val="00F446C0"/>
    <w:rsid w:val="00F456C5"/>
    <w:rsid w:val="00F52CFC"/>
    <w:rsid w:val="00F549B4"/>
    <w:rsid w:val="00F6108C"/>
    <w:rsid w:val="00F62C70"/>
    <w:rsid w:val="00F6452B"/>
    <w:rsid w:val="00F71533"/>
    <w:rsid w:val="00F72525"/>
    <w:rsid w:val="00F74075"/>
    <w:rsid w:val="00F807B4"/>
    <w:rsid w:val="00F840E5"/>
    <w:rsid w:val="00F85FDE"/>
    <w:rsid w:val="00F876FA"/>
    <w:rsid w:val="00F9281D"/>
    <w:rsid w:val="00F9425E"/>
    <w:rsid w:val="00FA5A83"/>
    <w:rsid w:val="00FB11E5"/>
    <w:rsid w:val="00FB333F"/>
    <w:rsid w:val="00FB3B91"/>
    <w:rsid w:val="00FB5D48"/>
    <w:rsid w:val="00FB6FD1"/>
    <w:rsid w:val="00FB7281"/>
    <w:rsid w:val="00FB76C8"/>
    <w:rsid w:val="00FC2203"/>
    <w:rsid w:val="00FC4394"/>
    <w:rsid w:val="00FC496B"/>
    <w:rsid w:val="00FC4AEF"/>
    <w:rsid w:val="00FD7C57"/>
    <w:rsid w:val="00FE1832"/>
    <w:rsid w:val="00FE2B3E"/>
    <w:rsid w:val="00FE383B"/>
    <w:rsid w:val="00FE452D"/>
    <w:rsid w:val="00FE5125"/>
    <w:rsid w:val="00FE6197"/>
    <w:rsid w:val="00FF2854"/>
    <w:rsid w:val="00FF2EE4"/>
    <w:rsid w:val="02895B83"/>
    <w:rsid w:val="0402799B"/>
    <w:rsid w:val="062A142B"/>
    <w:rsid w:val="06587D46"/>
    <w:rsid w:val="08F3013A"/>
    <w:rsid w:val="0A1C49E3"/>
    <w:rsid w:val="0E5A03D3"/>
    <w:rsid w:val="0EBC61DF"/>
    <w:rsid w:val="0F4C5F6E"/>
    <w:rsid w:val="0FC63F72"/>
    <w:rsid w:val="13746B58"/>
    <w:rsid w:val="13D50442"/>
    <w:rsid w:val="156C2EC6"/>
    <w:rsid w:val="17836BED"/>
    <w:rsid w:val="194B45AF"/>
    <w:rsid w:val="1A952EBF"/>
    <w:rsid w:val="1AA749A0"/>
    <w:rsid w:val="1ACB4B33"/>
    <w:rsid w:val="1B3428C0"/>
    <w:rsid w:val="1B6A5E42"/>
    <w:rsid w:val="1C4621C3"/>
    <w:rsid w:val="1C744D56"/>
    <w:rsid w:val="1DEC54EC"/>
    <w:rsid w:val="231309DB"/>
    <w:rsid w:val="23675887"/>
    <w:rsid w:val="236C49D9"/>
    <w:rsid w:val="237768F2"/>
    <w:rsid w:val="24A02AE7"/>
    <w:rsid w:val="25446199"/>
    <w:rsid w:val="257638ED"/>
    <w:rsid w:val="2A1F7372"/>
    <w:rsid w:val="2A78447A"/>
    <w:rsid w:val="2B696BA9"/>
    <w:rsid w:val="2C970D19"/>
    <w:rsid w:val="2CA96E1C"/>
    <w:rsid w:val="2D4960EE"/>
    <w:rsid w:val="2D5846F3"/>
    <w:rsid w:val="2D5B5529"/>
    <w:rsid w:val="2F455E4C"/>
    <w:rsid w:val="313758AE"/>
    <w:rsid w:val="349148B4"/>
    <w:rsid w:val="3807783E"/>
    <w:rsid w:val="3B007A89"/>
    <w:rsid w:val="3C6F7834"/>
    <w:rsid w:val="3CB90837"/>
    <w:rsid w:val="3CFB2BFE"/>
    <w:rsid w:val="3D5E4F3B"/>
    <w:rsid w:val="3E3809FA"/>
    <w:rsid w:val="408E5CF8"/>
    <w:rsid w:val="418916AB"/>
    <w:rsid w:val="41DF2AEE"/>
    <w:rsid w:val="423A5F76"/>
    <w:rsid w:val="447913F5"/>
    <w:rsid w:val="45104875"/>
    <w:rsid w:val="46ED7A5B"/>
    <w:rsid w:val="48644951"/>
    <w:rsid w:val="4A19442E"/>
    <w:rsid w:val="4ADE2E23"/>
    <w:rsid w:val="4D8437BB"/>
    <w:rsid w:val="51B55939"/>
    <w:rsid w:val="55055F70"/>
    <w:rsid w:val="552F354C"/>
    <w:rsid w:val="5551037C"/>
    <w:rsid w:val="55CA5D3D"/>
    <w:rsid w:val="55F339C7"/>
    <w:rsid w:val="561623FF"/>
    <w:rsid w:val="571C3A45"/>
    <w:rsid w:val="573E3DB0"/>
    <w:rsid w:val="5BA030D3"/>
    <w:rsid w:val="5BB55204"/>
    <w:rsid w:val="5C2F32A0"/>
    <w:rsid w:val="5CB0535B"/>
    <w:rsid w:val="5D923490"/>
    <w:rsid w:val="5E334420"/>
    <w:rsid w:val="5F08322C"/>
    <w:rsid w:val="641C0546"/>
    <w:rsid w:val="6439640E"/>
    <w:rsid w:val="65FE0EE5"/>
    <w:rsid w:val="66983372"/>
    <w:rsid w:val="67136C12"/>
    <w:rsid w:val="67446219"/>
    <w:rsid w:val="68EA3E01"/>
    <w:rsid w:val="6A0A2A92"/>
    <w:rsid w:val="6A497D4B"/>
    <w:rsid w:val="6A6C3E8D"/>
    <w:rsid w:val="6A7A6FA8"/>
    <w:rsid w:val="6AAD1FB6"/>
    <w:rsid w:val="6C8B1464"/>
    <w:rsid w:val="6D1F0C2F"/>
    <w:rsid w:val="6E1868BC"/>
    <w:rsid w:val="6FCE7B7A"/>
    <w:rsid w:val="702C3D83"/>
    <w:rsid w:val="70B328CC"/>
    <w:rsid w:val="713C4FB8"/>
    <w:rsid w:val="716D0010"/>
    <w:rsid w:val="71905422"/>
    <w:rsid w:val="73610D05"/>
    <w:rsid w:val="74455F31"/>
    <w:rsid w:val="74BA06CD"/>
    <w:rsid w:val="75E26E91"/>
    <w:rsid w:val="76EF3E2A"/>
    <w:rsid w:val="77C655D2"/>
    <w:rsid w:val="7A323333"/>
    <w:rsid w:val="7B1C143D"/>
    <w:rsid w:val="7BC71395"/>
    <w:rsid w:val="7BD74E94"/>
    <w:rsid w:val="7CF820C9"/>
    <w:rsid w:val="7DD54D75"/>
    <w:rsid w:val="7E1778B0"/>
    <w:rsid w:val="7E5751DF"/>
    <w:rsid w:val="7E745D91"/>
    <w:rsid w:val="7F2C6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heme="minorBidi"/>
      <w:kern w:val="2"/>
      <w:sz w:val="30"/>
      <w:szCs w:val="22"/>
      <w:lang w:val="en-US" w:eastAsia="zh-CN" w:bidi="ar-SA"/>
    </w:rPr>
  </w:style>
  <w:style w:type="paragraph" w:styleId="2">
    <w:name w:val="heading 1"/>
    <w:basedOn w:val="1"/>
    <w:next w:val="3"/>
    <w:link w:val="18"/>
    <w:autoRedefine/>
    <w:qFormat/>
    <w:uiPriority w:val="9"/>
    <w:pPr>
      <w:keepNext/>
      <w:keepLines/>
      <w:numPr>
        <w:ilvl w:val="0"/>
        <w:numId w:val="1"/>
      </w:numPr>
      <w:spacing w:line="360" w:lineRule="auto"/>
      <w:outlineLvl w:val="0"/>
    </w:pPr>
    <w:rPr>
      <w:rFonts w:ascii="Times New Roman" w:hAnsi="Times New Roman" w:eastAsia="仿宋" w:cstheme="majorBidi"/>
      <w:b/>
      <w:kern w:val="44"/>
      <w:sz w:val="30"/>
      <w:szCs w:val="44"/>
      <w:lang w:val="en-US" w:eastAsia="zh-CN" w:bidi="ar-SA"/>
    </w:rPr>
  </w:style>
  <w:style w:type="paragraph" w:styleId="4">
    <w:name w:val="heading 2"/>
    <w:basedOn w:val="1"/>
    <w:next w:val="3"/>
    <w:link w:val="22"/>
    <w:autoRedefine/>
    <w:unhideWhenUsed/>
    <w:qFormat/>
    <w:uiPriority w:val="9"/>
    <w:pPr>
      <w:keepNext/>
      <w:keepLines/>
      <w:numPr>
        <w:ilvl w:val="1"/>
        <w:numId w:val="1"/>
      </w:numPr>
      <w:spacing w:line="360" w:lineRule="auto"/>
      <w:outlineLvl w:val="1"/>
    </w:pPr>
    <w:rPr>
      <w:rFonts w:ascii="Times New Roman" w:hAnsi="Times New Roman" w:eastAsia="仿宋" w:cstheme="majorBidi"/>
      <w:bCs/>
      <w:kern w:val="2"/>
      <w:sz w:val="30"/>
      <w:szCs w:val="32"/>
      <w:lang w:val="en-US" w:eastAsia="zh-CN" w:bidi="ar-SA"/>
    </w:rPr>
  </w:style>
  <w:style w:type="paragraph" w:styleId="5">
    <w:name w:val="heading 3"/>
    <w:basedOn w:val="1"/>
    <w:next w:val="3"/>
    <w:link w:val="23"/>
    <w:autoRedefine/>
    <w:unhideWhenUsed/>
    <w:qFormat/>
    <w:uiPriority w:val="9"/>
    <w:pPr>
      <w:keepNext/>
      <w:keepLines/>
      <w:numPr>
        <w:ilvl w:val="2"/>
        <w:numId w:val="1"/>
      </w:numPr>
      <w:spacing w:line="360" w:lineRule="auto"/>
      <w:outlineLvl w:val="2"/>
    </w:pPr>
    <w:rPr>
      <w:rFonts w:ascii="Times New Roman" w:hAnsi="Times New Roman" w:eastAsia="仿宋" w:cstheme="minorBidi"/>
      <w:bCs/>
      <w:kern w:val="2"/>
      <w:sz w:val="30"/>
      <w:szCs w:val="32"/>
      <w:lang w:val="en-US" w:eastAsia="zh-CN" w:bidi="ar-SA"/>
    </w:rPr>
  </w:style>
  <w:style w:type="paragraph" w:styleId="6">
    <w:name w:val="heading 4"/>
    <w:next w:val="3"/>
    <w:link w:val="24"/>
    <w:autoRedefine/>
    <w:unhideWhenUsed/>
    <w:qFormat/>
    <w:uiPriority w:val="9"/>
    <w:pPr>
      <w:keepNext/>
      <w:keepLines/>
      <w:numPr>
        <w:ilvl w:val="3"/>
        <w:numId w:val="1"/>
      </w:numPr>
      <w:spacing w:line="360" w:lineRule="auto"/>
      <w:outlineLvl w:val="3"/>
    </w:pPr>
    <w:rPr>
      <w:rFonts w:ascii="Times New Roman" w:hAnsi="Times New Roman" w:eastAsia="仿宋" w:cstheme="majorBidi"/>
      <w:bCs/>
      <w:kern w:val="2"/>
      <w:sz w:val="30"/>
      <w:szCs w:val="28"/>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3">
    <w:name w:val="我的正文@环境所"/>
    <w:link w:val="19"/>
    <w:autoRedefine/>
    <w:qFormat/>
    <w:uiPriority w:val="0"/>
    <w:pPr>
      <w:spacing w:line="360" w:lineRule="auto"/>
      <w:ind w:firstLine="600" w:firstLineChars="200"/>
      <w:jc w:val="both"/>
    </w:pPr>
    <w:rPr>
      <w:rFonts w:ascii="Times New Roman" w:hAnsi="Times New Roman" w:eastAsia="仿宋" w:cstheme="minorBidi"/>
      <w:kern w:val="2"/>
      <w:sz w:val="30"/>
      <w:szCs w:val="22"/>
      <w:lang w:val="en-US" w:eastAsia="zh-CN" w:bidi="ar-SA"/>
    </w:rPr>
  </w:style>
  <w:style w:type="paragraph" w:styleId="7">
    <w:name w:val="caption"/>
    <w:basedOn w:val="1"/>
    <w:next w:val="1"/>
    <w:link w:val="33"/>
    <w:unhideWhenUsed/>
    <w:qFormat/>
    <w:uiPriority w:val="35"/>
    <w:rPr>
      <w:rFonts w:eastAsia="黑体" w:asciiTheme="majorHAnsi" w:hAnsiTheme="majorHAnsi" w:cstheme="majorBidi"/>
      <w:sz w:val="20"/>
      <w:szCs w:val="20"/>
    </w:rPr>
  </w:style>
  <w:style w:type="paragraph" w:styleId="8">
    <w:name w:val="Body Text"/>
    <w:basedOn w:val="1"/>
    <w:link w:val="39"/>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 w:val="21"/>
      <w:szCs w:val="21"/>
      <w:lang w:eastAsia="en-US"/>
    </w:rPr>
  </w:style>
  <w:style w:type="paragraph" w:styleId="9">
    <w:name w:val="Plain Text"/>
    <w:basedOn w:val="1"/>
    <w:qFormat/>
    <w:uiPriority w:val="0"/>
    <w:pPr>
      <w:adjustRightInd w:val="0"/>
      <w:spacing w:line="312" w:lineRule="atLeast"/>
      <w:textAlignment w:val="baseline"/>
    </w:pPr>
    <w:rPr>
      <w:rFonts w:ascii="宋体" w:hAnsi="Courier New" w:eastAsia="宋体" w:cs="Times New Roman"/>
      <w:kern w:val="0"/>
      <w:szCs w:val="20"/>
    </w:rPr>
  </w:style>
  <w:style w:type="paragraph" w:styleId="10">
    <w:name w:val="Balloon Text"/>
    <w:basedOn w:val="1"/>
    <w:link w:val="38"/>
    <w:semiHidden/>
    <w:unhideWhenUsed/>
    <w:qFormat/>
    <w:uiPriority w:val="99"/>
    <w:rPr>
      <w:sz w:val="18"/>
      <w:szCs w:val="18"/>
    </w:rPr>
  </w:style>
  <w:style w:type="paragraph" w:styleId="11">
    <w:name w:val="footer"/>
    <w:basedOn w:val="1"/>
    <w:link w:val="21"/>
    <w:unhideWhenUsed/>
    <w:qFormat/>
    <w:uiPriority w:val="99"/>
    <w:pPr>
      <w:tabs>
        <w:tab w:val="center" w:pos="4153"/>
        <w:tab w:val="right" w:pos="8306"/>
      </w:tabs>
      <w:snapToGrid w:val="0"/>
      <w:jc w:val="left"/>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itle"/>
    <w:basedOn w:val="1"/>
    <w:next w:val="3"/>
    <w:link w:val="17"/>
    <w:autoRedefine/>
    <w:qFormat/>
    <w:uiPriority w:val="10"/>
    <w:pPr>
      <w:spacing w:line="360" w:lineRule="auto"/>
      <w:jc w:val="center"/>
      <w:outlineLvl w:val="0"/>
    </w:pPr>
    <w:rPr>
      <w:rFonts w:eastAsia="黑体" w:cstheme="majorBidi"/>
      <w:b/>
      <w:bCs/>
      <w:sz w:val="36"/>
      <w:szCs w:val="32"/>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字符"/>
    <w:basedOn w:val="16"/>
    <w:link w:val="13"/>
    <w:qFormat/>
    <w:uiPriority w:val="10"/>
    <w:rPr>
      <w:rFonts w:ascii="Times New Roman" w:hAnsi="Times New Roman" w:eastAsia="黑体" w:cstheme="majorBidi"/>
      <w:b/>
      <w:bCs/>
      <w:sz w:val="36"/>
      <w:szCs w:val="32"/>
    </w:rPr>
  </w:style>
  <w:style w:type="character" w:customStyle="1" w:styleId="18">
    <w:name w:val="标题 1 字符"/>
    <w:basedOn w:val="16"/>
    <w:link w:val="2"/>
    <w:qFormat/>
    <w:uiPriority w:val="9"/>
    <w:rPr>
      <w:rFonts w:ascii="Times New Roman" w:hAnsi="Times New Roman" w:eastAsia="仿宋" w:cstheme="majorBidi"/>
      <w:b/>
      <w:kern w:val="44"/>
      <w:sz w:val="30"/>
      <w:szCs w:val="44"/>
    </w:rPr>
  </w:style>
  <w:style w:type="character" w:customStyle="1" w:styleId="19">
    <w:name w:val="我的正文@环境所 字符"/>
    <w:basedOn w:val="17"/>
    <w:link w:val="3"/>
    <w:qFormat/>
    <w:uiPriority w:val="0"/>
    <w:rPr>
      <w:rFonts w:ascii="Times New Roman" w:hAnsi="Times New Roman" w:eastAsia="仿宋" w:cstheme="majorBidi"/>
      <w:b w:val="0"/>
      <w:bCs w:val="0"/>
      <w:sz w:val="30"/>
      <w:szCs w:val="32"/>
    </w:rPr>
  </w:style>
  <w:style w:type="character" w:customStyle="1" w:styleId="20">
    <w:name w:val="页眉 字符"/>
    <w:basedOn w:val="16"/>
    <w:link w:val="12"/>
    <w:qFormat/>
    <w:uiPriority w:val="99"/>
    <w:rPr>
      <w:sz w:val="18"/>
      <w:szCs w:val="18"/>
    </w:rPr>
  </w:style>
  <w:style w:type="character" w:customStyle="1" w:styleId="21">
    <w:name w:val="页脚 字符"/>
    <w:basedOn w:val="16"/>
    <w:link w:val="11"/>
    <w:qFormat/>
    <w:uiPriority w:val="99"/>
    <w:rPr>
      <w:sz w:val="18"/>
      <w:szCs w:val="18"/>
    </w:rPr>
  </w:style>
  <w:style w:type="character" w:customStyle="1" w:styleId="22">
    <w:name w:val="标题 2 字符"/>
    <w:basedOn w:val="16"/>
    <w:link w:val="4"/>
    <w:qFormat/>
    <w:uiPriority w:val="9"/>
    <w:rPr>
      <w:rFonts w:ascii="Times New Roman" w:hAnsi="Times New Roman" w:eastAsia="仿宋" w:cstheme="majorBidi"/>
      <w:bCs/>
      <w:sz w:val="30"/>
      <w:szCs w:val="32"/>
    </w:rPr>
  </w:style>
  <w:style w:type="character" w:customStyle="1" w:styleId="23">
    <w:name w:val="标题 3 字符"/>
    <w:basedOn w:val="16"/>
    <w:link w:val="5"/>
    <w:qFormat/>
    <w:uiPriority w:val="9"/>
    <w:rPr>
      <w:rFonts w:ascii="Times New Roman" w:hAnsi="Times New Roman" w:eastAsia="仿宋"/>
      <w:bCs/>
      <w:sz w:val="30"/>
      <w:szCs w:val="32"/>
    </w:rPr>
  </w:style>
  <w:style w:type="character" w:customStyle="1" w:styleId="24">
    <w:name w:val="标题 4 字符"/>
    <w:basedOn w:val="16"/>
    <w:link w:val="6"/>
    <w:qFormat/>
    <w:uiPriority w:val="9"/>
    <w:rPr>
      <w:rFonts w:ascii="Times New Roman" w:hAnsi="Times New Roman" w:eastAsia="仿宋" w:cstheme="majorBidi"/>
      <w:bCs/>
      <w:sz w:val="30"/>
      <w:szCs w:val="28"/>
    </w:rPr>
  </w:style>
  <w:style w:type="paragraph" w:customStyle="1" w:styleId="25">
    <w:name w:val="图片内容"/>
    <w:basedOn w:val="3"/>
    <w:next w:val="3"/>
    <w:link w:val="27"/>
    <w:autoRedefine/>
    <w:qFormat/>
    <w:uiPriority w:val="0"/>
    <w:pPr>
      <w:ind w:firstLine="0" w:firstLineChars="0"/>
      <w:jc w:val="center"/>
    </w:pPr>
  </w:style>
  <w:style w:type="paragraph" w:customStyle="1" w:styleId="26">
    <w:name w:val="图片名称"/>
    <w:next w:val="3"/>
    <w:link w:val="28"/>
    <w:autoRedefine/>
    <w:qFormat/>
    <w:uiPriority w:val="0"/>
    <w:pPr>
      <w:jc w:val="center"/>
    </w:pPr>
    <w:rPr>
      <w:rFonts w:ascii="Times New Roman" w:hAnsi="Times New Roman" w:eastAsia="仿宋" w:cstheme="minorBidi"/>
      <w:b/>
      <w:kern w:val="2"/>
      <w:sz w:val="28"/>
      <w:szCs w:val="22"/>
      <w:lang w:val="en-US" w:eastAsia="zh-CN" w:bidi="ar-SA"/>
    </w:rPr>
  </w:style>
  <w:style w:type="character" w:customStyle="1" w:styleId="27">
    <w:name w:val="图片内容 字符"/>
    <w:basedOn w:val="19"/>
    <w:link w:val="25"/>
    <w:qFormat/>
    <w:uiPriority w:val="0"/>
    <w:rPr>
      <w:rFonts w:ascii="Times New Roman" w:hAnsi="Times New Roman" w:eastAsia="仿宋" w:cstheme="majorBidi"/>
      <w:sz w:val="30"/>
      <w:szCs w:val="32"/>
    </w:rPr>
  </w:style>
  <w:style w:type="character" w:customStyle="1" w:styleId="28">
    <w:name w:val="图片名称 字符"/>
    <w:basedOn w:val="19"/>
    <w:link w:val="26"/>
    <w:qFormat/>
    <w:uiPriority w:val="0"/>
    <w:rPr>
      <w:rFonts w:ascii="Times New Roman" w:hAnsi="Times New Roman" w:eastAsia="仿宋" w:cstheme="majorBidi"/>
      <w:b/>
      <w:sz w:val="28"/>
      <w:szCs w:val="32"/>
    </w:rPr>
  </w:style>
  <w:style w:type="paragraph" w:customStyle="1" w:styleId="29">
    <w:name w:val="表格内容"/>
    <w:basedOn w:val="3"/>
    <w:link w:val="31"/>
    <w:autoRedefine/>
    <w:qFormat/>
    <w:uiPriority w:val="0"/>
    <w:pPr>
      <w:ind w:firstLine="0" w:firstLineChars="0"/>
      <w:jc w:val="center"/>
    </w:pPr>
    <w:rPr>
      <w:sz w:val="24"/>
    </w:rPr>
  </w:style>
  <w:style w:type="paragraph" w:customStyle="1" w:styleId="30">
    <w:name w:val="表格名称"/>
    <w:next w:val="3"/>
    <w:link w:val="34"/>
    <w:autoRedefine/>
    <w:qFormat/>
    <w:uiPriority w:val="0"/>
    <w:pPr>
      <w:keepNext/>
      <w:spacing w:line="360" w:lineRule="auto"/>
      <w:jc w:val="center"/>
    </w:pPr>
    <w:rPr>
      <w:rFonts w:ascii="Times New Roman" w:hAnsi="Times New Roman" w:eastAsia="仿宋" w:cstheme="majorBidi"/>
      <w:b/>
      <w:kern w:val="2"/>
      <w:sz w:val="28"/>
      <w:szCs w:val="20"/>
      <w:lang w:val="en-US" w:eastAsia="zh-CN" w:bidi="ar-SA"/>
    </w:rPr>
  </w:style>
  <w:style w:type="character" w:customStyle="1" w:styleId="31">
    <w:name w:val="表格内容 字符"/>
    <w:basedOn w:val="19"/>
    <w:link w:val="29"/>
    <w:qFormat/>
    <w:uiPriority w:val="0"/>
    <w:rPr>
      <w:rFonts w:ascii="Times New Roman" w:hAnsi="Times New Roman" w:eastAsia="仿宋" w:cstheme="majorBidi"/>
      <w:sz w:val="24"/>
      <w:szCs w:val="32"/>
    </w:rPr>
  </w:style>
  <w:style w:type="character" w:styleId="32">
    <w:name w:val="Placeholder Text"/>
    <w:basedOn w:val="16"/>
    <w:semiHidden/>
    <w:qFormat/>
    <w:uiPriority w:val="99"/>
    <w:rPr>
      <w:color w:val="808080"/>
    </w:rPr>
  </w:style>
  <w:style w:type="character" w:customStyle="1" w:styleId="33">
    <w:name w:val="题注 字符"/>
    <w:basedOn w:val="16"/>
    <w:link w:val="7"/>
    <w:qFormat/>
    <w:uiPriority w:val="35"/>
    <w:rPr>
      <w:rFonts w:eastAsia="黑体" w:asciiTheme="majorHAnsi" w:hAnsiTheme="majorHAnsi" w:cstheme="majorBidi"/>
      <w:sz w:val="20"/>
      <w:szCs w:val="20"/>
    </w:rPr>
  </w:style>
  <w:style w:type="character" w:customStyle="1" w:styleId="34">
    <w:name w:val="表格名称 字符"/>
    <w:basedOn w:val="33"/>
    <w:link w:val="30"/>
    <w:qFormat/>
    <w:uiPriority w:val="0"/>
    <w:rPr>
      <w:rFonts w:ascii="Times New Roman" w:hAnsi="Times New Roman" w:eastAsia="仿宋" w:cstheme="majorBidi"/>
      <w:b/>
      <w:sz w:val="28"/>
      <w:szCs w:val="20"/>
    </w:rPr>
  </w:style>
  <w:style w:type="paragraph" w:customStyle="1" w:styleId="35">
    <w:name w:val="公式"/>
    <w:next w:val="3"/>
    <w:link w:val="36"/>
    <w:qFormat/>
    <w:uiPriority w:val="0"/>
    <w:rPr>
      <w:rFonts w:ascii="Cambria Math" w:hAnsi="Cambria Math" w:eastAsia="仿宋" w:cstheme="minorBidi"/>
      <w:i/>
      <w:kern w:val="2"/>
      <w:sz w:val="30"/>
      <w:szCs w:val="22"/>
      <w:lang w:val="en-US" w:eastAsia="zh-CN" w:bidi="ar-SA"/>
    </w:rPr>
  </w:style>
  <w:style w:type="character" w:customStyle="1" w:styleId="36">
    <w:name w:val="公式 字符"/>
    <w:basedOn w:val="19"/>
    <w:link w:val="35"/>
    <w:qFormat/>
    <w:uiPriority w:val="0"/>
    <w:rPr>
      <w:rFonts w:ascii="Cambria Math" w:hAnsi="Cambria Math" w:eastAsia="仿宋" w:cstheme="majorBidi"/>
      <w:i/>
      <w:sz w:val="30"/>
      <w:szCs w:val="32"/>
    </w:rPr>
  </w:style>
  <w:style w:type="paragraph" w:styleId="37">
    <w:name w:val="List Paragraph"/>
    <w:basedOn w:val="1"/>
    <w:qFormat/>
    <w:uiPriority w:val="34"/>
    <w:pPr>
      <w:ind w:firstLine="420" w:firstLineChars="200"/>
    </w:pPr>
  </w:style>
  <w:style w:type="character" w:customStyle="1" w:styleId="38">
    <w:name w:val="批注框文本 字符"/>
    <w:basedOn w:val="16"/>
    <w:link w:val="10"/>
    <w:semiHidden/>
    <w:qFormat/>
    <w:uiPriority w:val="99"/>
    <w:rPr>
      <w:sz w:val="18"/>
      <w:szCs w:val="18"/>
    </w:rPr>
  </w:style>
  <w:style w:type="character" w:customStyle="1" w:styleId="39">
    <w:name w:val="正文文本 字符"/>
    <w:basedOn w:val="16"/>
    <w:link w:val="8"/>
    <w:semiHidden/>
    <w:qFormat/>
    <w:uiPriority w:val="0"/>
    <w:rPr>
      <w:rFonts w:ascii="Arial" w:hAnsi="Arial" w:eastAsia="Arial" w:cs="Arial"/>
      <w:snapToGrid w:val="0"/>
      <w:color w:val="000000"/>
      <w:kern w:val="0"/>
      <w:szCs w:val="21"/>
      <w:lang w:eastAsia="en-US"/>
    </w:rPr>
  </w:style>
  <w:style w:type="table" w:customStyle="1" w:styleId="40">
    <w:name w:val="Table Normal"/>
    <w:unhideWhenUsed/>
    <w:qFormat/>
    <w:uiPriority w:val="0"/>
    <w:rPr>
      <w:rFonts w:ascii="Calibri" w:hAnsi="Calibri" w:eastAsia="宋体" w:cs="Times New Roman"/>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Bing\Settings\&#26631;&#20934;&#25991;&#20214;\&#29615;&#22659;&#25152;&#26631;&#20934;&#25991;&#20214;V01-20200506\A3&#26045;&#24037;&#22270;&#35774;&#35745;&#35828;&#26126;Word&#27169;&#26495;&#25991;&#20214;-&#29615;&#22659;&#25152;-1.2-2020060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0A1A27-E1A6-4752-A423-B868127D00AE}">
  <ds:schemaRefs/>
</ds:datastoreItem>
</file>

<file path=docProps/app.xml><?xml version="1.0" encoding="utf-8"?>
<Properties xmlns="http://schemas.openxmlformats.org/officeDocument/2006/extended-properties" xmlns:vt="http://schemas.openxmlformats.org/officeDocument/2006/docPropsVTypes">
  <Template>A3施工图设计说明Word模板文件-环境所-1.2-20200609.dotx</Template>
  <Pages>9</Pages>
  <Words>1711</Words>
  <Characters>1871</Characters>
  <Lines>49</Lines>
  <Paragraphs>13</Paragraphs>
  <TotalTime>26</TotalTime>
  <ScaleCrop>false</ScaleCrop>
  <LinksUpToDate>false</LinksUpToDate>
  <CharactersWithSpaces>1888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2025-03-04T02:49:00Z</dcterms:created>
  <dc:creator>Junbing Wu</dc:creator>
  <cp:lastModifiedBy>GSY</cp:lastModifiedBy>
  <cp:lastPrinted>2026-04-22T08:52:27Z</cp:lastPrinted>
  <dcterms:modified xsi:type="dcterms:W3CDTF">2026-04-22T08:59:36Z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eyJoZGlkIjoiYzIyMmZlNzc1NGY4MzhjZmY1NTQyYjU0ODhkYTJlNjciLCJ1c2VySWQiOiI5MjQ0NzczNTgifQ==</vt:lpwstr>
  </property>
  <property fmtid="{D5CDD505-2E9C-101B-9397-08002B2CF9AE}" pid="3" name="KSOProductBuildVer">
    <vt:lpwstr>2052-12.1.0.25225</vt:lpwstr>
  </property>
  <property fmtid="{D5CDD505-2E9C-101B-9397-08002B2CF9AE}" pid="4" name="ICV">
    <vt:lpwstr>E39DA81F5A1B43F89CBFD21CC641853D_13</vt:lpwstr>
  </property>
</Properties>
</file>